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890A4" w14:textId="41A52A3C" w:rsidR="008D7118" w:rsidRPr="00BF2AAF" w:rsidRDefault="0075066A" w:rsidP="00786BCB">
      <w:pPr>
        <w:pStyle w:val="SemEspaamento"/>
        <w:rPr>
          <w:rFonts w:ascii="Arial" w:eastAsiaTheme="minorHAnsi" w:hAnsi="Arial" w:cs="Arial"/>
          <w:sz w:val="20"/>
          <w:szCs w:val="20"/>
        </w:rPr>
        <w:sectPr w:rsidR="008D7118" w:rsidRPr="00BF2AAF" w:rsidSect="008D7118">
          <w:headerReference w:type="even" r:id="rId8"/>
          <w:headerReference w:type="default" r:id="rId9"/>
          <w:footerReference w:type="even" r:id="rId10"/>
          <w:footerReference w:type="default" r:id="rId11"/>
          <w:headerReference w:type="first" r:id="rId12"/>
          <w:footerReference w:type="first" r:id="rId13"/>
          <w:pgSz w:w="11906" w:h="16838" w:code="9"/>
          <w:pgMar w:top="0" w:right="0" w:bottom="0" w:left="0" w:header="0" w:footer="0" w:gutter="0"/>
          <w:pgNumType w:start="0"/>
          <w:cols w:space="708"/>
          <w:titlePg/>
          <w:docGrid w:linePitch="360"/>
        </w:sectPr>
      </w:pPr>
      <w:r>
        <w:rPr>
          <w:noProof/>
        </w:rPr>
        <w:drawing>
          <wp:inline distT="0" distB="0" distL="0" distR="0" wp14:anchorId="1A12A3E0" wp14:editId="362DEE5C">
            <wp:extent cx="7559675" cy="11050718"/>
            <wp:effectExtent l="0" t="0" r="3175" b="0"/>
            <wp:docPr id="147053560"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53560" name=""/>
                    <pic:cNvPicPr/>
                  </pic:nvPicPr>
                  <pic:blipFill>
                    <a:blip r:embed="rId14">
                      <a:extLst>
                        <a:ext uri="{96DAC541-7B7A-43D3-8B79-37D633B846F1}">
                          <asvg:svgBlip xmlns:asvg="http://schemas.microsoft.com/office/drawing/2016/SVG/main" r:embed="rId15"/>
                        </a:ext>
                      </a:extLst>
                    </a:blip>
                    <a:stretch>
                      <a:fillRect/>
                    </a:stretch>
                  </pic:blipFill>
                  <pic:spPr>
                    <a:xfrm>
                      <a:off x="0" y="0"/>
                      <a:ext cx="7559675" cy="11050718"/>
                    </a:xfrm>
                    <a:prstGeom prst="rect">
                      <a:avLst/>
                    </a:prstGeom>
                  </pic:spPr>
                </pic:pic>
              </a:graphicData>
            </a:graphic>
          </wp:inline>
        </w:drawing>
      </w:r>
      <w:r w:rsidR="00D2099F" w:rsidRPr="00BF2AAF">
        <w:rPr>
          <w:rFonts w:ascii="Arial" w:eastAsiaTheme="minorHAnsi" w:hAnsi="Arial" w:cs="Arial"/>
          <w:sz w:val="20"/>
          <w:szCs w:val="20"/>
        </w:rPr>
        <w:br w:type="page"/>
      </w:r>
    </w:p>
    <w:sdt>
      <w:sdtPr>
        <w:rPr>
          <w:rFonts w:ascii="Arial" w:eastAsiaTheme="minorHAnsi" w:hAnsi="Arial" w:cs="Arial"/>
          <w:b/>
          <w:noProof/>
          <w:color w:val="1F3864" w:themeColor="accent1" w:themeShade="80"/>
          <w:sz w:val="18"/>
          <w:szCs w:val="18"/>
        </w:rPr>
        <w:id w:val="-805697182"/>
        <w:docPartObj>
          <w:docPartGallery w:val="Table of Contents"/>
          <w:docPartUnique/>
        </w:docPartObj>
      </w:sdtPr>
      <w:sdtEndPr>
        <w:rPr>
          <w:rFonts w:eastAsiaTheme="minorEastAsia"/>
          <w:bCs/>
        </w:rPr>
      </w:sdtEndPr>
      <w:sdtContent>
        <w:p w14:paraId="6324456D" w14:textId="77777777" w:rsidR="00734925" w:rsidRPr="007B023A" w:rsidRDefault="00734925" w:rsidP="007B023A">
          <w:pPr>
            <w:pStyle w:val="CabealhodoSumrio"/>
            <w:spacing w:after="120"/>
            <w:jc w:val="center"/>
            <w:rPr>
              <w:rFonts w:ascii="Arial" w:hAnsi="Arial" w:cs="Arial"/>
              <w:b/>
              <w:color w:val="1F3864" w:themeColor="accent1" w:themeShade="80"/>
              <w:sz w:val="18"/>
              <w:szCs w:val="18"/>
            </w:rPr>
          </w:pPr>
          <w:r w:rsidRPr="007B023A">
            <w:rPr>
              <w:rFonts w:ascii="Arial" w:hAnsi="Arial" w:cs="Arial"/>
              <w:b/>
              <w:color w:val="1F3864" w:themeColor="accent1" w:themeShade="80"/>
              <w:sz w:val="18"/>
              <w:szCs w:val="18"/>
            </w:rPr>
            <w:t>ÍNDICE</w:t>
          </w:r>
        </w:p>
        <w:p w14:paraId="2D78B566" w14:textId="05FEE2CA" w:rsidR="001660BD" w:rsidRPr="007B023A" w:rsidRDefault="00B35951" w:rsidP="007B023A">
          <w:pPr>
            <w:pStyle w:val="Sumrio1"/>
            <w:spacing w:line="240" w:lineRule="auto"/>
            <w:rPr>
              <w:rFonts w:asciiTheme="minorHAnsi" w:hAnsiTheme="minorHAnsi" w:cstheme="minorBidi"/>
              <w:b w:val="0"/>
              <w:color w:val="auto"/>
              <w:kern w:val="2"/>
              <w:sz w:val="18"/>
              <w:szCs w:val="18"/>
              <w:lang w:eastAsia="pt-BR"/>
              <w14:ligatures w14:val="standardContextual"/>
            </w:rPr>
          </w:pPr>
          <w:r w:rsidRPr="007B023A">
            <w:rPr>
              <w:color w:val="1F3864" w:themeColor="accent1" w:themeShade="80"/>
              <w:sz w:val="18"/>
              <w:szCs w:val="18"/>
            </w:rPr>
            <w:fldChar w:fldCharType="begin"/>
          </w:r>
          <w:r w:rsidRPr="007B023A">
            <w:rPr>
              <w:color w:val="1F3864" w:themeColor="accent1" w:themeShade="80"/>
              <w:sz w:val="18"/>
              <w:szCs w:val="18"/>
            </w:rPr>
            <w:instrText xml:space="preserve"> TOC \o "1-1" \h \z \u </w:instrText>
          </w:r>
          <w:r w:rsidRPr="007B023A">
            <w:rPr>
              <w:color w:val="1F3864" w:themeColor="accent1" w:themeShade="80"/>
              <w:sz w:val="18"/>
              <w:szCs w:val="18"/>
            </w:rPr>
            <w:fldChar w:fldCharType="separate"/>
          </w:r>
          <w:hyperlink w:anchor="_Toc189757056" w:history="1">
            <w:r w:rsidR="001660BD" w:rsidRPr="007B023A">
              <w:rPr>
                <w:rStyle w:val="Hyperlink"/>
                <w:rFonts w:eastAsia="Times New Roman"/>
                <w:sz w:val="18"/>
                <w:szCs w:val="18"/>
                <w:lang w:eastAsia="pt-BR"/>
              </w:rPr>
              <w:t>RELATÓRIO DA ADMINISTRAÇÃO</w:t>
            </w:r>
            <w:r w:rsidR="001660BD" w:rsidRPr="007B023A">
              <w:rPr>
                <w:webHidden/>
                <w:sz w:val="18"/>
                <w:szCs w:val="18"/>
              </w:rPr>
              <w:tab/>
            </w:r>
            <w:r w:rsidR="001660BD" w:rsidRPr="007B023A">
              <w:rPr>
                <w:webHidden/>
                <w:sz w:val="18"/>
                <w:szCs w:val="18"/>
              </w:rPr>
              <w:fldChar w:fldCharType="begin"/>
            </w:r>
            <w:r w:rsidR="001660BD" w:rsidRPr="007B023A">
              <w:rPr>
                <w:webHidden/>
                <w:sz w:val="18"/>
                <w:szCs w:val="18"/>
              </w:rPr>
              <w:instrText xml:space="preserve"> PAGEREF _Toc189757056 \h </w:instrText>
            </w:r>
            <w:r w:rsidR="001660BD" w:rsidRPr="007B023A">
              <w:rPr>
                <w:webHidden/>
                <w:sz w:val="18"/>
                <w:szCs w:val="18"/>
              </w:rPr>
            </w:r>
            <w:r w:rsidR="001660BD" w:rsidRPr="007B023A">
              <w:rPr>
                <w:webHidden/>
                <w:sz w:val="18"/>
                <w:szCs w:val="18"/>
              </w:rPr>
              <w:fldChar w:fldCharType="separate"/>
            </w:r>
            <w:r w:rsidR="00713C42">
              <w:rPr>
                <w:webHidden/>
                <w:sz w:val="18"/>
                <w:szCs w:val="18"/>
              </w:rPr>
              <w:t>1</w:t>
            </w:r>
            <w:r w:rsidR="001660BD" w:rsidRPr="007B023A">
              <w:rPr>
                <w:webHidden/>
                <w:sz w:val="18"/>
                <w:szCs w:val="18"/>
              </w:rPr>
              <w:fldChar w:fldCharType="end"/>
            </w:r>
          </w:hyperlink>
        </w:p>
        <w:p w14:paraId="7E4D94B0" w14:textId="29795839" w:rsidR="001660BD" w:rsidRPr="007B023A" w:rsidRDefault="001660BD" w:rsidP="007B023A">
          <w:pPr>
            <w:pStyle w:val="Sumrio1"/>
            <w:spacing w:line="240" w:lineRule="auto"/>
            <w:rPr>
              <w:rFonts w:asciiTheme="minorHAnsi" w:hAnsiTheme="minorHAnsi" w:cstheme="minorBidi"/>
              <w:b w:val="0"/>
              <w:color w:val="auto"/>
              <w:kern w:val="2"/>
              <w:sz w:val="18"/>
              <w:szCs w:val="18"/>
              <w:lang w:eastAsia="pt-BR"/>
              <w14:ligatures w14:val="standardContextual"/>
            </w:rPr>
          </w:pPr>
          <w:hyperlink w:anchor="_Toc189757058" w:history="1">
            <w:r w:rsidRPr="007B023A">
              <w:rPr>
                <w:rStyle w:val="Hyperlink"/>
                <w:rFonts w:eastAsia="Times New Roman"/>
                <w:sz w:val="18"/>
                <w:szCs w:val="18"/>
                <w:lang w:eastAsia="pt-BR"/>
              </w:rPr>
              <w:t>DEMONSTRAÇÃO DO RESULTADO</w:t>
            </w:r>
            <w:r w:rsidRPr="007B023A">
              <w:rPr>
                <w:webHidden/>
                <w:sz w:val="18"/>
                <w:szCs w:val="18"/>
              </w:rPr>
              <w:tab/>
            </w:r>
            <w:r w:rsidRPr="007B023A">
              <w:rPr>
                <w:webHidden/>
                <w:sz w:val="18"/>
                <w:szCs w:val="18"/>
              </w:rPr>
              <w:fldChar w:fldCharType="begin"/>
            </w:r>
            <w:r w:rsidRPr="007B023A">
              <w:rPr>
                <w:webHidden/>
                <w:sz w:val="18"/>
                <w:szCs w:val="18"/>
              </w:rPr>
              <w:instrText xml:space="preserve"> PAGEREF _Toc189757058 \h </w:instrText>
            </w:r>
            <w:r w:rsidRPr="007B023A">
              <w:rPr>
                <w:webHidden/>
                <w:sz w:val="18"/>
                <w:szCs w:val="18"/>
              </w:rPr>
            </w:r>
            <w:r w:rsidRPr="007B023A">
              <w:rPr>
                <w:webHidden/>
                <w:sz w:val="18"/>
                <w:szCs w:val="18"/>
              </w:rPr>
              <w:fldChar w:fldCharType="separate"/>
            </w:r>
            <w:r w:rsidR="00713C42">
              <w:rPr>
                <w:webHidden/>
                <w:sz w:val="18"/>
                <w:szCs w:val="18"/>
              </w:rPr>
              <w:t>7</w:t>
            </w:r>
            <w:r w:rsidRPr="007B023A">
              <w:rPr>
                <w:webHidden/>
                <w:sz w:val="18"/>
                <w:szCs w:val="18"/>
              </w:rPr>
              <w:fldChar w:fldCharType="end"/>
            </w:r>
          </w:hyperlink>
        </w:p>
        <w:p w14:paraId="014E184E" w14:textId="68D88840" w:rsidR="001660BD" w:rsidRPr="007B023A" w:rsidRDefault="001660BD" w:rsidP="007B023A">
          <w:pPr>
            <w:pStyle w:val="Sumrio1"/>
            <w:spacing w:line="240" w:lineRule="auto"/>
            <w:rPr>
              <w:rFonts w:asciiTheme="minorHAnsi" w:hAnsiTheme="minorHAnsi" w:cstheme="minorBidi"/>
              <w:b w:val="0"/>
              <w:color w:val="auto"/>
              <w:kern w:val="2"/>
              <w:sz w:val="18"/>
              <w:szCs w:val="18"/>
              <w:lang w:eastAsia="pt-BR"/>
              <w14:ligatures w14:val="standardContextual"/>
            </w:rPr>
          </w:pPr>
          <w:hyperlink w:anchor="_Toc189757059" w:history="1">
            <w:r w:rsidRPr="007B023A">
              <w:rPr>
                <w:rStyle w:val="Hyperlink"/>
                <w:rFonts w:eastAsiaTheme="majorEastAsia"/>
                <w:sz w:val="18"/>
                <w:szCs w:val="18"/>
              </w:rPr>
              <w:t>DEMONSTRAÇÃO DO RESULTADO ABRANGENTE</w:t>
            </w:r>
            <w:r w:rsidRPr="007B023A">
              <w:rPr>
                <w:webHidden/>
                <w:sz w:val="18"/>
                <w:szCs w:val="18"/>
              </w:rPr>
              <w:tab/>
            </w:r>
            <w:r w:rsidRPr="007B023A">
              <w:rPr>
                <w:webHidden/>
                <w:sz w:val="18"/>
                <w:szCs w:val="18"/>
              </w:rPr>
              <w:fldChar w:fldCharType="begin"/>
            </w:r>
            <w:r w:rsidRPr="007B023A">
              <w:rPr>
                <w:webHidden/>
                <w:sz w:val="18"/>
                <w:szCs w:val="18"/>
              </w:rPr>
              <w:instrText xml:space="preserve"> PAGEREF _Toc189757059 \h </w:instrText>
            </w:r>
            <w:r w:rsidRPr="007B023A">
              <w:rPr>
                <w:webHidden/>
                <w:sz w:val="18"/>
                <w:szCs w:val="18"/>
              </w:rPr>
            </w:r>
            <w:r w:rsidRPr="007B023A">
              <w:rPr>
                <w:webHidden/>
                <w:sz w:val="18"/>
                <w:szCs w:val="18"/>
              </w:rPr>
              <w:fldChar w:fldCharType="separate"/>
            </w:r>
            <w:r w:rsidR="00713C42">
              <w:rPr>
                <w:webHidden/>
                <w:sz w:val="18"/>
                <w:szCs w:val="18"/>
              </w:rPr>
              <w:t>7</w:t>
            </w:r>
            <w:r w:rsidRPr="007B023A">
              <w:rPr>
                <w:webHidden/>
                <w:sz w:val="18"/>
                <w:szCs w:val="18"/>
              </w:rPr>
              <w:fldChar w:fldCharType="end"/>
            </w:r>
          </w:hyperlink>
        </w:p>
        <w:p w14:paraId="2C071F43" w14:textId="7102CF83" w:rsidR="001660BD" w:rsidRPr="007B023A" w:rsidRDefault="001660BD" w:rsidP="007B023A">
          <w:pPr>
            <w:pStyle w:val="Sumrio1"/>
            <w:spacing w:line="240" w:lineRule="auto"/>
            <w:rPr>
              <w:rFonts w:asciiTheme="minorHAnsi" w:hAnsiTheme="minorHAnsi" w:cstheme="minorBidi"/>
              <w:b w:val="0"/>
              <w:color w:val="auto"/>
              <w:kern w:val="2"/>
              <w:sz w:val="18"/>
              <w:szCs w:val="18"/>
              <w:lang w:eastAsia="pt-BR"/>
              <w14:ligatures w14:val="standardContextual"/>
            </w:rPr>
          </w:pPr>
          <w:hyperlink w:anchor="_Toc189757060" w:history="1">
            <w:r w:rsidRPr="007B023A">
              <w:rPr>
                <w:rStyle w:val="Hyperlink"/>
                <w:rFonts w:eastAsia="Times New Roman"/>
                <w:sz w:val="18"/>
                <w:szCs w:val="18"/>
                <w:lang w:eastAsia="pt-BR"/>
              </w:rPr>
              <w:t>BALANÇO PATRIMONIAL</w:t>
            </w:r>
            <w:r w:rsidRPr="007B023A">
              <w:rPr>
                <w:webHidden/>
                <w:sz w:val="18"/>
                <w:szCs w:val="18"/>
              </w:rPr>
              <w:tab/>
            </w:r>
            <w:r w:rsidRPr="007B023A">
              <w:rPr>
                <w:webHidden/>
                <w:sz w:val="18"/>
                <w:szCs w:val="18"/>
              </w:rPr>
              <w:fldChar w:fldCharType="begin"/>
            </w:r>
            <w:r w:rsidRPr="007B023A">
              <w:rPr>
                <w:webHidden/>
                <w:sz w:val="18"/>
                <w:szCs w:val="18"/>
              </w:rPr>
              <w:instrText xml:space="preserve"> PAGEREF _Toc189757060 \h </w:instrText>
            </w:r>
            <w:r w:rsidRPr="007B023A">
              <w:rPr>
                <w:webHidden/>
                <w:sz w:val="18"/>
                <w:szCs w:val="18"/>
              </w:rPr>
            </w:r>
            <w:r w:rsidRPr="007B023A">
              <w:rPr>
                <w:webHidden/>
                <w:sz w:val="18"/>
                <w:szCs w:val="18"/>
              </w:rPr>
              <w:fldChar w:fldCharType="separate"/>
            </w:r>
            <w:r w:rsidR="00713C42">
              <w:rPr>
                <w:webHidden/>
                <w:sz w:val="18"/>
                <w:szCs w:val="18"/>
              </w:rPr>
              <w:t>8</w:t>
            </w:r>
            <w:r w:rsidRPr="007B023A">
              <w:rPr>
                <w:webHidden/>
                <w:sz w:val="18"/>
                <w:szCs w:val="18"/>
              </w:rPr>
              <w:fldChar w:fldCharType="end"/>
            </w:r>
          </w:hyperlink>
        </w:p>
        <w:p w14:paraId="2847064A" w14:textId="0A1C024A" w:rsidR="001660BD" w:rsidRPr="007B023A" w:rsidRDefault="001660BD" w:rsidP="007B023A">
          <w:pPr>
            <w:pStyle w:val="Sumrio1"/>
            <w:spacing w:line="240" w:lineRule="auto"/>
            <w:rPr>
              <w:rFonts w:asciiTheme="minorHAnsi" w:hAnsiTheme="minorHAnsi" w:cstheme="minorBidi"/>
              <w:b w:val="0"/>
              <w:color w:val="auto"/>
              <w:kern w:val="2"/>
              <w:sz w:val="18"/>
              <w:szCs w:val="18"/>
              <w:lang w:eastAsia="pt-BR"/>
              <w14:ligatures w14:val="standardContextual"/>
            </w:rPr>
          </w:pPr>
          <w:hyperlink w:anchor="_Toc189757061" w:history="1">
            <w:r w:rsidRPr="007B023A">
              <w:rPr>
                <w:rStyle w:val="Hyperlink"/>
                <w:rFonts w:eastAsiaTheme="majorEastAsia"/>
                <w:sz w:val="18"/>
                <w:szCs w:val="18"/>
              </w:rPr>
              <w:t>DEMONSTRAÇÃO DOS FLUXOS DE CAIXA</w:t>
            </w:r>
            <w:r w:rsidRPr="007B023A">
              <w:rPr>
                <w:webHidden/>
                <w:sz w:val="18"/>
                <w:szCs w:val="18"/>
              </w:rPr>
              <w:tab/>
            </w:r>
            <w:r w:rsidRPr="007B023A">
              <w:rPr>
                <w:webHidden/>
                <w:sz w:val="18"/>
                <w:szCs w:val="18"/>
              </w:rPr>
              <w:fldChar w:fldCharType="begin"/>
            </w:r>
            <w:r w:rsidRPr="007B023A">
              <w:rPr>
                <w:webHidden/>
                <w:sz w:val="18"/>
                <w:szCs w:val="18"/>
              </w:rPr>
              <w:instrText xml:space="preserve"> PAGEREF _Toc189757061 \h </w:instrText>
            </w:r>
            <w:r w:rsidRPr="007B023A">
              <w:rPr>
                <w:webHidden/>
                <w:sz w:val="18"/>
                <w:szCs w:val="18"/>
              </w:rPr>
            </w:r>
            <w:r w:rsidRPr="007B023A">
              <w:rPr>
                <w:webHidden/>
                <w:sz w:val="18"/>
                <w:szCs w:val="18"/>
              </w:rPr>
              <w:fldChar w:fldCharType="separate"/>
            </w:r>
            <w:r w:rsidR="00713C42">
              <w:rPr>
                <w:webHidden/>
                <w:sz w:val="18"/>
                <w:szCs w:val="18"/>
              </w:rPr>
              <w:t>9</w:t>
            </w:r>
            <w:r w:rsidRPr="007B023A">
              <w:rPr>
                <w:webHidden/>
                <w:sz w:val="18"/>
                <w:szCs w:val="18"/>
              </w:rPr>
              <w:fldChar w:fldCharType="end"/>
            </w:r>
          </w:hyperlink>
        </w:p>
        <w:p w14:paraId="47C905A8" w14:textId="193D8C0D" w:rsidR="001660BD" w:rsidRPr="007B023A" w:rsidRDefault="001660BD" w:rsidP="007B023A">
          <w:pPr>
            <w:pStyle w:val="Sumrio1"/>
            <w:spacing w:line="240" w:lineRule="auto"/>
            <w:rPr>
              <w:rFonts w:asciiTheme="minorHAnsi" w:hAnsiTheme="minorHAnsi" w:cstheme="minorBidi"/>
              <w:b w:val="0"/>
              <w:color w:val="auto"/>
              <w:kern w:val="2"/>
              <w:sz w:val="18"/>
              <w:szCs w:val="18"/>
              <w:lang w:eastAsia="pt-BR"/>
              <w14:ligatures w14:val="standardContextual"/>
            </w:rPr>
          </w:pPr>
          <w:hyperlink w:anchor="_Toc189757062" w:history="1">
            <w:r w:rsidRPr="007B023A">
              <w:rPr>
                <w:rStyle w:val="Hyperlink"/>
                <w:sz w:val="18"/>
                <w:szCs w:val="18"/>
              </w:rPr>
              <w:t>DEMONSTRAÇÃO DAS MUTAÇÕES DO PATRIMÔNIO LÍQUIDO</w:t>
            </w:r>
            <w:r w:rsidRPr="007B023A">
              <w:rPr>
                <w:webHidden/>
                <w:sz w:val="18"/>
                <w:szCs w:val="18"/>
              </w:rPr>
              <w:tab/>
            </w:r>
            <w:r w:rsidRPr="007B023A">
              <w:rPr>
                <w:webHidden/>
                <w:sz w:val="18"/>
                <w:szCs w:val="18"/>
              </w:rPr>
              <w:fldChar w:fldCharType="begin"/>
            </w:r>
            <w:r w:rsidRPr="007B023A">
              <w:rPr>
                <w:webHidden/>
                <w:sz w:val="18"/>
                <w:szCs w:val="18"/>
              </w:rPr>
              <w:instrText xml:space="preserve"> PAGEREF _Toc189757062 \h </w:instrText>
            </w:r>
            <w:r w:rsidRPr="007B023A">
              <w:rPr>
                <w:webHidden/>
                <w:sz w:val="18"/>
                <w:szCs w:val="18"/>
              </w:rPr>
            </w:r>
            <w:r w:rsidRPr="007B023A">
              <w:rPr>
                <w:webHidden/>
                <w:sz w:val="18"/>
                <w:szCs w:val="18"/>
              </w:rPr>
              <w:fldChar w:fldCharType="separate"/>
            </w:r>
            <w:r w:rsidR="00713C42">
              <w:rPr>
                <w:webHidden/>
                <w:sz w:val="18"/>
                <w:szCs w:val="18"/>
              </w:rPr>
              <w:t>10</w:t>
            </w:r>
            <w:r w:rsidRPr="007B023A">
              <w:rPr>
                <w:webHidden/>
                <w:sz w:val="18"/>
                <w:szCs w:val="18"/>
              </w:rPr>
              <w:fldChar w:fldCharType="end"/>
            </w:r>
          </w:hyperlink>
        </w:p>
        <w:p w14:paraId="05EAEC24" w14:textId="51077837" w:rsidR="001660BD" w:rsidRPr="007B023A" w:rsidRDefault="001660BD" w:rsidP="007B023A">
          <w:pPr>
            <w:pStyle w:val="Sumrio1"/>
            <w:spacing w:line="240" w:lineRule="auto"/>
            <w:rPr>
              <w:rFonts w:asciiTheme="minorHAnsi" w:hAnsiTheme="minorHAnsi" w:cstheme="minorBidi"/>
              <w:b w:val="0"/>
              <w:color w:val="auto"/>
              <w:kern w:val="2"/>
              <w:sz w:val="18"/>
              <w:szCs w:val="18"/>
              <w:lang w:eastAsia="pt-BR"/>
              <w14:ligatures w14:val="standardContextual"/>
            </w:rPr>
          </w:pPr>
          <w:hyperlink w:anchor="_Toc189757063" w:history="1">
            <w:r w:rsidRPr="007B023A">
              <w:rPr>
                <w:rStyle w:val="Hyperlink"/>
                <w:rFonts w:eastAsiaTheme="majorEastAsia"/>
                <w:sz w:val="18"/>
                <w:szCs w:val="18"/>
              </w:rPr>
              <w:t>DEMONSTRAÇÃO DO VALOR ADICIONADO</w:t>
            </w:r>
            <w:r w:rsidRPr="007B023A">
              <w:rPr>
                <w:webHidden/>
                <w:sz w:val="18"/>
                <w:szCs w:val="18"/>
              </w:rPr>
              <w:tab/>
            </w:r>
            <w:r w:rsidRPr="007B023A">
              <w:rPr>
                <w:webHidden/>
                <w:sz w:val="18"/>
                <w:szCs w:val="18"/>
              </w:rPr>
              <w:fldChar w:fldCharType="begin"/>
            </w:r>
            <w:r w:rsidRPr="007B023A">
              <w:rPr>
                <w:webHidden/>
                <w:sz w:val="18"/>
                <w:szCs w:val="18"/>
              </w:rPr>
              <w:instrText xml:space="preserve"> PAGEREF _Toc189757063 \h </w:instrText>
            </w:r>
            <w:r w:rsidRPr="007B023A">
              <w:rPr>
                <w:webHidden/>
                <w:sz w:val="18"/>
                <w:szCs w:val="18"/>
              </w:rPr>
            </w:r>
            <w:r w:rsidRPr="007B023A">
              <w:rPr>
                <w:webHidden/>
                <w:sz w:val="18"/>
                <w:szCs w:val="18"/>
              </w:rPr>
              <w:fldChar w:fldCharType="separate"/>
            </w:r>
            <w:r w:rsidR="00713C42">
              <w:rPr>
                <w:webHidden/>
                <w:sz w:val="18"/>
                <w:szCs w:val="18"/>
              </w:rPr>
              <w:t>11</w:t>
            </w:r>
            <w:r w:rsidRPr="007B023A">
              <w:rPr>
                <w:webHidden/>
                <w:sz w:val="18"/>
                <w:szCs w:val="18"/>
              </w:rPr>
              <w:fldChar w:fldCharType="end"/>
            </w:r>
          </w:hyperlink>
        </w:p>
        <w:p w14:paraId="2071E4AA" w14:textId="416F3206" w:rsidR="001660BD" w:rsidRPr="007B023A" w:rsidRDefault="001660BD" w:rsidP="007B023A">
          <w:pPr>
            <w:pStyle w:val="Sumrio1"/>
            <w:spacing w:line="240" w:lineRule="auto"/>
            <w:rPr>
              <w:rFonts w:asciiTheme="minorHAnsi" w:hAnsiTheme="minorHAnsi" w:cstheme="minorBidi"/>
              <w:b w:val="0"/>
              <w:color w:val="auto"/>
              <w:kern w:val="2"/>
              <w:sz w:val="18"/>
              <w:szCs w:val="18"/>
              <w:lang w:eastAsia="pt-BR"/>
              <w14:ligatures w14:val="standardContextual"/>
            </w:rPr>
          </w:pPr>
          <w:hyperlink w:anchor="_Toc189757064" w:history="1">
            <w:r w:rsidRPr="007B023A">
              <w:rPr>
                <w:rStyle w:val="Hyperlink"/>
                <w:sz w:val="18"/>
                <w:szCs w:val="18"/>
              </w:rPr>
              <w:t>NOTAS EXPLICATIVAS ÀS DEMONSTRAÇÕES CONTÁBEIS</w:t>
            </w:r>
            <w:r w:rsidRPr="007B023A">
              <w:rPr>
                <w:webHidden/>
                <w:sz w:val="18"/>
                <w:szCs w:val="18"/>
              </w:rPr>
              <w:tab/>
            </w:r>
            <w:r w:rsidRPr="007B023A">
              <w:rPr>
                <w:webHidden/>
                <w:sz w:val="18"/>
                <w:szCs w:val="18"/>
              </w:rPr>
              <w:fldChar w:fldCharType="begin"/>
            </w:r>
            <w:r w:rsidRPr="007B023A">
              <w:rPr>
                <w:webHidden/>
                <w:sz w:val="18"/>
                <w:szCs w:val="18"/>
              </w:rPr>
              <w:instrText xml:space="preserve"> PAGEREF _Toc189757064 \h </w:instrText>
            </w:r>
            <w:r w:rsidRPr="007B023A">
              <w:rPr>
                <w:webHidden/>
                <w:sz w:val="18"/>
                <w:szCs w:val="18"/>
              </w:rPr>
            </w:r>
            <w:r w:rsidRPr="007B023A">
              <w:rPr>
                <w:webHidden/>
                <w:sz w:val="18"/>
                <w:szCs w:val="18"/>
              </w:rPr>
              <w:fldChar w:fldCharType="separate"/>
            </w:r>
            <w:r w:rsidR="00713C42">
              <w:rPr>
                <w:webHidden/>
                <w:sz w:val="18"/>
                <w:szCs w:val="18"/>
              </w:rPr>
              <w:t>12</w:t>
            </w:r>
            <w:r w:rsidRPr="007B023A">
              <w:rPr>
                <w:webHidden/>
                <w:sz w:val="18"/>
                <w:szCs w:val="18"/>
              </w:rPr>
              <w:fldChar w:fldCharType="end"/>
            </w:r>
          </w:hyperlink>
        </w:p>
        <w:p w14:paraId="4C5E2174" w14:textId="41A1BE05" w:rsidR="001660BD" w:rsidRPr="007B023A" w:rsidRDefault="001660BD" w:rsidP="007B023A">
          <w:pPr>
            <w:pStyle w:val="Sumrio1"/>
            <w:spacing w:line="240" w:lineRule="auto"/>
            <w:rPr>
              <w:rFonts w:asciiTheme="minorHAnsi" w:hAnsiTheme="minorHAnsi" w:cstheme="minorBidi"/>
              <w:b w:val="0"/>
              <w:color w:val="auto"/>
              <w:kern w:val="2"/>
              <w:sz w:val="18"/>
              <w:szCs w:val="18"/>
              <w:lang w:eastAsia="pt-BR"/>
              <w14:ligatures w14:val="standardContextual"/>
            </w:rPr>
          </w:pPr>
          <w:hyperlink w:anchor="_Toc189757065" w:history="1">
            <w:r w:rsidRPr="007B023A">
              <w:rPr>
                <w:rStyle w:val="Hyperlink"/>
                <w:sz w:val="18"/>
                <w:szCs w:val="18"/>
              </w:rPr>
              <w:t>1 – CONTEXTO OPERACIONAL</w:t>
            </w:r>
            <w:r w:rsidRPr="007B023A">
              <w:rPr>
                <w:webHidden/>
                <w:sz w:val="18"/>
                <w:szCs w:val="18"/>
              </w:rPr>
              <w:tab/>
            </w:r>
            <w:r w:rsidRPr="007B023A">
              <w:rPr>
                <w:webHidden/>
                <w:sz w:val="18"/>
                <w:szCs w:val="18"/>
              </w:rPr>
              <w:fldChar w:fldCharType="begin"/>
            </w:r>
            <w:r w:rsidRPr="007B023A">
              <w:rPr>
                <w:webHidden/>
                <w:sz w:val="18"/>
                <w:szCs w:val="18"/>
              </w:rPr>
              <w:instrText xml:space="preserve"> PAGEREF _Toc189757065 \h </w:instrText>
            </w:r>
            <w:r w:rsidRPr="007B023A">
              <w:rPr>
                <w:webHidden/>
                <w:sz w:val="18"/>
                <w:szCs w:val="18"/>
              </w:rPr>
            </w:r>
            <w:r w:rsidRPr="007B023A">
              <w:rPr>
                <w:webHidden/>
                <w:sz w:val="18"/>
                <w:szCs w:val="18"/>
              </w:rPr>
              <w:fldChar w:fldCharType="separate"/>
            </w:r>
            <w:r w:rsidR="00713C42">
              <w:rPr>
                <w:webHidden/>
                <w:sz w:val="18"/>
                <w:szCs w:val="18"/>
              </w:rPr>
              <w:t>12</w:t>
            </w:r>
            <w:r w:rsidRPr="007B023A">
              <w:rPr>
                <w:webHidden/>
                <w:sz w:val="18"/>
                <w:szCs w:val="18"/>
              </w:rPr>
              <w:fldChar w:fldCharType="end"/>
            </w:r>
          </w:hyperlink>
        </w:p>
        <w:p w14:paraId="523634DC" w14:textId="27F6B75C" w:rsidR="001660BD" w:rsidRPr="007B023A" w:rsidRDefault="001660BD" w:rsidP="007B023A">
          <w:pPr>
            <w:pStyle w:val="Sumrio1"/>
            <w:spacing w:line="240" w:lineRule="auto"/>
            <w:rPr>
              <w:rFonts w:asciiTheme="minorHAnsi" w:hAnsiTheme="minorHAnsi" w:cstheme="minorBidi"/>
              <w:b w:val="0"/>
              <w:color w:val="auto"/>
              <w:kern w:val="2"/>
              <w:sz w:val="18"/>
              <w:szCs w:val="18"/>
              <w:lang w:eastAsia="pt-BR"/>
              <w14:ligatures w14:val="standardContextual"/>
            </w:rPr>
          </w:pPr>
          <w:hyperlink w:anchor="_Toc189757066" w:history="1">
            <w:r w:rsidRPr="007B023A">
              <w:rPr>
                <w:rStyle w:val="Hyperlink"/>
                <w:sz w:val="18"/>
                <w:szCs w:val="18"/>
              </w:rPr>
              <w:t>2 – APRESENTAÇÃO DAS DEMONSTRAÇÕES CONTÁBEIS</w:t>
            </w:r>
            <w:r w:rsidRPr="007B023A">
              <w:rPr>
                <w:webHidden/>
                <w:sz w:val="18"/>
                <w:szCs w:val="18"/>
              </w:rPr>
              <w:tab/>
            </w:r>
            <w:r w:rsidRPr="007B023A">
              <w:rPr>
                <w:webHidden/>
                <w:sz w:val="18"/>
                <w:szCs w:val="18"/>
              </w:rPr>
              <w:fldChar w:fldCharType="begin"/>
            </w:r>
            <w:r w:rsidRPr="007B023A">
              <w:rPr>
                <w:webHidden/>
                <w:sz w:val="18"/>
                <w:szCs w:val="18"/>
              </w:rPr>
              <w:instrText xml:space="preserve"> PAGEREF _Toc189757066 \h </w:instrText>
            </w:r>
            <w:r w:rsidRPr="007B023A">
              <w:rPr>
                <w:webHidden/>
                <w:sz w:val="18"/>
                <w:szCs w:val="18"/>
              </w:rPr>
            </w:r>
            <w:r w:rsidRPr="007B023A">
              <w:rPr>
                <w:webHidden/>
                <w:sz w:val="18"/>
                <w:szCs w:val="18"/>
              </w:rPr>
              <w:fldChar w:fldCharType="separate"/>
            </w:r>
            <w:r w:rsidR="00713C42">
              <w:rPr>
                <w:webHidden/>
                <w:sz w:val="18"/>
                <w:szCs w:val="18"/>
              </w:rPr>
              <w:t>13</w:t>
            </w:r>
            <w:r w:rsidRPr="007B023A">
              <w:rPr>
                <w:webHidden/>
                <w:sz w:val="18"/>
                <w:szCs w:val="18"/>
              </w:rPr>
              <w:fldChar w:fldCharType="end"/>
            </w:r>
          </w:hyperlink>
        </w:p>
        <w:p w14:paraId="0496ADF9" w14:textId="735169D7" w:rsidR="001660BD" w:rsidRPr="007B023A" w:rsidRDefault="001660BD" w:rsidP="007B023A">
          <w:pPr>
            <w:pStyle w:val="Sumrio1"/>
            <w:spacing w:line="240" w:lineRule="auto"/>
            <w:rPr>
              <w:rFonts w:asciiTheme="minorHAnsi" w:hAnsiTheme="minorHAnsi" w:cstheme="minorBidi"/>
              <w:b w:val="0"/>
              <w:color w:val="auto"/>
              <w:kern w:val="2"/>
              <w:sz w:val="18"/>
              <w:szCs w:val="18"/>
              <w:lang w:eastAsia="pt-BR"/>
              <w14:ligatures w14:val="standardContextual"/>
            </w:rPr>
          </w:pPr>
          <w:hyperlink w:anchor="_Toc189757067" w:history="1">
            <w:r w:rsidRPr="007B023A">
              <w:rPr>
                <w:rStyle w:val="Hyperlink"/>
                <w:sz w:val="18"/>
                <w:szCs w:val="18"/>
              </w:rPr>
              <w:t>3 – RESUMO DAS PRINCIPAIS PRÁTICAS CONTÁBEIS</w:t>
            </w:r>
            <w:r w:rsidRPr="007B023A">
              <w:rPr>
                <w:webHidden/>
                <w:sz w:val="18"/>
                <w:szCs w:val="18"/>
              </w:rPr>
              <w:tab/>
            </w:r>
            <w:r w:rsidRPr="007B023A">
              <w:rPr>
                <w:webHidden/>
                <w:sz w:val="18"/>
                <w:szCs w:val="18"/>
              </w:rPr>
              <w:fldChar w:fldCharType="begin"/>
            </w:r>
            <w:r w:rsidRPr="007B023A">
              <w:rPr>
                <w:webHidden/>
                <w:sz w:val="18"/>
                <w:szCs w:val="18"/>
              </w:rPr>
              <w:instrText xml:space="preserve"> PAGEREF _Toc189757067 \h </w:instrText>
            </w:r>
            <w:r w:rsidRPr="007B023A">
              <w:rPr>
                <w:webHidden/>
                <w:sz w:val="18"/>
                <w:szCs w:val="18"/>
              </w:rPr>
            </w:r>
            <w:r w:rsidRPr="007B023A">
              <w:rPr>
                <w:webHidden/>
                <w:sz w:val="18"/>
                <w:szCs w:val="18"/>
              </w:rPr>
              <w:fldChar w:fldCharType="separate"/>
            </w:r>
            <w:r w:rsidR="00713C42">
              <w:rPr>
                <w:webHidden/>
                <w:sz w:val="18"/>
                <w:szCs w:val="18"/>
              </w:rPr>
              <w:t>14</w:t>
            </w:r>
            <w:r w:rsidRPr="007B023A">
              <w:rPr>
                <w:webHidden/>
                <w:sz w:val="18"/>
                <w:szCs w:val="18"/>
              </w:rPr>
              <w:fldChar w:fldCharType="end"/>
            </w:r>
          </w:hyperlink>
        </w:p>
        <w:p w14:paraId="239CD8F7" w14:textId="2DB3AC88" w:rsidR="001660BD" w:rsidRPr="007B023A" w:rsidRDefault="001660BD" w:rsidP="007B023A">
          <w:pPr>
            <w:pStyle w:val="Sumrio1"/>
            <w:spacing w:line="240" w:lineRule="auto"/>
            <w:rPr>
              <w:rFonts w:asciiTheme="minorHAnsi" w:hAnsiTheme="minorHAnsi" w:cstheme="minorBidi"/>
              <w:b w:val="0"/>
              <w:color w:val="auto"/>
              <w:kern w:val="2"/>
              <w:sz w:val="18"/>
              <w:szCs w:val="18"/>
              <w:lang w:eastAsia="pt-BR"/>
              <w14:ligatures w14:val="standardContextual"/>
            </w:rPr>
          </w:pPr>
          <w:hyperlink w:anchor="_Toc189757068" w:history="1">
            <w:r w:rsidRPr="007B023A">
              <w:rPr>
                <w:rStyle w:val="Hyperlink"/>
                <w:sz w:val="18"/>
                <w:szCs w:val="18"/>
              </w:rPr>
              <w:t>4 – AQUISIÇÕES, VENDAS E REESTRUTURAÇÕES SOCIETÁRIAS</w:t>
            </w:r>
            <w:r w:rsidRPr="007B023A">
              <w:rPr>
                <w:webHidden/>
                <w:sz w:val="18"/>
                <w:szCs w:val="18"/>
              </w:rPr>
              <w:tab/>
            </w:r>
            <w:r w:rsidRPr="007B023A">
              <w:rPr>
                <w:webHidden/>
                <w:sz w:val="18"/>
                <w:szCs w:val="18"/>
              </w:rPr>
              <w:fldChar w:fldCharType="begin"/>
            </w:r>
            <w:r w:rsidRPr="007B023A">
              <w:rPr>
                <w:webHidden/>
                <w:sz w:val="18"/>
                <w:szCs w:val="18"/>
              </w:rPr>
              <w:instrText xml:space="preserve"> PAGEREF _Toc189757068 \h </w:instrText>
            </w:r>
            <w:r w:rsidRPr="007B023A">
              <w:rPr>
                <w:webHidden/>
                <w:sz w:val="18"/>
                <w:szCs w:val="18"/>
              </w:rPr>
            </w:r>
            <w:r w:rsidRPr="007B023A">
              <w:rPr>
                <w:webHidden/>
                <w:sz w:val="18"/>
                <w:szCs w:val="18"/>
              </w:rPr>
              <w:fldChar w:fldCharType="separate"/>
            </w:r>
            <w:r w:rsidR="00713C42">
              <w:rPr>
                <w:webHidden/>
                <w:sz w:val="18"/>
                <w:szCs w:val="18"/>
              </w:rPr>
              <w:t>21</w:t>
            </w:r>
            <w:r w:rsidRPr="007B023A">
              <w:rPr>
                <w:webHidden/>
                <w:sz w:val="18"/>
                <w:szCs w:val="18"/>
              </w:rPr>
              <w:fldChar w:fldCharType="end"/>
            </w:r>
          </w:hyperlink>
        </w:p>
        <w:p w14:paraId="533C3559" w14:textId="417A17BD" w:rsidR="001660BD" w:rsidRPr="007B023A" w:rsidRDefault="001660BD" w:rsidP="007B023A">
          <w:pPr>
            <w:pStyle w:val="Sumrio1"/>
            <w:spacing w:line="240" w:lineRule="auto"/>
            <w:rPr>
              <w:rFonts w:asciiTheme="minorHAnsi" w:hAnsiTheme="minorHAnsi" w:cstheme="minorBidi"/>
              <w:b w:val="0"/>
              <w:color w:val="auto"/>
              <w:kern w:val="2"/>
              <w:sz w:val="18"/>
              <w:szCs w:val="18"/>
              <w:lang w:eastAsia="pt-BR"/>
              <w14:ligatures w14:val="standardContextual"/>
            </w:rPr>
          </w:pPr>
          <w:hyperlink w:anchor="_Toc189757069" w:history="1">
            <w:r w:rsidRPr="007B023A">
              <w:rPr>
                <w:rStyle w:val="Hyperlink"/>
                <w:sz w:val="18"/>
                <w:szCs w:val="18"/>
              </w:rPr>
              <w:t>5 – GERENCIAMENTO DE RISCOS</w:t>
            </w:r>
            <w:r w:rsidRPr="007B023A">
              <w:rPr>
                <w:webHidden/>
                <w:sz w:val="18"/>
                <w:szCs w:val="18"/>
              </w:rPr>
              <w:tab/>
            </w:r>
            <w:r w:rsidRPr="007B023A">
              <w:rPr>
                <w:webHidden/>
                <w:sz w:val="18"/>
                <w:szCs w:val="18"/>
              </w:rPr>
              <w:fldChar w:fldCharType="begin"/>
            </w:r>
            <w:r w:rsidRPr="007B023A">
              <w:rPr>
                <w:webHidden/>
                <w:sz w:val="18"/>
                <w:szCs w:val="18"/>
              </w:rPr>
              <w:instrText xml:space="preserve"> PAGEREF _Toc189757069 \h </w:instrText>
            </w:r>
            <w:r w:rsidRPr="007B023A">
              <w:rPr>
                <w:webHidden/>
                <w:sz w:val="18"/>
                <w:szCs w:val="18"/>
              </w:rPr>
            </w:r>
            <w:r w:rsidRPr="007B023A">
              <w:rPr>
                <w:webHidden/>
                <w:sz w:val="18"/>
                <w:szCs w:val="18"/>
              </w:rPr>
              <w:fldChar w:fldCharType="separate"/>
            </w:r>
            <w:r w:rsidR="00713C42">
              <w:rPr>
                <w:webHidden/>
                <w:sz w:val="18"/>
                <w:szCs w:val="18"/>
              </w:rPr>
              <w:t>22</w:t>
            </w:r>
            <w:r w:rsidRPr="007B023A">
              <w:rPr>
                <w:webHidden/>
                <w:sz w:val="18"/>
                <w:szCs w:val="18"/>
              </w:rPr>
              <w:fldChar w:fldCharType="end"/>
            </w:r>
          </w:hyperlink>
        </w:p>
        <w:p w14:paraId="47D78B52" w14:textId="4B5720F4" w:rsidR="001660BD" w:rsidRPr="007B023A" w:rsidRDefault="001660BD" w:rsidP="007B023A">
          <w:pPr>
            <w:pStyle w:val="Sumrio1"/>
            <w:spacing w:line="240" w:lineRule="auto"/>
            <w:rPr>
              <w:rFonts w:asciiTheme="minorHAnsi" w:hAnsiTheme="minorHAnsi" w:cstheme="minorBidi"/>
              <w:b w:val="0"/>
              <w:color w:val="auto"/>
              <w:kern w:val="2"/>
              <w:sz w:val="18"/>
              <w:szCs w:val="18"/>
              <w:lang w:eastAsia="pt-BR"/>
              <w14:ligatures w14:val="standardContextual"/>
            </w:rPr>
          </w:pPr>
          <w:hyperlink w:anchor="_Toc189757070" w:history="1">
            <w:r w:rsidRPr="007B023A">
              <w:rPr>
                <w:rStyle w:val="Hyperlink"/>
                <w:sz w:val="18"/>
                <w:szCs w:val="18"/>
              </w:rPr>
              <w:t>6 – INFORMAÇÕES POR SEGMENTO</w:t>
            </w:r>
            <w:r w:rsidRPr="007B023A">
              <w:rPr>
                <w:webHidden/>
                <w:sz w:val="18"/>
                <w:szCs w:val="18"/>
              </w:rPr>
              <w:tab/>
            </w:r>
            <w:r w:rsidRPr="007B023A">
              <w:rPr>
                <w:webHidden/>
                <w:sz w:val="18"/>
                <w:szCs w:val="18"/>
              </w:rPr>
              <w:fldChar w:fldCharType="begin"/>
            </w:r>
            <w:r w:rsidRPr="007B023A">
              <w:rPr>
                <w:webHidden/>
                <w:sz w:val="18"/>
                <w:szCs w:val="18"/>
              </w:rPr>
              <w:instrText xml:space="preserve"> PAGEREF _Toc189757070 \h </w:instrText>
            </w:r>
            <w:r w:rsidRPr="007B023A">
              <w:rPr>
                <w:webHidden/>
                <w:sz w:val="18"/>
                <w:szCs w:val="18"/>
              </w:rPr>
            </w:r>
            <w:r w:rsidRPr="007B023A">
              <w:rPr>
                <w:webHidden/>
                <w:sz w:val="18"/>
                <w:szCs w:val="18"/>
              </w:rPr>
              <w:fldChar w:fldCharType="separate"/>
            </w:r>
            <w:r w:rsidR="00713C42">
              <w:rPr>
                <w:webHidden/>
                <w:sz w:val="18"/>
                <w:szCs w:val="18"/>
              </w:rPr>
              <w:t>26</w:t>
            </w:r>
            <w:r w:rsidRPr="007B023A">
              <w:rPr>
                <w:webHidden/>
                <w:sz w:val="18"/>
                <w:szCs w:val="18"/>
              </w:rPr>
              <w:fldChar w:fldCharType="end"/>
            </w:r>
          </w:hyperlink>
        </w:p>
        <w:p w14:paraId="3308A986" w14:textId="2EB9A11F" w:rsidR="001660BD" w:rsidRPr="007B023A" w:rsidRDefault="001660BD" w:rsidP="007B023A">
          <w:pPr>
            <w:pStyle w:val="Sumrio1"/>
            <w:spacing w:line="240" w:lineRule="auto"/>
            <w:rPr>
              <w:rFonts w:asciiTheme="minorHAnsi" w:hAnsiTheme="minorHAnsi" w:cstheme="minorBidi"/>
              <w:b w:val="0"/>
              <w:color w:val="auto"/>
              <w:kern w:val="2"/>
              <w:sz w:val="18"/>
              <w:szCs w:val="18"/>
              <w:lang w:eastAsia="pt-BR"/>
              <w14:ligatures w14:val="standardContextual"/>
            </w:rPr>
          </w:pPr>
          <w:hyperlink w:anchor="_Toc189757071" w:history="1">
            <w:r w:rsidRPr="007B023A">
              <w:rPr>
                <w:rStyle w:val="Hyperlink"/>
                <w:sz w:val="18"/>
                <w:szCs w:val="18"/>
              </w:rPr>
              <w:t>7 – INVESTIMENTOS EM PARTICIPAÇÕES SOCIETÁRIAS</w:t>
            </w:r>
            <w:r w:rsidRPr="007B023A">
              <w:rPr>
                <w:webHidden/>
                <w:sz w:val="18"/>
                <w:szCs w:val="18"/>
              </w:rPr>
              <w:tab/>
            </w:r>
            <w:r w:rsidRPr="007B023A">
              <w:rPr>
                <w:webHidden/>
                <w:sz w:val="18"/>
                <w:szCs w:val="18"/>
              </w:rPr>
              <w:fldChar w:fldCharType="begin"/>
            </w:r>
            <w:r w:rsidRPr="007B023A">
              <w:rPr>
                <w:webHidden/>
                <w:sz w:val="18"/>
                <w:szCs w:val="18"/>
              </w:rPr>
              <w:instrText xml:space="preserve"> PAGEREF _Toc189757071 \h </w:instrText>
            </w:r>
            <w:r w:rsidRPr="007B023A">
              <w:rPr>
                <w:webHidden/>
                <w:sz w:val="18"/>
                <w:szCs w:val="18"/>
              </w:rPr>
            </w:r>
            <w:r w:rsidRPr="007B023A">
              <w:rPr>
                <w:webHidden/>
                <w:sz w:val="18"/>
                <w:szCs w:val="18"/>
              </w:rPr>
              <w:fldChar w:fldCharType="separate"/>
            </w:r>
            <w:r w:rsidR="00713C42">
              <w:rPr>
                <w:webHidden/>
                <w:sz w:val="18"/>
                <w:szCs w:val="18"/>
              </w:rPr>
              <w:t>28</w:t>
            </w:r>
            <w:r w:rsidRPr="007B023A">
              <w:rPr>
                <w:webHidden/>
                <w:sz w:val="18"/>
                <w:szCs w:val="18"/>
              </w:rPr>
              <w:fldChar w:fldCharType="end"/>
            </w:r>
          </w:hyperlink>
        </w:p>
        <w:p w14:paraId="5A860379" w14:textId="60530C1D" w:rsidR="001660BD" w:rsidRPr="007B023A" w:rsidRDefault="001660BD" w:rsidP="007B023A">
          <w:pPr>
            <w:pStyle w:val="Sumrio1"/>
            <w:spacing w:line="240" w:lineRule="auto"/>
            <w:rPr>
              <w:rFonts w:asciiTheme="minorHAnsi" w:hAnsiTheme="minorHAnsi" w:cstheme="minorBidi"/>
              <w:b w:val="0"/>
              <w:color w:val="auto"/>
              <w:kern w:val="2"/>
              <w:sz w:val="18"/>
              <w:szCs w:val="18"/>
              <w:lang w:eastAsia="pt-BR"/>
              <w14:ligatures w14:val="standardContextual"/>
            </w:rPr>
          </w:pPr>
          <w:hyperlink w:anchor="_Toc189757074" w:history="1">
            <w:r w:rsidRPr="007B023A">
              <w:rPr>
                <w:rStyle w:val="Hyperlink"/>
                <w:sz w:val="18"/>
                <w:szCs w:val="18"/>
              </w:rPr>
              <w:t>8 – RECEITAS DE COMISSÕES</w:t>
            </w:r>
            <w:r w:rsidRPr="007B023A">
              <w:rPr>
                <w:webHidden/>
                <w:sz w:val="18"/>
                <w:szCs w:val="18"/>
              </w:rPr>
              <w:tab/>
            </w:r>
            <w:r w:rsidRPr="007B023A">
              <w:rPr>
                <w:webHidden/>
                <w:sz w:val="18"/>
                <w:szCs w:val="18"/>
              </w:rPr>
              <w:fldChar w:fldCharType="begin"/>
            </w:r>
            <w:r w:rsidRPr="007B023A">
              <w:rPr>
                <w:webHidden/>
                <w:sz w:val="18"/>
                <w:szCs w:val="18"/>
              </w:rPr>
              <w:instrText xml:space="preserve"> PAGEREF _Toc189757074 \h </w:instrText>
            </w:r>
            <w:r w:rsidRPr="007B023A">
              <w:rPr>
                <w:webHidden/>
                <w:sz w:val="18"/>
                <w:szCs w:val="18"/>
              </w:rPr>
            </w:r>
            <w:r w:rsidRPr="007B023A">
              <w:rPr>
                <w:webHidden/>
                <w:sz w:val="18"/>
                <w:szCs w:val="18"/>
              </w:rPr>
              <w:fldChar w:fldCharType="separate"/>
            </w:r>
            <w:r w:rsidR="00713C42">
              <w:rPr>
                <w:webHidden/>
                <w:sz w:val="18"/>
                <w:szCs w:val="18"/>
              </w:rPr>
              <w:t>45</w:t>
            </w:r>
            <w:r w:rsidRPr="007B023A">
              <w:rPr>
                <w:webHidden/>
                <w:sz w:val="18"/>
                <w:szCs w:val="18"/>
              </w:rPr>
              <w:fldChar w:fldCharType="end"/>
            </w:r>
          </w:hyperlink>
        </w:p>
        <w:p w14:paraId="624020F5" w14:textId="631327D4" w:rsidR="001660BD" w:rsidRPr="007B023A" w:rsidRDefault="001660BD" w:rsidP="007B023A">
          <w:pPr>
            <w:pStyle w:val="Sumrio1"/>
            <w:spacing w:line="240" w:lineRule="auto"/>
            <w:rPr>
              <w:rFonts w:asciiTheme="minorHAnsi" w:hAnsiTheme="minorHAnsi" w:cstheme="minorBidi"/>
              <w:b w:val="0"/>
              <w:color w:val="auto"/>
              <w:kern w:val="2"/>
              <w:sz w:val="18"/>
              <w:szCs w:val="18"/>
              <w:lang w:eastAsia="pt-BR"/>
              <w14:ligatures w14:val="standardContextual"/>
            </w:rPr>
          </w:pPr>
          <w:hyperlink w:anchor="_Toc189757075" w:history="1">
            <w:r w:rsidRPr="007B023A">
              <w:rPr>
                <w:rStyle w:val="Hyperlink"/>
                <w:sz w:val="18"/>
                <w:szCs w:val="18"/>
              </w:rPr>
              <w:t>9 – CUSTOS DOS SERVIÇOS PRESTADOS</w:t>
            </w:r>
            <w:r w:rsidRPr="007B023A">
              <w:rPr>
                <w:webHidden/>
                <w:sz w:val="18"/>
                <w:szCs w:val="18"/>
              </w:rPr>
              <w:tab/>
            </w:r>
            <w:r w:rsidRPr="007B023A">
              <w:rPr>
                <w:webHidden/>
                <w:sz w:val="18"/>
                <w:szCs w:val="18"/>
              </w:rPr>
              <w:fldChar w:fldCharType="begin"/>
            </w:r>
            <w:r w:rsidRPr="007B023A">
              <w:rPr>
                <w:webHidden/>
                <w:sz w:val="18"/>
                <w:szCs w:val="18"/>
              </w:rPr>
              <w:instrText xml:space="preserve"> PAGEREF _Toc189757075 \h </w:instrText>
            </w:r>
            <w:r w:rsidRPr="007B023A">
              <w:rPr>
                <w:webHidden/>
                <w:sz w:val="18"/>
                <w:szCs w:val="18"/>
              </w:rPr>
            </w:r>
            <w:r w:rsidRPr="007B023A">
              <w:rPr>
                <w:webHidden/>
                <w:sz w:val="18"/>
                <w:szCs w:val="18"/>
              </w:rPr>
              <w:fldChar w:fldCharType="separate"/>
            </w:r>
            <w:r w:rsidR="00713C42">
              <w:rPr>
                <w:webHidden/>
                <w:sz w:val="18"/>
                <w:szCs w:val="18"/>
              </w:rPr>
              <w:t>45</w:t>
            </w:r>
            <w:r w:rsidRPr="007B023A">
              <w:rPr>
                <w:webHidden/>
                <w:sz w:val="18"/>
                <w:szCs w:val="18"/>
              </w:rPr>
              <w:fldChar w:fldCharType="end"/>
            </w:r>
          </w:hyperlink>
        </w:p>
        <w:p w14:paraId="513D3557" w14:textId="24E4779B" w:rsidR="001660BD" w:rsidRPr="007B023A" w:rsidRDefault="001660BD" w:rsidP="007B023A">
          <w:pPr>
            <w:pStyle w:val="Sumrio1"/>
            <w:spacing w:line="240" w:lineRule="auto"/>
            <w:rPr>
              <w:rFonts w:asciiTheme="minorHAnsi" w:hAnsiTheme="minorHAnsi" w:cstheme="minorBidi"/>
              <w:b w:val="0"/>
              <w:color w:val="auto"/>
              <w:kern w:val="2"/>
              <w:sz w:val="18"/>
              <w:szCs w:val="18"/>
              <w:lang w:eastAsia="pt-BR"/>
              <w14:ligatures w14:val="standardContextual"/>
            </w:rPr>
          </w:pPr>
          <w:hyperlink w:anchor="_Toc189757076" w:history="1">
            <w:r w:rsidRPr="007B023A">
              <w:rPr>
                <w:rStyle w:val="Hyperlink"/>
                <w:sz w:val="18"/>
                <w:szCs w:val="18"/>
              </w:rPr>
              <w:t>10 – DESPESAS COM PESSOAL</w:t>
            </w:r>
            <w:r w:rsidRPr="007B023A">
              <w:rPr>
                <w:webHidden/>
                <w:sz w:val="18"/>
                <w:szCs w:val="18"/>
              </w:rPr>
              <w:tab/>
            </w:r>
            <w:r w:rsidRPr="007B023A">
              <w:rPr>
                <w:webHidden/>
                <w:sz w:val="18"/>
                <w:szCs w:val="18"/>
              </w:rPr>
              <w:fldChar w:fldCharType="begin"/>
            </w:r>
            <w:r w:rsidRPr="007B023A">
              <w:rPr>
                <w:webHidden/>
                <w:sz w:val="18"/>
                <w:szCs w:val="18"/>
              </w:rPr>
              <w:instrText xml:space="preserve"> PAGEREF _Toc189757076 \h </w:instrText>
            </w:r>
            <w:r w:rsidRPr="007B023A">
              <w:rPr>
                <w:webHidden/>
                <w:sz w:val="18"/>
                <w:szCs w:val="18"/>
              </w:rPr>
            </w:r>
            <w:r w:rsidRPr="007B023A">
              <w:rPr>
                <w:webHidden/>
                <w:sz w:val="18"/>
                <w:szCs w:val="18"/>
              </w:rPr>
              <w:fldChar w:fldCharType="separate"/>
            </w:r>
            <w:r w:rsidR="00713C42">
              <w:rPr>
                <w:webHidden/>
                <w:sz w:val="18"/>
                <w:szCs w:val="18"/>
              </w:rPr>
              <w:t>45</w:t>
            </w:r>
            <w:r w:rsidRPr="007B023A">
              <w:rPr>
                <w:webHidden/>
                <w:sz w:val="18"/>
                <w:szCs w:val="18"/>
              </w:rPr>
              <w:fldChar w:fldCharType="end"/>
            </w:r>
          </w:hyperlink>
        </w:p>
        <w:p w14:paraId="34341862" w14:textId="3C17D0DC" w:rsidR="001660BD" w:rsidRPr="007B023A" w:rsidRDefault="001660BD" w:rsidP="007B023A">
          <w:pPr>
            <w:pStyle w:val="Sumrio1"/>
            <w:spacing w:line="240" w:lineRule="auto"/>
            <w:rPr>
              <w:rFonts w:asciiTheme="minorHAnsi" w:hAnsiTheme="minorHAnsi" w:cstheme="minorBidi"/>
              <w:b w:val="0"/>
              <w:color w:val="auto"/>
              <w:kern w:val="2"/>
              <w:sz w:val="18"/>
              <w:szCs w:val="18"/>
              <w:lang w:eastAsia="pt-BR"/>
              <w14:ligatures w14:val="standardContextual"/>
            </w:rPr>
          </w:pPr>
          <w:hyperlink w:anchor="_Toc189757077" w:history="1">
            <w:r w:rsidRPr="007B023A">
              <w:rPr>
                <w:rStyle w:val="Hyperlink"/>
                <w:sz w:val="18"/>
                <w:szCs w:val="18"/>
              </w:rPr>
              <w:t>11 – DESPESAS ADMINISTRATIVAS E COM VENDAS</w:t>
            </w:r>
            <w:r w:rsidRPr="007B023A">
              <w:rPr>
                <w:webHidden/>
                <w:sz w:val="18"/>
                <w:szCs w:val="18"/>
              </w:rPr>
              <w:tab/>
            </w:r>
            <w:r w:rsidRPr="007B023A">
              <w:rPr>
                <w:webHidden/>
                <w:sz w:val="18"/>
                <w:szCs w:val="18"/>
              </w:rPr>
              <w:fldChar w:fldCharType="begin"/>
            </w:r>
            <w:r w:rsidRPr="007B023A">
              <w:rPr>
                <w:webHidden/>
                <w:sz w:val="18"/>
                <w:szCs w:val="18"/>
              </w:rPr>
              <w:instrText xml:space="preserve"> PAGEREF _Toc189757077 \h </w:instrText>
            </w:r>
            <w:r w:rsidRPr="007B023A">
              <w:rPr>
                <w:webHidden/>
                <w:sz w:val="18"/>
                <w:szCs w:val="18"/>
              </w:rPr>
            </w:r>
            <w:r w:rsidRPr="007B023A">
              <w:rPr>
                <w:webHidden/>
                <w:sz w:val="18"/>
                <w:szCs w:val="18"/>
              </w:rPr>
              <w:fldChar w:fldCharType="separate"/>
            </w:r>
            <w:r w:rsidR="00713C42">
              <w:rPr>
                <w:webHidden/>
                <w:sz w:val="18"/>
                <w:szCs w:val="18"/>
              </w:rPr>
              <w:t>46</w:t>
            </w:r>
            <w:r w:rsidRPr="007B023A">
              <w:rPr>
                <w:webHidden/>
                <w:sz w:val="18"/>
                <w:szCs w:val="18"/>
              </w:rPr>
              <w:fldChar w:fldCharType="end"/>
            </w:r>
          </w:hyperlink>
        </w:p>
        <w:p w14:paraId="4D982FE8" w14:textId="3A8D4DB8" w:rsidR="001660BD" w:rsidRPr="007B023A" w:rsidRDefault="001660BD" w:rsidP="007B023A">
          <w:pPr>
            <w:pStyle w:val="Sumrio1"/>
            <w:spacing w:line="240" w:lineRule="auto"/>
            <w:rPr>
              <w:rFonts w:asciiTheme="minorHAnsi" w:hAnsiTheme="minorHAnsi" w:cstheme="minorBidi"/>
              <w:b w:val="0"/>
              <w:color w:val="auto"/>
              <w:kern w:val="2"/>
              <w:sz w:val="18"/>
              <w:szCs w:val="18"/>
              <w:lang w:eastAsia="pt-BR"/>
              <w14:ligatures w14:val="standardContextual"/>
            </w:rPr>
          </w:pPr>
          <w:hyperlink w:anchor="_Toc189757078" w:history="1">
            <w:r w:rsidRPr="007B023A">
              <w:rPr>
                <w:rStyle w:val="Hyperlink"/>
                <w:sz w:val="18"/>
                <w:szCs w:val="18"/>
              </w:rPr>
              <w:t>12 – TRIBUTOS</w:t>
            </w:r>
            <w:r w:rsidRPr="007B023A">
              <w:rPr>
                <w:webHidden/>
                <w:sz w:val="18"/>
                <w:szCs w:val="18"/>
              </w:rPr>
              <w:tab/>
            </w:r>
            <w:r w:rsidRPr="007B023A">
              <w:rPr>
                <w:webHidden/>
                <w:sz w:val="18"/>
                <w:szCs w:val="18"/>
              </w:rPr>
              <w:fldChar w:fldCharType="begin"/>
            </w:r>
            <w:r w:rsidRPr="007B023A">
              <w:rPr>
                <w:webHidden/>
                <w:sz w:val="18"/>
                <w:szCs w:val="18"/>
              </w:rPr>
              <w:instrText xml:space="preserve"> PAGEREF _Toc189757078 \h </w:instrText>
            </w:r>
            <w:r w:rsidRPr="007B023A">
              <w:rPr>
                <w:webHidden/>
                <w:sz w:val="18"/>
                <w:szCs w:val="18"/>
              </w:rPr>
            </w:r>
            <w:r w:rsidRPr="007B023A">
              <w:rPr>
                <w:webHidden/>
                <w:sz w:val="18"/>
                <w:szCs w:val="18"/>
              </w:rPr>
              <w:fldChar w:fldCharType="separate"/>
            </w:r>
            <w:r w:rsidR="00713C42">
              <w:rPr>
                <w:webHidden/>
                <w:sz w:val="18"/>
                <w:szCs w:val="18"/>
              </w:rPr>
              <w:t>46</w:t>
            </w:r>
            <w:r w:rsidRPr="007B023A">
              <w:rPr>
                <w:webHidden/>
                <w:sz w:val="18"/>
                <w:szCs w:val="18"/>
              </w:rPr>
              <w:fldChar w:fldCharType="end"/>
            </w:r>
          </w:hyperlink>
        </w:p>
        <w:p w14:paraId="6272BBFC" w14:textId="3783326B" w:rsidR="001660BD" w:rsidRPr="007B023A" w:rsidRDefault="001660BD" w:rsidP="007B023A">
          <w:pPr>
            <w:pStyle w:val="Sumrio1"/>
            <w:spacing w:line="240" w:lineRule="auto"/>
            <w:rPr>
              <w:rFonts w:asciiTheme="minorHAnsi" w:hAnsiTheme="minorHAnsi" w:cstheme="minorBidi"/>
              <w:b w:val="0"/>
              <w:color w:val="auto"/>
              <w:kern w:val="2"/>
              <w:sz w:val="18"/>
              <w:szCs w:val="18"/>
              <w:lang w:eastAsia="pt-BR"/>
              <w14:ligatures w14:val="standardContextual"/>
            </w:rPr>
          </w:pPr>
          <w:hyperlink w:anchor="_Toc189757079" w:history="1">
            <w:r w:rsidRPr="007B023A">
              <w:rPr>
                <w:rStyle w:val="Hyperlink"/>
                <w:sz w:val="18"/>
                <w:szCs w:val="18"/>
              </w:rPr>
              <w:t>13 – OUTRAS RECEITAS E DESPESAS</w:t>
            </w:r>
            <w:r w:rsidRPr="007B023A">
              <w:rPr>
                <w:webHidden/>
                <w:sz w:val="18"/>
                <w:szCs w:val="18"/>
              </w:rPr>
              <w:tab/>
            </w:r>
            <w:r w:rsidRPr="007B023A">
              <w:rPr>
                <w:webHidden/>
                <w:sz w:val="18"/>
                <w:szCs w:val="18"/>
              </w:rPr>
              <w:fldChar w:fldCharType="begin"/>
            </w:r>
            <w:r w:rsidRPr="007B023A">
              <w:rPr>
                <w:webHidden/>
                <w:sz w:val="18"/>
                <w:szCs w:val="18"/>
              </w:rPr>
              <w:instrText xml:space="preserve"> PAGEREF _Toc189757079 \h </w:instrText>
            </w:r>
            <w:r w:rsidRPr="007B023A">
              <w:rPr>
                <w:webHidden/>
                <w:sz w:val="18"/>
                <w:szCs w:val="18"/>
              </w:rPr>
            </w:r>
            <w:r w:rsidRPr="007B023A">
              <w:rPr>
                <w:webHidden/>
                <w:sz w:val="18"/>
                <w:szCs w:val="18"/>
              </w:rPr>
              <w:fldChar w:fldCharType="separate"/>
            </w:r>
            <w:r w:rsidR="00713C42">
              <w:rPr>
                <w:webHidden/>
                <w:sz w:val="18"/>
                <w:szCs w:val="18"/>
              </w:rPr>
              <w:t>48</w:t>
            </w:r>
            <w:r w:rsidRPr="007B023A">
              <w:rPr>
                <w:webHidden/>
                <w:sz w:val="18"/>
                <w:szCs w:val="18"/>
              </w:rPr>
              <w:fldChar w:fldCharType="end"/>
            </w:r>
          </w:hyperlink>
        </w:p>
        <w:p w14:paraId="66A2912E" w14:textId="7D1BBF6D" w:rsidR="001660BD" w:rsidRPr="007B023A" w:rsidRDefault="001660BD" w:rsidP="007B023A">
          <w:pPr>
            <w:pStyle w:val="Sumrio1"/>
            <w:spacing w:line="240" w:lineRule="auto"/>
            <w:rPr>
              <w:rFonts w:asciiTheme="minorHAnsi" w:hAnsiTheme="minorHAnsi" w:cstheme="minorBidi"/>
              <w:b w:val="0"/>
              <w:color w:val="auto"/>
              <w:kern w:val="2"/>
              <w:sz w:val="18"/>
              <w:szCs w:val="18"/>
              <w:lang w:eastAsia="pt-BR"/>
              <w14:ligatures w14:val="standardContextual"/>
            </w:rPr>
          </w:pPr>
          <w:hyperlink w:anchor="_Toc189757080" w:history="1">
            <w:r w:rsidRPr="007B023A">
              <w:rPr>
                <w:rStyle w:val="Hyperlink"/>
                <w:sz w:val="18"/>
                <w:szCs w:val="18"/>
              </w:rPr>
              <w:t>14 – RESULTADO FINANCEIRO</w:t>
            </w:r>
            <w:r w:rsidRPr="007B023A">
              <w:rPr>
                <w:webHidden/>
                <w:sz w:val="18"/>
                <w:szCs w:val="18"/>
              </w:rPr>
              <w:tab/>
            </w:r>
            <w:r w:rsidRPr="007B023A">
              <w:rPr>
                <w:webHidden/>
                <w:sz w:val="18"/>
                <w:szCs w:val="18"/>
              </w:rPr>
              <w:fldChar w:fldCharType="begin"/>
            </w:r>
            <w:r w:rsidRPr="007B023A">
              <w:rPr>
                <w:webHidden/>
                <w:sz w:val="18"/>
                <w:szCs w:val="18"/>
              </w:rPr>
              <w:instrText xml:space="preserve"> PAGEREF _Toc189757080 \h </w:instrText>
            </w:r>
            <w:r w:rsidRPr="007B023A">
              <w:rPr>
                <w:webHidden/>
                <w:sz w:val="18"/>
                <w:szCs w:val="18"/>
              </w:rPr>
            </w:r>
            <w:r w:rsidRPr="007B023A">
              <w:rPr>
                <w:webHidden/>
                <w:sz w:val="18"/>
                <w:szCs w:val="18"/>
              </w:rPr>
              <w:fldChar w:fldCharType="separate"/>
            </w:r>
            <w:r w:rsidR="00713C42">
              <w:rPr>
                <w:webHidden/>
                <w:sz w:val="18"/>
                <w:szCs w:val="18"/>
              </w:rPr>
              <w:t>49</w:t>
            </w:r>
            <w:r w:rsidRPr="007B023A">
              <w:rPr>
                <w:webHidden/>
                <w:sz w:val="18"/>
                <w:szCs w:val="18"/>
              </w:rPr>
              <w:fldChar w:fldCharType="end"/>
            </w:r>
          </w:hyperlink>
        </w:p>
        <w:p w14:paraId="05A87B5D" w14:textId="054378FC" w:rsidR="001660BD" w:rsidRPr="007B023A" w:rsidRDefault="001660BD" w:rsidP="007B023A">
          <w:pPr>
            <w:pStyle w:val="Sumrio1"/>
            <w:spacing w:line="240" w:lineRule="auto"/>
            <w:rPr>
              <w:rFonts w:asciiTheme="minorHAnsi" w:hAnsiTheme="minorHAnsi" w:cstheme="minorBidi"/>
              <w:b w:val="0"/>
              <w:color w:val="auto"/>
              <w:kern w:val="2"/>
              <w:sz w:val="18"/>
              <w:szCs w:val="18"/>
              <w:lang w:eastAsia="pt-BR"/>
              <w14:ligatures w14:val="standardContextual"/>
            </w:rPr>
          </w:pPr>
          <w:hyperlink w:anchor="_Toc189757081" w:history="1">
            <w:r w:rsidRPr="007B023A">
              <w:rPr>
                <w:rStyle w:val="Hyperlink"/>
                <w:sz w:val="18"/>
                <w:szCs w:val="18"/>
              </w:rPr>
              <w:t>15 – CAIXA E EQUIVALENTES DE CAIXA</w:t>
            </w:r>
            <w:r w:rsidRPr="007B023A">
              <w:rPr>
                <w:webHidden/>
                <w:sz w:val="18"/>
                <w:szCs w:val="18"/>
              </w:rPr>
              <w:tab/>
            </w:r>
            <w:r w:rsidRPr="007B023A">
              <w:rPr>
                <w:webHidden/>
                <w:sz w:val="18"/>
                <w:szCs w:val="18"/>
              </w:rPr>
              <w:fldChar w:fldCharType="begin"/>
            </w:r>
            <w:r w:rsidRPr="007B023A">
              <w:rPr>
                <w:webHidden/>
                <w:sz w:val="18"/>
                <w:szCs w:val="18"/>
              </w:rPr>
              <w:instrText xml:space="preserve"> PAGEREF _Toc189757081 \h </w:instrText>
            </w:r>
            <w:r w:rsidRPr="007B023A">
              <w:rPr>
                <w:webHidden/>
                <w:sz w:val="18"/>
                <w:szCs w:val="18"/>
              </w:rPr>
            </w:r>
            <w:r w:rsidRPr="007B023A">
              <w:rPr>
                <w:webHidden/>
                <w:sz w:val="18"/>
                <w:szCs w:val="18"/>
              </w:rPr>
              <w:fldChar w:fldCharType="separate"/>
            </w:r>
            <w:r w:rsidR="00713C42">
              <w:rPr>
                <w:webHidden/>
                <w:sz w:val="18"/>
                <w:szCs w:val="18"/>
              </w:rPr>
              <w:t>49</w:t>
            </w:r>
            <w:r w:rsidRPr="007B023A">
              <w:rPr>
                <w:webHidden/>
                <w:sz w:val="18"/>
                <w:szCs w:val="18"/>
              </w:rPr>
              <w:fldChar w:fldCharType="end"/>
            </w:r>
          </w:hyperlink>
        </w:p>
        <w:p w14:paraId="2B91569C" w14:textId="740E45CE" w:rsidR="001660BD" w:rsidRPr="007B023A" w:rsidRDefault="001660BD" w:rsidP="007B023A">
          <w:pPr>
            <w:pStyle w:val="Sumrio1"/>
            <w:spacing w:line="240" w:lineRule="auto"/>
            <w:rPr>
              <w:rFonts w:asciiTheme="minorHAnsi" w:hAnsiTheme="minorHAnsi" w:cstheme="minorBidi"/>
              <w:b w:val="0"/>
              <w:color w:val="auto"/>
              <w:kern w:val="2"/>
              <w:sz w:val="18"/>
              <w:szCs w:val="18"/>
              <w:lang w:eastAsia="pt-BR"/>
              <w14:ligatures w14:val="standardContextual"/>
            </w:rPr>
          </w:pPr>
          <w:hyperlink w:anchor="_Toc189757082" w:history="1">
            <w:r w:rsidRPr="007B023A">
              <w:rPr>
                <w:rStyle w:val="Hyperlink"/>
                <w:rFonts w:eastAsiaTheme="majorEastAsia"/>
                <w:sz w:val="18"/>
                <w:szCs w:val="18"/>
              </w:rPr>
              <w:t>16 – INSTRUMENTOS FINANCEIROS</w:t>
            </w:r>
            <w:r w:rsidRPr="007B023A">
              <w:rPr>
                <w:webHidden/>
                <w:sz w:val="18"/>
                <w:szCs w:val="18"/>
              </w:rPr>
              <w:tab/>
            </w:r>
            <w:r w:rsidRPr="007B023A">
              <w:rPr>
                <w:webHidden/>
                <w:sz w:val="18"/>
                <w:szCs w:val="18"/>
              </w:rPr>
              <w:fldChar w:fldCharType="begin"/>
            </w:r>
            <w:r w:rsidRPr="007B023A">
              <w:rPr>
                <w:webHidden/>
                <w:sz w:val="18"/>
                <w:szCs w:val="18"/>
              </w:rPr>
              <w:instrText xml:space="preserve"> PAGEREF _Toc189757082 \h </w:instrText>
            </w:r>
            <w:r w:rsidRPr="007B023A">
              <w:rPr>
                <w:webHidden/>
                <w:sz w:val="18"/>
                <w:szCs w:val="18"/>
              </w:rPr>
            </w:r>
            <w:r w:rsidRPr="007B023A">
              <w:rPr>
                <w:webHidden/>
                <w:sz w:val="18"/>
                <w:szCs w:val="18"/>
              </w:rPr>
              <w:fldChar w:fldCharType="separate"/>
            </w:r>
            <w:r w:rsidR="00713C42">
              <w:rPr>
                <w:webHidden/>
                <w:sz w:val="18"/>
                <w:szCs w:val="18"/>
              </w:rPr>
              <w:t>49</w:t>
            </w:r>
            <w:r w:rsidRPr="007B023A">
              <w:rPr>
                <w:webHidden/>
                <w:sz w:val="18"/>
                <w:szCs w:val="18"/>
              </w:rPr>
              <w:fldChar w:fldCharType="end"/>
            </w:r>
          </w:hyperlink>
        </w:p>
        <w:p w14:paraId="01B45E84" w14:textId="1F156EA1" w:rsidR="001660BD" w:rsidRPr="007B023A" w:rsidRDefault="001660BD" w:rsidP="007B023A">
          <w:pPr>
            <w:pStyle w:val="Sumrio1"/>
            <w:spacing w:line="240" w:lineRule="auto"/>
            <w:rPr>
              <w:rFonts w:asciiTheme="minorHAnsi" w:hAnsiTheme="minorHAnsi" w:cstheme="minorBidi"/>
              <w:b w:val="0"/>
              <w:color w:val="auto"/>
              <w:kern w:val="2"/>
              <w:sz w:val="18"/>
              <w:szCs w:val="18"/>
              <w:lang w:eastAsia="pt-BR"/>
              <w14:ligatures w14:val="standardContextual"/>
            </w:rPr>
          </w:pPr>
          <w:hyperlink w:anchor="_Toc189757083" w:history="1">
            <w:r w:rsidRPr="007B023A">
              <w:rPr>
                <w:rStyle w:val="Hyperlink"/>
                <w:sz w:val="18"/>
                <w:szCs w:val="18"/>
              </w:rPr>
              <w:t>17 – DIVIDENDOS A RECEBER</w:t>
            </w:r>
            <w:r w:rsidRPr="007B023A">
              <w:rPr>
                <w:webHidden/>
                <w:sz w:val="18"/>
                <w:szCs w:val="18"/>
              </w:rPr>
              <w:tab/>
            </w:r>
            <w:r w:rsidRPr="007B023A">
              <w:rPr>
                <w:webHidden/>
                <w:sz w:val="18"/>
                <w:szCs w:val="18"/>
              </w:rPr>
              <w:fldChar w:fldCharType="begin"/>
            </w:r>
            <w:r w:rsidRPr="007B023A">
              <w:rPr>
                <w:webHidden/>
                <w:sz w:val="18"/>
                <w:szCs w:val="18"/>
              </w:rPr>
              <w:instrText xml:space="preserve"> PAGEREF _Toc189757083 \h </w:instrText>
            </w:r>
            <w:r w:rsidRPr="007B023A">
              <w:rPr>
                <w:webHidden/>
                <w:sz w:val="18"/>
                <w:szCs w:val="18"/>
              </w:rPr>
            </w:r>
            <w:r w:rsidRPr="007B023A">
              <w:rPr>
                <w:webHidden/>
                <w:sz w:val="18"/>
                <w:szCs w:val="18"/>
              </w:rPr>
              <w:fldChar w:fldCharType="separate"/>
            </w:r>
            <w:r w:rsidR="00713C42">
              <w:rPr>
                <w:webHidden/>
                <w:sz w:val="18"/>
                <w:szCs w:val="18"/>
              </w:rPr>
              <w:t>50</w:t>
            </w:r>
            <w:r w:rsidRPr="007B023A">
              <w:rPr>
                <w:webHidden/>
                <w:sz w:val="18"/>
                <w:szCs w:val="18"/>
              </w:rPr>
              <w:fldChar w:fldCharType="end"/>
            </w:r>
          </w:hyperlink>
        </w:p>
        <w:p w14:paraId="7F9A9822" w14:textId="3B3B76E9" w:rsidR="001660BD" w:rsidRPr="007B023A" w:rsidRDefault="001660BD" w:rsidP="007B023A">
          <w:pPr>
            <w:pStyle w:val="Sumrio1"/>
            <w:spacing w:line="240" w:lineRule="auto"/>
            <w:rPr>
              <w:rFonts w:asciiTheme="minorHAnsi" w:hAnsiTheme="minorHAnsi" w:cstheme="minorBidi"/>
              <w:b w:val="0"/>
              <w:color w:val="auto"/>
              <w:kern w:val="2"/>
              <w:sz w:val="18"/>
              <w:szCs w:val="18"/>
              <w:lang w:eastAsia="pt-BR"/>
              <w14:ligatures w14:val="standardContextual"/>
            </w:rPr>
          </w:pPr>
          <w:hyperlink w:anchor="_Toc189757084" w:history="1">
            <w:r w:rsidRPr="007B023A">
              <w:rPr>
                <w:rStyle w:val="Hyperlink"/>
                <w:sz w:val="18"/>
                <w:szCs w:val="18"/>
              </w:rPr>
              <w:t>18 – COMISSÕES A RECEBER</w:t>
            </w:r>
            <w:r w:rsidRPr="007B023A">
              <w:rPr>
                <w:webHidden/>
                <w:sz w:val="18"/>
                <w:szCs w:val="18"/>
              </w:rPr>
              <w:tab/>
            </w:r>
            <w:r w:rsidRPr="007B023A">
              <w:rPr>
                <w:webHidden/>
                <w:sz w:val="18"/>
                <w:szCs w:val="18"/>
              </w:rPr>
              <w:fldChar w:fldCharType="begin"/>
            </w:r>
            <w:r w:rsidRPr="007B023A">
              <w:rPr>
                <w:webHidden/>
                <w:sz w:val="18"/>
                <w:szCs w:val="18"/>
              </w:rPr>
              <w:instrText xml:space="preserve"> PAGEREF _Toc189757084 \h </w:instrText>
            </w:r>
            <w:r w:rsidRPr="007B023A">
              <w:rPr>
                <w:webHidden/>
                <w:sz w:val="18"/>
                <w:szCs w:val="18"/>
              </w:rPr>
            </w:r>
            <w:r w:rsidRPr="007B023A">
              <w:rPr>
                <w:webHidden/>
                <w:sz w:val="18"/>
                <w:szCs w:val="18"/>
              </w:rPr>
              <w:fldChar w:fldCharType="separate"/>
            </w:r>
            <w:r w:rsidR="00713C42">
              <w:rPr>
                <w:webHidden/>
                <w:sz w:val="18"/>
                <w:szCs w:val="18"/>
              </w:rPr>
              <w:t>51</w:t>
            </w:r>
            <w:r w:rsidRPr="007B023A">
              <w:rPr>
                <w:webHidden/>
                <w:sz w:val="18"/>
                <w:szCs w:val="18"/>
              </w:rPr>
              <w:fldChar w:fldCharType="end"/>
            </w:r>
          </w:hyperlink>
        </w:p>
        <w:p w14:paraId="68CB5AAB" w14:textId="04E09AE7" w:rsidR="001660BD" w:rsidRPr="007B023A" w:rsidRDefault="001660BD" w:rsidP="007B023A">
          <w:pPr>
            <w:pStyle w:val="Sumrio1"/>
            <w:spacing w:line="240" w:lineRule="auto"/>
            <w:rPr>
              <w:rFonts w:asciiTheme="minorHAnsi" w:hAnsiTheme="minorHAnsi" w:cstheme="minorBidi"/>
              <w:b w:val="0"/>
              <w:color w:val="auto"/>
              <w:kern w:val="2"/>
              <w:sz w:val="18"/>
              <w:szCs w:val="18"/>
              <w:lang w:eastAsia="pt-BR"/>
              <w14:ligatures w14:val="standardContextual"/>
            </w:rPr>
          </w:pPr>
          <w:hyperlink w:anchor="_Toc189757085" w:history="1">
            <w:r w:rsidRPr="007B023A">
              <w:rPr>
                <w:rStyle w:val="Hyperlink"/>
                <w:rFonts w:eastAsiaTheme="majorEastAsia"/>
                <w:sz w:val="18"/>
                <w:szCs w:val="18"/>
              </w:rPr>
              <w:t>19 – ATIVO INTANGÍVEL</w:t>
            </w:r>
            <w:r w:rsidRPr="007B023A">
              <w:rPr>
                <w:webHidden/>
                <w:sz w:val="18"/>
                <w:szCs w:val="18"/>
              </w:rPr>
              <w:tab/>
            </w:r>
            <w:r w:rsidRPr="007B023A">
              <w:rPr>
                <w:webHidden/>
                <w:sz w:val="18"/>
                <w:szCs w:val="18"/>
              </w:rPr>
              <w:fldChar w:fldCharType="begin"/>
            </w:r>
            <w:r w:rsidRPr="007B023A">
              <w:rPr>
                <w:webHidden/>
                <w:sz w:val="18"/>
                <w:szCs w:val="18"/>
              </w:rPr>
              <w:instrText xml:space="preserve"> PAGEREF _Toc189757085 \h </w:instrText>
            </w:r>
            <w:r w:rsidRPr="007B023A">
              <w:rPr>
                <w:webHidden/>
                <w:sz w:val="18"/>
                <w:szCs w:val="18"/>
              </w:rPr>
            </w:r>
            <w:r w:rsidRPr="007B023A">
              <w:rPr>
                <w:webHidden/>
                <w:sz w:val="18"/>
                <w:szCs w:val="18"/>
              </w:rPr>
              <w:fldChar w:fldCharType="separate"/>
            </w:r>
            <w:r w:rsidR="00713C42">
              <w:rPr>
                <w:webHidden/>
                <w:sz w:val="18"/>
                <w:szCs w:val="18"/>
              </w:rPr>
              <w:t>51</w:t>
            </w:r>
            <w:r w:rsidRPr="007B023A">
              <w:rPr>
                <w:webHidden/>
                <w:sz w:val="18"/>
                <w:szCs w:val="18"/>
              </w:rPr>
              <w:fldChar w:fldCharType="end"/>
            </w:r>
          </w:hyperlink>
        </w:p>
        <w:p w14:paraId="5C624EE0" w14:textId="0E434105" w:rsidR="001660BD" w:rsidRPr="007B023A" w:rsidRDefault="001660BD" w:rsidP="007B023A">
          <w:pPr>
            <w:pStyle w:val="Sumrio1"/>
            <w:spacing w:line="240" w:lineRule="auto"/>
            <w:rPr>
              <w:rFonts w:asciiTheme="minorHAnsi" w:hAnsiTheme="minorHAnsi" w:cstheme="minorBidi"/>
              <w:b w:val="0"/>
              <w:color w:val="auto"/>
              <w:kern w:val="2"/>
              <w:sz w:val="18"/>
              <w:szCs w:val="18"/>
              <w:lang w:eastAsia="pt-BR"/>
              <w14:ligatures w14:val="standardContextual"/>
            </w:rPr>
          </w:pPr>
          <w:hyperlink w:anchor="_Toc189757086" w:history="1">
            <w:r w:rsidRPr="007B023A">
              <w:rPr>
                <w:rStyle w:val="Hyperlink"/>
                <w:sz w:val="18"/>
                <w:szCs w:val="18"/>
              </w:rPr>
              <w:t>20 – OUTROS ATIVOS</w:t>
            </w:r>
            <w:r w:rsidRPr="007B023A">
              <w:rPr>
                <w:webHidden/>
                <w:sz w:val="18"/>
                <w:szCs w:val="18"/>
              </w:rPr>
              <w:tab/>
            </w:r>
            <w:r w:rsidRPr="007B023A">
              <w:rPr>
                <w:webHidden/>
                <w:sz w:val="18"/>
                <w:szCs w:val="18"/>
              </w:rPr>
              <w:fldChar w:fldCharType="begin"/>
            </w:r>
            <w:r w:rsidRPr="007B023A">
              <w:rPr>
                <w:webHidden/>
                <w:sz w:val="18"/>
                <w:szCs w:val="18"/>
              </w:rPr>
              <w:instrText xml:space="preserve"> PAGEREF _Toc189757086 \h </w:instrText>
            </w:r>
            <w:r w:rsidRPr="007B023A">
              <w:rPr>
                <w:webHidden/>
                <w:sz w:val="18"/>
                <w:szCs w:val="18"/>
              </w:rPr>
            </w:r>
            <w:r w:rsidRPr="007B023A">
              <w:rPr>
                <w:webHidden/>
                <w:sz w:val="18"/>
                <w:szCs w:val="18"/>
              </w:rPr>
              <w:fldChar w:fldCharType="separate"/>
            </w:r>
            <w:r w:rsidR="00713C42">
              <w:rPr>
                <w:webHidden/>
                <w:sz w:val="18"/>
                <w:szCs w:val="18"/>
              </w:rPr>
              <w:t>51</w:t>
            </w:r>
            <w:r w:rsidRPr="007B023A">
              <w:rPr>
                <w:webHidden/>
                <w:sz w:val="18"/>
                <w:szCs w:val="18"/>
              </w:rPr>
              <w:fldChar w:fldCharType="end"/>
            </w:r>
          </w:hyperlink>
        </w:p>
        <w:p w14:paraId="4278D1C6" w14:textId="491C84CB" w:rsidR="001660BD" w:rsidRPr="007B023A" w:rsidRDefault="001660BD" w:rsidP="007B023A">
          <w:pPr>
            <w:pStyle w:val="Sumrio1"/>
            <w:spacing w:line="240" w:lineRule="auto"/>
            <w:rPr>
              <w:rFonts w:asciiTheme="minorHAnsi" w:hAnsiTheme="minorHAnsi" w:cstheme="minorBidi"/>
              <w:b w:val="0"/>
              <w:color w:val="auto"/>
              <w:kern w:val="2"/>
              <w:sz w:val="18"/>
              <w:szCs w:val="18"/>
              <w:lang w:eastAsia="pt-BR"/>
              <w14:ligatures w14:val="standardContextual"/>
            </w:rPr>
          </w:pPr>
          <w:hyperlink w:anchor="_Toc189757087" w:history="1">
            <w:r w:rsidRPr="007B023A">
              <w:rPr>
                <w:rStyle w:val="Hyperlink"/>
                <w:sz w:val="18"/>
                <w:szCs w:val="18"/>
              </w:rPr>
              <w:t>21 – OBRIGAÇÕES SOCIETÁRIAS E ESTATUTÁRIAS</w:t>
            </w:r>
            <w:r w:rsidRPr="007B023A">
              <w:rPr>
                <w:webHidden/>
                <w:sz w:val="18"/>
                <w:szCs w:val="18"/>
              </w:rPr>
              <w:tab/>
            </w:r>
            <w:r w:rsidRPr="007B023A">
              <w:rPr>
                <w:webHidden/>
                <w:sz w:val="18"/>
                <w:szCs w:val="18"/>
              </w:rPr>
              <w:fldChar w:fldCharType="begin"/>
            </w:r>
            <w:r w:rsidRPr="007B023A">
              <w:rPr>
                <w:webHidden/>
                <w:sz w:val="18"/>
                <w:szCs w:val="18"/>
              </w:rPr>
              <w:instrText xml:space="preserve"> PAGEREF _Toc189757087 \h </w:instrText>
            </w:r>
            <w:r w:rsidRPr="007B023A">
              <w:rPr>
                <w:webHidden/>
                <w:sz w:val="18"/>
                <w:szCs w:val="18"/>
              </w:rPr>
            </w:r>
            <w:r w:rsidRPr="007B023A">
              <w:rPr>
                <w:webHidden/>
                <w:sz w:val="18"/>
                <w:szCs w:val="18"/>
              </w:rPr>
              <w:fldChar w:fldCharType="separate"/>
            </w:r>
            <w:r w:rsidR="00713C42">
              <w:rPr>
                <w:webHidden/>
                <w:sz w:val="18"/>
                <w:szCs w:val="18"/>
              </w:rPr>
              <w:t>52</w:t>
            </w:r>
            <w:r w:rsidRPr="007B023A">
              <w:rPr>
                <w:webHidden/>
                <w:sz w:val="18"/>
                <w:szCs w:val="18"/>
              </w:rPr>
              <w:fldChar w:fldCharType="end"/>
            </w:r>
          </w:hyperlink>
        </w:p>
        <w:p w14:paraId="30147013" w14:textId="589A6E06" w:rsidR="001660BD" w:rsidRPr="007B023A" w:rsidRDefault="001660BD" w:rsidP="007B023A">
          <w:pPr>
            <w:pStyle w:val="Sumrio1"/>
            <w:spacing w:line="240" w:lineRule="auto"/>
            <w:rPr>
              <w:rFonts w:asciiTheme="minorHAnsi" w:hAnsiTheme="minorHAnsi" w:cstheme="minorBidi"/>
              <w:b w:val="0"/>
              <w:color w:val="auto"/>
              <w:kern w:val="2"/>
              <w:sz w:val="18"/>
              <w:szCs w:val="18"/>
              <w:lang w:eastAsia="pt-BR"/>
              <w14:ligatures w14:val="standardContextual"/>
            </w:rPr>
          </w:pPr>
          <w:hyperlink w:anchor="_Toc189757088" w:history="1">
            <w:r w:rsidRPr="007B023A">
              <w:rPr>
                <w:rStyle w:val="Hyperlink"/>
                <w:sz w:val="18"/>
                <w:szCs w:val="18"/>
              </w:rPr>
              <w:t>22 – PROVISÕES E PASSIVOS CONTINGENTES</w:t>
            </w:r>
            <w:r w:rsidRPr="007B023A">
              <w:rPr>
                <w:webHidden/>
                <w:sz w:val="18"/>
                <w:szCs w:val="18"/>
              </w:rPr>
              <w:tab/>
            </w:r>
            <w:r w:rsidRPr="007B023A">
              <w:rPr>
                <w:webHidden/>
                <w:sz w:val="18"/>
                <w:szCs w:val="18"/>
              </w:rPr>
              <w:fldChar w:fldCharType="begin"/>
            </w:r>
            <w:r w:rsidRPr="007B023A">
              <w:rPr>
                <w:webHidden/>
                <w:sz w:val="18"/>
                <w:szCs w:val="18"/>
              </w:rPr>
              <w:instrText xml:space="preserve"> PAGEREF _Toc189757088 \h </w:instrText>
            </w:r>
            <w:r w:rsidRPr="007B023A">
              <w:rPr>
                <w:webHidden/>
                <w:sz w:val="18"/>
                <w:szCs w:val="18"/>
              </w:rPr>
            </w:r>
            <w:r w:rsidRPr="007B023A">
              <w:rPr>
                <w:webHidden/>
                <w:sz w:val="18"/>
                <w:szCs w:val="18"/>
              </w:rPr>
              <w:fldChar w:fldCharType="separate"/>
            </w:r>
            <w:r w:rsidR="00713C42">
              <w:rPr>
                <w:webHidden/>
                <w:sz w:val="18"/>
                <w:szCs w:val="18"/>
              </w:rPr>
              <w:t>52</w:t>
            </w:r>
            <w:r w:rsidRPr="007B023A">
              <w:rPr>
                <w:webHidden/>
                <w:sz w:val="18"/>
                <w:szCs w:val="18"/>
              </w:rPr>
              <w:fldChar w:fldCharType="end"/>
            </w:r>
          </w:hyperlink>
        </w:p>
        <w:p w14:paraId="1B1C45E6" w14:textId="2086E98B" w:rsidR="001660BD" w:rsidRPr="007B023A" w:rsidRDefault="001660BD" w:rsidP="007B023A">
          <w:pPr>
            <w:pStyle w:val="Sumrio1"/>
            <w:spacing w:line="240" w:lineRule="auto"/>
            <w:rPr>
              <w:rFonts w:asciiTheme="minorHAnsi" w:hAnsiTheme="minorHAnsi" w:cstheme="minorBidi"/>
              <w:b w:val="0"/>
              <w:color w:val="auto"/>
              <w:kern w:val="2"/>
              <w:sz w:val="18"/>
              <w:szCs w:val="18"/>
              <w:lang w:eastAsia="pt-BR"/>
              <w14:ligatures w14:val="standardContextual"/>
            </w:rPr>
          </w:pPr>
          <w:hyperlink w:anchor="_Toc189757089" w:history="1">
            <w:r w:rsidRPr="007B023A">
              <w:rPr>
                <w:rStyle w:val="Hyperlink"/>
                <w:sz w:val="18"/>
                <w:szCs w:val="18"/>
              </w:rPr>
              <w:t>23 – COMISSÕES A APROPRIAR</w:t>
            </w:r>
            <w:r w:rsidRPr="007B023A">
              <w:rPr>
                <w:webHidden/>
                <w:sz w:val="18"/>
                <w:szCs w:val="18"/>
              </w:rPr>
              <w:tab/>
            </w:r>
            <w:r w:rsidRPr="007B023A">
              <w:rPr>
                <w:webHidden/>
                <w:sz w:val="18"/>
                <w:szCs w:val="18"/>
              </w:rPr>
              <w:fldChar w:fldCharType="begin"/>
            </w:r>
            <w:r w:rsidRPr="007B023A">
              <w:rPr>
                <w:webHidden/>
                <w:sz w:val="18"/>
                <w:szCs w:val="18"/>
              </w:rPr>
              <w:instrText xml:space="preserve"> PAGEREF _Toc189757089 \h </w:instrText>
            </w:r>
            <w:r w:rsidRPr="007B023A">
              <w:rPr>
                <w:webHidden/>
                <w:sz w:val="18"/>
                <w:szCs w:val="18"/>
              </w:rPr>
            </w:r>
            <w:r w:rsidRPr="007B023A">
              <w:rPr>
                <w:webHidden/>
                <w:sz w:val="18"/>
                <w:szCs w:val="18"/>
              </w:rPr>
              <w:fldChar w:fldCharType="separate"/>
            </w:r>
            <w:r w:rsidR="00713C42">
              <w:rPr>
                <w:webHidden/>
                <w:sz w:val="18"/>
                <w:szCs w:val="18"/>
              </w:rPr>
              <w:t>54</w:t>
            </w:r>
            <w:r w:rsidRPr="007B023A">
              <w:rPr>
                <w:webHidden/>
                <w:sz w:val="18"/>
                <w:szCs w:val="18"/>
              </w:rPr>
              <w:fldChar w:fldCharType="end"/>
            </w:r>
          </w:hyperlink>
        </w:p>
        <w:p w14:paraId="26B2367D" w14:textId="6BA11B06" w:rsidR="001660BD" w:rsidRPr="007B023A" w:rsidRDefault="001660BD" w:rsidP="007B023A">
          <w:pPr>
            <w:pStyle w:val="Sumrio1"/>
            <w:spacing w:line="240" w:lineRule="auto"/>
            <w:rPr>
              <w:rFonts w:asciiTheme="minorHAnsi" w:hAnsiTheme="minorHAnsi" w:cstheme="minorBidi"/>
              <w:b w:val="0"/>
              <w:color w:val="auto"/>
              <w:kern w:val="2"/>
              <w:sz w:val="18"/>
              <w:szCs w:val="18"/>
              <w:lang w:eastAsia="pt-BR"/>
              <w14:ligatures w14:val="standardContextual"/>
            </w:rPr>
          </w:pPr>
          <w:hyperlink w:anchor="_Toc189757090" w:history="1">
            <w:r w:rsidRPr="007B023A">
              <w:rPr>
                <w:rStyle w:val="Hyperlink"/>
                <w:sz w:val="18"/>
                <w:szCs w:val="18"/>
              </w:rPr>
              <w:t>24 – OUTROS PASSIVOS</w:t>
            </w:r>
            <w:r w:rsidRPr="007B023A">
              <w:rPr>
                <w:webHidden/>
                <w:sz w:val="18"/>
                <w:szCs w:val="18"/>
              </w:rPr>
              <w:tab/>
            </w:r>
            <w:r w:rsidRPr="007B023A">
              <w:rPr>
                <w:webHidden/>
                <w:sz w:val="18"/>
                <w:szCs w:val="18"/>
              </w:rPr>
              <w:fldChar w:fldCharType="begin"/>
            </w:r>
            <w:r w:rsidRPr="007B023A">
              <w:rPr>
                <w:webHidden/>
                <w:sz w:val="18"/>
                <w:szCs w:val="18"/>
              </w:rPr>
              <w:instrText xml:space="preserve"> PAGEREF _Toc189757090 \h </w:instrText>
            </w:r>
            <w:r w:rsidRPr="007B023A">
              <w:rPr>
                <w:webHidden/>
                <w:sz w:val="18"/>
                <w:szCs w:val="18"/>
              </w:rPr>
            </w:r>
            <w:r w:rsidRPr="007B023A">
              <w:rPr>
                <w:webHidden/>
                <w:sz w:val="18"/>
                <w:szCs w:val="18"/>
              </w:rPr>
              <w:fldChar w:fldCharType="separate"/>
            </w:r>
            <w:r w:rsidR="00713C42">
              <w:rPr>
                <w:webHidden/>
                <w:sz w:val="18"/>
                <w:szCs w:val="18"/>
              </w:rPr>
              <w:t>55</w:t>
            </w:r>
            <w:r w:rsidRPr="007B023A">
              <w:rPr>
                <w:webHidden/>
                <w:sz w:val="18"/>
                <w:szCs w:val="18"/>
              </w:rPr>
              <w:fldChar w:fldCharType="end"/>
            </w:r>
          </w:hyperlink>
        </w:p>
        <w:p w14:paraId="1DE11A27" w14:textId="135AE926" w:rsidR="001660BD" w:rsidRPr="007B023A" w:rsidRDefault="001660BD" w:rsidP="007B023A">
          <w:pPr>
            <w:pStyle w:val="Sumrio1"/>
            <w:spacing w:line="240" w:lineRule="auto"/>
            <w:rPr>
              <w:rFonts w:asciiTheme="minorHAnsi" w:hAnsiTheme="minorHAnsi" w:cstheme="minorBidi"/>
              <w:b w:val="0"/>
              <w:color w:val="auto"/>
              <w:kern w:val="2"/>
              <w:sz w:val="18"/>
              <w:szCs w:val="18"/>
              <w:lang w:eastAsia="pt-BR"/>
              <w14:ligatures w14:val="standardContextual"/>
            </w:rPr>
          </w:pPr>
          <w:hyperlink w:anchor="_Toc189757091" w:history="1">
            <w:r w:rsidRPr="007B023A">
              <w:rPr>
                <w:rStyle w:val="Hyperlink"/>
                <w:sz w:val="18"/>
                <w:szCs w:val="18"/>
              </w:rPr>
              <w:t>25 – PATRIMÔNIO LÍQUIDO</w:t>
            </w:r>
            <w:r w:rsidRPr="007B023A">
              <w:rPr>
                <w:webHidden/>
                <w:sz w:val="18"/>
                <w:szCs w:val="18"/>
              </w:rPr>
              <w:tab/>
            </w:r>
            <w:r w:rsidRPr="007B023A">
              <w:rPr>
                <w:webHidden/>
                <w:sz w:val="18"/>
                <w:szCs w:val="18"/>
              </w:rPr>
              <w:fldChar w:fldCharType="begin"/>
            </w:r>
            <w:r w:rsidRPr="007B023A">
              <w:rPr>
                <w:webHidden/>
                <w:sz w:val="18"/>
                <w:szCs w:val="18"/>
              </w:rPr>
              <w:instrText xml:space="preserve"> PAGEREF _Toc189757091 \h </w:instrText>
            </w:r>
            <w:r w:rsidRPr="007B023A">
              <w:rPr>
                <w:webHidden/>
                <w:sz w:val="18"/>
                <w:szCs w:val="18"/>
              </w:rPr>
            </w:r>
            <w:r w:rsidRPr="007B023A">
              <w:rPr>
                <w:webHidden/>
                <w:sz w:val="18"/>
                <w:szCs w:val="18"/>
              </w:rPr>
              <w:fldChar w:fldCharType="separate"/>
            </w:r>
            <w:r w:rsidR="00713C42">
              <w:rPr>
                <w:webHidden/>
                <w:sz w:val="18"/>
                <w:szCs w:val="18"/>
              </w:rPr>
              <w:t>55</w:t>
            </w:r>
            <w:r w:rsidRPr="007B023A">
              <w:rPr>
                <w:webHidden/>
                <w:sz w:val="18"/>
                <w:szCs w:val="18"/>
              </w:rPr>
              <w:fldChar w:fldCharType="end"/>
            </w:r>
          </w:hyperlink>
        </w:p>
        <w:p w14:paraId="5FB4FB3F" w14:textId="5571C393" w:rsidR="001660BD" w:rsidRPr="007B023A" w:rsidRDefault="001660BD" w:rsidP="007B023A">
          <w:pPr>
            <w:pStyle w:val="Sumrio1"/>
            <w:spacing w:line="240" w:lineRule="auto"/>
            <w:rPr>
              <w:rFonts w:asciiTheme="minorHAnsi" w:hAnsiTheme="minorHAnsi" w:cstheme="minorBidi"/>
              <w:b w:val="0"/>
              <w:color w:val="auto"/>
              <w:kern w:val="2"/>
              <w:sz w:val="18"/>
              <w:szCs w:val="18"/>
              <w:lang w:eastAsia="pt-BR"/>
              <w14:ligatures w14:val="standardContextual"/>
            </w:rPr>
          </w:pPr>
          <w:hyperlink w:anchor="_Toc189757092" w:history="1">
            <w:r w:rsidRPr="007B023A">
              <w:rPr>
                <w:rStyle w:val="Hyperlink"/>
                <w:sz w:val="18"/>
                <w:szCs w:val="18"/>
              </w:rPr>
              <w:t>26 – PARTES RELACIONADAS</w:t>
            </w:r>
            <w:r w:rsidRPr="007B023A">
              <w:rPr>
                <w:webHidden/>
                <w:sz w:val="18"/>
                <w:szCs w:val="18"/>
              </w:rPr>
              <w:tab/>
            </w:r>
            <w:r w:rsidRPr="007B023A">
              <w:rPr>
                <w:webHidden/>
                <w:sz w:val="18"/>
                <w:szCs w:val="18"/>
              </w:rPr>
              <w:fldChar w:fldCharType="begin"/>
            </w:r>
            <w:r w:rsidRPr="007B023A">
              <w:rPr>
                <w:webHidden/>
                <w:sz w:val="18"/>
                <w:szCs w:val="18"/>
              </w:rPr>
              <w:instrText xml:space="preserve"> PAGEREF _Toc189757092 \h </w:instrText>
            </w:r>
            <w:r w:rsidRPr="007B023A">
              <w:rPr>
                <w:webHidden/>
                <w:sz w:val="18"/>
                <w:szCs w:val="18"/>
              </w:rPr>
            </w:r>
            <w:r w:rsidRPr="007B023A">
              <w:rPr>
                <w:webHidden/>
                <w:sz w:val="18"/>
                <w:szCs w:val="18"/>
              </w:rPr>
              <w:fldChar w:fldCharType="separate"/>
            </w:r>
            <w:r w:rsidR="00713C42">
              <w:rPr>
                <w:webHidden/>
                <w:sz w:val="18"/>
                <w:szCs w:val="18"/>
              </w:rPr>
              <w:t>58</w:t>
            </w:r>
            <w:r w:rsidRPr="007B023A">
              <w:rPr>
                <w:webHidden/>
                <w:sz w:val="18"/>
                <w:szCs w:val="18"/>
              </w:rPr>
              <w:fldChar w:fldCharType="end"/>
            </w:r>
          </w:hyperlink>
        </w:p>
        <w:p w14:paraId="3D1778C1" w14:textId="357C482B" w:rsidR="001660BD" w:rsidRPr="007B023A" w:rsidRDefault="001660BD" w:rsidP="007B023A">
          <w:pPr>
            <w:pStyle w:val="Sumrio1"/>
            <w:spacing w:line="240" w:lineRule="auto"/>
            <w:rPr>
              <w:rFonts w:asciiTheme="minorHAnsi" w:hAnsiTheme="minorHAnsi" w:cstheme="minorBidi"/>
              <w:b w:val="0"/>
              <w:color w:val="auto"/>
              <w:kern w:val="2"/>
              <w:sz w:val="18"/>
              <w:szCs w:val="18"/>
              <w:lang w:eastAsia="pt-BR"/>
              <w14:ligatures w14:val="standardContextual"/>
            </w:rPr>
          </w:pPr>
          <w:hyperlink w:anchor="_Toc189757093" w:history="1">
            <w:r w:rsidRPr="007B023A">
              <w:rPr>
                <w:rStyle w:val="Hyperlink"/>
                <w:sz w:val="18"/>
                <w:szCs w:val="18"/>
              </w:rPr>
              <w:t>27 – OUTRAS INFORMAÇÕES</w:t>
            </w:r>
            <w:r w:rsidRPr="007B023A">
              <w:rPr>
                <w:webHidden/>
                <w:sz w:val="18"/>
                <w:szCs w:val="18"/>
              </w:rPr>
              <w:tab/>
            </w:r>
            <w:r w:rsidRPr="007B023A">
              <w:rPr>
                <w:webHidden/>
                <w:sz w:val="18"/>
                <w:szCs w:val="18"/>
              </w:rPr>
              <w:fldChar w:fldCharType="begin"/>
            </w:r>
            <w:r w:rsidRPr="007B023A">
              <w:rPr>
                <w:webHidden/>
                <w:sz w:val="18"/>
                <w:szCs w:val="18"/>
              </w:rPr>
              <w:instrText xml:space="preserve"> PAGEREF _Toc189757093 \h </w:instrText>
            </w:r>
            <w:r w:rsidRPr="007B023A">
              <w:rPr>
                <w:webHidden/>
                <w:sz w:val="18"/>
                <w:szCs w:val="18"/>
              </w:rPr>
            </w:r>
            <w:r w:rsidRPr="007B023A">
              <w:rPr>
                <w:webHidden/>
                <w:sz w:val="18"/>
                <w:szCs w:val="18"/>
              </w:rPr>
              <w:fldChar w:fldCharType="separate"/>
            </w:r>
            <w:r w:rsidR="00713C42">
              <w:rPr>
                <w:webHidden/>
                <w:sz w:val="18"/>
                <w:szCs w:val="18"/>
              </w:rPr>
              <w:t>62</w:t>
            </w:r>
            <w:r w:rsidRPr="007B023A">
              <w:rPr>
                <w:webHidden/>
                <w:sz w:val="18"/>
                <w:szCs w:val="18"/>
              </w:rPr>
              <w:fldChar w:fldCharType="end"/>
            </w:r>
          </w:hyperlink>
        </w:p>
        <w:p w14:paraId="1DCDAA15" w14:textId="7C541155" w:rsidR="00B35951" w:rsidRPr="0005442E" w:rsidRDefault="00B35951" w:rsidP="007B023A">
          <w:pPr>
            <w:pStyle w:val="Sumrio1"/>
            <w:spacing w:after="80" w:line="240" w:lineRule="auto"/>
            <w:rPr>
              <w:color w:val="1F3864" w:themeColor="accent1" w:themeShade="80"/>
              <w:sz w:val="18"/>
              <w:szCs w:val="18"/>
            </w:rPr>
          </w:pPr>
          <w:r w:rsidRPr="007B023A">
            <w:rPr>
              <w:color w:val="1F3864" w:themeColor="accent1" w:themeShade="80"/>
              <w:sz w:val="18"/>
              <w:szCs w:val="18"/>
            </w:rPr>
            <w:fldChar w:fldCharType="end"/>
          </w:r>
        </w:p>
      </w:sdtContent>
    </w:sdt>
    <w:p w14:paraId="30CF0800" w14:textId="77777777" w:rsidR="00846E38" w:rsidRPr="0005442E" w:rsidRDefault="00E35AD8" w:rsidP="007B023A">
      <w:pPr>
        <w:pStyle w:val="Sumrio1"/>
        <w:tabs>
          <w:tab w:val="clear" w:pos="9628"/>
          <w:tab w:val="center" w:pos="4819"/>
        </w:tabs>
        <w:spacing w:after="80" w:line="240" w:lineRule="auto"/>
        <w:rPr>
          <w:rStyle w:val="Hyperlink"/>
          <w:rFonts w:eastAsiaTheme="majorEastAsia"/>
          <w:color w:val="1F3864" w:themeColor="accent1" w:themeShade="80"/>
          <w:sz w:val="18"/>
          <w:szCs w:val="18"/>
          <w:u w:val="none"/>
        </w:rPr>
      </w:pPr>
      <w:r w:rsidRPr="0005442E">
        <w:rPr>
          <w:rStyle w:val="Hyperlink"/>
          <w:rFonts w:eastAsiaTheme="majorEastAsia"/>
          <w:color w:val="1F3864" w:themeColor="accent1" w:themeShade="80"/>
          <w:sz w:val="18"/>
          <w:szCs w:val="18"/>
          <w:u w:val="none"/>
        </w:rPr>
        <w:t>RELATÓRIO DOS AUDITORES INDEPENDENTES</w:t>
      </w:r>
    </w:p>
    <w:p w14:paraId="1172C85C" w14:textId="28764744" w:rsidR="00846E38" w:rsidRPr="0005442E" w:rsidRDefault="00846E38" w:rsidP="007B023A">
      <w:pPr>
        <w:pStyle w:val="Sumrio1"/>
        <w:spacing w:after="80" w:line="240" w:lineRule="auto"/>
        <w:rPr>
          <w:rStyle w:val="Hyperlink"/>
          <w:rFonts w:eastAsiaTheme="majorEastAsia"/>
          <w:color w:val="1F3864" w:themeColor="accent1" w:themeShade="80"/>
          <w:sz w:val="18"/>
          <w:szCs w:val="18"/>
          <w:u w:val="none"/>
        </w:rPr>
      </w:pPr>
      <w:r w:rsidRPr="0005442E">
        <w:rPr>
          <w:rStyle w:val="Hyperlink"/>
          <w:rFonts w:eastAsiaTheme="majorEastAsia"/>
          <w:color w:val="1F3864" w:themeColor="accent1" w:themeShade="80"/>
          <w:sz w:val="18"/>
          <w:szCs w:val="18"/>
          <w:u w:val="none"/>
        </w:rPr>
        <w:t>RESUMO DO RELATÓRIO DO COMITÊ DE AUDITORIA – EXERCÍCIO 2024</w:t>
      </w:r>
    </w:p>
    <w:p w14:paraId="79EA72D7" w14:textId="7B7D3B86" w:rsidR="004B3DDE" w:rsidRPr="0005442E" w:rsidRDefault="00846E38" w:rsidP="007B023A">
      <w:pPr>
        <w:pStyle w:val="Sumrio1"/>
        <w:tabs>
          <w:tab w:val="clear" w:pos="9628"/>
          <w:tab w:val="center" w:pos="4819"/>
        </w:tabs>
        <w:spacing w:after="80" w:line="240" w:lineRule="auto"/>
        <w:rPr>
          <w:rStyle w:val="Hyperlink"/>
          <w:rFonts w:eastAsiaTheme="majorEastAsia"/>
          <w:color w:val="1F3864" w:themeColor="accent1" w:themeShade="80"/>
          <w:sz w:val="18"/>
          <w:szCs w:val="18"/>
          <w:u w:val="none"/>
        </w:rPr>
      </w:pPr>
      <w:r w:rsidRPr="0005442E">
        <w:rPr>
          <w:rStyle w:val="Hyperlink"/>
          <w:rFonts w:eastAsiaTheme="majorEastAsia"/>
          <w:color w:val="1F3864" w:themeColor="accent1" w:themeShade="80"/>
          <w:sz w:val="18"/>
          <w:szCs w:val="18"/>
          <w:u w:val="none"/>
        </w:rPr>
        <w:t>PARECER DO CONSELHO FISCAL</w:t>
      </w:r>
      <w:r w:rsidR="00E35AD8" w:rsidRPr="0005442E">
        <w:rPr>
          <w:rStyle w:val="Hyperlink"/>
          <w:rFonts w:eastAsiaTheme="majorEastAsia"/>
          <w:color w:val="1F3864" w:themeColor="accent1" w:themeShade="80"/>
          <w:sz w:val="18"/>
          <w:szCs w:val="18"/>
          <w:u w:val="none"/>
        </w:rPr>
        <w:t xml:space="preserve"> </w:t>
      </w:r>
      <w:r w:rsidRPr="0005442E">
        <w:rPr>
          <w:rStyle w:val="Hyperlink"/>
          <w:rFonts w:eastAsiaTheme="majorEastAsia"/>
          <w:color w:val="1F3864" w:themeColor="accent1" w:themeShade="80"/>
          <w:sz w:val="18"/>
          <w:szCs w:val="18"/>
          <w:u w:val="none"/>
        </w:rPr>
        <w:tab/>
      </w:r>
    </w:p>
    <w:p w14:paraId="327A4B85" w14:textId="73C3F56D" w:rsidR="00E35AD8" w:rsidRPr="0005442E" w:rsidRDefault="00E35AD8" w:rsidP="007B023A">
      <w:pPr>
        <w:pStyle w:val="Sumrio1"/>
        <w:spacing w:after="80" w:line="240" w:lineRule="auto"/>
        <w:rPr>
          <w:rStyle w:val="Hyperlink"/>
          <w:rFonts w:eastAsiaTheme="majorEastAsia"/>
          <w:color w:val="1F3864" w:themeColor="accent1" w:themeShade="80"/>
          <w:sz w:val="18"/>
          <w:szCs w:val="18"/>
          <w:u w:val="none"/>
        </w:rPr>
      </w:pPr>
      <w:r w:rsidRPr="0005442E">
        <w:rPr>
          <w:rStyle w:val="Hyperlink"/>
          <w:rFonts w:eastAsiaTheme="majorEastAsia"/>
          <w:color w:val="1F3864" w:themeColor="accent1" w:themeShade="80"/>
          <w:sz w:val="18"/>
          <w:szCs w:val="18"/>
          <w:u w:val="none"/>
        </w:rPr>
        <w:t>DECLARAÇÃO DOS MEMBROS DA DIRETORIA EXECUTIVA SOBRE AS DEMONSTRAÇÕES FINANCEIRAS</w:t>
      </w:r>
    </w:p>
    <w:p w14:paraId="2AFBC273" w14:textId="15976B23" w:rsidR="00B35951" w:rsidRPr="0005442E" w:rsidRDefault="00E35AD8" w:rsidP="007B023A">
      <w:pPr>
        <w:pStyle w:val="Sumrio1"/>
        <w:spacing w:after="80" w:line="240" w:lineRule="auto"/>
        <w:rPr>
          <w:rStyle w:val="Hyperlink"/>
          <w:rFonts w:eastAsiaTheme="majorEastAsia"/>
          <w:color w:val="1F3864" w:themeColor="accent1" w:themeShade="80"/>
          <w:sz w:val="18"/>
          <w:szCs w:val="18"/>
          <w:u w:val="none"/>
        </w:rPr>
      </w:pPr>
      <w:r w:rsidRPr="0005442E">
        <w:rPr>
          <w:rStyle w:val="Hyperlink"/>
          <w:rFonts w:eastAsiaTheme="majorEastAsia"/>
          <w:color w:val="1F3864" w:themeColor="accent1" w:themeShade="80"/>
          <w:sz w:val="18"/>
          <w:szCs w:val="18"/>
          <w:u w:val="none"/>
        </w:rPr>
        <w:t>DECLARAÇÃO DOS MEMBROS DA DIRETORIA EXECUTIVA SOBRE O RELATÓRIO DOS AUDITORES INDEPENDENTES</w:t>
      </w:r>
    </w:p>
    <w:p w14:paraId="6C953F27" w14:textId="4C9B7A31" w:rsidR="00E35AD8" w:rsidRPr="0005442E" w:rsidRDefault="00E35AD8" w:rsidP="007B023A">
      <w:pPr>
        <w:spacing w:after="80" w:line="240" w:lineRule="auto"/>
        <w:rPr>
          <w:rStyle w:val="Hyperlink"/>
          <w:rFonts w:ascii="Arial" w:eastAsiaTheme="majorEastAsia" w:hAnsi="Arial" w:cs="Arial"/>
          <w:b/>
          <w:noProof/>
          <w:color w:val="1F3864" w:themeColor="accent1" w:themeShade="80"/>
          <w:sz w:val="18"/>
          <w:szCs w:val="18"/>
          <w:u w:val="none"/>
        </w:rPr>
      </w:pPr>
      <w:r w:rsidRPr="0005442E">
        <w:rPr>
          <w:rStyle w:val="Hyperlink"/>
          <w:rFonts w:ascii="Arial" w:eastAsiaTheme="majorEastAsia" w:hAnsi="Arial" w:cs="Arial"/>
          <w:b/>
          <w:noProof/>
          <w:color w:val="1F3864" w:themeColor="accent1" w:themeShade="80"/>
          <w:sz w:val="18"/>
          <w:szCs w:val="18"/>
          <w:u w:val="none"/>
        </w:rPr>
        <w:t>MEMBROS DA ADMINISTRAÇÃO</w:t>
      </w:r>
    </w:p>
    <w:p w14:paraId="2F81D461" w14:textId="18AFFB65" w:rsidR="00E35AD8" w:rsidRPr="0005442E" w:rsidRDefault="00E35AD8" w:rsidP="0005442E">
      <w:pPr>
        <w:spacing w:after="80"/>
        <w:rPr>
          <w:rStyle w:val="Hyperlink"/>
          <w:rFonts w:ascii="Arial" w:eastAsiaTheme="majorEastAsia" w:hAnsi="Arial" w:cs="Arial"/>
          <w:b/>
          <w:noProof/>
          <w:color w:val="1F3864" w:themeColor="accent1" w:themeShade="80"/>
          <w:sz w:val="18"/>
          <w:szCs w:val="18"/>
          <w:u w:val="none"/>
        </w:rPr>
        <w:sectPr w:rsidR="00E35AD8" w:rsidRPr="0005442E" w:rsidSect="006D3DB2">
          <w:headerReference w:type="first" r:id="rId16"/>
          <w:footerReference w:type="first" r:id="rId17"/>
          <w:pgSz w:w="11906" w:h="16838" w:code="9"/>
          <w:pgMar w:top="1134" w:right="1134" w:bottom="851" w:left="1134" w:header="851" w:footer="284" w:gutter="0"/>
          <w:cols w:space="708"/>
          <w:titlePg/>
          <w:docGrid w:linePitch="360"/>
        </w:sectPr>
      </w:pPr>
    </w:p>
    <w:p w14:paraId="186085D2" w14:textId="39C1D558" w:rsidR="006E7795" w:rsidRPr="0005442E" w:rsidRDefault="009847CF" w:rsidP="0005442E">
      <w:pPr>
        <w:keepNext/>
        <w:keepLines/>
        <w:spacing w:before="120" w:after="80"/>
        <w:outlineLvl w:val="0"/>
        <w:rPr>
          <w:rFonts w:ascii="Arial" w:eastAsia="Times New Roman" w:hAnsi="Arial" w:cs="Arial"/>
          <w:b/>
          <w:color w:val="1F3864" w:themeColor="accent1" w:themeShade="80"/>
          <w:sz w:val="20"/>
          <w:szCs w:val="20"/>
          <w:lang w:eastAsia="pt-BR"/>
        </w:rPr>
      </w:pPr>
      <w:bookmarkStart w:id="0" w:name="_Toc189757056"/>
      <w:r w:rsidRPr="0005442E">
        <w:rPr>
          <w:rFonts w:ascii="Arial" w:eastAsia="Times New Roman" w:hAnsi="Arial" w:cs="Arial"/>
          <w:b/>
          <w:color w:val="1F3864" w:themeColor="accent1" w:themeShade="80"/>
          <w:sz w:val="20"/>
          <w:szCs w:val="20"/>
          <w:lang w:eastAsia="pt-BR"/>
        </w:rPr>
        <w:lastRenderedPageBreak/>
        <w:t>RELATÓRIO DA ADMINISTRAÇÃO</w:t>
      </w:r>
      <w:bookmarkEnd w:id="0"/>
    </w:p>
    <w:p w14:paraId="2BB9FAE1" w14:textId="77777777" w:rsidR="003A0C86" w:rsidRPr="00F35C44" w:rsidRDefault="003A0C86" w:rsidP="003A0C86">
      <w:pPr>
        <w:pStyle w:val="03-SubttulodeNota"/>
        <w:spacing w:line="276" w:lineRule="auto"/>
        <w:rPr>
          <w:rFonts w:cs="Arial"/>
          <w:color w:val="1F3864" w:themeColor="accent1" w:themeShade="80"/>
        </w:rPr>
      </w:pPr>
      <w:r w:rsidRPr="00F35C44">
        <w:rPr>
          <w:rFonts w:cs="Arial"/>
          <w:color w:val="1F3864" w:themeColor="accent1" w:themeShade="80"/>
        </w:rPr>
        <w:t>Prezados Acionistas, Colaboradores e Parceiros de Negócios.</w:t>
      </w:r>
    </w:p>
    <w:p w14:paraId="18DA447C" w14:textId="77777777" w:rsidR="003A0C86" w:rsidRDefault="003A0C86" w:rsidP="003A0C86">
      <w:pPr>
        <w:pStyle w:val="05-Textonormal"/>
        <w:rPr>
          <w:rFonts w:cs="Arial"/>
        </w:rPr>
      </w:pPr>
      <w:r>
        <w:rPr>
          <w:rFonts w:cs="Arial"/>
        </w:rPr>
        <w:t>Em 2024, o lucro líquido da BB Seguridade totalizou R$8,7 bilhões, com crescimento de 9,5% em relação a 2023. Já o lucro gerencial ajustado da empresa, apurado de acordo com o padrão contábil adotado pela Susep, que não considera as normas do CPC-50 [IFRS 17], alcançou R</w:t>
      </w:r>
      <w:r w:rsidRPr="00BD0D12">
        <w:rPr>
          <w:rFonts w:cs="Arial"/>
        </w:rPr>
        <w:t>$8</w:t>
      </w:r>
      <w:r>
        <w:rPr>
          <w:rFonts w:cs="Arial"/>
        </w:rPr>
        <w:t xml:space="preserve">,2 bilhões, uma alta de 5,7%.  </w:t>
      </w:r>
    </w:p>
    <w:p w14:paraId="08820C1D" w14:textId="77777777" w:rsidR="003A0C86" w:rsidRDefault="003A0C86" w:rsidP="003A0C86">
      <w:pPr>
        <w:pStyle w:val="05-Textonormal"/>
        <w:rPr>
          <w:rFonts w:cs="Arial"/>
        </w:rPr>
      </w:pPr>
      <w:r>
        <w:rPr>
          <w:rFonts w:cs="Arial"/>
        </w:rPr>
        <w:t xml:space="preserve">Apesar de um ano desafiador, marcado por eventos climáticos de grandes proporções que pressionou o agronegócio e alta volatilidade nos mercados a partir da mudança na direção da política monetária decorrente da expectativa de inflação desancorada pela avaliação do Comitê de Política Monetária (COPOM), o lucro manteve a trajetória de alta em função do bom desempenho registrado no resultado operacional combinado de todas as empresas do grupo, que cresceu 11,9% no ano, já líquido de impostos, na visão gerencial. </w:t>
      </w:r>
    </w:p>
    <w:p w14:paraId="00175775" w14:textId="77777777" w:rsidR="003A0C86" w:rsidRDefault="003A0C86" w:rsidP="003A0C86">
      <w:pPr>
        <w:pStyle w:val="05-Textonormal"/>
        <w:rPr>
          <w:rFonts w:cs="Arial"/>
        </w:rPr>
      </w:pPr>
      <w:r>
        <w:rPr>
          <w:rFonts w:cs="Arial"/>
        </w:rPr>
        <w:t>Destaque para o índice de sinistralidade, que alcançou o menor patamar da série histórica (23,7%), refletindo tanto a qualidade da subscrição e os mecanismos de mitigação de riscos nos seguros rurais, como a diversificação geográfica e de culturas intrínseca à atuação nacional da seguradora e as proteções de resseguro adquiridas para a carteira. O crescimento nominal de faturamento em todas as linhas de negócios e o reconhecimento de receitas diferidas com prêmios de seguros e corretagem relativas a vendas concretizadas em períodos passados também foram alavancas para expansão do resultado operacional das empresas do grupo.</w:t>
      </w:r>
    </w:p>
    <w:p w14:paraId="1A82C958" w14:textId="77777777" w:rsidR="003A0C86" w:rsidRDefault="003A0C86" w:rsidP="003A0C86">
      <w:pPr>
        <w:pStyle w:val="05-Textonormal"/>
        <w:rPr>
          <w:rFonts w:cs="Arial"/>
        </w:rPr>
      </w:pPr>
      <w:r>
        <w:rPr>
          <w:rFonts w:cs="Arial"/>
        </w:rPr>
        <w:t xml:space="preserve">Além dos bons resultados do ano, a Companhia se manteve fiel à execução da sua estratégia, fundamentada nos pilares da experiência do cliente, transformação tecnológica e busca por novas oportunidades de negócios. </w:t>
      </w:r>
    </w:p>
    <w:p w14:paraId="26730465" w14:textId="77777777" w:rsidR="003A0C86" w:rsidRPr="00BB7C4B" w:rsidRDefault="003A0C86" w:rsidP="003A0C86">
      <w:pPr>
        <w:pStyle w:val="05-Textonormal"/>
        <w:rPr>
          <w:rFonts w:cs="Arial"/>
        </w:rPr>
      </w:pPr>
      <w:r>
        <w:rPr>
          <w:rFonts w:cs="Arial"/>
        </w:rPr>
        <w:t xml:space="preserve">Ao longo do ano foram investidos mais de R$538 milhões na infraestrutura de TI, cyber segurança e desenvolvimento de jornadas e soluções digitais. No desenvolvimento da maturidade digital da companhia, 74,9% dos clientes utilizaram ativamente os canais disponíveis </w:t>
      </w:r>
      <w:r w:rsidRPr="00521028">
        <w:rPr>
          <w:rFonts w:cs="Arial"/>
          <w:i/>
          <w:iCs/>
        </w:rPr>
        <w:t>(mobile, internet banking e whatsapp)</w:t>
      </w:r>
      <w:r>
        <w:rPr>
          <w:rFonts w:cs="Arial"/>
        </w:rPr>
        <w:t xml:space="preserve">, representando uma evolução de 2,9 </w:t>
      </w:r>
      <w:proofErr w:type="spellStart"/>
      <w:r>
        <w:rPr>
          <w:rFonts w:cs="Arial"/>
        </w:rPr>
        <w:t>p.p</w:t>
      </w:r>
      <w:proofErr w:type="spellEnd"/>
      <w:r>
        <w:rPr>
          <w:rFonts w:cs="Arial"/>
        </w:rPr>
        <w:t xml:space="preserve">. em relação a 2023. Em 2024 houve avanço na melhora da experiência do cliente com o uso de inteligência artificial. Nesse sentido, foram registrados 12 modelos preditivos em produção e em uso ao longo do ano, </w:t>
      </w:r>
      <w:r w:rsidRPr="00BB7C4B">
        <w:rPr>
          <w:rFonts w:cs="Arial"/>
        </w:rPr>
        <w:t>com destaque para</w:t>
      </w:r>
      <w:r>
        <w:rPr>
          <w:rFonts w:cs="Arial"/>
        </w:rPr>
        <w:t xml:space="preserve"> os modelos de comparação de preços integrado a jornada de venda do seguro auto e de melhor dia de débito, que indica e sugere a melhor data de débito para pagamento de parcelas, auxiliando na redução de cancelamentos por inadimplência. Nos canais digitais, destaque para a ampliação de produtos e funcionalidades integradas no Whatsapp, como a recuperação de parcelas via Pix, evitando cancelamentos. </w:t>
      </w:r>
    </w:p>
    <w:p w14:paraId="257C6C81" w14:textId="77777777" w:rsidR="003A0C86" w:rsidRDefault="003A0C86" w:rsidP="003A0C86">
      <w:pPr>
        <w:pStyle w:val="05-Textonormal"/>
        <w:rPr>
          <w:rFonts w:cs="Arial"/>
        </w:rPr>
      </w:pPr>
      <w:r>
        <w:rPr>
          <w:rFonts w:cs="Arial"/>
        </w:rPr>
        <w:t>As ações voltadas para o portfólio de produtos tiveram como direcionador o aumento do propósito de valor, com novas jornadas e ampliação do público-alvo.</w:t>
      </w:r>
      <w:r w:rsidRPr="00BB7C4B">
        <w:rPr>
          <w:rFonts w:cs="Arial"/>
        </w:rPr>
        <w:t xml:space="preserve"> </w:t>
      </w:r>
      <w:r>
        <w:rPr>
          <w:rFonts w:cs="Arial"/>
        </w:rPr>
        <w:t xml:space="preserve">No segmento rural, foi lançado o seguro penhor de animais, com jornada ativa para contratação na originação do crédito, que alcançou R$511 milhões de prêmios emitidos em 2024. Também foram lançados no período os seguros floresta de preservação e agrícola </w:t>
      </w:r>
      <w:proofErr w:type="spellStart"/>
      <w:r>
        <w:rPr>
          <w:rFonts w:cs="Arial"/>
        </w:rPr>
        <w:t>flex</w:t>
      </w:r>
      <w:proofErr w:type="spellEnd"/>
      <w:r>
        <w:rPr>
          <w:rFonts w:cs="Arial"/>
        </w:rPr>
        <w:t xml:space="preserve"> frutas. Ainda em seguros, houve a implementação de diversas melhorias para potencialização da oferta de produtos já existentes como: ajuste nos limites de importância segurada, expansão de público-alvo e readequação de faixa etária para contratação. </w:t>
      </w:r>
    </w:p>
    <w:p w14:paraId="315B6203" w14:textId="77777777" w:rsidR="003A0C86" w:rsidRDefault="003A0C86" w:rsidP="003A0C86">
      <w:pPr>
        <w:pStyle w:val="05-Textonormal"/>
        <w:rPr>
          <w:rFonts w:cs="Arial"/>
        </w:rPr>
      </w:pPr>
      <w:r>
        <w:rPr>
          <w:rFonts w:cs="Arial"/>
        </w:rPr>
        <w:t xml:space="preserve">Dentre os destaques no segmento de previdência, foi habilitada a utilização de previdência para garantia de operações de crédito, visando preservar as reservas, inicialmente disponibilizada para linhas de crédito estruturado, sendo retidos R$800 milhões em 2024. Adicionalmente, ao longo do ano foram disponibilizadas novas jornadas de venda dos planos de previdência, com melhorias na usabilidade e design das plataformas digitais. O portfólio de fundos também foi expandido, oferecendo uma maior diversificação de estratégias de investimento. </w:t>
      </w:r>
    </w:p>
    <w:p w14:paraId="19CBDC11" w14:textId="16D0A62F" w:rsidR="003A0C86" w:rsidRDefault="003A0C86" w:rsidP="003A0C86">
      <w:pPr>
        <w:pStyle w:val="05-Textonormal"/>
        <w:rPr>
          <w:rFonts w:cs="Arial"/>
        </w:rPr>
      </w:pPr>
      <w:r>
        <w:rPr>
          <w:rFonts w:cs="Arial"/>
        </w:rPr>
        <w:t xml:space="preserve">No modelo de diversificação da distribuição, em complemento à atuação dentro do canal bancário, a companhia seguiu em busca de oportunidades de ampliação do modelo de negócios e gerindo as parcerias já firmadas, com foco na melhor rentabilização desses parceiros. No ano, a emissão de prêmios gerados por essa estratégia (via </w:t>
      </w:r>
      <w:proofErr w:type="spellStart"/>
      <w:r>
        <w:rPr>
          <w:rFonts w:cs="Arial"/>
        </w:rPr>
        <w:t>Brasilseg</w:t>
      </w:r>
      <w:proofErr w:type="spellEnd"/>
      <w:r>
        <w:rPr>
          <w:rFonts w:cs="Arial"/>
        </w:rPr>
        <w:t xml:space="preserve">) alcançou </w:t>
      </w:r>
      <w:r w:rsidRPr="00D147CE">
        <w:rPr>
          <w:rFonts w:cs="Arial"/>
        </w:rPr>
        <w:t>R$2,1 bilhões, enquanto</w:t>
      </w:r>
      <w:r w:rsidRPr="00E94091">
        <w:rPr>
          <w:rFonts w:cs="Arial"/>
        </w:rPr>
        <w:t xml:space="preserve"> sua contribuição para o lucro líquido da BB Seguridade foi de R$23</w:t>
      </w:r>
      <w:r>
        <w:rPr>
          <w:rFonts w:cs="Arial"/>
        </w:rPr>
        <w:t>3</w:t>
      </w:r>
      <w:r w:rsidRPr="00E94091">
        <w:rPr>
          <w:rFonts w:cs="Arial"/>
        </w:rPr>
        <w:t xml:space="preserve"> milhões (+1</w:t>
      </w:r>
      <w:r>
        <w:rPr>
          <w:rFonts w:cs="Arial"/>
        </w:rPr>
        <w:t>6</w:t>
      </w:r>
      <w:r w:rsidRPr="00E94091">
        <w:rPr>
          <w:rFonts w:cs="Arial"/>
        </w:rPr>
        <w:t>,4% vs. 2023).</w:t>
      </w:r>
    </w:p>
    <w:p w14:paraId="3CC63CE3" w14:textId="77777777" w:rsidR="003A0C86" w:rsidRDefault="003A0C86" w:rsidP="003A0C86">
      <w:pPr>
        <w:pStyle w:val="05-Textonormal"/>
        <w:rPr>
          <w:rFonts w:cs="Arial"/>
        </w:rPr>
      </w:pPr>
      <w:r>
        <w:rPr>
          <w:rFonts w:cs="Arial"/>
        </w:rPr>
        <w:t xml:space="preserve">Em relação a novos parceiros, foram formalizadas 25 parcerias no segmento rural, entre cooperativas, agroindústrias, revendas de insumos, máquinas e equipamentos agrícolas. Além disso, foi habilitada a jornada de oferta de seguro pecuário por correspondentes bancários, canal que respondeu por 25% do total de prêmios desse produto na </w:t>
      </w:r>
      <w:proofErr w:type="spellStart"/>
      <w:r>
        <w:rPr>
          <w:rFonts w:cs="Arial"/>
        </w:rPr>
        <w:t>Brasilseg</w:t>
      </w:r>
      <w:proofErr w:type="spellEnd"/>
      <w:r>
        <w:rPr>
          <w:rFonts w:cs="Arial"/>
        </w:rPr>
        <w:t xml:space="preserve">. </w:t>
      </w:r>
    </w:p>
    <w:p w14:paraId="1C1A9999" w14:textId="5D842846" w:rsidR="003A0C86" w:rsidRDefault="003A0C86" w:rsidP="003A0C86">
      <w:pPr>
        <w:pStyle w:val="05-Textonormal"/>
        <w:rPr>
          <w:rFonts w:cs="Arial"/>
        </w:rPr>
      </w:pPr>
      <w:r>
        <w:rPr>
          <w:rFonts w:cs="Arial"/>
        </w:rPr>
        <w:t xml:space="preserve">Ainda em seguros, foram revisitadas as condições comerciais das parcerias com gestores de rede de correspondentes bancários e realizadas ações de mobilização de vendas e de treinamento, que contribuíram para o incremento de 6% nos prêmios emitidos do prestamista. Também foi formalizada uma parceria com empresa de distribuição de energia para a oferta de seguros de vida e residencial, e com uma instituição financeira para venda de seguros para placas solares em sua jornada de financiamento a clientes. </w:t>
      </w:r>
    </w:p>
    <w:p w14:paraId="438340D9" w14:textId="77777777" w:rsidR="003A0C86" w:rsidRDefault="003A0C86" w:rsidP="003A0C86">
      <w:pPr>
        <w:pStyle w:val="05-Textonormal"/>
        <w:rPr>
          <w:rFonts w:cs="Arial"/>
        </w:rPr>
      </w:pPr>
      <w:r>
        <w:rPr>
          <w:rFonts w:cs="Arial"/>
        </w:rPr>
        <w:t xml:space="preserve">Em capitalização, destaque para a parceria com um banco digital para oferta de títulos de capitalização popular, que alcançou 1,9 milhão de títulos comercializados desde o seu lançamento em outubro/24. </w:t>
      </w:r>
    </w:p>
    <w:p w14:paraId="1D5B9C80" w14:textId="3209DF0C" w:rsidR="003A0C86" w:rsidRDefault="003A0C86" w:rsidP="003A0C86">
      <w:pPr>
        <w:pStyle w:val="05-Textonormal"/>
        <w:rPr>
          <w:rFonts w:cs="Arial"/>
        </w:rPr>
      </w:pPr>
      <w:r>
        <w:rPr>
          <w:rFonts w:cs="Arial"/>
        </w:rPr>
        <w:t>Já as parcerias com corretores especializados em grandes riscos e transportes trouxeram melhorias no atendimento a rede de agências e aos clientes do segmento atacado. Os prêmios nesse segmento cresceram 59%, enquanto as receitas de corretagem apresentaram evolução de 39%.</w:t>
      </w:r>
    </w:p>
    <w:p w14:paraId="5E8FA1E8" w14:textId="3FBE8C20" w:rsidR="003A0C86" w:rsidRDefault="003A0C86" w:rsidP="003A0C86">
      <w:pPr>
        <w:pStyle w:val="05-Textonormal"/>
        <w:rPr>
          <w:rFonts w:cs="Arial"/>
        </w:rPr>
      </w:pPr>
      <w:bookmarkStart w:id="1" w:name="_Hlk189648802"/>
      <w:r>
        <w:rPr>
          <w:rFonts w:cs="Arial"/>
        </w:rPr>
        <w:lastRenderedPageBreak/>
        <w:t xml:space="preserve">Todas as iniciativas e melhorias realizadas ao longo do ano têm como objetivo oferecer a melhor experiência aos clientes, com foco na fidelização, retenção e aprimoramento contínuo. Como resultado, houve melhora no nível de satisfação dos clientes, com o NPS se consolidando na zona de qualidade (+4,7 pontos vs. dez/23). Destaque para o incremento de 13,0 pontos no NPS da jornada de atendimento para os seguros de vida, prestamista, rural e residencial, e de 5,0 pontos no NPS geral de capitalização. A melhora do nível de satisfação se confirma a partir da redução sequencial do volume de reclamações (-15,2% vs. 2023) e de cancelamentos (-17,0%). </w:t>
      </w:r>
    </w:p>
    <w:p w14:paraId="47431F17" w14:textId="0C128D62" w:rsidR="003A0C86" w:rsidRDefault="003A0C86" w:rsidP="003A0C86">
      <w:pPr>
        <w:pStyle w:val="05-Textonormal"/>
        <w:rPr>
          <w:rFonts w:cs="Arial"/>
        </w:rPr>
      </w:pPr>
      <w:r>
        <w:rPr>
          <w:rFonts w:cs="Arial"/>
        </w:rPr>
        <w:t>O Programa de Relacionamento, lançado em 2023 com o objetivo de aproximar e melhorar a experiência dos clientes, vem se consolidando. A quantidade de clientes “Superprotegidos” expandiu 12,6% no ano, enquanto o NPS de atendimento desses clientes apresentou melhora de 11,9 pontos</w:t>
      </w:r>
    </w:p>
    <w:p w14:paraId="750C9F14" w14:textId="77777777" w:rsidR="003A0C86" w:rsidRDefault="003A0C86" w:rsidP="003A0C86">
      <w:pPr>
        <w:pStyle w:val="05-Textonormal"/>
        <w:rPr>
          <w:rFonts w:cs="Arial"/>
        </w:rPr>
      </w:pPr>
      <w:r>
        <w:rPr>
          <w:rFonts w:cs="Arial"/>
        </w:rPr>
        <w:t>A BB Seguridade busca estar sempre próxima aos clientes, especialmente nos momentos mais desafiadores, e esteve presente para apoiá-los durante a catástrofe que afetou os estados do Rio Grande do Sul e Santa Catarina no primeiro semestre do ano. A companhia adotou diversas ações de suporte à região: (i) postergação do cancelamento das apólices por falta de pagamento com vencimento no período mais crítico; (</w:t>
      </w:r>
      <w:proofErr w:type="spellStart"/>
      <w:r>
        <w:rPr>
          <w:rFonts w:cs="Arial"/>
        </w:rPr>
        <w:t>ii</w:t>
      </w:r>
      <w:proofErr w:type="spellEnd"/>
      <w:r>
        <w:rPr>
          <w:rFonts w:cs="Arial"/>
        </w:rPr>
        <w:t>) contato proativo com os clientes das regiões afetadas; e (</w:t>
      </w:r>
      <w:proofErr w:type="spellStart"/>
      <w:r>
        <w:rPr>
          <w:rFonts w:cs="Arial"/>
        </w:rPr>
        <w:t>iii</w:t>
      </w:r>
      <w:proofErr w:type="spellEnd"/>
      <w:r>
        <w:rPr>
          <w:rFonts w:cs="Arial"/>
        </w:rPr>
        <w:t xml:space="preserve">) disponibilização de uma central exclusiva para atendimento dos clientes em emergência, além da ampliação de assistências, com o objetivo de proporcionar maior tranquilidade aos clientes impactados. Ao todo foram mais de 5 mil acionamentos e cerca de R$225 milhões em despesas com sinistros. </w:t>
      </w:r>
    </w:p>
    <w:bookmarkEnd w:id="1"/>
    <w:p w14:paraId="003FA76C" w14:textId="3EC68F57" w:rsidR="003A0C86" w:rsidRDefault="003A0C86" w:rsidP="003A0C86">
      <w:pPr>
        <w:pStyle w:val="05-Textonormal"/>
        <w:rPr>
          <w:rFonts w:cs="Arial"/>
        </w:rPr>
      </w:pPr>
      <w:r w:rsidRPr="00170CD5">
        <w:rPr>
          <w:rFonts w:cs="Arial"/>
          <w:bCs/>
        </w:rPr>
        <w:t>Reforçando o compromisso da Companhia com a sustentabilidade do negócio</w:t>
      </w:r>
      <w:r>
        <w:rPr>
          <w:rFonts w:cs="Arial"/>
          <w:bCs/>
        </w:rPr>
        <w:t xml:space="preserve"> e</w:t>
      </w:r>
      <w:r w:rsidRPr="00170CD5">
        <w:rPr>
          <w:rFonts w:cs="Arial"/>
          <w:bCs/>
        </w:rPr>
        <w:t xml:space="preserve"> </w:t>
      </w:r>
      <w:r>
        <w:rPr>
          <w:rFonts w:cs="Arial"/>
          <w:bCs/>
        </w:rPr>
        <w:t xml:space="preserve">buscando </w:t>
      </w:r>
      <w:r w:rsidRPr="00170CD5">
        <w:rPr>
          <w:rFonts w:cs="Arial"/>
          <w:bCs/>
        </w:rPr>
        <w:t>mitiga</w:t>
      </w:r>
      <w:r>
        <w:rPr>
          <w:rFonts w:cs="Arial"/>
          <w:bCs/>
        </w:rPr>
        <w:t>r</w:t>
      </w:r>
      <w:r w:rsidRPr="00170CD5">
        <w:rPr>
          <w:rFonts w:cs="Arial"/>
          <w:bCs/>
        </w:rPr>
        <w:t xml:space="preserve"> risco</w:t>
      </w:r>
      <w:r>
        <w:rPr>
          <w:rFonts w:cs="Arial"/>
          <w:bCs/>
        </w:rPr>
        <w:t>s</w:t>
      </w:r>
      <w:r w:rsidRPr="00170CD5">
        <w:rPr>
          <w:rFonts w:cs="Arial"/>
          <w:bCs/>
        </w:rPr>
        <w:t xml:space="preserve"> e </w:t>
      </w:r>
      <w:r>
        <w:rPr>
          <w:rFonts w:cs="Arial"/>
          <w:bCs/>
        </w:rPr>
        <w:t>i</w:t>
      </w:r>
      <w:r w:rsidRPr="00170CD5">
        <w:rPr>
          <w:rFonts w:cs="Arial"/>
          <w:bCs/>
        </w:rPr>
        <w:t>dentifica</w:t>
      </w:r>
      <w:r>
        <w:rPr>
          <w:rFonts w:cs="Arial"/>
          <w:bCs/>
        </w:rPr>
        <w:t>r</w:t>
      </w:r>
      <w:r w:rsidRPr="00170CD5">
        <w:rPr>
          <w:rFonts w:cs="Arial"/>
          <w:bCs/>
        </w:rPr>
        <w:t xml:space="preserve"> oportunidades</w:t>
      </w:r>
      <w:r>
        <w:rPr>
          <w:rFonts w:cs="Arial"/>
          <w:bCs/>
        </w:rPr>
        <w:t xml:space="preserve"> relacionadas a aspectos ambientais, sociais e de governança (ASG)</w:t>
      </w:r>
      <w:r w:rsidRPr="00170CD5">
        <w:rPr>
          <w:rFonts w:cs="Arial"/>
          <w:bCs/>
        </w:rPr>
        <w:t xml:space="preserve">, </w:t>
      </w:r>
      <w:r>
        <w:rPr>
          <w:rFonts w:cs="Arial"/>
          <w:bCs/>
        </w:rPr>
        <w:t>e</w:t>
      </w:r>
      <w:r w:rsidRPr="00170CD5">
        <w:rPr>
          <w:rFonts w:cs="Arial"/>
          <w:bCs/>
        </w:rPr>
        <w:t>m 202</w:t>
      </w:r>
      <w:r>
        <w:rPr>
          <w:rFonts w:cs="Arial"/>
          <w:bCs/>
        </w:rPr>
        <w:t>4</w:t>
      </w:r>
      <w:r w:rsidRPr="00170CD5">
        <w:rPr>
          <w:rFonts w:cs="Arial"/>
          <w:bCs/>
        </w:rPr>
        <w:t xml:space="preserve"> a </w:t>
      </w:r>
      <w:r>
        <w:rPr>
          <w:rFonts w:cs="Arial"/>
          <w:bCs/>
        </w:rPr>
        <w:t>a</w:t>
      </w:r>
      <w:r w:rsidRPr="00170CD5">
        <w:rPr>
          <w:rFonts w:cs="Arial"/>
          <w:bCs/>
        </w:rPr>
        <w:t xml:space="preserve">genda ASG da BB Seguridade para </w:t>
      </w:r>
      <w:r w:rsidRPr="00170CD5">
        <w:rPr>
          <w:rFonts w:cs="Arial"/>
        </w:rPr>
        <w:t>o biênio 2024-2025</w:t>
      </w:r>
      <w:r>
        <w:rPr>
          <w:rFonts w:cs="Arial"/>
        </w:rPr>
        <w:t xml:space="preserve"> foi </w:t>
      </w:r>
      <w:r w:rsidRPr="00170CD5">
        <w:rPr>
          <w:rFonts w:cs="Arial"/>
        </w:rPr>
        <w:t>incluíd</w:t>
      </w:r>
      <w:r>
        <w:rPr>
          <w:rFonts w:cs="Arial"/>
        </w:rPr>
        <w:t>a</w:t>
      </w:r>
      <w:r w:rsidRPr="00170CD5">
        <w:rPr>
          <w:rFonts w:cs="Arial"/>
        </w:rPr>
        <w:t xml:space="preserve"> como </w:t>
      </w:r>
      <w:r>
        <w:rPr>
          <w:rFonts w:cs="Arial"/>
        </w:rPr>
        <w:t>indicador</w:t>
      </w:r>
      <w:r w:rsidRPr="00170CD5">
        <w:rPr>
          <w:rFonts w:cs="Arial"/>
        </w:rPr>
        <w:t xml:space="preserve">-chave </w:t>
      </w:r>
      <w:r>
        <w:rPr>
          <w:rFonts w:cs="Arial"/>
        </w:rPr>
        <w:t>no instrumento corporativo de acompanhamento e indução</w:t>
      </w:r>
      <w:r w:rsidRPr="00170CD5">
        <w:rPr>
          <w:rFonts w:cs="Arial"/>
        </w:rPr>
        <w:t xml:space="preserve"> </w:t>
      </w:r>
      <w:r>
        <w:rPr>
          <w:rFonts w:cs="Arial"/>
        </w:rPr>
        <w:t>de entregas que visam o atingimento dos o</w:t>
      </w:r>
      <w:r w:rsidRPr="00170CD5">
        <w:rPr>
          <w:rFonts w:cs="Arial"/>
        </w:rPr>
        <w:t>bjetivo</w:t>
      </w:r>
      <w:r>
        <w:rPr>
          <w:rFonts w:cs="Arial"/>
        </w:rPr>
        <w:t xml:space="preserve">s declarados na estratégia de longo prazo da empresa. </w:t>
      </w:r>
      <w:r w:rsidRPr="00170CD5">
        <w:rPr>
          <w:rFonts w:cs="Arial"/>
        </w:rPr>
        <w:t xml:space="preserve">Por ser </w:t>
      </w:r>
      <w:r>
        <w:rPr>
          <w:rFonts w:cs="Arial"/>
        </w:rPr>
        <w:t>indicador</w:t>
      </w:r>
      <w:r w:rsidRPr="00170CD5">
        <w:rPr>
          <w:rFonts w:cs="Arial"/>
        </w:rPr>
        <w:t>-chave d</w:t>
      </w:r>
      <w:r>
        <w:rPr>
          <w:rFonts w:cs="Arial"/>
        </w:rPr>
        <w:t>o</w:t>
      </w:r>
      <w:r w:rsidRPr="00170CD5">
        <w:rPr>
          <w:rFonts w:cs="Arial"/>
        </w:rPr>
        <w:t xml:space="preserve"> </w:t>
      </w:r>
      <w:r>
        <w:rPr>
          <w:rFonts w:cs="Arial"/>
        </w:rPr>
        <w:t>o</w:t>
      </w:r>
      <w:r w:rsidRPr="00170CD5">
        <w:rPr>
          <w:rFonts w:cs="Arial"/>
        </w:rPr>
        <w:t>bjetivo estratégico</w:t>
      </w:r>
      <w:r>
        <w:rPr>
          <w:rFonts w:cs="Arial"/>
        </w:rPr>
        <w:t xml:space="preserve"> “Ser leve, eficiente e sustentável”, a agenda ASG 2024-2025, que é composta por um p</w:t>
      </w:r>
      <w:r w:rsidRPr="00170CD5">
        <w:rPr>
          <w:rFonts w:cs="Arial"/>
        </w:rPr>
        <w:t xml:space="preserve">lano </w:t>
      </w:r>
      <w:r>
        <w:rPr>
          <w:rFonts w:cs="Arial"/>
        </w:rPr>
        <w:t>de</w:t>
      </w:r>
      <w:r w:rsidRPr="00170CD5">
        <w:rPr>
          <w:rFonts w:cs="Arial"/>
        </w:rPr>
        <w:t xml:space="preserve"> 32 ações e 60 indicadores a serem entregues no período, t</w:t>
      </w:r>
      <w:r>
        <w:rPr>
          <w:rFonts w:cs="Arial"/>
        </w:rPr>
        <w:t>e</w:t>
      </w:r>
      <w:r w:rsidRPr="00170CD5">
        <w:rPr>
          <w:rFonts w:cs="Arial"/>
        </w:rPr>
        <w:t xml:space="preserve">m impacto na remuneração variável de todos os colaboradores, desde a alta administração (Diretores) até o corpo técnico. </w:t>
      </w:r>
    </w:p>
    <w:p w14:paraId="2506961B" w14:textId="77777777" w:rsidR="003A0C86" w:rsidRPr="00170CD5" w:rsidRDefault="003A0C86" w:rsidP="003A0C86">
      <w:pPr>
        <w:pStyle w:val="05-Textonormal"/>
        <w:rPr>
          <w:rFonts w:cs="Arial"/>
        </w:rPr>
      </w:pPr>
      <w:r w:rsidRPr="00170CD5">
        <w:rPr>
          <w:rFonts w:cs="Arial"/>
        </w:rPr>
        <w:t>Para 2024, o plano foi focado em ações estruturantes e representou 80% das entregas planejadas para os dois anos.</w:t>
      </w:r>
      <w:r>
        <w:rPr>
          <w:rFonts w:cs="Arial"/>
        </w:rPr>
        <w:t xml:space="preserve"> A partir dos aprendizados obtidos, bem como do resultado do diagnóstico de temas materiais da empresa sob a ótica dos potenciais impactos financeiros dos riscos e oportunidades de sustentabilidade para o negócio e das externalidades socioambientais produzidas pela Companhia (dupla materialidade), a agenda será revisada para o biênio 2025-2026, mantendo-se a premissa de ser um indicador-chave de um objetivo estratégico.</w:t>
      </w:r>
    </w:p>
    <w:p w14:paraId="08B9424F" w14:textId="77777777" w:rsidR="003A0C86" w:rsidRDefault="003A0C86" w:rsidP="003A0C86">
      <w:pPr>
        <w:pStyle w:val="05-Textonormal"/>
        <w:rPr>
          <w:rFonts w:cs="Arial"/>
        </w:rPr>
      </w:pPr>
      <w:r>
        <w:rPr>
          <w:rFonts w:cs="Arial"/>
        </w:rPr>
        <w:t xml:space="preserve">Cabe destacar que os resultados robustos de 2024 e a sua sustentabilidade refletem a execução da estratégia de longo prazo da BB Seguridade, que tem como alicerce o propósito da companhia de proporcionar tranquilidade para as pessoas, hoje e sempre. </w:t>
      </w:r>
    </w:p>
    <w:p w14:paraId="463190EA" w14:textId="6275D2EC" w:rsidR="003A0C86" w:rsidRDefault="003A0C86" w:rsidP="003A0C86">
      <w:pPr>
        <w:pStyle w:val="05-Textonormal"/>
        <w:rPr>
          <w:rFonts w:cs="Arial"/>
        </w:rPr>
      </w:pPr>
      <w:r>
        <w:rPr>
          <w:rFonts w:cs="Arial"/>
        </w:rPr>
        <w:t xml:space="preserve">Ao longo do relatório traremos outros detalhes do desempenho da empresa no exercício. </w:t>
      </w:r>
    </w:p>
    <w:p w14:paraId="76912E08" w14:textId="77777777" w:rsidR="003A0C86" w:rsidRDefault="003A0C86" w:rsidP="003A0C86">
      <w:pPr>
        <w:pStyle w:val="05-Textonormal"/>
        <w:rPr>
          <w:rFonts w:cs="Arial"/>
        </w:rPr>
      </w:pPr>
    </w:p>
    <w:p w14:paraId="3A9FDE9F" w14:textId="77777777" w:rsidR="003A0C86" w:rsidRPr="00F35C44" w:rsidRDefault="003A0C86" w:rsidP="003A0C86">
      <w:pPr>
        <w:pStyle w:val="01-TtulodeNota"/>
        <w:rPr>
          <w:rFonts w:cs="Arial"/>
          <w:color w:val="1F3864" w:themeColor="accent1" w:themeShade="80"/>
        </w:rPr>
      </w:pPr>
      <w:r w:rsidRPr="00F35C44">
        <w:rPr>
          <w:rFonts w:cs="Arial"/>
          <w:color w:val="1F3864" w:themeColor="accent1" w:themeShade="80"/>
        </w:rPr>
        <w:t>DESEMPENHO ECONÔMICO-FINANCEIRO</w:t>
      </w:r>
    </w:p>
    <w:p w14:paraId="222C3B07" w14:textId="5D298B2A" w:rsidR="003A0C86" w:rsidRPr="00F35C44" w:rsidRDefault="003A0C86" w:rsidP="003A0C86">
      <w:pPr>
        <w:pStyle w:val="01-Textonormal"/>
        <w:rPr>
          <w:rFonts w:cs="Arial"/>
        </w:rPr>
      </w:pPr>
      <w:r w:rsidRPr="00F35C44">
        <w:rPr>
          <w:rFonts w:cs="Arial"/>
        </w:rPr>
        <w:t xml:space="preserve">Enquanto empresa de participações, o lucro líquido da BB Seguridade é composto pelo resultado de equivalência patrimonial, apurado a partir do resultado de suas empresas investidas, e das demais receitas e despesas operacionais e financeiras da Companhia. </w:t>
      </w:r>
    </w:p>
    <w:p w14:paraId="15E1370A" w14:textId="77777777" w:rsidR="003A0C86" w:rsidRPr="00F35C44" w:rsidRDefault="003A0C86" w:rsidP="003A0C86">
      <w:pPr>
        <w:pStyle w:val="01-Textonormal"/>
        <w:rPr>
          <w:rFonts w:cs="Arial"/>
        </w:rPr>
      </w:pPr>
      <w:r>
        <w:rPr>
          <w:rFonts w:cs="Arial"/>
        </w:rPr>
        <w:t>A seguir</w:t>
      </w:r>
      <w:r w:rsidRPr="00F35C44">
        <w:rPr>
          <w:rFonts w:cs="Arial"/>
        </w:rPr>
        <w:t>, apresentamos o resultado da BB Seguridade para os exercícios 202</w:t>
      </w:r>
      <w:r>
        <w:rPr>
          <w:rFonts w:cs="Arial"/>
        </w:rPr>
        <w:t>4</w:t>
      </w:r>
      <w:r w:rsidRPr="00F35C44">
        <w:rPr>
          <w:rFonts w:cs="Arial"/>
        </w:rPr>
        <w:t xml:space="preserve"> e 202</w:t>
      </w:r>
      <w:r>
        <w:rPr>
          <w:rFonts w:cs="Arial"/>
        </w:rPr>
        <w:t>3, seguindo as normas do CPC-50 [IFRS 17],</w:t>
      </w:r>
      <w:r w:rsidRPr="00F35C44">
        <w:rPr>
          <w:rFonts w:cs="Arial"/>
        </w:rPr>
        <w:t xml:space="preserve"> e os nossos comentários em relação às principais variações ocorridas no exercício:</w:t>
      </w:r>
    </w:p>
    <w:p w14:paraId="7C0936A6" w14:textId="2605CBFF" w:rsidR="003A0C86" w:rsidRPr="00F35C44" w:rsidRDefault="003A0C86" w:rsidP="00C10D3C">
      <w:pPr>
        <w:pStyle w:val="01-TtulodeNota"/>
        <w:pageBreakBefore/>
        <w:rPr>
          <w:rFonts w:cs="Arial"/>
          <w:b w:val="0"/>
          <w:sz w:val="14"/>
        </w:rPr>
      </w:pPr>
      <w:r w:rsidRPr="00F35C44">
        <w:rPr>
          <w:rFonts w:cs="Arial"/>
          <w:b w:val="0"/>
          <w:sz w:val="14"/>
          <w:szCs w:val="14"/>
        </w:rPr>
        <w:lastRenderedPageBreak/>
        <w:t xml:space="preserve">Tabela </w:t>
      </w:r>
      <w:r w:rsidRPr="00F35C44">
        <w:rPr>
          <w:rFonts w:cs="Arial"/>
          <w:b w:val="0"/>
          <w:sz w:val="14"/>
          <w:szCs w:val="14"/>
        </w:rPr>
        <w:fldChar w:fldCharType="begin"/>
      </w:r>
      <w:r w:rsidRPr="00F35C44">
        <w:rPr>
          <w:rFonts w:cs="Arial"/>
          <w:b w:val="0"/>
          <w:sz w:val="14"/>
          <w:szCs w:val="14"/>
        </w:rPr>
        <w:instrText xml:space="preserve"> SEQ Tabela \* ARABIC </w:instrText>
      </w:r>
      <w:r w:rsidRPr="00F35C44">
        <w:rPr>
          <w:rFonts w:cs="Arial"/>
          <w:b w:val="0"/>
          <w:sz w:val="14"/>
          <w:szCs w:val="14"/>
        </w:rPr>
        <w:fldChar w:fldCharType="separate"/>
      </w:r>
      <w:r w:rsidR="00713C42">
        <w:rPr>
          <w:rFonts w:cs="Arial"/>
          <w:b w:val="0"/>
          <w:noProof/>
          <w:sz w:val="14"/>
          <w:szCs w:val="14"/>
        </w:rPr>
        <w:t>1</w:t>
      </w:r>
      <w:r w:rsidRPr="00F35C44">
        <w:rPr>
          <w:rFonts w:cs="Arial"/>
          <w:b w:val="0"/>
          <w:noProof/>
          <w:sz w:val="14"/>
          <w:szCs w:val="14"/>
        </w:rPr>
        <w:fldChar w:fldCharType="end"/>
      </w:r>
      <w:r w:rsidRPr="00F35C44">
        <w:rPr>
          <w:rFonts w:cs="Arial"/>
          <w:b w:val="0"/>
          <w:sz w:val="14"/>
        </w:rPr>
        <w:t xml:space="preserve"> – Desempenho econômico-financeiro | Demonstração de Resultados – Visão Controlador</w:t>
      </w:r>
    </w:p>
    <w:tbl>
      <w:tblPr>
        <w:tblStyle w:val="TabeladeLista6Colorida-nfase5"/>
        <w:tblW w:w="9639" w:type="dxa"/>
        <w:tblLook w:val="04A0" w:firstRow="1" w:lastRow="0" w:firstColumn="1" w:lastColumn="0" w:noHBand="0" w:noVBand="1"/>
      </w:tblPr>
      <w:tblGrid>
        <w:gridCol w:w="4066"/>
        <w:gridCol w:w="1860"/>
        <w:gridCol w:w="1860"/>
        <w:gridCol w:w="1853"/>
      </w:tblGrid>
      <w:tr w:rsidR="003A0C86" w:rsidRPr="00F35C44" w14:paraId="204A0043" w14:textId="77777777" w:rsidTr="00BA17E7">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4066" w:type="dxa"/>
            <w:tcBorders>
              <w:top w:val="single" w:sz="2" w:space="0" w:color="9CC2E5" w:themeColor="accent5" w:themeTint="99"/>
              <w:left w:val="nil"/>
              <w:bottom w:val="nil"/>
              <w:right w:val="nil"/>
            </w:tcBorders>
            <w:shd w:val="clear" w:color="auto" w:fill="auto"/>
            <w:vAlign w:val="center"/>
          </w:tcPr>
          <w:p w14:paraId="08826B1B" w14:textId="77777777" w:rsidR="003A0C86" w:rsidRPr="00F35C44" w:rsidRDefault="003A0C86" w:rsidP="00BA17E7">
            <w:pPr>
              <w:pStyle w:val="08-Tabelageral"/>
              <w:jc w:val="left"/>
              <w:rPr>
                <w:rFonts w:cs="Arial"/>
                <w:lang w:eastAsia="en-US"/>
              </w:rPr>
            </w:pPr>
            <w:bookmarkStart w:id="2" w:name="_Hlk157580692"/>
            <w:r w:rsidRPr="00F35C44">
              <w:rPr>
                <w:rFonts w:cs="Arial"/>
                <w:lang w:eastAsia="en-US"/>
              </w:rPr>
              <w:t>R$ mil</w:t>
            </w:r>
          </w:p>
        </w:tc>
        <w:tc>
          <w:tcPr>
            <w:tcW w:w="1860" w:type="dxa"/>
            <w:vMerge w:val="restart"/>
            <w:tcBorders>
              <w:top w:val="single" w:sz="2" w:space="0" w:color="9CC2E5" w:themeColor="accent5" w:themeTint="99"/>
              <w:left w:val="nil"/>
              <w:bottom w:val="single" w:sz="2" w:space="0" w:color="9CC2E5" w:themeColor="accent5" w:themeTint="99"/>
              <w:right w:val="nil"/>
            </w:tcBorders>
            <w:shd w:val="clear" w:color="auto" w:fill="auto"/>
            <w:vAlign w:val="center"/>
            <w:hideMark/>
          </w:tcPr>
          <w:p w14:paraId="0E539466" w14:textId="77777777" w:rsidR="003A0C86" w:rsidRPr="00F35C44" w:rsidRDefault="003A0C86" w:rsidP="00BA17E7">
            <w:pPr>
              <w:pStyle w:val="08-Tabelageral"/>
              <w:ind w:right="-57"/>
              <w:cnfStyle w:val="100000000000" w:firstRow="1" w:lastRow="0" w:firstColumn="0" w:lastColumn="0" w:oddVBand="0" w:evenVBand="0" w:oddHBand="0" w:evenHBand="0" w:firstRowFirstColumn="0" w:firstRowLastColumn="0" w:lastRowFirstColumn="0" w:lastRowLastColumn="0"/>
              <w:rPr>
                <w:rFonts w:cs="Arial"/>
                <w:lang w:eastAsia="en-US"/>
              </w:rPr>
            </w:pPr>
            <w:r w:rsidRPr="00F35C44">
              <w:rPr>
                <w:rFonts w:cs="Arial"/>
                <w:lang w:eastAsia="en-US"/>
              </w:rPr>
              <w:t>Exercício/202</w:t>
            </w:r>
            <w:r>
              <w:rPr>
                <w:rFonts w:cs="Arial"/>
                <w:lang w:eastAsia="en-US"/>
              </w:rPr>
              <w:t>4</w:t>
            </w:r>
          </w:p>
        </w:tc>
        <w:tc>
          <w:tcPr>
            <w:tcW w:w="1860" w:type="dxa"/>
            <w:vMerge w:val="restart"/>
            <w:tcBorders>
              <w:top w:val="single" w:sz="2" w:space="0" w:color="9CC2E5" w:themeColor="accent5" w:themeTint="99"/>
              <w:left w:val="nil"/>
              <w:bottom w:val="single" w:sz="2" w:space="0" w:color="9CC2E5" w:themeColor="accent5" w:themeTint="99"/>
              <w:right w:val="nil"/>
            </w:tcBorders>
            <w:shd w:val="clear" w:color="auto" w:fill="auto"/>
            <w:vAlign w:val="center"/>
            <w:hideMark/>
          </w:tcPr>
          <w:p w14:paraId="3770B943" w14:textId="77777777" w:rsidR="003A0C86" w:rsidRPr="00F35C44" w:rsidRDefault="003A0C86" w:rsidP="00BA17E7">
            <w:pPr>
              <w:pStyle w:val="08-Tabelageral"/>
              <w:ind w:right="-57"/>
              <w:cnfStyle w:val="100000000000" w:firstRow="1" w:lastRow="0" w:firstColumn="0" w:lastColumn="0" w:oddVBand="0" w:evenVBand="0" w:oddHBand="0" w:evenHBand="0" w:firstRowFirstColumn="0" w:firstRowLastColumn="0" w:lastRowFirstColumn="0" w:lastRowLastColumn="0"/>
              <w:rPr>
                <w:rFonts w:cs="Arial"/>
                <w:lang w:eastAsia="en-US"/>
              </w:rPr>
            </w:pPr>
            <w:r w:rsidRPr="00F35C44">
              <w:rPr>
                <w:rFonts w:cs="Arial"/>
                <w:lang w:eastAsia="en-US"/>
              </w:rPr>
              <w:t>Exercício/202</w:t>
            </w:r>
            <w:r>
              <w:rPr>
                <w:rFonts w:cs="Arial"/>
                <w:lang w:eastAsia="en-US"/>
              </w:rPr>
              <w:t>3</w:t>
            </w:r>
          </w:p>
        </w:tc>
        <w:tc>
          <w:tcPr>
            <w:tcW w:w="1853" w:type="dxa"/>
            <w:tcBorders>
              <w:top w:val="single" w:sz="2" w:space="0" w:color="9CC2E5" w:themeColor="accent5" w:themeTint="99"/>
              <w:left w:val="nil"/>
              <w:bottom w:val="nil"/>
              <w:right w:val="nil"/>
            </w:tcBorders>
            <w:shd w:val="clear" w:color="auto" w:fill="auto"/>
            <w:vAlign w:val="center"/>
            <w:hideMark/>
          </w:tcPr>
          <w:p w14:paraId="7A801F9F" w14:textId="77777777" w:rsidR="003A0C86" w:rsidRPr="00F35C44" w:rsidRDefault="003A0C86" w:rsidP="00BA17E7">
            <w:pPr>
              <w:pStyle w:val="08-Tabelageral"/>
              <w:ind w:right="-57"/>
              <w:cnfStyle w:val="100000000000" w:firstRow="1" w:lastRow="0" w:firstColumn="0" w:lastColumn="0" w:oddVBand="0" w:evenVBand="0" w:oddHBand="0" w:evenHBand="0" w:firstRowFirstColumn="0" w:firstRowLastColumn="0" w:lastRowFirstColumn="0" w:lastRowLastColumn="0"/>
              <w:rPr>
                <w:rFonts w:cs="Arial"/>
                <w:lang w:eastAsia="en-US"/>
              </w:rPr>
            </w:pPr>
            <w:r w:rsidRPr="00F35C44">
              <w:rPr>
                <w:rFonts w:cs="Arial"/>
                <w:lang w:eastAsia="en-US"/>
              </w:rPr>
              <w:t>Var.%</w:t>
            </w:r>
          </w:p>
        </w:tc>
      </w:tr>
      <w:tr w:rsidR="003A0C86" w:rsidRPr="00F35C44" w14:paraId="4CA96B05" w14:textId="77777777" w:rsidTr="00BA17E7">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066" w:type="dxa"/>
            <w:tcBorders>
              <w:top w:val="nil"/>
              <w:left w:val="nil"/>
              <w:bottom w:val="single" w:sz="2" w:space="0" w:color="9CC2E5" w:themeColor="accent5" w:themeTint="99"/>
              <w:right w:val="nil"/>
            </w:tcBorders>
            <w:shd w:val="clear" w:color="auto" w:fill="auto"/>
          </w:tcPr>
          <w:p w14:paraId="51F8DA96" w14:textId="77777777" w:rsidR="003A0C86" w:rsidRPr="00F35C44" w:rsidRDefault="003A0C86" w:rsidP="00BA17E7">
            <w:pPr>
              <w:pStyle w:val="08-Tabelageral"/>
              <w:jc w:val="left"/>
              <w:rPr>
                <w:rFonts w:cs="Arial"/>
                <w:bCs w:val="0"/>
                <w:szCs w:val="14"/>
                <w:lang w:eastAsia="en-US"/>
              </w:rPr>
            </w:pPr>
          </w:p>
        </w:tc>
        <w:tc>
          <w:tcPr>
            <w:tcW w:w="0" w:type="auto"/>
            <w:vMerge/>
            <w:tcBorders>
              <w:top w:val="single" w:sz="2" w:space="0" w:color="9CC2E5" w:themeColor="accent5" w:themeTint="99"/>
              <w:left w:val="nil"/>
              <w:bottom w:val="single" w:sz="2" w:space="0" w:color="9CC2E5" w:themeColor="accent5" w:themeTint="99"/>
              <w:right w:val="nil"/>
            </w:tcBorders>
            <w:shd w:val="clear" w:color="auto" w:fill="auto"/>
            <w:vAlign w:val="center"/>
            <w:hideMark/>
          </w:tcPr>
          <w:p w14:paraId="52E69AF0" w14:textId="77777777" w:rsidR="003A0C86" w:rsidRPr="00F35C44" w:rsidRDefault="003A0C86" w:rsidP="00BA17E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rPr>
            </w:pPr>
          </w:p>
        </w:tc>
        <w:tc>
          <w:tcPr>
            <w:tcW w:w="0" w:type="auto"/>
            <w:vMerge/>
            <w:tcBorders>
              <w:top w:val="single" w:sz="2" w:space="0" w:color="9CC2E5" w:themeColor="accent5" w:themeTint="99"/>
              <w:left w:val="nil"/>
              <w:bottom w:val="single" w:sz="2" w:space="0" w:color="9CC2E5" w:themeColor="accent5" w:themeTint="99"/>
              <w:right w:val="nil"/>
            </w:tcBorders>
            <w:shd w:val="clear" w:color="auto" w:fill="auto"/>
            <w:vAlign w:val="center"/>
            <w:hideMark/>
          </w:tcPr>
          <w:p w14:paraId="73D2B8FC" w14:textId="77777777" w:rsidR="003A0C86" w:rsidRPr="00F35C44" w:rsidRDefault="003A0C86" w:rsidP="00BA17E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rPr>
            </w:pPr>
          </w:p>
        </w:tc>
        <w:tc>
          <w:tcPr>
            <w:tcW w:w="1853" w:type="dxa"/>
            <w:tcBorders>
              <w:top w:val="nil"/>
              <w:left w:val="nil"/>
              <w:bottom w:val="single" w:sz="2" w:space="0" w:color="9CC2E5" w:themeColor="accent5" w:themeTint="99"/>
              <w:right w:val="nil"/>
            </w:tcBorders>
            <w:shd w:val="clear" w:color="auto" w:fill="auto"/>
            <w:vAlign w:val="center"/>
            <w:hideMark/>
          </w:tcPr>
          <w:p w14:paraId="760F868B" w14:textId="77777777" w:rsidR="003A0C86" w:rsidRPr="00F35C44" w:rsidRDefault="003A0C86" w:rsidP="00BA17E7">
            <w:pPr>
              <w:pStyle w:val="08-Tabelageral"/>
              <w:cnfStyle w:val="000000100000" w:firstRow="0" w:lastRow="0" w:firstColumn="0" w:lastColumn="0" w:oddVBand="0" w:evenVBand="0" w:oddHBand="1" w:evenHBand="0" w:firstRowFirstColumn="0" w:firstRowLastColumn="0" w:lastRowFirstColumn="0" w:lastRowLastColumn="0"/>
              <w:rPr>
                <w:rFonts w:cs="Arial"/>
                <w:b/>
                <w:color w:val="auto"/>
                <w:lang w:eastAsia="en-US"/>
              </w:rPr>
            </w:pPr>
            <w:r w:rsidRPr="00F35C44">
              <w:rPr>
                <w:rFonts w:cs="Arial"/>
                <w:b/>
                <w:color w:val="auto"/>
                <w:lang w:eastAsia="en-US"/>
              </w:rPr>
              <w:t>s/ 202</w:t>
            </w:r>
            <w:r>
              <w:rPr>
                <w:rFonts w:cs="Arial"/>
                <w:b/>
                <w:color w:val="auto"/>
                <w:lang w:eastAsia="en-US"/>
              </w:rPr>
              <w:t>3</w:t>
            </w:r>
          </w:p>
        </w:tc>
      </w:tr>
      <w:tr w:rsidR="003A0C86" w:rsidRPr="00F35C44" w14:paraId="4355A9A7" w14:textId="77777777" w:rsidTr="00BA17E7">
        <w:trPr>
          <w:cnfStyle w:val="000000010000" w:firstRow="0" w:lastRow="0" w:firstColumn="0" w:lastColumn="0" w:oddVBand="0" w:evenVBand="0" w:oddHBand="0" w:evenHBand="1" w:firstRowFirstColumn="0" w:firstRowLastColumn="0" w:lastRowFirstColumn="0" w:lastRowLastColumn="0"/>
          <w:trHeight w:hRule="exact" w:val="298"/>
        </w:trPr>
        <w:tc>
          <w:tcPr>
            <w:cnfStyle w:val="001000000000" w:firstRow="0" w:lastRow="0" w:firstColumn="1" w:lastColumn="0" w:oddVBand="0" w:evenVBand="0" w:oddHBand="0" w:evenHBand="0" w:firstRowFirstColumn="0" w:firstRowLastColumn="0" w:lastRowFirstColumn="0" w:lastRowLastColumn="0"/>
            <w:tcW w:w="4066" w:type="dxa"/>
            <w:tcBorders>
              <w:top w:val="single" w:sz="2" w:space="0" w:color="9CC2E5" w:themeColor="accent5" w:themeTint="99"/>
              <w:left w:val="nil"/>
              <w:bottom w:val="nil"/>
              <w:right w:val="nil"/>
            </w:tcBorders>
            <w:shd w:val="clear" w:color="auto" w:fill="auto"/>
            <w:hideMark/>
          </w:tcPr>
          <w:p w14:paraId="1A7B87A5" w14:textId="77777777" w:rsidR="003A0C86" w:rsidRPr="00F35C44" w:rsidRDefault="003A0C86" w:rsidP="00BA17E7">
            <w:pPr>
              <w:pStyle w:val="08-Tabelageral"/>
              <w:jc w:val="left"/>
              <w:rPr>
                <w:rFonts w:cs="Arial"/>
                <w:snapToGrid w:val="0"/>
                <w:lang w:eastAsia="en-US"/>
              </w:rPr>
            </w:pPr>
            <w:r w:rsidRPr="00F35C44">
              <w:rPr>
                <w:rFonts w:cs="Arial"/>
                <w:lang w:eastAsia="en-US"/>
              </w:rPr>
              <w:t>Receitas de investimentos em participações societárias</w:t>
            </w:r>
          </w:p>
        </w:tc>
        <w:tc>
          <w:tcPr>
            <w:tcW w:w="1860" w:type="dxa"/>
            <w:tcBorders>
              <w:top w:val="single" w:sz="2" w:space="0" w:color="9CC2E5" w:themeColor="accent5" w:themeTint="99"/>
              <w:left w:val="nil"/>
              <w:bottom w:val="nil"/>
              <w:right w:val="nil"/>
            </w:tcBorders>
            <w:shd w:val="clear" w:color="auto" w:fill="auto"/>
            <w:vAlign w:val="center"/>
            <w:hideMark/>
          </w:tcPr>
          <w:p w14:paraId="100F7CD7" w14:textId="77777777" w:rsidR="003A0C86" w:rsidRPr="003E6037" w:rsidRDefault="003A0C86" w:rsidP="00BA17E7">
            <w:pPr>
              <w:pStyle w:val="08-Tabelageral"/>
              <w:cnfStyle w:val="000000010000" w:firstRow="0" w:lastRow="0" w:firstColumn="0" w:lastColumn="0" w:oddVBand="0" w:evenVBand="0" w:oddHBand="0" w:evenHBand="1" w:firstRowFirstColumn="0" w:firstRowLastColumn="0" w:lastRowFirstColumn="0" w:lastRowLastColumn="0"/>
              <w:rPr>
                <w:rFonts w:cs="Arial"/>
                <w:b/>
                <w:color w:val="auto"/>
                <w:szCs w:val="14"/>
                <w:lang w:eastAsia="en-US"/>
              </w:rPr>
            </w:pPr>
            <w:r w:rsidRPr="003E6037">
              <w:rPr>
                <w:rFonts w:cs="Arial"/>
                <w:b/>
                <w:color w:val="auto"/>
                <w:szCs w:val="14"/>
                <w:lang w:eastAsia="en-US"/>
              </w:rPr>
              <w:t>8.683.817</w:t>
            </w:r>
          </w:p>
        </w:tc>
        <w:tc>
          <w:tcPr>
            <w:tcW w:w="1860" w:type="dxa"/>
            <w:tcBorders>
              <w:top w:val="single" w:sz="2" w:space="0" w:color="9CC2E5" w:themeColor="accent5" w:themeTint="99"/>
              <w:left w:val="nil"/>
              <w:bottom w:val="nil"/>
              <w:right w:val="nil"/>
            </w:tcBorders>
            <w:shd w:val="clear" w:color="auto" w:fill="auto"/>
            <w:vAlign w:val="center"/>
            <w:hideMark/>
          </w:tcPr>
          <w:p w14:paraId="3D350AEA" w14:textId="77777777" w:rsidR="003A0C86" w:rsidRPr="003E6037" w:rsidRDefault="003A0C86" w:rsidP="00BA17E7">
            <w:pPr>
              <w:pStyle w:val="08-Tabelageral"/>
              <w:cnfStyle w:val="000000010000" w:firstRow="0" w:lastRow="0" w:firstColumn="0" w:lastColumn="0" w:oddVBand="0" w:evenVBand="0" w:oddHBand="0" w:evenHBand="1" w:firstRowFirstColumn="0" w:firstRowLastColumn="0" w:lastRowFirstColumn="0" w:lastRowLastColumn="0"/>
              <w:rPr>
                <w:rFonts w:cs="Arial"/>
                <w:b/>
                <w:color w:val="auto"/>
                <w:szCs w:val="14"/>
                <w:lang w:eastAsia="en-US"/>
              </w:rPr>
            </w:pPr>
            <w:r w:rsidRPr="003E6037">
              <w:rPr>
                <w:rFonts w:cs="Arial"/>
                <w:b/>
                <w:color w:val="auto"/>
                <w:szCs w:val="14"/>
                <w:lang w:eastAsia="en-US"/>
              </w:rPr>
              <w:t>7.925.902</w:t>
            </w:r>
          </w:p>
        </w:tc>
        <w:tc>
          <w:tcPr>
            <w:tcW w:w="1853" w:type="dxa"/>
            <w:tcBorders>
              <w:top w:val="single" w:sz="2" w:space="0" w:color="9CC2E5" w:themeColor="accent5" w:themeTint="99"/>
              <w:left w:val="nil"/>
              <w:bottom w:val="nil"/>
              <w:right w:val="nil"/>
            </w:tcBorders>
            <w:shd w:val="clear" w:color="auto" w:fill="auto"/>
            <w:hideMark/>
          </w:tcPr>
          <w:p w14:paraId="36F07F70" w14:textId="77777777" w:rsidR="003A0C86" w:rsidRPr="003E6037" w:rsidRDefault="003A0C86" w:rsidP="00BA17E7">
            <w:pPr>
              <w:pStyle w:val="08-Tabelageral"/>
              <w:cnfStyle w:val="000000010000" w:firstRow="0" w:lastRow="0" w:firstColumn="0" w:lastColumn="0" w:oddVBand="0" w:evenVBand="0" w:oddHBand="0" w:evenHBand="1" w:firstRowFirstColumn="0" w:firstRowLastColumn="0" w:lastRowFirstColumn="0" w:lastRowLastColumn="0"/>
              <w:rPr>
                <w:rFonts w:cs="Arial"/>
                <w:b/>
                <w:bCs/>
                <w:color w:val="auto"/>
                <w:szCs w:val="14"/>
                <w:lang w:eastAsia="en-US"/>
              </w:rPr>
            </w:pPr>
            <w:r w:rsidRPr="003E6037">
              <w:rPr>
                <w:rFonts w:cs="Arial"/>
                <w:b/>
                <w:bCs/>
                <w:color w:val="auto"/>
                <w:szCs w:val="14"/>
              </w:rPr>
              <w:t>9,6</w:t>
            </w:r>
          </w:p>
        </w:tc>
      </w:tr>
      <w:tr w:rsidR="003A0C86" w:rsidRPr="00F35C44" w14:paraId="04FBBDCB" w14:textId="77777777" w:rsidTr="00BA17E7">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066" w:type="dxa"/>
            <w:tcBorders>
              <w:top w:val="nil"/>
              <w:left w:val="nil"/>
              <w:bottom w:val="nil"/>
              <w:right w:val="nil"/>
            </w:tcBorders>
            <w:shd w:val="clear" w:color="auto" w:fill="auto"/>
            <w:hideMark/>
          </w:tcPr>
          <w:p w14:paraId="485A4DD3" w14:textId="77777777" w:rsidR="003A0C86" w:rsidRPr="00F35C44" w:rsidRDefault="003A0C86" w:rsidP="00BA17E7">
            <w:pPr>
              <w:pStyle w:val="08-Tabelageral"/>
              <w:ind w:left="113"/>
              <w:jc w:val="left"/>
              <w:rPr>
                <w:rFonts w:cs="Arial"/>
                <w:b w:val="0"/>
                <w:snapToGrid w:val="0"/>
                <w:lang w:eastAsia="en-US"/>
              </w:rPr>
            </w:pPr>
            <w:r w:rsidRPr="00F35C44">
              <w:rPr>
                <w:rFonts w:cs="Arial"/>
                <w:b w:val="0"/>
                <w:lang w:eastAsia="en-US"/>
              </w:rPr>
              <w:t>BB MAPFRE Participações S.A. (</w:t>
            </w:r>
            <w:proofErr w:type="spellStart"/>
            <w:r w:rsidRPr="00F35C44">
              <w:rPr>
                <w:rFonts w:cs="Arial"/>
                <w:b w:val="0"/>
                <w:lang w:eastAsia="en-US"/>
              </w:rPr>
              <w:t>Brasilseg</w:t>
            </w:r>
            <w:proofErr w:type="spellEnd"/>
            <w:r w:rsidRPr="00F35C44">
              <w:rPr>
                <w:rFonts w:cs="Arial"/>
                <w:b w:val="0"/>
                <w:lang w:eastAsia="en-US"/>
              </w:rPr>
              <w:t xml:space="preserve"> e ABS)</w:t>
            </w:r>
          </w:p>
        </w:tc>
        <w:tc>
          <w:tcPr>
            <w:tcW w:w="1860" w:type="dxa"/>
            <w:tcBorders>
              <w:top w:val="nil"/>
              <w:left w:val="nil"/>
              <w:bottom w:val="nil"/>
              <w:right w:val="nil"/>
            </w:tcBorders>
            <w:shd w:val="clear" w:color="auto" w:fill="auto"/>
            <w:vAlign w:val="center"/>
            <w:hideMark/>
          </w:tcPr>
          <w:p w14:paraId="4B686F8B" w14:textId="77777777" w:rsidR="003A0C86" w:rsidRPr="003E6037" w:rsidRDefault="003A0C86" w:rsidP="00BA17E7">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lang w:eastAsia="en-US"/>
              </w:rPr>
            </w:pPr>
            <w:r w:rsidRPr="003E6037">
              <w:rPr>
                <w:rFonts w:cs="Arial"/>
                <w:color w:val="auto"/>
                <w:szCs w:val="14"/>
                <w:lang w:eastAsia="en-US"/>
              </w:rPr>
              <w:t>3.295.563</w:t>
            </w:r>
          </w:p>
        </w:tc>
        <w:tc>
          <w:tcPr>
            <w:tcW w:w="1860" w:type="dxa"/>
            <w:tcBorders>
              <w:top w:val="nil"/>
              <w:left w:val="nil"/>
              <w:bottom w:val="nil"/>
              <w:right w:val="nil"/>
            </w:tcBorders>
            <w:shd w:val="clear" w:color="auto" w:fill="auto"/>
            <w:vAlign w:val="center"/>
            <w:hideMark/>
          </w:tcPr>
          <w:p w14:paraId="008C03D0" w14:textId="77777777" w:rsidR="003A0C86" w:rsidRPr="003E6037" w:rsidRDefault="003A0C86" w:rsidP="00BA17E7">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lang w:eastAsia="en-US"/>
              </w:rPr>
            </w:pPr>
            <w:r w:rsidRPr="003E6037">
              <w:rPr>
                <w:rFonts w:cs="Arial"/>
                <w:color w:val="auto"/>
                <w:szCs w:val="14"/>
                <w:lang w:eastAsia="en-US"/>
              </w:rPr>
              <w:t>2.899.970</w:t>
            </w:r>
          </w:p>
        </w:tc>
        <w:tc>
          <w:tcPr>
            <w:tcW w:w="1853" w:type="dxa"/>
            <w:tcBorders>
              <w:top w:val="nil"/>
              <w:left w:val="nil"/>
              <w:bottom w:val="nil"/>
              <w:right w:val="nil"/>
            </w:tcBorders>
            <w:shd w:val="clear" w:color="auto" w:fill="auto"/>
            <w:hideMark/>
          </w:tcPr>
          <w:p w14:paraId="167AEDA6" w14:textId="77777777" w:rsidR="003A0C86" w:rsidRPr="003E6037" w:rsidRDefault="003A0C86" w:rsidP="00BA17E7">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lang w:eastAsia="en-US"/>
              </w:rPr>
            </w:pPr>
            <w:r w:rsidRPr="003E6037">
              <w:rPr>
                <w:rFonts w:cs="Arial"/>
                <w:color w:val="auto"/>
                <w:szCs w:val="14"/>
              </w:rPr>
              <w:t>13,6</w:t>
            </w:r>
          </w:p>
        </w:tc>
      </w:tr>
      <w:tr w:rsidR="003A0C86" w:rsidRPr="00F35C44" w14:paraId="7A290C1D" w14:textId="77777777" w:rsidTr="00BA17E7">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066" w:type="dxa"/>
            <w:tcBorders>
              <w:top w:val="nil"/>
              <w:left w:val="nil"/>
              <w:bottom w:val="nil"/>
              <w:right w:val="nil"/>
            </w:tcBorders>
            <w:shd w:val="clear" w:color="auto" w:fill="auto"/>
            <w:hideMark/>
          </w:tcPr>
          <w:p w14:paraId="48ACD479" w14:textId="77777777" w:rsidR="003A0C86" w:rsidRPr="00F35C44" w:rsidRDefault="003A0C86" w:rsidP="00BA17E7">
            <w:pPr>
              <w:pStyle w:val="08-Tabelageral"/>
              <w:ind w:left="113"/>
              <w:jc w:val="left"/>
              <w:rPr>
                <w:rFonts w:cs="Arial"/>
                <w:b w:val="0"/>
                <w:snapToGrid w:val="0"/>
                <w:lang w:eastAsia="en-US"/>
              </w:rPr>
            </w:pPr>
            <w:r w:rsidRPr="00F35C44">
              <w:rPr>
                <w:rFonts w:cs="Arial"/>
                <w:b w:val="0"/>
                <w:lang w:eastAsia="en-US"/>
              </w:rPr>
              <w:t>Brasilprev Seguros e Previdência S.A.</w:t>
            </w:r>
          </w:p>
        </w:tc>
        <w:tc>
          <w:tcPr>
            <w:tcW w:w="1860" w:type="dxa"/>
            <w:tcBorders>
              <w:top w:val="nil"/>
              <w:left w:val="nil"/>
              <w:bottom w:val="nil"/>
              <w:right w:val="nil"/>
            </w:tcBorders>
            <w:shd w:val="clear" w:color="auto" w:fill="auto"/>
            <w:vAlign w:val="center"/>
            <w:hideMark/>
          </w:tcPr>
          <w:p w14:paraId="295FFF3C" w14:textId="77777777" w:rsidR="003A0C86" w:rsidRPr="003E6037" w:rsidRDefault="003A0C86" w:rsidP="00BA17E7">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lang w:eastAsia="en-US"/>
              </w:rPr>
            </w:pPr>
            <w:r w:rsidRPr="003E6037">
              <w:rPr>
                <w:rFonts w:cs="Arial"/>
                <w:color w:val="auto"/>
                <w:szCs w:val="14"/>
                <w:lang w:eastAsia="en-US"/>
              </w:rPr>
              <w:t>1.801.907</w:t>
            </w:r>
          </w:p>
        </w:tc>
        <w:tc>
          <w:tcPr>
            <w:tcW w:w="1860" w:type="dxa"/>
            <w:tcBorders>
              <w:top w:val="nil"/>
              <w:left w:val="nil"/>
              <w:bottom w:val="nil"/>
              <w:right w:val="nil"/>
            </w:tcBorders>
            <w:shd w:val="clear" w:color="auto" w:fill="auto"/>
            <w:vAlign w:val="center"/>
            <w:hideMark/>
          </w:tcPr>
          <w:p w14:paraId="62CF77B6" w14:textId="77777777" w:rsidR="003A0C86" w:rsidRPr="003E6037" w:rsidRDefault="003A0C86" w:rsidP="00BA17E7">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lang w:eastAsia="en-US"/>
              </w:rPr>
            </w:pPr>
            <w:r w:rsidRPr="003E6037">
              <w:rPr>
                <w:rFonts w:cs="Arial"/>
                <w:color w:val="auto"/>
                <w:szCs w:val="14"/>
                <w:lang w:eastAsia="en-US"/>
              </w:rPr>
              <w:t>1.789.794</w:t>
            </w:r>
          </w:p>
        </w:tc>
        <w:tc>
          <w:tcPr>
            <w:tcW w:w="1853" w:type="dxa"/>
            <w:tcBorders>
              <w:top w:val="nil"/>
              <w:left w:val="nil"/>
              <w:bottom w:val="nil"/>
              <w:right w:val="nil"/>
            </w:tcBorders>
            <w:shd w:val="clear" w:color="auto" w:fill="auto"/>
            <w:hideMark/>
          </w:tcPr>
          <w:p w14:paraId="4C3075EE" w14:textId="77777777" w:rsidR="003A0C86" w:rsidRPr="003E6037" w:rsidRDefault="003A0C86" w:rsidP="00BA17E7">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lang w:eastAsia="en-US"/>
              </w:rPr>
            </w:pPr>
            <w:r w:rsidRPr="003E6037">
              <w:rPr>
                <w:rFonts w:cs="Arial"/>
                <w:color w:val="auto"/>
                <w:szCs w:val="14"/>
              </w:rPr>
              <w:t>0,7</w:t>
            </w:r>
          </w:p>
        </w:tc>
      </w:tr>
      <w:tr w:rsidR="003A0C86" w:rsidRPr="00F35C44" w14:paraId="7C36820D" w14:textId="77777777" w:rsidTr="00BA17E7">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066" w:type="dxa"/>
            <w:tcBorders>
              <w:top w:val="nil"/>
              <w:left w:val="nil"/>
              <w:bottom w:val="nil"/>
              <w:right w:val="nil"/>
            </w:tcBorders>
            <w:shd w:val="clear" w:color="auto" w:fill="auto"/>
            <w:hideMark/>
          </w:tcPr>
          <w:p w14:paraId="13C2C0E1" w14:textId="77777777" w:rsidR="003A0C86" w:rsidRPr="00F35C44" w:rsidRDefault="003A0C86" w:rsidP="00BA17E7">
            <w:pPr>
              <w:pStyle w:val="08-Tabelageral"/>
              <w:ind w:left="113"/>
              <w:jc w:val="left"/>
              <w:rPr>
                <w:rFonts w:cs="Arial"/>
                <w:b w:val="0"/>
                <w:snapToGrid w:val="0"/>
                <w:lang w:eastAsia="en-US"/>
              </w:rPr>
            </w:pPr>
            <w:proofErr w:type="spellStart"/>
            <w:r w:rsidRPr="00F35C44">
              <w:rPr>
                <w:rFonts w:cs="Arial"/>
                <w:b w:val="0"/>
                <w:lang w:eastAsia="en-US"/>
              </w:rPr>
              <w:t>Brasilcap</w:t>
            </w:r>
            <w:proofErr w:type="spellEnd"/>
            <w:r w:rsidRPr="00F35C44">
              <w:rPr>
                <w:rFonts w:cs="Arial"/>
                <w:b w:val="0"/>
                <w:lang w:eastAsia="en-US"/>
              </w:rPr>
              <w:t xml:space="preserve"> Capitalização S.A.</w:t>
            </w:r>
          </w:p>
        </w:tc>
        <w:tc>
          <w:tcPr>
            <w:tcW w:w="1860" w:type="dxa"/>
            <w:tcBorders>
              <w:top w:val="nil"/>
              <w:left w:val="nil"/>
              <w:bottom w:val="nil"/>
              <w:right w:val="nil"/>
            </w:tcBorders>
            <w:shd w:val="clear" w:color="auto" w:fill="auto"/>
            <w:vAlign w:val="center"/>
            <w:hideMark/>
          </w:tcPr>
          <w:p w14:paraId="316E3375" w14:textId="77777777" w:rsidR="003A0C86" w:rsidRPr="003E6037" w:rsidRDefault="003A0C86" w:rsidP="00BA17E7">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lang w:eastAsia="en-US"/>
              </w:rPr>
            </w:pPr>
            <w:r w:rsidRPr="003E6037">
              <w:rPr>
                <w:rFonts w:cs="Arial"/>
                <w:color w:val="auto"/>
                <w:szCs w:val="14"/>
                <w:lang w:eastAsia="en-US"/>
              </w:rPr>
              <w:t>187.464</w:t>
            </w:r>
          </w:p>
        </w:tc>
        <w:tc>
          <w:tcPr>
            <w:tcW w:w="1860" w:type="dxa"/>
            <w:tcBorders>
              <w:top w:val="nil"/>
              <w:left w:val="nil"/>
              <w:bottom w:val="nil"/>
              <w:right w:val="nil"/>
            </w:tcBorders>
            <w:shd w:val="clear" w:color="auto" w:fill="auto"/>
            <w:vAlign w:val="center"/>
            <w:hideMark/>
          </w:tcPr>
          <w:p w14:paraId="6BB8E06D" w14:textId="77777777" w:rsidR="003A0C86" w:rsidRPr="003E6037" w:rsidRDefault="003A0C86" w:rsidP="00BA17E7">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lang w:eastAsia="en-US"/>
              </w:rPr>
            </w:pPr>
            <w:r w:rsidRPr="003E6037">
              <w:rPr>
                <w:rFonts w:cs="Arial"/>
                <w:color w:val="auto"/>
                <w:szCs w:val="14"/>
                <w:lang w:eastAsia="en-US"/>
              </w:rPr>
              <w:t>179.162</w:t>
            </w:r>
          </w:p>
        </w:tc>
        <w:tc>
          <w:tcPr>
            <w:tcW w:w="1853" w:type="dxa"/>
            <w:tcBorders>
              <w:top w:val="nil"/>
              <w:left w:val="nil"/>
              <w:bottom w:val="nil"/>
              <w:right w:val="nil"/>
            </w:tcBorders>
            <w:shd w:val="clear" w:color="auto" w:fill="auto"/>
            <w:hideMark/>
          </w:tcPr>
          <w:p w14:paraId="2E869608" w14:textId="77777777" w:rsidR="003A0C86" w:rsidRPr="003E6037" w:rsidRDefault="003A0C86" w:rsidP="00BA17E7">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lang w:eastAsia="en-US"/>
              </w:rPr>
            </w:pPr>
            <w:r w:rsidRPr="003E6037">
              <w:rPr>
                <w:rFonts w:cs="Arial"/>
                <w:color w:val="auto"/>
                <w:szCs w:val="14"/>
              </w:rPr>
              <w:t>4,6</w:t>
            </w:r>
          </w:p>
        </w:tc>
      </w:tr>
      <w:tr w:rsidR="003A0C86" w:rsidRPr="00F35C44" w14:paraId="6ED2FB16" w14:textId="77777777" w:rsidTr="00BA17E7">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066" w:type="dxa"/>
            <w:tcBorders>
              <w:top w:val="nil"/>
              <w:left w:val="nil"/>
              <w:bottom w:val="nil"/>
              <w:right w:val="nil"/>
            </w:tcBorders>
            <w:shd w:val="clear" w:color="auto" w:fill="auto"/>
            <w:hideMark/>
          </w:tcPr>
          <w:p w14:paraId="5228220F" w14:textId="77777777" w:rsidR="003A0C86" w:rsidRPr="00F35C44" w:rsidRDefault="003A0C86" w:rsidP="00BA17E7">
            <w:pPr>
              <w:pStyle w:val="08-Tabelageral"/>
              <w:ind w:left="113"/>
              <w:jc w:val="left"/>
              <w:rPr>
                <w:rFonts w:cs="Arial"/>
                <w:b w:val="0"/>
                <w:snapToGrid w:val="0"/>
                <w:vertAlign w:val="superscript"/>
                <w:lang w:eastAsia="en-US"/>
              </w:rPr>
            </w:pPr>
            <w:proofErr w:type="spellStart"/>
            <w:r w:rsidRPr="00F35C44">
              <w:rPr>
                <w:rFonts w:cs="Arial"/>
                <w:b w:val="0"/>
                <w:lang w:eastAsia="en-US"/>
              </w:rPr>
              <w:t>Brasildental</w:t>
            </w:r>
            <w:proofErr w:type="spellEnd"/>
            <w:r w:rsidRPr="00F35C44">
              <w:rPr>
                <w:rFonts w:cs="Arial"/>
                <w:b w:val="0"/>
                <w:lang w:eastAsia="en-US"/>
              </w:rPr>
              <w:t xml:space="preserve"> Operadora de Planos Odontológicos S.A.</w:t>
            </w:r>
          </w:p>
        </w:tc>
        <w:tc>
          <w:tcPr>
            <w:tcW w:w="1860" w:type="dxa"/>
            <w:tcBorders>
              <w:top w:val="nil"/>
              <w:left w:val="nil"/>
              <w:bottom w:val="nil"/>
              <w:right w:val="nil"/>
            </w:tcBorders>
            <w:shd w:val="clear" w:color="auto" w:fill="auto"/>
            <w:vAlign w:val="center"/>
            <w:hideMark/>
          </w:tcPr>
          <w:p w14:paraId="68AF84AB" w14:textId="77777777" w:rsidR="003A0C86" w:rsidRPr="003E6037" w:rsidRDefault="003A0C86" w:rsidP="00BA17E7">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lang w:eastAsia="en-US"/>
              </w:rPr>
            </w:pPr>
            <w:r w:rsidRPr="003E6037">
              <w:rPr>
                <w:rFonts w:cs="Arial"/>
                <w:color w:val="auto"/>
                <w:lang w:eastAsia="en-US"/>
              </w:rPr>
              <w:t>19.594</w:t>
            </w:r>
          </w:p>
        </w:tc>
        <w:tc>
          <w:tcPr>
            <w:tcW w:w="1860" w:type="dxa"/>
            <w:tcBorders>
              <w:top w:val="nil"/>
              <w:left w:val="nil"/>
              <w:bottom w:val="nil"/>
              <w:right w:val="nil"/>
            </w:tcBorders>
            <w:shd w:val="clear" w:color="auto" w:fill="auto"/>
            <w:vAlign w:val="center"/>
            <w:hideMark/>
          </w:tcPr>
          <w:p w14:paraId="3081918D" w14:textId="77777777" w:rsidR="003A0C86" w:rsidRPr="003E6037" w:rsidRDefault="003A0C86" w:rsidP="00BA17E7">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lang w:eastAsia="en-US"/>
              </w:rPr>
            </w:pPr>
            <w:r w:rsidRPr="003E6037">
              <w:rPr>
                <w:rFonts w:cs="Arial"/>
                <w:color w:val="auto"/>
                <w:lang w:eastAsia="en-US"/>
              </w:rPr>
              <w:t>18.213</w:t>
            </w:r>
          </w:p>
        </w:tc>
        <w:tc>
          <w:tcPr>
            <w:tcW w:w="1853" w:type="dxa"/>
            <w:tcBorders>
              <w:top w:val="nil"/>
              <w:left w:val="nil"/>
              <w:bottom w:val="nil"/>
              <w:right w:val="nil"/>
            </w:tcBorders>
            <w:shd w:val="clear" w:color="auto" w:fill="auto"/>
            <w:hideMark/>
          </w:tcPr>
          <w:p w14:paraId="75B9AA9B" w14:textId="77777777" w:rsidR="003A0C86" w:rsidRPr="003E6037" w:rsidRDefault="003A0C86" w:rsidP="00BA17E7">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lang w:eastAsia="en-US"/>
              </w:rPr>
            </w:pPr>
            <w:r w:rsidRPr="003E6037">
              <w:rPr>
                <w:rFonts w:cs="Arial"/>
                <w:color w:val="auto"/>
                <w:szCs w:val="14"/>
              </w:rPr>
              <w:t>7,6</w:t>
            </w:r>
          </w:p>
        </w:tc>
      </w:tr>
      <w:tr w:rsidR="003A0C86" w:rsidRPr="00F35C44" w14:paraId="6FDF4743" w14:textId="77777777" w:rsidTr="00BA17E7">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066" w:type="dxa"/>
            <w:tcBorders>
              <w:top w:val="nil"/>
              <w:left w:val="nil"/>
              <w:bottom w:val="nil"/>
              <w:right w:val="nil"/>
            </w:tcBorders>
            <w:shd w:val="clear" w:color="auto" w:fill="auto"/>
            <w:hideMark/>
          </w:tcPr>
          <w:p w14:paraId="2EF761B8" w14:textId="77777777" w:rsidR="003A0C86" w:rsidRPr="00F35C44" w:rsidRDefault="003A0C86" w:rsidP="00BA17E7">
            <w:pPr>
              <w:pStyle w:val="08-Tabelageral"/>
              <w:ind w:left="113"/>
              <w:jc w:val="left"/>
              <w:rPr>
                <w:rFonts w:cs="Arial"/>
                <w:b w:val="0"/>
                <w:snapToGrid w:val="0"/>
                <w:lang w:eastAsia="en-US"/>
              </w:rPr>
            </w:pPr>
            <w:r w:rsidRPr="00F35C44">
              <w:rPr>
                <w:rFonts w:cs="Arial"/>
                <w:b w:val="0"/>
                <w:lang w:eastAsia="en-US"/>
              </w:rPr>
              <w:t>BB Corretora de Seguros e Administradora de Bens S.A.</w:t>
            </w:r>
          </w:p>
        </w:tc>
        <w:tc>
          <w:tcPr>
            <w:tcW w:w="1860" w:type="dxa"/>
            <w:tcBorders>
              <w:top w:val="nil"/>
              <w:left w:val="nil"/>
              <w:bottom w:val="nil"/>
              <w:right w:val="nil"/>
            </w:tcBorders>
            <w:shd w:val="clear" w:color="auto" w:fill="auto"/>
            <w:vAlign w:val="center"/>
            <w:hideMark/>
          </w:tcPr>
          <w:p w14:paraId="636CAAE1" w14:textId="77777777" w:rsidR="003A0C86" w:rsidRPr="003E6037" w:rsidRDefault="003A0C86" w:rsidP="00BA17E7">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lang w:eastAsia="en-US"/>
              </w:rPr>
            </w:pPr>
            <w:r w:rsidRPr="003E6037">
              <w:rPr>
                <w:rFonts w:cs="Arial"/>
                <w:color w:val="auto"/>
                <w:szCs w:val="14"/>
                <w:lang w:eastAsia="en-US"/>
              </w:rPr>
              <w:t>3.308.139</w:t>
            </w:r>
          </w:p>
        </w:tc>
        <w:tc>
          <w:tcPr>
            <w:tcW w:w="1860" w:type="dxa"/>
            <w:tcBorders>
              <w:top w:val="nil"/>
              <w:left w:val="nil"/>
              <w:bottom w:val="nil"/>
              <w:right w:val="nil"/>
            </w:tcBorders>
            <w:shd w:val="clear" w:color="auto" w:fill="auto"/>
            <w:vAlign w:val="center"/>
            <w:hideMark/>
          </w:tcPr>
          <w:p w14:paraId="5AE46E2D" w14:textId="77777777" w:rsidR="003A0C86" w:rsidRPr="003E6037" w:rsidRDefault="003A0C86" w:rsidP="00BA17E7">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lang w:eastAsia="en-US"/>
              </w:rPr>
            </w:pPr>
            <w:r w:rsidRPr="003E6037">
              <w:rPr>
                <w:rFonts w:cs="Arial"/>
                <w:color w:val="auto"/>
                <w:szCs w:val="14"/>
                <w:lang w:eastAsia="en-US"/>
              </w:rPr>
              <w:t>2.988.399</w:t>
            </w:r>
          </w:p>
        </w:tc>
        <w:tc>
          <w:tcPr>
            <w:tcW w:w="1853" w:type="dxa"/>
            <w:tcBorders>
              <w:top w:val="nil"/>
              <w:left w:val="nil"/>
              <w:bottom w:val="nil"/>
              <w:right w:val="nil"/>
            </w:tcBorders>
            <w:shd w:val="clear" w:color="auto" w:fill="auto"/>
            <w:hideMark/>
          </w:tcPr>
          <w:p w14:paraId="08639888" w14:textId="77777777" w:rsidR="003A0C86" w:rsidRPr="003E6037" w:rsidRDefault="003A0C86" w:rsidP="00BA17E7">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lang w:eastAsia="en-US"/>
              </w:rPr>
            </w:pPr>
            <w:r w:rsidRPr="003E6037">
              <w:rPr>
                <w:rFonts w:cs="Arial"/>
                <w:color w:val="auto"/>
                <w:szCs w:val="14"/>
              </w:rPr>
              <w:t>10,7</w:t>
            </w:r>
          </w:p>
        </w:tc>
      </w:tr>
      <w:tr w:rsidR="003A0C86" w:rsidRPr="00F35C44" w14:paraId="5C849044" w14:textId="77777777" w:rsidTr="00BA17E7">
        <w:trPr>
          <w:cnfStyle w:val="000000010000" w:firstRow="0" w:lastRow="0" w:firstColumn="0" w:lastColumn="0" w:oddVBand="0" w:evenVBand="0" w:oddHBand="0" w:evenHBand="1" w:firstRowFirstColumn="0" w:firstRowLastColumn="0" w:lastRowFirstColumn="0" w:lastRowLastColumn="0"/>
          <w:trHeight w:hRule="exact" w:val="266"/>
        </w:trPr>
        <w:tc>
          <w:tcPr>
            <w:cnfStyle w:val="001000000000" w:firstRow="0" w:lastRow="0" w:firstColumn="1" w:lastColumn="0" w:oddVBand="0" w:evenVBand="0" w:oddHBand="0" w:evenHBand="0" w:firstRowFirstColumn="0" w:firstRowLastColumn="0" w:lastRowFirstColumn="0" w:lastRowLastColumn="0"/>
            <w:tcW w:w="4066" w:type="dxa"/>
            <w:tcBorders>
              <w:top w:val="nil"/>
              <w:left w:val="nil"/>
              <w:bottom w:val="nil"/>
              <w:right w:val="nil"/>
            </w:tcBorders>
            <w:shd w:val="clear" w:color="auto" w:fill="auto"/>
            <w:hideMark/>
          </w:tcPr>
          <w:p w14:paraId="63BDB579" w14:textId="77777777" w:rsidR="003A0C86" w:rsidRPr="00F35C44" w:rsidRDefault="003A0C86" w:rsidP="00BA17E7">
            <w:pPr>
              <w:pStyle w:val="08-Tabelageral"/>
              <w:ind w:left="113"/>
              <w:jc w:val="left"/>
              <w:rPr>
                <w:rFonts w:cs="Arial"/>
                <w:b w:val="0"/>
                <w:lang w:eastAsia="en-US"/>
              </w:rPr>
            </w:pPr>
            <w:r w:rsidRPr="00F35C44">
              <w:rPr>
                <w:rFonts w:cs="Arial"/>
                <w:b w:val="0"/>
                <w:lang w:eastAsia="en-US"/>
              </w:rPr>
              <w:t>Outros</w:t>
            </w:r>
          </w:p>
        </w:tc>
        <w:tc>
          <w:tcPr>
            <w:tcW w:w="1860" w:type="dxa"/>
            <w:tcBorders>
              <w:top w:val="nil"/>
              <w:left w:val="nil"/>
              <w:bottom w:val="nil"/>
              <w:right w:val="nil"/>
            </w:tcBorders>
            <w:shd w:val="clear" w:color="auto" w:fill="auto"/>
            <w:vAlign w:val="center"/>
            <w:hideMark/>
          </w:tcPr>
          <w:p w14:paraId="7FE7BE97" w14:textId="77777777" w:rsidR="003A0C86" w:rsidRPr="003E6037" w:rsidRDefault="003A0C86" w:rsidP="00BA17E7">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lang w:eastAsia="en-US"/>
              </w:rPr>
            </w:pPr>
            <w:r w:rsidRPr="003E6037">
              <w:rPr>
                <w:rFonts w:cs="Arial"/>
                <w:color w:val="auto"/>
                <w:szCs w:val="14"/>
                <w:lang w:eastAsia="en-US"/>
              </w:rPr>
              <w:t>71.150</w:t>
            </w:r>
          </w:p>
        </w:tc>
        <w:tc>
          <w:tcPr>
            <w:tcW w:w="1860" w:type="dxa"/>
            <w:tcBorders>
              <w:top w:val="nil"/>
              <w:left w:val="nil"/>
              <w:bottom w:val="nil"/>
              <w:right w:val="nil"/>
            </w:tcBorders>
            <w:shd w:val="clear" w:color="auto" w:fill="auto"/>
            <w:vAlign w:val="center"/>
            <w:hideMark/>
          </w:tcPr>
          <w:p w14:paraId="7887ACAD" w14:textId="77777777" w:rsidR="003A0C86" w:rsidRPr="003E6037" w:rsidRDefault="003A0C86" w:rsidP="00BA17E7">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lang w:eastAsia="en-US"/>
              </w:rPr>
            </w:pPr>
            <w:r w:rsidRPr="003E6037">
              <w:rPr>
                <w:rFonts w:cs="Arial"/>
                <w:color w:val="auto"/>
                <w:szCs w:val="14"/>
                <w:lang w:eastAsia="en-US"/>
              </w:rPr>
              <w:t>50.364</w:t>
            </w:r>
          </w:p>
        </w:tc>
        <w:tc>
          <w:tcPr>
            <w:tcW w:w="1853" w:type="dxa"/>
            <w:tcBorders>
              <w:top w:val="nil"/>
              <w:left w:val="nil"/>
              <w:bottom w:val="nil"/>
              <w:right w:val="nil"/>
            </w:tcBorders>
            <w:shd w:val="clear" w:color="auto" w:fill="auto"/>
            <w:hideMark/>
          </w:tcPr>
          <w:p w14:paraId="07F85293" w14:textId="77777777" w:rsidR="003A0C86" w:rsidRPr="003E6037" w:rsidRDefault="003A0C86" w:rsidP="00BA17E7">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lang w:eastAsia="en-US"/>
              </w:rPr>
            </w:pPr>
            <w:r w:rsidRPr="003E6037">
              <w:rPr>
                <w:rFonts w:cs="Arial"/>
                <w:color w:val="auto"/>
                <w:szCs w:val="14"/>
              </w:rPr>
              <w:t>41,3</w:t>
            </w:r>
          </w:p>
        </w:tc>
      </w:tr>
      <w:tr w:rsidR="003A0C86" w:rsidRPr="00F35C44" w14:paraId="4445EF16" w14:textId="77777777" w:rsidTr="00BA17E7">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066" w:type="dxa"/>
            <w:tcBorders>
              <w:top w:val="nil"/>
              <w:left w:val="nil"/>
              <w:bottom w:val="nil"/>
              <w:right w:val="nil"/>
            </w:tcBorders>
            <w:shd w:val="clear" w:color="auto" w:fill="auto"/>
            <w:hideMark/>
          </w:tcPr>
          <w:p w14:paraId="649F69C0" w14:textId="77777777" w:rsidR="003A0C86" w:rsidRPr="00F35C44" w:rsidRDefault="003A0C86" w:rsidP="00BA17E7">
            <w:pPr>
              <w:pStyle w:val="08-Tabelageral"/>
              <w:jc w:val="left"/>
              <w:rPr>
                <w:rFonts w:cs="Arial"/>
                <w:b w:val="0"/>
                <w:lang w:eastAsia="en-US"/>
              </w:rPr>
            </w:pPr>
            <w:r w:rsidRPr="00F35C44">
              <w:rPr>
                <w:rFonts w:cs="Arial"/>
                <w:lang w:eastAsia="en-US"/>
              </w:rPr>
              <w:t>Outras Receitas e Despesas</w:t>
            </w:r>
          </w:p>
        </w:tc>
        <w:tc>
          <w:tcPr>
            <w:tcW w:w="1860" w:type="dxa"/>
            <w:tcBorders>
              <w:top w:val="nil"/>
              <w:left w:val="nil"/>
              <w:bottom w:val="nil"/>
              <w:right w:val="nil"/>
            </w:tcBorders>
            <w:shd w:val="clear" w:color="auto" w:fill="auto"/>
            <w:vAlign w:val="center"/>
            <w:hideMark/>
          </w:tcPr>
          <w:p w14:paraId="52A8DDEA" w14:textId="77777777" w:rsidR="003A0C86" w:rsidRPr="003E6037" w:rsidRDefault="003A0C86" w:rsidP="00BA17E7">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lang w:eastAsia="en-US"/>
              </w:rPr>
            </w:pPr>
            <w:r w:rsidRPr="003E6037">
              <w:rPr>
                <w:rFonts w:cs="Arial"/>
                <w:b/>
                <w:bCs/>
                <w:color w:val="auto"/>
                <w:szCs w:val="14"/>
                <w:lang w:eastAsia="en-US"/>
              </w:rPr>
              <w:t>(18.972)</w:t>
            </w:r>
          </w:p>
        </w:tc>
        <w:tc>
          <w:tcPr>
            <w:tcW w:w="1860" w:type="dxa"/>
            <w:tcBorders>
              <w:top w:val="nil"/>
              <w:left w:val="nil"/>
              <w:bottom w:val="nil"/>
              <w:right w:val="nil"/>
            </w:tcBorders>
            <w:shd w:val="clear" w:color="auto" w:fill="auto"/>
            <w:vAlign w:val="center"/>
            <w:hideMark/>
          </w:tcPr>
          <w:p w14:paraId="33563AD1" w14:textId="77777777" w:rsidR="003A0C86" w:rsidRPr="003E6037" w:rsidRDefault="003A0C86" w:rsidP="00BA17E7">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lang w:eastAsia="en-US"/>
              </w:rPr>
            </w:pPr>
            <w:r w:rsidRPr="003E6037">
              <w:rPr>
                <w:rFonts w:cs="Arial"/>
                <w:b/>
                <w:bCs/>
                <w:color w:val="auto"/>
                <w:szCs w:val="14"/>
                <w:lang w:eastAsia="en-US"/>
              </w:rPr>
              <w:t>(18.117)</w:t>
            </w:r>
          </w:p>
        </w:tc>
        <w:tc>
          <w:tcPr>
            <w:tcW w:w="1853" w:type="dxa"/>
            <w:tcBorders>
              <w:top w:val="nil"/>
              <w:left w:val="nil"/>
              <w:bottom w:val="nil"/>
              <w:right w:val="nil"/>
            </w:tcBorders>
            <w:shd w:val="clear" w:color="auto" w:fill="auto"/>
            <w:hideMark/>
          </w:tcPr>
          <w:p w14:paraId="0E1B317B" w14:textId="77777777" w:rsidR="003A0C86" w:rsidRPr="003E6037" w:rsidRDefault="003A0C86" w:rsidP="00BA17E7">
            <w:pPr>
              <w:pStyle w:val="08-Tabelageral"/>
              <w:cnfStyle w:val="000000100000" w:firstRow="0" w:lastRow="0" w:firstColumn="0" w:lastColumn="0" w:oddVBand="0" w:evenVBand="0" w:oddHBand="1" w:evenHBand="0" w:firstRowFirstColumn="0" w:firstRowLastColumn="0" w:lastRowFirstColumn="0" w:lastRowLastColumn="0"/>
              <w:rPr>
                <w:rFonts w:cs="Arial"/>
                <w:b/>
                <w:bCs/>
                <w:color w:val="auto"/>
                <w:szCs w:val="14"/>
                <w:lang w:eastAsia="en-US"/>
              </w:rPr>
            </w:pPr>
            <w:r w:rsidRPr="003E6037">
              <w:rPr>
                <w:rFonts w:cs="Arial"/>
                <w:b/>
                <w:bCs/>
                <w:color w:val="auto"/>
                <w:szCs w:val="14"/>
              </w:rPr>
              <w:t>4,7</w:t>
            </w:r>
          </w:p>
        </w:tc>
      </w:tr>
      <w:tr w:rsidR="003A0C86" w:rsidRPr="00F35C44" w14:paraId="1C34370F" w14:textId="77777777" w:rsidTr="00BA17E7">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066" w:type="dxa"/>
            <w:tcBorders>
              <w:top w:val="nil"/>
              <w:left w:val="nil"/>
              <w:bottom w:val="nil"/>
              <w:right w:val="nil"/>
            </w:tcBorders>
            <w:shd w:val="clear" w:color="auto" w:fill="auto"/>
            <w:hideMark/>
          </w:tcPr>
          <w:p w14:paraId="49F1E9B2" w14:textId="77777777" w:rsidR="003A0C86" w:rsidRPr="00F35C44" w:rsidRDefault="003A0C86" w:rsidP="00BA17E7">
            <w:pPr>
              <w:pStyle w:val="08-Tabelageral"/>
              <w:ind w:left="113"/>
              <w:jc w:val="left"/>
              <w:rPr>
                <w:rFonts w:cs="Arial"/>
                <w:snapToGrid w:val="0"/>
                <w:lang w:eastAsia="en-US"/>
              </w:rPr>
            </w:pPr>
            <w:r w:rsidRPr="00F35C44">
              <w:rPr>
                <w:rFonts w:cs="Arial"/>
                <w:b w:val="0"/>
                <w:lang w:eastAsia="en-US"/>
              </w:rPr>
              <w:t>Despesas com pessoal</w:t>
            </w:r>
          </w:p>
        </w:tc>
        <w:tc>
          <w:tcPr>
            <w:tcW w:w="1860" w:type="dxa"/>
            <w:tcBorders>
              <w:top w:val="nil"/>
              <w:left w:val="nil"/>
              <w:bottom w:val="nil"/>
              <w:right w:val="nil"/>
            </w:tcBorders>
            <w:shd w:val="clear" w:color="auto" w:fill="auto"/>
            <w:vAlign w:val="center"/>
            <w:hideMark/>
          </w:tcPr>
          <w:p w14:paraId="609F2F2C" w14:textId="77777777" w:rsidR="003A0C86" w:rsidRPr="003E6037" w:rsidRDefault="003A0C86" w:rsidP="00BA17E7">
            <w:pPr>
              <w:pStyle w:val="08-Tabelageral"/>
              <w:cnfStyle w:val="000000010000" w:firstRow="0" w:lastRow="0" w:firstColumn="0" w:lastColumn="0" w:oddVBand="0" w:evenVBand="0" w:oddHBand="0" w:evenHBand="1" w:firstRowFirstColumn="0" w:firstRowLastColumn="0" w:lastRowFirstColumn="0" w:lastRowLastColumn="0"/>
              <w:rPr>
                <w:rFonts w:cs="Arial"/>
                <w:b/>
                <w:color w:val="auto"/>
                <w:szCs w:val="14"/>
                <w:lang w:eastAsia="en-US"/>
              </w:rPr>
            </w:pPr>
            <w:r w:rsidRPr="003E6037">
              <w:rPr>
                <w:rFonts w:cs="Arial"/>
                <w:color w:val="auto"/>
                <w:szCs w:val="14"/>
                <w:lang w:eastAsia="en-US"/>
              </w:rPr>
              <w:t>(11.853)</w:t>
            </w:r>
          </w:p>
        </w:tc>
        <w:tc>
          <w:tcPr>
            <w:tcW w:w="1860" w:type="dxa"/>
            <w:tcBorders>
              <w:top w:val="nil"/>
              <w:left w:val="nil"/>
              <w:bottom w:val="nil"/>
              <w:right w:val="nil"/>
            </w:tcBorders>
            <w:shd w:val="clear" w:color="auto" w:fill="auto"/>
            <w:vAlign w:val="center"/>
            <w:hideMark/>
          </w:tcPr>
          <w:p w14:paraId="55E19F32" w14:textId="77777777" w:rsidR="003A0C86" w:rsidRPr="003E6037" w:rsidRDefault="003A0C86" w:rsidP="00BA17E7">
            <w:pPr>
              <w:pStyle w:val="08-Tabelageral"/>
              <w:cnfStyle w:val="000000010000" w:firstRow="0" w:lastRow="0" w:firstColumn="0" w:lastColumn="0" w:oddVBand="0" w:evenVBand="0" w:oddHBand="0" w:evenHBand="1" w:firstRowFirstColumn="0" w:firstRowLastColumn="0" w:lastRowFirstColumn="0" w:lastRowLastColumn="0"/>
              <w:rPr>
                <w:rFonts w:cs="Arial"/>
                <w:b/>
                <w:color w:val="auto"/>
                <w:szCs w:val="14"/>
                <w:lang w:eastAsia="en-US"/>
              </w:rPr>
            </w:pPr>
            <w:r w:rsidRPr="003E6037">
              <w:rPr>
                <w:rFonts w:cs="Arial"/>
                <w:color w:val="auto"/>
                <w:szCs w:val="14"/>
                <w:lang w:eastAsia="en-US"/>
              </w:rPr>
              <w:t>(13.129)</w:t>
            </w:r>
          </w:p>
        </w:tc>
        <w:tc>
          <w:tcPr>
            <w:tcW w:w="1853" w:type="dxa"/>
            <w:tcBorders>
              <w:top w:val="nil"/>
              <w:left w:val="nil"/>
              <w:bottom w:val="nil"/>
              <w:right w:val="nil"/>
            </w:tcBorders>
            <w:shd w:val="clear" w:color="auto" w:fill="auto"/>
            <w:hideMark/>
          </w:tcPr>
          <w:p w14:paraId="4BA536CD" w14:textId="77777777" w:rsidR="003A0C86" w:rsidRPr="003E6037" w:rsidRDefault="003A0C86" w:rsidP="00BA17E7">
            <w:pPr>
              <w:pStyle w:val="08-Tabelageral"/>
              <w:cnfStyle w:val="000000010000" w:firstRow="0" w:lastRow="0" w:firstColumn="0" w:lastColumn="0" w:oddVBand="0" w:evenVBand="0" w:oddHBand="0" w:evenHBand="1" w:firstRowFirstColumn="0" w:firstRowLastColumn="0" w:lastRowFirstColumn="0" w:lastRowLastColumn="0"/>
              <w:rPr>
                <w:rFonts w:cs="Arial"/>
                <w:b/>
                <w:color w:val="auto"/>
                <w:szCs w:val="14"/>
                <w:lang w:eastAsia="en-US"/>
              </w:rPr>
            </w:pPr>
            <w:r w:rsidRPr="003E6037">
              <w:rPr>
                <w:rFonts w:cs="Arial"/>
                <w:color w:val="auto"/>
                <w:szCs w:val="14"/>
              </w:rPr>
              <w:t>(9,7)</w:t>
            </w:r>
          </w:p>
        </w:tc>
      </w:tr>
      <w:tr w:rsidR="003A0C86" w:rsidRPr="00F35C44" w14:paraId="677AF4A5" w14:textId="77777777" w:rsidTr="00BA17E7">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066" w:type="dxa"/>
            <w:tcBorders>
              <w:top w:val="nil"/>
              <w:left w:val="nil"/>
              <w:bottom w:val="nil"/>
              <w:right w:val="nil"/>
            </w:tcBorders>
            <w:shd w:val="clear" w:color="auto" w:fill="auto"/>
            <w:hideMark/>
          </w:tcPr>
          <w:p w14:paraId="1A30F319" w14:textId="77777777" w:rsidR="003A0C86" w:rsidRPr="00F35C44" w:rsidRDefault="003A0C86" w:rsidP="00BA17E7">
            <w:pPr>
              <w:pStyle w:val="08-Tabelageral"/>
              <w:ind w:left="113"/>
              <w:jc w:val="left"/>
              <w:rPr>
                <w:rFonts w:cs="Arial"/>
                <w:b w:val="0"/>
                <w:snapToGrid w:val="0"/>
                <w:lang w:eastAsia="en-US"/>
              </w:rPr>
            </w:pPr>
            <w:r w:rsidRPr="00F35C44">
              <w:rPr>
                <w:rFonts w:cs="Arial"/>
                <w:b w:val="0"/>
                <w:lang w:eastAsia="en-US"/>
              </w:rPr>
              <w:t>Despesas administrativas</w:t>
            </w:r>
          </w:p>
        </w:tc>
        <w:tc>
          <w:tcPr>
            <w:tcW w:w="1860" w:type="dxa"/>
            <w:tcBorders>
              <w:top w:val="nil"/>
              <w:left w:val="nil"/>
              <w:bottom w:val="nil"/>
              <w:right w:val="nil"/>
            </w:tcBorders>
            <w:shd w:val="clear" w:color="auto" w:fill="auto"/>
            <w:vAlign w:val="center"/>
            <w:hideMark/>
          </w:tcPr>
          <w:p w14:paraId="62EAC5D8" w14:textId="77777777" w:rsidR="003A0C86" w:rsidRPr="003E6037" w:rsidRDefault="003A0C86" w:rsidP="00BA17E7">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lang w:eastAsia="en-US"/>
              </w:rPr>
            </w:pPr>
            <w:r w:rsidRPr="003E6037">
              <w:rPr>
                <w:rFonts w:cs="Arial"/>
                <w:color w:val="auto"/>
                <w:szCs w:val="14"/>
                <w:lang w:eastAsia="en-US"/>
              </w:rPr>
              <w:t>(3.890)</w:t>
            </w:r>
          </w:p>
        </w:tc>
        <w:tc>
          <w:tcPr>
            <w:tcW w:w="1860" w:type="dxa"/>
            <w:tcBorders>
              <w:top w:val="nil"/>
              <w:left w:val="nil"/>
              <w:bottom w:val="nil"/>
              <w:right w:val="nil"/>
            </w:tcBorders>
            <w:shd w:val="clear" w:color="auto" w:fill="auto"/>
            <w:vAlign w:val="center"/>
            <w:hideMark/>
          </w:tcPr>
          <w:p w14:paraId="63B4DF69" w14:textId="77777777" w:rsidR="003A0C86" w:rsidRPr="003E6037" w:rsidRDefault="003A0C86" w:rsidP="00BA17E7">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lang w:eastAsia="en-US"/>
              </w:rPr>
            </w:pPr>
            <w:r w:rsidRPr="003E6037">
              <w:rPr>
                <w:rFonts w:cs="Arial"/>
                <w:color w:val="auto"/>
                <w:szCs w:val="14"/>
                <w:lang w:eastAsia="en-US"/>
              </w:rPr>
              <w:t>(3.589)</w:t>
            </w:r>
          </w:p>
        </w:tc>
        <w:tc>
          <w:tcPr>
            <w:tcW w:w="1853" w:type="dxa"/>
            <w:tcBorders>
              <w:top w:val="nil"/>
              <w:left w:val="nil"/>
              <w:bottom w:val="nil"/>
              <w:right w:val="nil"/>
            </w:tcBorders>
            <w:shd w:val="clear" w:color="auto" w:fill="auto"/>
            <w:hideMark/>
          </w:tcPr>
          <w:p w14:paraId="2CEBA739" w14:textId="77777777" w:rsidR="003A0C86" w:rsidRPr="003E6037" w:rsidRDefault="003A0C86" w:rsidP="00BA17E7">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lang w:eastAsia="en-US"/>
              </w:rPr>
            </w:pPr>
            <w:r w:rsidRPr="003E6037">
              <w:rPr>
                <w:rFonts w:cs="Arial"/>
                <w:color w:val="auto"/>
                <w:szCs w:val="14"/>
              </w:rPr>
              <w:t>8,4</w:t>
            </w:r>
          </w:p>
        </w:tc>
      </w:tr>
      <w:tr w:rsidR="003A0C86" w:rsidRPr="00F35C44" w14:paraId="7C0129FB" w14:textId="77777777" w:rsidTr="00BA17E7">
        <w:trPr>
          <w:cnfStyle w:val="000000010000" w:firstRow="0" w:lastRow="0" w:firstColumn="0" w:lastColumn="0" w:oddVBand="0" w:evenVBand="0" w:oddHBand="0" w:evenHBand="1" w:firstRowFirstColumn="0" w:firstRowLastColumn="0" w:lastRowFirstColumn="0" w:lastRowLastColumn="0"/>
          <w:trHeight w:hRule="exact" w:val="279"/>
        </w:trPr>
        <w:tc>
          <w:tcPr>
            <w:cnfStyle w:val="001000000000" w:firstRow="0" w:lastRow="0" w:firstColumn="1" w:lastColumn="0" w:oddVBand="0" w:evenVBand="0" w:oddHBand="0" w:evenHBand="0" w:firstRowFirstColumn="0" w:firstRowLastColumn="0" w:lastRowFirstColumn="0" w:lastRowLastColumn="0"/>
            <w:tcW w:w="4066" w:type="dxa"/>
            <w:tcBorders>
              <w:top w:val="nil"/>
              <w:left w:val="nil"/>
              <w:bottom w:val="nil"/>
              <w:right w:val="nil"/>
            </w:tcBorders>
            <w:shd w:val="clear" w:color="auto" w:fill="auto"/>
            <w:hideMark/>
          </w:tcPr>
          <w:p w14:paraId="73084DF5" w14:textId="77777777" w:rsidR="003A0C86" w:rsidRPr="00F35C44" w:rsidRDefault="003A0C86" w:rsidP="00BA17E7">
            <w:pPr>
              <w:pStyle w:val="08-Tabelageral"/>
              <w:ind w:left="113"/>
              <w:jc w:val="left"/>
              <w:rPr>
                <w:rFonts w:cs="Arial"/>
                <w:b w:val="0"/>
                <w:lang w:eastAsia="en-US"/>
              </w:rPr>
            </w:pPr>
            <w:r w:rsidRPr="00F35C44">
              <w:rPr>
                <w:rFonts w:cs="Arial"/>
                <w:b w:val="0"/>
                <w:lang w:eastAsia="en-US"/>
              </w:rPr>
              <w:t>Despesas tributárias</w:t>
            </w:r>
          </w:p>
        </w:tc>
        <w:tc>
          <w:tcPr>
            <w:tcW w:w="1860" w:type="dxa"/>
            <w:tcBorders>
              <w:top w:val="nil"/>
              <w:left w:val="nil"/>
              <w:bottom w:val="nil"/>
              <w:right w:val="nil"/>
            </w:tcBorders>
            <w:shd w:val="clear" w:color="auto" w:fill="auto"/>
            <w:vAlign w:val="center"/>
            <w:hideMark/>
          </w:tcPr>
          <w:p w14:paraId="20A39F0D" w14:textId="77777777" w:rsidR="003A0C86" w:rsidRPr="003E6037" w:rsidRDefault="003A0C86" w:rsidP="00BA17E7">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lang w:eastAsia="en-US"/>
              </w:rPr>
            </w:pPr>
            <w:r w:rsidRPr="003E6037">
              <w:rPr>
                <w:rFonts w:cs="Arial"/>
                <w:color w:val="auto"/>
                <w:szCs w:val="14"/>
                <w:lang w:eastAsia="en-US"/>
              </w:rPr>
              <w:t>(4.562)</w:t>
            </w:r>
          </w:p>
        </w:tc>
        <w:tc>
          <w:tcPr>
            <w:tcW w:w="1860" w:type="dxa"/>
            <w:tcBorders>
              <w:top w:val="nil"/>
              <w:left w:val="nil"/>
              <w:bottom w:val="nil"/>
              <w:right w:val="nil"/>
            </w:tcBorders>
            <w:shd w:val="clear" w:color="auto" w:fill="auto"/>
            <w:vAlign w:val="center"/>
            <w:hideMark/>
          </w:tcPr>
          <w:p w14:paraId="401970B1" w14:textId="77777777" w:rsidR="003A0C86" w:rsidRPr="003E6037" w:rsidRDefault="003A0C86" w:rsidP="00BA17E7">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lang w:eastAsia="en-US"/>
              </w:rPr>
            </w:pPr>
            <w:r w:rsidRPr="003E6037">
              <w:rPr>
                <w:rFonts w:cs="Arial"/>
                <w:color w:val="auto"/>
                <w:szCs w:val="14"/>
                <w:lang w:eastAsia="en-US"/>
              </w:rPr>
              <w:t>(6.798)</w:t>
            </w:r>
          </w:p>
        </w:tc>
        <w:tc>
          <w:tcPr>
            <w:tcW w:w="1853" w:type="dxa"/>
            <w:tcBorders>
              <w:top w:val="nil"/>
              <w:left w:val="nil"/>
              <w:bottom w:val="nil"/>
              <w:right w:val="nil"/>
            </w:tcBorders>
            <w:shd w:val="clear" w:color="auto" w:fill="auto"/>
            <w:hideMark/>
          </w:tcPr>
          <w:p w14:paraId="2B050E45" w14:textId="77777777" w:rsidR="003A0C86" w:rsidRPr="003E6037" w:rsidRDefault="003A0C86" w:rsidP="00BA17E7">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lang w:eastAsia="en-US"/>
              </w:rPr>
            </w:pPr>
            <w:r w:rsidRPr="003E6037">
              <w:rPr>
                <w:rFonts w:cs="Arial"/>
                <w:color w:val="auto"/>
                <w:szCs w:val="14"/>
              </w:rPr>
              <w:t>(32,9)</w:t>
            </w:r>
          </w:p>
        </w:tc>
      </w:tr>
      <w:tr w:rsidR="003A0C86" w:rsidRPr="00F35C44" w14:paraId="0A1C17E7" w14:textId="77777777" w:rsidTr="00BA17E7">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4066" w:type="dxa"/>
            <w:tcBorders>
              <w:top w:val="nil"/>
              <w:left w:val="nil"/>
              <w:bottom w:val="nil"/>
              <w:right w:val="nil"/>
            </w:tcBorders>
            <w:shd w:val="clear" w:color="auto" w:fill="auto"/>
            <w:hideMark/>
          </w:tcPr>
          <w:p w14:paraId="53B475DF" w14:textId="77777777" w:rsidR="003A0C86" w:rsidRPr="00F35C44" w:rsidRDefault="003A0C86" w:rsidP="00BA17E7">
            <w:pPr>
              <w:pStyle w:val="08-Tabelageral"/>
              <w:ind w:left="113"/>
              <w:jc w:val="left"/>
              <w:rPr>
                <w:rFonts w:cs="Arial"/>
                <w:b w:val="0"/>
                <w:lang w:eastAsia="en-US"/>
              </w:rPr>
            </w:pPr>
            <w:r w:rsidRPr="00F35C44">
              <w:rPr>
                <w:rFonts w:cs="Arial"/>
                <w:b w:val="0"/>
                <w:lang w:eastAsia="en-US"/>
              </w:rPr>
              <w:t>Outras receitas/(despesas) operacionais</w:t>
            </w:r>
          </w:p>
        </w:tc>
        <w:tc>
          <w:tcPr>
            <w:tcW w:w="1860" w:type="dxa"/>
            <w:tcBorders>
              <w:top w:val="nil"/>
              <w:left w:val="nil"/>
              <w:bottom w:val="nil"/>
              <w:right w:val="nil"/>
            </w:tcBorders>
            <w:shd w:val="clear" w:color="auto" w:fill="auto"/>
            <w:vAlign w:val="center"/>
            <w:hideMark/>
          </w:tcPr>
          <w:p w14:paraId="4D1AD73C" w14:textId="77777777" w:rsidR="003A0C86" w:rsidRPr="003E6037" w:rsidRDefault="003A0C86" w:rsidP="00BA17E7">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lang w:eastAsia="en-US"/>
              </w:rPr>
            </w:pPr>
            <w:r w:rsidRPr="003E6037">
              <w:rPr>
                <w:rFonts w:cs="Arial"/>
                <w:color w:val="auto"/>
                <w:szCs w:val="14"/>
                <w:lang w:eastAsia="en-US"/>
              </w:rPr>
              <w:t>1.333</w:t>
            </w:r>
          </w:p>
        </w:tc>
        <w:tc>
          <w:tcPr>
            <w:tcW w:w="1860" w:type="dxa"/>
            <w:tcBorders>
              <w:top w:val="nil"/>
              <w:left w:val="nil"/>
              <w:bottom w:val="nil"/>
              <w:right w:val="nil"/>
            </w:tcBorders>
            <w:shd w:val="clear" w:color="auto" w:fill="auto"/>
            <w:vAlign w:val="center"/>
            <w:hideMark/>
          </w:tcPr>
          <w:p w14:paraId="19BFEFDE" w14:textId="77777777" w:rsidR="003A0C86" w:rsidRPr="003E6037" w:rsidRDefault="003A0C86" w:rsidP="00BA17E7">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lang w:eastAsia="en-US"/>
              </w:rPr>
            </w:pPr>
            <w:r w:rsidRPr="003E6037">
              <w:rPr>
                <w:rFonts w:cs="Arial"/>
                <w:color w:val="auto"/>
                <w:szCs w:val="14"/>
                <w:lang w:eastAsia="en-US"/>
              </w:rPr>
              <w:t>5.399</w:t>
            </w:r>
          </w:p>
        </w:tc>
        <w:tc>
          <w:tcPr>
            <w:tcW w:w="1853" w:type="dxa"/>
            <w:tcBorders>
              <w:top w:val="nil"/>
              <w:left w:val="nil"/>
              <w:bottom w:val="nil"/>
              <w:right w:val="nil"/>
            </w:tcBorders>
            <w:shd w:val="clear" w:color="auto" w:fill="auto"/>
            <w:hideMark/>
          </w:tcPr>
          <w:p w14:paraId="7361CDAB" w14:textId="77777777" w:rsidR="003A0C86" w:rsidRPr="003E6037" w:rsidRDefault="003A0C86" w:rsidP="00BA17E7">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lang w:eastAsia="en-US"/>
              </w:rPr>
            </w:pPr>
            <w:r w:rsidRPr="003E6037">
              <w:rPr>
                <w:rFonts w:cs="Arial"/>
                <w:color w:val="auto"/>
                <w:szCs w:val="14"/>
              </w:rPr>
              <w:t>(75,3)</w:t>
            </w:r>
          </w:p>
        </w:tc>
      </w:tr>
      <w:tr w:rsidR="003A0C86" w:rsidRPr="00F35C44" w14:paraId="22583768" w14:textId="77777777" w:rsidTr="00BA17E7">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066" w:type="dxa"/>
            <w:tcBorders>
              <w:top w:val="nil"/>
              <w:left w:val="nil"/>
              <w:bottom w:val="nil"/>
              <w:right w:val="nil"/>
            </w:tcBorders>
            <w:shd w:val="clear" w:color="auto" w:fill="auto"/>
            <w:hideMark/>
          </w:tcPr>
          <w:p w14:paraId="72CDB947" w14:textId="77777777" w:rsidR="003A0C86" w:rsidRPr="00F35C44" w:rsidRDefault="003A0C86" w:rsidP="00BA17E7">
            <w:pPr>
              <w:pStyle w:val="08-Tabelageral"/>
              <w:jc w:val="left"/>
              <w:rPr>
                <w:rFonts w:cs="Arial"/>
                <w:b w:val="0"/>
                <w:snapToGrid w:val="0"/>
                <w:lang w:eastAsia="en-US"/>
              </w:rPr>
            </w:pPr>
            <w:r w:rsidRPr="00F35C44">
              <w:rPr>
                <w:rFonts w:cs="Arial"/>
                <w:lang w:eastAsia="en-US"/>
              </w:rPr>
              <w:t>Resultado financeiro</w:t>
            </w:r>
          </w:p>
        </w:tc>
        <w:tc>
          <w:tcPr>
            <w:tcW w:w="1860" w:type="dxa"/>
            <w:tcBorders>
              <w:top w:val="nil"/>
              <w:left w:val="nil"/>
              <w:bottom w:val="nil"/>
              <w:right w:val="nil"/>
            </w:tcBorders>
            <w:shd w:val="clear" w:color="auto" w:fill="auto"/>
            <w:vAlign w:val="center"/>
            <w:hideMark/>
          </w:tcPr>
          <w:p w14:paraId="5949DA1E" w14:textId="77777777" w:rsidR="003A0C86" w:rsidRPr="003E6037" w:rsidRDefault="003A0C86" w:rsidP="00BA17E7">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lang w:eastAsia="en-US"/>
              </w:rPr>
            </w:pPr>
            <w:r w:rsidRPr="003E6037">
              <w:rPr>
                <w:rFonts w:cs="Arial"/>
                <w:b/>
                <w:bCs/>
                <w:color w:val="auto"/>
                <w:szCs w:val="14"/>
                <w:lang w:eastAsia="en-US"/>
              </w:rPr>
              <w:t>48.021</w:t>
            </w:r>
          </w:p>
        </w:tc>
        <w:tc>
          <w:tcPr>
            <w:tcW w:w="1860" w:type="dxa"/>
            <w:tcBorders>
              <w:top w:val="nil"/>
              <w:left w:val="nil"/>
              <w:bottom w:val="nil"/>
              <w:right w:val="nil"/>
            </w:tcBorders>
            <w:shd w:val="clear" w:color="auto" w:fill="auto"/>
            <w:vAlign w:val="center"/>
            <w:hideMark/>
          </w:tcPr>
          <w:p w14:paraId="01419E86" w14:textId="77777777" w:rsidR="003A0C86" w:rsidRPr="003E6037" w:rsidRDefault="003A0C86" w:rsidP="00BA17E7">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lang w:eastAsia="en-US"/>
              </w:rPr>
            </w:pPr>
            <w:r w:rsidRPr="003E6037">
              <w:rPr>
                <w:rFonts w:cs="Arial"/>
                <w:b/>
                <w:bCs/>
                <w:color w:val="auto"/>
                <w:szCs w:val="14"/>
                <w:lang w:eastAsia="en-US"/>
              </w:rPr>
              <w:t>51.039</w:t>
            </w:r>
          </w:p>
        </w:tc>
        <w:tc>
          <w:tcPr>
            <w:tcW w:w="1853" w:type="dxa"/>
            <w:tcBorders>
              <w:top w:val="nil"/>
              <w:left w:val="nil"/>
              <w:bottom w:val="nil"/>
              <w:right w:val="nil"/>
            </w:tcBorders>
            <w:shd w:val="clear" w:color="auto" w:fill="auto"/>
            <w:hideMark/>
          </w:tcPr>
          <w:p w14:paraId="4D6B2431" w14:textId="77777777" w:rsidR="003A0C86" w:rsidRPr="003E6037" w:rsidRDefault="003A0C86" w:rsidP="00BA17E7">
            <w:pPr>
              <w:pStyle w:val="08-Tabelageral"/>
              <w:cnfStyle w:val="000000010000" w:firstRow="0" w:lastRow="0" w:firstColumn="0" w:lastColumn="0" w:oddVBand="0" w:evenVBand="0" w:oddHBand="0" w:evenHBand="1" w:firstRowFirstColumn="0" w:firstRowLastColumn="0" w:lastRowFirstColumn="0" w:lastRowLastColumn="0"/>
              <w:rPr>
                <w:rFonts w:cs="Arial"/>
                <w:b/>
                <w:bCs/>
                <w:color w:val="auto"/>
                <w:szCs w:val="14"/>
                <w:lang w:eastAsia="en-US"/>
              </w:rPr>
            </w:pPr>
            <w:r w:rsidRPr="003E6037">
              <w:rPr>
                <w:rFonts w:cs="Arial"/>
                <w:b/>
                <w:bCs/>
                <w:color w:val="auto"/>
                <w:szCs w:val="14"/>
              </w:rPr>
              <w:t>(5,9)</w:t>
            </w:r>
          </w:p>
        </w:tc>
      </w:tr>
      <w:tr w:rsidR="003A0C86" w:rsidRPr="00F35C44" w14:paraId="2FEBED11" w14:textId="77777777" w:rsidTr="00BA17E7">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066" w:type="dxa"/>
            <w:tcBorders>
              <w:top w:val="nil"/>
              <w:left w:val="nil"/>
              <w:bottom w:val="nil"/>
              <w:right w:val="nil"/>
            </w:tcBorders>
            <w:shd w:val="clear" w:color="auto" w:fill="auto"/>
            <w:hideMark/>
          </w:tcPr>
          <w:p w14:paraId="2D525A4A" w14:textId="77777777" w:rsidR="003A0C86" w:rsidRPr="00F35C44" w:rsidRDefault="003A0C86" w:rsidP="00BA17E7">
            <w:pPr>
              <w:pStyle w:val="08-Tabelageral"/>
              <w:ind w:left="113"/>
              <w:jc w:val="left"/>
              <w:rPr>
                <w:rFonts w:cs="Arial"/>
                <w:lang w:eastAsia="en-US"/>
              </w:rPr>
            </w:pPr>
            <w:r w:rsidRPr="00F35C44">
              <w:rPr>
                <w:rFonts w:cs="Arial"/>
                <w:b w:val="0"/>
                <w:lang w:eastAsia="en-US"/>
              </w:rPr>
              <w:t>Receitas financeiras</w:t>
            </w:r>
          </w:p>
        </w:tc>
        <w:tc>
          <w:tcPr>
            <w:tcW w:w="1860" w:type="dxa"/>
            <w:tcBorders>
              <w:top w:val="nil"/>
              <w:left w:val="nil"/>
              <w:bottom w:val="nil"/>
              <w:right w:val="nil"/>
            </w:tcBorders>
            <w:shd w:val="clear" w:color="auto" w:fill="auto"/>
            <w:vAlign w:val="center"/>
            <w:hideMark/>
          </w:tcPr>
          <w:p w14:paraId="4B5E83A0" w14:textId="77777777" w:rsidR="003A0C86" w:rsidRPr="003E6037" w:rsidRDefault="003A0C86" w:rsidP="00BA17E7">
            <w:pPr>
              <w:pStyle w:val="08-Tabelageral"/>
              <w:cnfStyle w:val="000000100000" w:firstRow="0" w:lastRow="0" w:firstColumn="0" w:lastColumn="0" w:oddVBand="0" w:evenVBand="0" w:oddHBand="1" w:evenHBand="0" w:firstRowFirstColumn="0" w:firstRowLastColumn="0" w:lastRowFirstColumn="0" w:lastRowLastColumn="0"/>
              <w:rPr>
                <w:rFonts w:cs="Arial"/>
                <w:bCs/>
                <w:color w:val="auto"/>
                <w:szCs w:val="14"/>
                <w:lang w:eastAsia="en-US"/>
              </w:rPr>
            </w:pPr>
            <w:r w:rsidRPr="003E6037">
              <w:rPr>
                <w:rFonts w:cs="Arial"/>
                <w:bCs/>
                <w:color w:val="auto"/>
                <w:szCs w:val="14"/>
                <w:lang w:eastAsia="en-US"/>
              </w:rPr>
              <w:t>89.041</w:t>
            </w:r>
          </w:p>
        </w:tc>
        <w:tc>
          <w:tcPr>
            <w:tcW w:w="1860" w:type="dxa"/>
            <w:tcBorders>
              <w:top w:val="nil"/>
              <w:left w:val="nil"/>
              <w:bottom w:val="nil"/>
              <w:right w:val="nil"/>
            </w:tcBorders>
            <w:shd w:val="clear" w:color="auto" w:fill="auto"/>
            <w:vAlign w:val="center"/>
            <w:hideMark/>
          </w:tcPr>
          <w:p w14:paraId="03EC7A8E" w14:textId="77777777" w:rsidR="003A0C86" w:rsidRPr="003E6037" w:rsidRDefault="003A0C86" w:rsidP="00BA17E7">
            <w:pPr>
              <w:pStyle w:val="08-Tabelageral"/>
              <w:cnfStyle w:val="000000100000" w:firstRow="0" w:lastRow="0" w:firstColumn="0" w:lastColumn="0" w:oddVBand="0" w:evenVBand="0" w:oddHBand="1" w:evenHBand="0" w:firstRowFirstColumn="0" w:firstRowLastColumn="0" w:lastRowFirstColumn="0" w:lastRowLastColumn="0"/>
              <w:rPr>
                <w:rFonts w:cs="Arial"/>
                <w:b/>
                <w:color w:val="auto"/>
                <w:szCs w:val="14"/>
                <w:lang w:eastAsia="en-US"/>
              </w:rPr>
            </w:pPr>
            <w:r w:rsidRPr="003E6037">
              <w:rPr>
                <w:rFonts w:cs="Arial"/>
                <w:bCs/>
                <w:color w:val="auto"/>
                <w:szCs w:val="14"/>
                <w:lang w:eastAsia="en-US"/>
              </w:rPr>
              <w:t>132.900</w:t>
            </w:r>
          </w:p>
        </w:tc>
        <w:tc>
          <w:tcPr>
            <w:tcW w:w="1853" w:type="dxa"/>
            <w:tcBorders>
              <w:top w:val="nil"/>
              <w:left w:val="nil"/>
              <w:bottom w:val="nil"/>
              <w:right w:val="nil"/>
            </w:tcBorders>
            <w:shd w:val="clear" w:color="auto" w:fill="auto"/>
            <w:hideMark/>
          </w:tcPr>
          <w:p w14:paraId="22263C81" w14:textId="77777777" w:rsidR="003A0C86" w:rsidRPr="003E6037" w:rsidRDefault="003A0C86" w:rsidP="00BA17E7">
            <w:pPr>
              <w:pStyle w:val="08-Tabelageral"/>
              <w:cnfStyle w:val="000000100000" w:firstRow="0" w:lastRow="0" w:firstColumn="0" w:lastColumn="0" w:oddVBand="0" w:evenVBand="0" w:oddHBand="1" w:evenHBand="0" w:firstRowFirstColumn="0" w:firstRowLastColumn="0" w:lastRowFirstColumn="0" w:lastRowLastColumn="0"/>
              <w:rPr>
                <w:rFonts w:cs="Arial"/>
                <w:b/>
                <w:color w:val="auto"/>
                <w:szCs w:val="14"/>
                <w:lang w:eastAsia="en-US"/>
              </w:rPr>
            </w:pPr>
            <w:r w:rsidRPr="003E6037">
              <w:rPr>
                <w:rFonts w:cs="Arial"/>
                <w:color w:val="auto"/>
                <w:szCs w:val="14"/>
              </w:rPr>
              <w:t>(33,0)</w:t>
            </w:r>
          </w:p>
        </w:tc>
      </w:tr>
      <w:tr w:rsidR="003A0C86" w:rsidRPr="00F35C44" w14:paraId="2893ACAD" w14:textId="77777777" w:rsidTr="00BA17E7">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066" w:type="dxa"/>
            <w:tcBorders>
              <w:top w:val="nil"/>
              <w:left w:val="nil"/>
              <w:bottom w:val="nil"/>
              <w:right w:val="nil"/>
            </w:tcBorders>
            <w:shd w:val="clear" w:color="auto" w:fill="auto"/>
            <w:hideMark/>
          </w:tcPr>
          <w:p w14:paraId="08F2749A" w14:textId="77777777" w:rsidR="003A0C86" w:rsidRPr="00F35C44" w:rsidRDefault="003A0C86" w:rsidP="00BA17E7">
            <w:pPr>
              <w:pStyle w:val="08-Tabelageral"/>
              <w:ind w:left="113"/>
              <w:jc w:val="left"/>
              <w:rPr>
                <w:rFonts w:cs="Arial"/>
                <w:b w:val="0"/>
                <w:lang w:eastAsia="en-US"/>
              </w:rPr>
            </w:pPr>
            <w:r w:rsidRPr="00F35C44">
              <w:rPr>
                <w:rFonts w:cs="Arial"/>
                <w:b w:val="0"/>
                <w:lang w:eastAsia="en-US"/>
              </w:rPr>
              <w:t>Despesas financeiras</w:t>
            </w:r>
          </w:p>
        </w:tc>
        <w:tc>
          <w:tcPr>
            <w:tcW w:w="1860" w:type="dxa"/>
            <w:tcBorders>
              <w:top w:val="nil"/>
              <w:left w:val="nil"/>
              <w:bottom w:val="nil"/>
              <w:right w:val="nil"/>
            </w:tcBorders>
            <w:shd w:val="clear" w:color="auto" w:fill="auto"/>
            <w:vAlign w:val="center"/>
            <w:hideMark/>
          </w:tcPr>
          <w:p w14:paraId="5870001A" w14:textId="77777777" w:rsidR="003A0C86" w:rsidRPr="003E6037" w:rsidRDefault="003A0C86" w:rsidP="00BA17E7">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lang w:eastAsia="en-US"/>
              </w:rPr>
            </w:pPr>
            <w:r w:rsidRPr="003E6037">
              <w:rPr>
                <w:rFonts w:cs="Arial"/>
                <w:color w:val="auto"/>
                <w:szCs w:val="14"/>
                <w:lang w:eastAsia="en-US"/>
              </w:rPr>
              <w:t>(41.020)</w:t>
            </w:r>
          </w:p>
        </w:tc>
        <w:tc>
          <w:tcPr>
            <w:tcW w:w="1860" w:type="dxa"/>
            <w:tcBorders>
              <w:top w:val="nil"/>
              <w:left w:val="nil"/>
              <w:bottom w:val="nil"/>
              <w:right w:val="nil"/>
            </w:tcBorders>
            <w:shd w:val="clear" w:color="auto" w:fill="auto"/>
            <w:vAlign w:val="center"/>
            <w:hideMark/>
          </w:tcPr>
          <w:p w14:paraId="5BC0BC36" w14:textId="77777777" w:rsidR="003A0C86" w:rsidRPr="003E6037" w:rsidRDefault="003A0C86" w:rsidP="00BA17E7">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lang w:eastAsia="en-US"/>
              </w:rPr>
            </w:pPr>
            <w:r w:rsidRPr="003E6037">
              <w:rPr>
                <w:rFonts w:cs="Arial"/>
                <w:color w:val="auto"/>
                <w:szCs w:val="14"/>
                <w:lang w:eastAsia="en-US"/>
              </w:rPr>
              <w:t>(81.861)</w:t>
            </w:r>
          </w:p>
        </w:tc>
        <w:tc>
          <w:tcPr>
            <w:tcW w:w="1853" w:type="dxa"/>
            <w:tcBorders>
              <w:top w:val="nil"/>
              <w:left w:val="nil"/>
              <w:bottom w:val="nil"/>
              <w:right w:val="nil"/>
            </w:tcBorders>
            <w:shd w:val="clear" w:color="auto" w:fill="auto"/>
            <w:hideMark/>
          </w:tcPr>
          <w:p w14:paraId="0C014A7F" w14:textId="77777777" w:rsidR="003A0C86" w:rsidRPr="003E6037" w:rsidRDefault="003A0C86" w:rsidP="00BA17E7">
            <w:pPr>
              <w:pStyle w:val="08-Tabelageral"/>
              <w:cnfStyle w:val="000000010000" w:firstRow="0" w:lastRow="0" w:firstColumn="0" w:lastColumn="0" w:oddVBand="0" w:evenVBand="0" w:oddHBand="0" w:evenHBand="1" w:firstRowFirstColumn="0" w:firstRowLastColumn="0" w:lastRowFirstColumn="0" w:lastRowLastColumn="0"/>
              <w:rPr>
                <w:rFonts w:cs="Arial"/>
                <w:color w:val="auto"/>
                <w:szCs w:val="14"/>
                <w:lang w:eastAsia="en-US"/>
              </w:rPr>
            </w:pPr>
            <w:r w:rsidRPr="003E6037">
              <w:rPr>
                <w:rFonts w:cs="Arial"/>
                <w:color w:val="auto"/>
                <w:szCs w:val="14"/>
              </w:rPr>
              <w:t>(49,9)</w:t>
            </w:r>
          </w:p>
        </w:tc>
      </w:tr>
      <w:tr w:rsidR="003A0C86" w:rsidRPr="00F35C44" w14:paraId="2BC7936B" w14:textId="77777777" w:rsidTr="00BA17E7">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066" w:type="dxa"/>
            <w:tcBorders>
              <w:top w:val="nil"/>
              <w:left w:val="nil"/>
              <w:bottom w:val="nil"/>
              <w:right w:val="nil"/>
            </w:tcBorders>
            <w:shd w:val="clear" w:color="auto" w:fill="auto"/>
            <w:hideMark/>
          </w:tcPr>
          <w:p w14:paraId="445427B6" w14:textId="77777777" w:rsidR="003A0C86" w:rsidRPr="00F35C44" w:rsidRDefault="003A0C86" w:rsidP="00BA17E7">
            <w:pPr>
              <w:pStyle w:val="08-Tabelageral"/>
              <w:jc w:val="left"/>
              <w:rPr>
                <w:rFonts w:cs="Arial"/>
                <w:b w:val="0"/>
                <w:lang w:eastAsia="en-US"/>
              </w:rPr>
            </w:pPr>
            <w:r w:rsidRPr="00F35C44">
              <w:rPr>
                <w:rFonts w:cs="Arial"/>
                <w:lang w:eastAsia="en-US"/>
              </w:rPr>
              <w:t>Resultado antes de imposto de renda e contribuição social</w:t>
            </w:r>
          </w:p>
        </w:tc>
        <w:tc>
          <w:tcPr>
            <w:tcW w:w="1860" w:type="dxa"/>
            <w:tcBorders>
              <w:top w:val="nil"/>
              <w:left w:val="nil"/>
              <w:bottom w:val="nil"/>
              <w:right w:val="nil"/>
            </w:tcBorders>
            <w:shd w:val="clear" w:color="auto" w:fill="auto"/>
            <w:vAlign w:val="center"/>
            <w:hideMark/>
          </w:tcPr>
          <w:p w14:paraId="6B845A2A" w14:textId="77777777" w:rsidR="003A0C86" w:rsidRPr="003E6037" w:rsidRDefault="003A0C86" w:rsidP="00BA17E7">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lang w:eastAsia="en-US"/>
              </w:rPr>
            </w:pPr>
            <w:r w:rsidRPr="003E6037">
              <w:rPr>
                <w:rFonts w:cs="Arial"/>
                <w:b/>
                <w:bCs/>
                <w:color w:val="auto"/>
                <w:szCs w:val="14"/>
                <w:lang w:eastAsia="en-US"/>
              </w:rPr>
              <w:t>8.712.866</w:t>
            </w:r>
          </w:p>
        </w:tc>
        <w:tc>
          <w:tcPr>
            <w:tcW w:w="1860" w:type="dxa"/>
            <w:tcBorders>
              <w:top w:val="nil"/>
              <w:left w:val="nil"/>
              <w:bottom w:val="nil"/>
              <w:right w:val="nil"/>
            </w:tcBorders>
            <w:shd w:val="clear" w:color="auto" w:fill="auto"/>
            <w:vAlign w:val="center"/>
            <w:hideMark/>
          </w:tcPr>
          <w:p w14:paraId="4F83F06C" w14:textId="77777777" w:rsidR="003A0C86" w:rsidRPr="003E6037" w:rsidRDefault="003A0C86" w:rsidP="00BA17E7">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lang w:eastAsia="en-US"/>
              </w:rPr>
            </w:pPr>
            <w:r w:rsidRPr="003E6037">
              <w:rPr>
                <w:rFonts w:cs="Arial"/>
                <w:b/>
                <w:bCs/>
                <w:color w:val="auto"/>
                <w:szCs w:val="14"/>
                <w:lang w:eastAsia="en-US"/>
              </w:rPr>
              <w:t>7.958.824</w:t>
            </w:r>
          </w:p>
        </w:tc>
        <w:tc>
          <w:tcPr>
            <w:tcW w:w="1853" w:type="dxa"/>
            <w:tcBorders>
              <w:top w:val="nil"/>
              <w:left w:val="nil"/>
              <w:bottom w:val="nil"/>
              <w:right w:val="nil"/>
            </w:tcBorders>
            <w:shd w:val="clear" w:color="auto" w:fill="auto"/>
            <w:hideMark/>
          </w:tcPr>
          <w:p w14:paraId="13AB401F" w14:textId="77777777" w:rsidR="003A0C86" w:rsidRPr="003E6037" w:rsidRDefault="003A0C86" w:rsidP="00BA17E7">
            <w:pPr>
              <w:pStyle w:val="08-Tabelageral"/>
              <w:cnfStyle w:val="000000100000" w:firstRow="0" w:lastRow="0" w:firstColumn="0" w:lastColumn="0" w:oddVBand="0" w:evenVBand="0" w:oddHBand="1" w:evenHBand="0" w:firstRowFirstColumn="0" w:firstRowLastColumn="0" w:lastRowFirstColumn="0" w:lastRowLastColumn="0"/>
              <w:rPr>
                <w:rFonts w:cs="Arial"/>
                <w:b/>
                <w:bCs/>
                <w:color w:val="auto"/>
                <w:szCs w:val="14"/>
                <w:lang w:eastAsia="en-US"/>
              </w:rPr>
            </w:pPr>
            <w:r w:rsidRPr="003E6037">
              <w:rPr>
                <w:rFonts w:cs="Arial"/>
                <w:b/>
                <w:bCs/>
                <w:color w:val="auto"/>
                <w:szCs w:val="14"/>
              </w:rPr>
              <w:t>9,5</w:t>
            </w:r>
          </w:p>
        </w:tc>
      </w:tr>
      <w:tr w:rsidR="003A0C86" w:rsidRPr="00F35C44" w14:paraId="3268999F" w14:textId="77777777" w:rsidTr="00BA17E7">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066" w:type="dxa"/>
            <w:tcBorders>
              <w:top w:val="nil"/>
              <w:left w:val="nil"/>
              <w:bottom w:val="nil"/>
              <w:right w:val="nil"/>
            </w:tcBorders>
            <w:shd w:val="clear" w:color="auto" w:fill="auto"/>
            <w:hideMark/>
          </w:tcPr>
          <w:p w14:paraId="226F4584" w14:textId="77777777" w:rsidR="003A0C86" w:rsidRPr="00F35C44" w:rsidRDefault="003A0C86" w:rsidP="00BA17E7">
            <w:pPr>
              <w:pStyle w:val="08-Tabelageral"/>
              <w:ind w:left="113"/>
              <w:jc w:val="left"/>
              <w:rPr>
                <w:rFonts w:cs="Arial"/>
                <w:snapToGrid w:val="0"/>
                <w:lang w:eastAsia="en-US"/>
              </w:rPr>
            </w:pPr>
            <w:r w:rsidRPr="00F35C44">
              <w:rPr>
                <w:rFonts w:cs="Arial"/>
                <w:b w:val="0"/>
                <w:lang w:eastAsia="en-US"/>
              </w:rPr>
              <w:t>Imposto de renda e contribuição social</w:t>
            </w:r>
          </w:p>
        </w:tc>
        <w:tc>
          <w:tcPr>
            <w:tcW w:w="1860" w:type="dxa"/>
            <w:tcBorders>
              <w:top w:val="nil"/>
              <w:left w:val="nil"/>
              <w:bottom w:val="nil"/>
              <w:right w:val="nil"/>
            </w:tcBorders>
            <w:shd w:val="clear" w:color="auto" w:fill="auto"/>
            <w:vAlign w:val="center"/>
            <w:hideMark/>
          </w:tcPr>
          <w:p w14:paraId="21CAA409" w14:textId="77777777" w:rsidR="003A0C86" w:rsidRPr="003E6037" w:rsidRDefault="003A0C86" w:rsidP="00BA17E7">
            <w:pPr>
              <w:pStyle w:val="08-Tabelageral"/>
              <w:cnfStyle w:val="000000010000" w:firstRow="0" w:lastRow="0" w:firstColumn="0" w:lastColumn="0" w:oddVBand="0" w:evenVBand="0" w:oddHBand="0" w:evenHBand="1" w:firstRowFirstColumn="0" w:firstRowLastColumn="0" w:lastRowFirstColumn="0" w:lastRowLastColumn="0"/>
              <w:rPr>
                <w:rFonts w:cs="Arial"/>
                <w:b/>
                <w:color w:val="auto"/>
                <w:szCs w:val="14"/>
                <w:lang w:eastAsia="en-US"/>
              </w:rPr>
            </w:pPr>
            <w:r w:rsidRPr="003E6037">
              <w:rPr>
                <w:rFonts w:cs="Arial"/>
                <w:color w:val="auto"/>
                <w:szCs w:val="14"/>
                <w:lang w:eastAsia="en-US"/>
              </w:rPr>
              <w:t>(9.513)</w:t>
            </w:r>
          </w:p>
        </w:tc>
        <w:tc>
          <w:tcPr>
            <w:tcW w:w="1860" w:type="dxa"/>
            <w:tcBorders>
              <w:top w:val="nil"/>
              <w:left w:val="nil"/>
              <w:bottom w:val="nil"/>
              <w:right w:val="nil"/>
            </w:tcBorders>
            <w:shd w:val="clear" w:color="auto" w:fill="auto"/>
            <w:vAlign w:val="center"/>
            <w:hideMark/>
          </w:tcPr>
          <w:p w14:paraId="7603A0E4" w14:textId="77777777" w:rsidR="003A0C86" w:rsidRPr="003E6037" w:rsidRDefault="003A0C86" w:rsidP="00BA17E7">
            <w:pPr>
              <w:pStyle w:val="08-Tabelageral"/>
              <w:cnfStyle w:val="000000010000" w:firstRow="0" w:lastRow="0" w:firstColumn="0" w:lastColumn="0" w:oddVBand="0" w:evenVBand="0" w:oddHBand="0" w:evenHBand="1" w:firstRowFirstColumn="0" w:firstRowLastColumn="0" w:lastRowFirstColumn="0" w:lastRowLastColumn="0"/>
              <w:rPr>
                <w:rFonts w:cs="Arial"/>
                <w:b/>
                <w:color w:val="auto"/>
                <w:szCs w:val="14"/>
                <w:lang w:eastAsia="en-US"/>
              </w:rPr>
            </w:pPr>
            <w:r w:rsidRPr="003E6037">
              <w:rPr>
                <w:rFonts w:cs="Arial"/>
                <w:color w:val="auto"/>
                <w:szCs w:val="14"/>
                <w:lang w:eastAsia="en-US"/>
              </w:rPr>
              <w:t>(11.621)</w:t>
            </w:r>
          </w:p>
        </w:tc>
        <w:tc>
          <w:tcPr>
            <w:tcW w:w="1853" w:type="dxa"/>
            <w:tcBorders>
              <w:top w:val="nil"/>
              <w:left w:val="nil"/>
              <w:bottom w:val="nil"/>
              <w:right w:val="nil"/>
            </w:tcBorders>
            <w:shd w:val="clear" w:color="auto" w:fill="auto"/>
            <w:hideMark/>
          </w:tcPr>
          <w:p w14:paraId="044050CE" w14:textId="77777777" w:rsidR="003A0C86" w:rsidRPr="003E6037" w:rsidRDefault="003A0C86" w:rsidP="00BA17E7">
            <w:pPr>
              <w:pStyle w:val="08-Tabelageral"/>
              <w:cnfStyle w:val="000000010000" w:firstRow="0" w:lastRow="0" w:firstColumn="0" w:lastColumn="0" w:oddVBand="0" w:evenVBand="0" w:oddHBand="0" w:evenHBand="1" w:firstRowFirstColumn="0" w:firstRowLastColumn="0" w:lastRowFirstColumn="0" w:lastRowLastColumn="0"/>
              <w:rPr>
                <w:rFonts w:cs="Arial"/>
                <w:b/>
                <w:color w:val="auto"/>
                <w:szCs w:val="14"/>
                <w:lang w:eastAsia="en-US"/>
              </w:rPr>
            </w:pPr>
            <w:r w:rsidRPr="003E6037">
              <w:rPr>
                <w:rFonts w:cs="Arial"/>
                <w:color w:val="auto"/>
                <w:szCs w:val="14"/>
              </w:rPr>
              <w:t>(18,1)</w:t>
            </w:r>
          </w:p>
        </w:tc>
      </w:tr>
      <w:tr w:rsidR="003A0C86" w:rsidRPr="00F35C44" w14:paraId="21BD11D0" w14:textId="77777777" w:rsidTr="00BA17E7">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066" w:type="dxa"/>
            <w:tcBorders>
              <w:top w:val="nil"/>
              <w:left w:val="nil"/>
              <w:bottom w:val="single" w:sz="4" w:space="0" w:color="8EAADB" w:themeColor="accent1" w:themeTint="99"/>
              <w:right w:val="nil"/>
            </w:tcBorders>
            <w:shd w:val="clear" w:color="auto" w:fill="auto"/>
            <w:hideMark/>
          </w:tcPr>
          <w:p w14:paraId="71DA37BC" w14:textId="77777777" w:rsidR="003A0C86" w:rsidRPr="00F35C44" w:rsidRDefault="003A0C86" w:rsidP="00BA17E7">
            <w:pPr>
              <w:pStyle w:val="08-Tabelageral"/>
              <w:jc w:val="left"/>
              <w:rPr>
                <w:rFonts w:cs="Arial"/>
                <w:b w:val="0"/>
                <w:snapToGrid w:val="0"/>
                <w:lang w:eastAsia="en-US"/>
              </w:rPr>
            </w:pPr>
            <w:r w:rsidRPr="00F35C44">
              <w:rPr>
                <w:rFonts w:cs="Arial"/>
                <w:lang w:eastAsia="en-US"/>
              </w:rPr>
              <w:t xml:space="preserve">Lucro líquido </w:t>
            </w:r>
          </w:p>
        </w:tc>
        <w:tc>
          <w:tcPr>
            <w:tcW w:w="1860" w:type="dxa"/>
            <w:tcBorders>
              <w:top w:val="nil"/>
              <w:left w:val="nil"/>
              <w:bottom w:val="single" w:sz="4" w:space="0" w:color="8EAADB" w:themeColor="accent1" w:themeTint="99"/>
              <w:right w:val="nil"/>
            </w:tcBorders>
            <w:shd w:val="clear" w:color="auto" w:fill="auto"/>
            <w:vAlign w:val="center"/>
            <w:hideMark/>
          </w:tcPr>
          <w:p w14:paraId="5B99125E" w14:textId="77777777" w:rsidR="003A0C86" w:rsidRPr="003E6037" w:rsidRDefault="003A0C86" w:rsidP="00BA17E7">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lang w:eastAsia="en-US"/>
              </w:rPr>
            </w:pPr>
            <w:r w:rsidRPr="003E6037">
              <w:rPr>
                <w:rFonts w:cs="Arial"/>
                <w:b/>
                <w:bCs/>
                <w:color w:val="auto"/>
                <w:szCs w:val="14"/>
                <w:lang w:eastAsia="en-US"/>
              </w:rPr>
              <w:t>8.703.353</w:t>
            </w:r>
          </w:p>
        </w:tc>
        <w:tc>
          <w:tcPr>
            <w:tcW w:w="1860" w:type="dxa"/>
            <w:tcBorders>
              <w:top w:val="nil"/>
              <w:left w:val="nil"/>
              <w:bottom w:val="single" w:sz="4" w:space="0" w:color="8EAADB" w:themeColor="accent1" w:themeTint="99"/>
              <w:right w:val="nil"/>
            </w:tcBorders>
            <w:shd w:val="clear" w:color="auto" w:fill="auto"/>
            <w:vAlign w:val="center"/>
            <w:hideMark/>
          </w:tcPr>
          <w:p w14:paraId="1A628FB8" w14:textId="77777777" w:rsidR="003A0C86" w:rsidRPr="003E6037" w:rsidRDefault="003A0C86" w:rsidP="00BA17E7">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lang w:eastAsia="en-US"/>
              </w:rPr>
            </w:pPr>
            <w:r w:rsidRPr="003E6037">
              <w:rPr>
                <w:rFonts w:cs="Arial"/>
                <w:b/>
                <w:bCs/>
                <w:color w:val="auto"/>
                <w:szCs w:val="14"/>
                <w:lang w:eastAsia="en-US"/>
              </w:rPr>
              <w:t>7.947.203</w:t>
            </w:r>
          </w:p>
        </w:tc>
        <w:tc>
          <w:tcPr>
            <w:tcW w:w="1853" w:type="dxa"/>
            <w:tcBorders>
              <w:top w:val="nil"/>
              <w:left w:val="nil"/>
              <w:bottom w:val="single" w:sz="4" w:space="0" w:color="8EAADB" w:themeColor="accent1" w:themeTint="99"/>
              <w:right w:val="nil"/>
            </w:tcBorders>
            <w:shd w:val="clear" w:color="auto" w:fill="auto"/>
            <w:hideMark/>
          </w:tcPr>
          <w:p w14:paraId="52304B14" w14:textId="77777777" w:rsidR="003A0C86" w:rsidRPr="003E6037" w:rsidRDefault="003A0C86" w:rsidP="00BA17E7">
            <w:pPr>
              <w:pStyle w:val="08-Tabelageral"/>
              <w:cnfStyle w:val="000000100000" w:firstRow="0" w:lastRow="0" w:firstColumn="0" w:lastColumn="0" w:oddVBand="0" w:evenVBand="0" w:oddHBand="1" w:evenHBand="0" w:firstRowFirstColumn="0" w:firstRowLastColumn="0" w:lastRowFirstColumn="0" w:lastRowLastColumn="0"/>
              <w:rPr>
                <w:rFonts w:cs="Arial"/>
                <w:b/>
                <w:bCs/>
                <w:color w:val="auto"/>
                <w:szCs w:val="14"/>
                <w:lang w:eastAsia="en-US"/>
              </w:rPr>
            </w:pPr>
            <w:r w:rsidRPr="003E6037">
              <w:rPr>
                <w:rFonts w:cs="Arial"/>
                <w:b/>
                <w:bCs/>
                <w:color w:val="auto"/>
                <w:szCs w:val="14"/>
              </w:rPr>
              <w:t>9,5</w:t>
            </w:r>
          </w:p>
        </w:tc>
      </w:tr>
      <w:bookmarkEnd w:id="2"/>
    </w:tbl>
    <w:p w14:paraId="6D612057" w14:textId="77777777" w:rsidR="003A0C86" w:rsidRPr="00F35C44" w:rsidRDefault="003A0C86" w:rsidP="003A0C86">
      <w:pPr>
        <w:rPr>
          <w:rFonts w:ascii="Arial" w:eastAsia="MS Mincho" w:hAnsi="Arial" w:cs="Arial"/>
          <w:sz w:val="22"/>
          <w:highlight w:val="yellow"/>
          <w:lang w:eastAsia="pt-BR"/>
        </w:rPr>
      </w:pPr>
    </w:p>
    <w:p w14:paraId="4222AA42" w14:textId="77777777" w:rsidR="003A0C86" w:rsidRPr="00D8418C" w:rsidRDefault="003A0C86" w:rsidP="003A0C86">
      <w:pPr>
        <w:pStyle w:val="01-Textonormal"/>
        <w:rPr>
          <w:rFonts w:cs="Arial"/>
        </w:rPr>
      </w:pPr>
      <w:r w:rsidRPr="00D8418C">
        <w:rPr>
          <w:rFonts w:cs="Arial"/>
        </w:rPr>
        <w:t>Em 2024, a BB Seguridade alcançou lucro líquido de R$8,7 bilhões, crescimento de 9,5% em relação ao ano anterior. Dentre os fatores que explicam o incremento de R$756,2 milhões no ano, destacam-se:</w:t>
      </w:r>
    </w:p>
    <w:p w14:paraId="46EA7B2C" w14:textId="77777777" w:rsidR="003A0C86" w:rsidRPr="00D8418C" w:rsidRDefault="003A0C86" w:rsidP="003A0C86">
      <w:pPr>
        <w:pStyle w:val="10-Lista2"/>
        <w:tabs>
          <w:tab w:val="clear" w:pos="360"/>
        </w:tabs>
        <w:spacing w:beforeLines="120" w:before="288" w:afterLines="120" w:after="288"/>
        <w:ind w:left="1003" w:hanging="357"/>
        <w:rPr>
          <w:rFonts w:cs="Arial"/>
        </w:rPr>
      </w:pPr>
      <w:proofErr w:type="spellStart"/>
      <w:r w:rsidRPr="00D8418C">
        <w:rPr>
          <w:rFonts w:cs="Arial"/>
          <w:b/>
          <w:bCs/>
        </w:rPr>
        <w:t>Brasilseg</w:t>
      </w:r>
      <w:proofErr w:type="spellEnd"/>
      <w:r w:rsidRPr="00D8418C">
        <w:rPr>
          <w:rFonts w:cs="Arial"/>
          <w:b/>
          <w:bCs/>
        </w:rPr>
        <w:t xml:space="preserve"> (+R$395,6 milhões):</w:t>
      </w:r>
      <w:r w:rsidRPr="00D8418C">
        <w:rPr>
          <w:rFonts w:cs="Arial"/>
        </w:rPr>
        <w:t xml:space="preserve"> impulsionado </w:t>
      </w:r>
      <w:r>
        <w:rPr>
          <w:rFonts w:cs="Arial"/>
        </w:rPr>
        <w:t>pela</w:t>
      </w:r>
      <w:r w:rsidRPr="00D147CE">
        <w:rPr>
          <w:rFonts w:cs="Arial"/>
        </w:rPr>
        <w:t xml:space="preserve"> melhora da margem de seguros</w:t>
      </w:r>
      <w:r>
        <w:rPr>
          <w:rFonts w:cs="Arial"/>
        </w:rPr>
        <w:t>, com</w:t>
      </w:r>
      <w:r w:rsidRPr="00D147CE">
        <w:rPr>
          <w:rFonts w:cs="Arial"/>
        </w:rPr>
        <w:t xml:space="preserve"> maior reconhecimento de prêmios e melhora da sinistralidade, especialmente nos seguros rural, vida e residencial. Por outro lado, parte desses efeitos foi compensado pelo aumento da sinistralidade do seguro prestamista no ano</w:t>
      </w:r>
      <w:r w:rsidRPr="00D8418C">
        <w:rPr>
          <w:rFonts w:cs="Arial"/>
        </w:rPr>
        <w:t>;</w:t>
      </w:r>
    </w:p>
    <w:p w14:paraId="2C840E9E" w14:textId="77777777" w:rsidR="003A0C86" w:rsidRDefault="003A0C86" w:rsidP="003A0C86">
      <w:pPr>
        <w:pStyle w:val="10-Lista2"/>
        <w:tabs>
          <w:tab w:val="clear" w:pos="360"/>
        </w:tabs>
        <w:spacing w:beforeLines="120" w:before="288" w:afterLines="120" w:after="288"/>
        <w:ind w:left="1003" w:hanging="357"/>
        <w:rPr>
          <w:rFonts w:cs="Arial"/>
        </w:rPr>
      </w:pPr>
      <w:r w:rsidRPr="005E76A0">
        <w:rPr>
          <w:rFonts w:cs="Arial"/>
          <w:b/>
          <w:bCs/>
        </w:rPr>
        <w:t xml:space="preserve">BB Corretora (+R$319,7 milhões): </w:t>
      </w:r>
      <w:r w:rsidRPr="005E76A0">
        <w:rPr>
          <w:rFonts w:cs="Arial"/>
        </w:rPr>
        <w:t xml:space="preserve">com melhora da margem </w:t>
      </w:r>
      <w:r w:rsidRPr="007C46FA">
        <w:rPr>
          <w:rFonts w:cs="Arial"/>
        </w:rPr>
        <w:t>operacional</w:t>
      </w:r>
      <w:r>
        <w:rPr>
          <w:rFonts w:cs="Arial"/>
        </w:rPr>
        <w:t xml:space="preserve"> e</w:t>
      </w:r>
      <w:r w:rsidRPr="007C46FA">
        <w:rPr>
          <w:rFonts w:cs="Arial"/>
        </w:rPr>
        <w:t xml:space="preserve"> alta do resultado financeiro</w:t>
      </w:r>
      <w:r>
        <w:rPr>
          <w:rFonts w:cs="Arial"/>
        </w:rPr>
        <w:t xml:space="preserve"> decorrente de aumento do saldo médio de aplicações</w:t>
      </w:r>
      <w:r w:rsidRPr="007C46FA">
        <w:rPr>
          <w:rFonts w:cs="Arial"/>
        </w:rPr>
        <w:t>;</w:t>
      </w:r>
    </w:p>
    <w:p w14:paraId="61318FC0" w14:textId="1DCCA586" w:rsidR="003A0C86" w:rsidRPr="00275A49" w:rsidRDefault="003A0C86" w:rsidP="003A0C86">
      <w:pPr>
        <w:pStyle w:val="10-Lista2"/>
        <w:tabs>
          <w:tab w:val="clear" w:pos="360"/>
        </w:tabs>
        <w:spacing w:beforeLines="120" w:before="288" w:afterLines="120" w:after="288"/>
        <w:ind w:left="1003" w:hanging="357"/>
        <w:rPr>
          <w:rFonts w:cs="Arial"/>
        </w:rPr>
      </w:pPr>
      <w:r w:rsidRPr="00275A49">
        <w:rPr>
          <w:rFonts w:cs="Arial"/>
          <w:b/>
          <w:bCs/>
        </w:rPr>
        <w:t xml:space="preserve">Outros (+R$20,8 milhões): </w:t>
      </w:r>
      <w:r w:rsidRPr="00275A49">
        <w:rPr>
          <w:rFonts w:cs="Arial"/>
        </w:rPr>
        <w:t xml:space="preserve">em função da alta do resultado financeiro na </w:t>
      </w:r>
      <w:r w:rsidRPr="00683FF9">
        <w:rPr>
          <w:rFonts w:cs="Arial"/>
        </w:rPr>
        <w:t>holding</w:t>
      </w:r>
      <w:r w:rsidRPr="00275A49">
        <w:rPr>
          <w:rFonts w:cs="Arial"/>
        </w:rPr>
        <w:t xml:space="preserve"> BB Seguros, </w:t>
      </w:r>
      <w:r>
        <w:rPr>
          <w:rFonts w:cs="Arial"/>
        </w:rPr>
        <w:t>resultado do</w:t>
      </w:r>
      <w:r w:rsidRPr="00275A49">
        <w:rPr>
          <w:rFonts w:cs="Arial"/>
        </w:rPr>
        <w:t xml:space="preserve"> menor volume de despesas com atualização monetária de dividendos; </w:t>
      </w:r>
    </w:p>
    <w:p w14:paraId="36863329" w14:textId="77777777" w:rsidR="003A0C86" w:rsidRDefault="003A0C86" w:rsidP="003A0C86">
      <w:pPr>
        <w:pStyle w:val="10-Lista2"/>
        <w:tabs>
          <w:tab w:val="clear" w:pos="360"/>
        </w:tabs>
        <w:spacing w:beforeLines="120" w:before="288" w:afterLines="120" w:after="288"/>
        <w:ind w:left="1003" w:hanging="357"/>
        <w:rPr>
          <w:rFonts w:cs="Arial"/>
        </w:rPr>
      </w:pPr>
      <w:r w:rsidRPr="007C46FA">
        <w:rPr>
          <w:rFonts w:cs="Arial"/>
          <w:b/>
          <w:bCs/>
        </w:rPr>
        <w:t>Brasilprev (+R$12,1 milhões):</w:t>
      </w:r>
      <w:r w:rsidRPr="007C46FA">
        <w:rPr>
          <w:rFonts w:cs="Arial"/>
        </w:rPr>
        <w:t xml:space="preserve"> explicado pel</w:t>
      </w:r>
      <w:r>
        <w:rPr>
          <w:rFonts w:cs="Arial"/>
        </w:rPr>
        <w:t>a alta do</w:t>
      </w:r>
      <w:r w:rsidRPr="007C46FA">
        <w:rPr>
          <w:rFonts w:cs="Arial"/>
        </w:rPr>
        <w:t xml:space="preserve"> resultado operacional, a partir do aumento na liberação da</w:t>
      </w:r>
      <w:r>
        <w:rPr>
          <w:rFonts w:cs="Arial"/>
        </w:rPr>
        <w:t xml:space="preserve"> margem contratual de seguro</w:t>
      </w:r>
      <w:r w:rsidRPr="007C46FA">
        <w:rPr>
          <w:rFonts w:cs="Arial"/>
        </w:rPr>
        <w:t xml:space="preserve"> </w:t>
      </w:r>
      <w:r>
        <w:rPr>
          <w:rFonts w:cs="Arial"/>
        </w:rPr>
        <w:t>(“</w:t>
      </w:r>
      <w:r w:rsidRPr="007C46FA">
        <w:rPr>
          <w:rFonts w:cs="Arial"/>
        </w:rPr>
        <w:t>CSM</w:t>
      </w:r>
      <w:r>
        <w:rPr>
          <w:rFonts w:cs="Arial"/>
        </w:rPr>
        <w:t>”)</w:t>
      </w:r>
      <w:r w:rsidRPr="007C46FA">
        <w:rPr>
          <w:rFonts w:cs="Arial"/>
        </w:rPr>
        <w:t xml:space="preserve"> relativa aos planos PGBL e VGBL</w:t>
      </w:r>
      <w:r>
        <w:rPr>
          <w:rFonts w:cs="Arial"/>
        </w:rPr>
        <w:t>.</w:t>
      </w:r>
      <w:r w:rsidRPr="007C46FA">
        <w:rPr>
          <w:rFonts w:cs="Arial"/>
        </w:rPr>
        <w:t xml:space="preserve"> Adicionalmente, no ano houve maior liberação do componente de perda dos planos tradicionais apurado na transição para o novo padrão contábil (IFRS 17), considerando um </w:t>
      </w:r>
      <w:r>
        <w:rPr>
          <w:rFonts w:cs="Arial"/>
        </w:rPr>
        <w:t>aumento das saídas (resgates e migrações).</w:t>
      </w:r>
      <w:r w:rsidRPr="00E83C4E">
        <w:rPr>
          <w:rFonts w:cs="Arial"/>
        </w:rPr>
        <w:t xml:space="preserve"> </w:t>
      </w:r>
    </w:p>
    <w:p w14:paraId="3EDF9673" w14:textId="77777777" w:rsidR="003A0C86" w:rsidRPr="00E83C4E" w:rsidRDefault="003A0C86" w:rsidP="003A0C86">
      <w:pPr>
        <w:pStyle w:val="10-Lista2"/>
        <w:tabs>
          <w:tab w:val="clear" w:pos="360"/>
        </w:tabs>
        <w:spacing w:beforeLines="120" w:before="288" w:afterLines="120" w:after="288"/>
        <w:ind w:hanging="360"/>
        <w:rPr>
          <w:rFonts w:cs="Arial"/>
        </w:rPr>
      </w:pPr>
      <w:proofErr w:type="spellStart"/>
      <w:r w:rsidRPr="00E83C4E">
        <w:rPr>
          <w:rFonts w:cs="Arial"/>
          <w:b/>
          <w:bCs/>
        </w:rPr>
        <w:t>Brasilcap</w:t>
      </w:r>
      <w:proofErr w:type="spellEnd"/>
      <w:r w:rsidRPr="00E83C4E">
        <w:rPr>
          <w:rFonts w:cs="Arial"/>
          <w:b/>
          <w:bCs/>
        </w:rPr>
        <w:t xml:space="preserve"> (+R$8,3 milhões):</w:t>
      </w:r>
      <w:r w:rsidRPr="00E83C4E">
        <w:rPr>
          <w:rFonts w:cs="Arial"/>
        </w:rPr>
        <w:t xml:space="preserve"> com alta do resultado financeiro, devido à redução do custo do passivo, e menor alíquota efetiva de impostos decorrente da decisão favorável em ação coletiva acerca da cobrança de CSLL.</w:t>
      </w:r>
    </w:p>
    <w:p w14:paraId="229B914C" w14:textId="4EF6C24C" w:rsidR="003A0C86" w:rsidRDefault="003A0C86" w:rsidP="003A0C86">
      <w:pPr>
        <w:pStyle w:val="050-TextoPadro"/>
        <w:rPr>
          <w:rFonts w:cs="Arial"/>
          <w:highlight w:val="yellow"/>
        </w:rPr>
      </w:pPr>
      <w:r w:rsidRPr="00D8418C">
        <w:rPr>
          <w:rFonts w:cs="Arial"/>
        </w:rPr>
        <w:t xml:space="preserve">A linha de </w:t>
      </w:r>
      <w:r>
        <w:rPr>
          <w:rFonts w:cs="Arial"/>
        </w:rPr>
        <w:t>O</w:t>
      </w:r>
      <w:r w:rsidRPr="00D8418C">
        <w:rPr>
          <w:rFonts w:cs="Arial"/>
        </w:rPr>
        <w:t xml:space="preserve">utras </w:t>
      </w:r>
      <w:r>
        <w:rPr>
          <w:rFonts w:cs="Arial"/>
        </w:rPr>
        <w:t>R</w:t>
      </w:r>
      <w:r w:rsidRPr="00D8418C">
        <w:rPr>
          <w:rFonts w:cs="Arial"/>
        </w:rPr>
        <w:t xml:space="preserve">eceitas e </w:t>
      </w:r>
      <w:r>
        <w:rPr>
          <w:rFonts w:cs="Arial"/>
        </w:rPr>
        <w:t>D</w:t>
      </w:r>
      <w:r w:rsidRPr="00D8418C">
        <w:rPr>
          <w:rFonts w:cs="Arial"/>
        </w:rPr>
        <w:t>espesas apresentou aumento de R$855 mil (+4,7%), variação explicada em grande parte pela redução no volume de receitas do programa de ADR Nível I registradas em outras receitas e despesas operacionais.</w:t>
      </w:r>
      <w:bookmarkStart w:id="3" w:name="_Hlk157580621"/>
      <w:bookmarkStart w:id="4" w:name="_Hlk94626662"/>
      <w:r w:rsidRPr="00D8418C">
        <w:rPr>
          <w:rFonts w:cs="Arial"/>
        </w:rPr>
        <w:t xml:space="preserve"> Entretanto, parte desse efeito foi compensado </w:t>
      </w:r>
      <w:r>
        <w:rPr>
          <w:rFonts w:cs="Arial"/>
        </w:rPr>
        <w:t>pela queda observada em</w:t>
      </w:r>
      <w:r w:rsidRPr="00D8418C">
        <w:rPr>
          <w:rFonts w:cs="Arial"/>
        </w:rPr>
        <w:t xml:space="preserve"> despesas com tributos, consequência da redução das receitas financeiras da </w:t>
      </w:r>
      <w:r w:rsidRPr="00521028">
        <w:rPr>
          <w:rFonts w:cs="Arial"/>
          <w:i/>
          <w:iCs/>
        </w:rPr>
        <w:t>holding</w:t>
      </w:r>
      <w:r w:rsidRPr="00D8418C">
        <w:rPr>
          <w:rFonts w:cs="Arial"/>
        </w:rPr>
        <w:t xml:space="preserve">, e </w:t>
      </w:r>
      <w:r>
        <w:rPr>
          <w:rFonts w:cs="Arial"/>
        </w:rPr>
        <w:t xml:space="preserve">em </w:t>
      </w:r>
      <w:r w:rsidRPr="00D8418C">
        <w:rPr>
          <w:rFonts w:cs="Arial"/>
        </w:rPr>
        <w:t xml:space="preserve">despesas com pessoal, considerando a revisão dos percentuais de rateio de despesas entre </w:t>
      </w:r>
      <w:r w:rsidRPr="00521028">
        <w:rPr>
          <w:rFonts w:cs="Arial"/>
          <w:i/>
          <w:iCs/>
        </w:rPr>
        <w:t>holdings</w:t>
      </w:r>
      <w:r w:rsidRPr="00D8418C">
        <w:rPr>
          <w:rFonts w:cs="Arial"/>
        </w:rPr>
        <w:t xml:space="preserve"> e BB Corretora, além da diminuição do quadro de funcionários em relação a 2023 devido a posiç</w:t>
      </w:r>
      <w:r>
        <w:rPr>
          <w:rFonts w:cs="Arial"/>
        </w:rPr>
        <w:t>ões</w:t>
      </w:r>
      <w:r w:rsidRPr="00D8418C">
        <w:rPr>
          <w:rFonts w:cs="Arial"/>
        </w:rPr>
        <w:t xml:space="preserve"> </w:t>
      </w:r>
      <w:r>
        <w:rPr>
          <w:rFonts w:cs="Arial"/>
        </w:rPr>
        <w:t xml:space="preserve">que permaneceram </w:t>
      </w:r>
      <w:r w:rsidRPr="00D8418C">
        <w:rPr>
          <w:rFonts w:cs="Arial"/>
        </w:rPr>
        <w:t>em aberto</w:t>
      </w:r>
      <w:r>
        <w:rPr>
          <w:rFonts w:cs="Arial"/>
        </w:rPr>
        <w:t xml:space="preserve"> em atividades da </w:t>
      </w:r>
      <w:r w:rsidRPr="00521028">
        <w:rPr>
          <w:rFonts w:cs="Arial"/>
          <w:i/>
          <w:iCs/>
        </w:rPr>
        <w:t>holding</w:t>
      </w:r>
      <w:r w:rsidRPr="00D8418C">
        <w:rPr>
          <w:rFonts w:cs="Arial"/>
        </w:rPr>
        <w:t xml:space="preserve">.   </w:t>
      </w:r>
      <w:r w:rsidRPr="00D8418C">
        <w:rPr>
          <w:rFonts w:cs="Arial"/>
          <w:highlight w:val="yellow"/>
        </w:rPr>
        <w:t xml:space="preserve"> </w:t>
      </w:r>
    </w:p>
    <w:p w14:paraId="4521CA14" w14:textId="77777777" w:rsidR="003A0C86" w:rsidRPr="00D8418C" w:rsidRDefault="003A0C86" w:rsidP="003A0C86">
      <w:pPr>
        <w:pStyle w:val="050-TextoPadro"/>
        <w:rPr>
          <w:rFonts w:cs="Arial"/>
          <w:highlight w:val="yellow"/>
        </w:rPr>
      </w:pPr>
    </w:p>
    <w:bookmarkEnd w:id="3"/>
    <w:p w14:paraId="3C524752" w14:textId="77777777" w:rsidR="003A0C86" w:rsidRPr="00F35C44" w:rsidRDefault="003A0C86" w:rsidP="003A0C86">
      <w:pPr>
        <w:pStyle w:val="03-SubttulodeNota"/>
        <w:keepNext/>
        <w:spacing w:line="276" w:lineRule="auto"/>
        <w:rPr>
          <w:rFonts w:cs="Arial"/>
          <w:color w:val="1F3864" w:themeColor="accent1" w:themeShade="80"/>
        </w:rPr>
      </w:pPr>
      <w:r w:rsidRPr="00F35C44">
        <w:rPr>
          <w:rFonts w:cs="Arial"/>
          <w:color w:val="1F3864" w:themeColor="accent1" w:themeShade="80"/>
        </w:rPr>
        <w:t>Resultado d</w:t>
      </w:r>
      <w:r>
        <w:rPr>
          <w:rFonts w:cs="Arial"/>
          <w:color w:val="1F3864" w:themeColor="accent1" w:themeShade="80"/>
        </w:rPr>
        <w:t xml:space="preserve">as </w:t>
      </w:r>
      <w:r w:rsidRPr="00F35C44">
        <w:rPr>
          <w:rFonts w:cs="Arial"/>
          <w:color w:val="1F3864" w:themeColor="accent1" w:themeShade="80"/>
        </w:rPr>
        <w:t>Participaç</w:t>
      </w:r>
      <w:r>
        <w:rPr>
          <w:rFonts w:cs="Arial"/>
          <w:color w:val="1F3864" w:themeColor="accent1" w:themeShade="80"/>
        </w:rPr>
        <w:t>ões</w:t>
      </w:r>
      <w:r w:rsidRPr="00F35C44">
        <w:rPr>
          <w:rFonts w:cs="Arial"/>
          <w:color w:val="1F3864" w:themeColor="accent1" w:themeShade="80"/>
        </w:rPr>
        <w:t xml:space="preserve"> – Desempenho das investidas</w:t>
      </w:r>
    </w:p>
    <w:p w14:paraId="3B86D767" w14:textId="77777777" w:rsidR="003A0C86" w:rsidRPr="00F35C44" w:rsidRDefault="003A0C86" w:rsidP="003A0C86">
      <w:pPr>
        <w:pStyle w:val="050-TextoPadro"/>
        <w:rPr>
          <w:rFonts w:eastAsiaTheme="minorHAnsi" w:cs="Arial"/>
        </w:rPr>
      </w:pPr>
      <w:r w:rsidRPr="00F35C44">
        <w:rPr>
          <w:rFonts w:eastAsiaTheme="minorHAnsi" w:cs="Arial"/>
        </w:rPr>
        <w:t>A</w:t>
      </w:r>
      <w:r>
        <w:rPr>
          <w:rFonts w:eastAsiaTheme="minorHAnsi" w:cs="Arial"/>
        </w:rPr>
        <w:t xml:space="preserve"> seguir</w:t>
      </w:r>
      <w:r w:rsidRPr="00F35C44">
        <w:rPr>
          <w:rFonts w:eastAsiaTheme="minorHAnsi" w:cs="Arial"/>
        </w:rPr>
        <w:t>, apresentamos um resumo do desempenho das empresas investidas no exercício de 202</w:t>
      </w:r>
      <w:r>
        <w:rPr>
          <w:rFonts w:eastAsiaTheme="minorHAnsi" w:cs="Arial"/>
        </w:rPr>
        <w:t>4</w:t>
      </w:r>
      <w:r w:rsidRPr="00F35C44">
        <w:rPr>
          <w:rFonts w:eastAsiaTheme="minorHAnsi" w:cs="Arial"/>
        </w:rPr>
        <w:t>. Mais informações estão disponibilizadas no relatório Análise do Desempenho da BB Seguridade, que pode ser acessado pelo site https://www.bbseguridaderi.com.br/informacoes-ao-mercado/central-de-resultados/</w:t>
      </w:r>
    </w:p>
    <w:p w14:paraId="3F025040" w14:textId="77777777" w:rsidR="003A0C86" w:rsidRPr="00F35C44" w:rsidRDefault="003A0C86" w:rsidP="00C10D3C">
      <w:pPr>
        <w:pStyle w:val="03-SubttulodeNota"/>
        <w:pageBreakBefore/>
        <w:spacing w:line="276" w:lineRule="auto"/>
        <w:rPr>
          <w:rFonts w:cs="Arial"/>
          <w:color w:val="1F3864" w:themeColor="accent1" w:themeShade="80"/>
        </w:rPr>
      </w:pPr>
      <w:r w:rsidRPr="00F35C44">
        <w:rPr>
          <w:rFonts w:cs="Arial"/>
          <w:color w:val="1F3864" w:themeColor="accent1" w:themeShade="80"/>
        </w:rPr>
        <w:lastRenderedPageBreak/>
        <w:t>BB MAPFRE (</w:t>
      </w:r>
      <w:proofErr w:type="spellStart"/>
      <w:r w:rsidRPr="00F35C44">
        <w:rPr>
          <w:rFonts w:cs="Arial"/>
          <w:color w:val="1F3864" w:themeColor="accent1" w:themeShade="80"/>
        </w:rPr>
        <w:t>Brasilseg</w:t>
      </w:r>
      <w:proofErr w:type="spellEnd"/>
      <w:r w:rsidRPr="00F35C44">
        <w:rPr>
          <w:rFonts w:cs="Arial"/>
          <w:color w:val="1F3864" w:themeColor="accent1" w:themeShade="80"/>
        </w:rPr>
        <w:t>)</w:t>
      </w:r>
    </w:p>
    <w:p w14:paraId="56CD8C2D" w14:textId="6B88B56C" w:rsidR="003A0C86" w:rsidRPr="00726C53" w:rsidRDefault="003A0C86" w:rsidP="003A0C86">
      <w:pPr>
        <w:pStyle w:val="050-TextoPadro"/>
        <w:rPr>
          <w:rFonts w:cs="Arial"/>
        </w:rPr>
      </w:pPr>
      <w:r w:rsidRPr="00726C53">
        <w:rPr>
          <w:rFonts w:cs="Arial"/>
        </w:rPr>
        <w:t xml:space="preserve">No ano, o lucro líquido da operação de seguros registrou incremento de </w:t>
      </w:r>
      <w:r>
        <w:rPr>
          <w:rFonts w:cs="Arial"/>
        </w:rPr>
        <w:t>13,6</w:t>
      </w:r>
      <w:r w:rsidRPr="00726C53">
        <w:rPr>
          <w:rFonts w:cs="Arial"/>
        </w:rPr>
        <w:t>%, concentrado na melhora da margem de seguros. Tal desempenho é atribuído</w:t>
      </w:r>
      <w:r>
        <w:rPr>
          <w:rFonts w:cs="Arial"/>
        </w:rPr>
        <w:t xml:space="preserve"> ao maior reconhecimento de prêmios e redução da sinistralidade, especialmente nos seguros rural, vida e residencial. Por outro lado, parte desses efeitos foi compensado pelo aumento da sinistralidade do seguro prestamista no ano. </w:t>
      </w:r>
    </w:p>
    <w:p w14:paraId="26878DE4" w14:textId="77777777" w:rsidR="003A0C86" w:rsidRPr="00726C53" w:rsidRDefault="003A0C86" w:rsidP="003A0C86">
      <w:pPr>
        <w:pStyle w:val="050-TextoPadro"/>
        <w:rPr>
          <w:rFonts w:cs="Arial"/>
        </w:rPr>
      </w:pPr>
      <w:r w:rsidRPr="00726C53">
        <w:rPr>
          <w:rFonts w:cs="Arial"/>
        </w:rPr>
        <w:t xml:space="preserve">O resultado financeiro foi </w:t>
      </w:r>
      <w:r>
        <w:rPr>
          <w:rFonts w:cs="Arial"/>
        </w:rPr>
        <w:t>9</w:t>
      </w:r>
      <w:r w:rsidRPr="00726C53">
        <w:rPr>
          <w:rFonts w:cs="Arial"/>
        </w:rPr>
        <w:t>,</w:t>
      </w:r>
      <w:r>
        <w:rPr>
          <w:rFonts w:cs="Arial"/>
        </w:rPr>
        <w:t>7</w:t>
      </w:r>
      <w:r w:rsidRPr="00726C53">
        <w:rPr>
          <w:rFonts w:cs="Arial"/>
        </w:rPr>
        <w:t>% inferior ao reportado em 2023, redução atribuída em grande parte à menor taxa média Selic.</w:t>
      </w:r>
    </w:p>
    <w:p w14:paraId="395B1AC0" w14:textId="77777777" w:rsidR="003A0C86" w:rsidRDefault="003A0C86" w:rsidP="003A0C86">
      <w:pPr>
        <w:pStyle w:val="03-SubttulodeNota"/>
        <w:spacing w:line="276" w:lineRule="auto"/>
        <w:rPr>
          <w:rFonts w:cs="Arial"/>
          <w:color w:val="1F3864" w:themeColor="accent1" w:themeShade="80"/>
        </w:rPr>
      </w:pPr>
    </w:p>
    <w:p w14:paraId="771E170E" w14:textId="77777777" w:rsidR="003A0C86" w:rsidRPr="00972C17" w:rsidRDefault="003A0C86" w:rsidP="003A0C86">
      <w:pPr>
        <w:pStyle w:val="03-SubttulodeNota"/>
        <w:spacing w:line="276" w:lineRule="auto"/>
        <w:rPr>
          <w:rFonts w:cs="Arial"/>
        </w:rPr>
      </w:pPr>
      <w:r w:rsidRPr="00F35C44">
        <w:rPr>
          <w:rFonts w:cs="Arial"/>
          <w:color w:val="1F3864" w:themeColor="accent1" w:themeShade="80"/>
        </w:rPr>
        <w:t>Brasilprev</w:t>
      </w:r>
    </w:p>
    <w:p w14:paraId="58677616" w14:textId="77777777" w:rsidR="003A0C86" w:rsidRPr="00381433" w:rsidRDefault="003A0C86" w:rsidP="003A0C86">
      <w:pPr>
        <w:pStyle w:val="050-TextoPadro"/>
        <w:rPr>
          <w:rFonts w:cs="Arial"/>
        </w:rPr>
      </w:pPr>
      <w:r w:rsidRPr="00381433">
        <w:rPr>
          <w:rFonts w:cs="Arial"/>
        </w:rPr>
        <w:t>Em 2024, o lucro líquido da operação de previdência registrou crescimento de 1,1%, com evolução da margem de seguros sustentada pelo maior volume de liberação da CSM dos planos PGBL e VGBL, refletindo principalmente o aumento das receitas com taxa de gestão, como consequência da expansão das reservas desses planos.</w:t>
      </w:r>
    </w:p>
    <w:p w14:paraId="142A0987" w14:textId="77777777" w:rsidR="003A0C86" w:rsidRDefault="003A0C86" w:rsidP="003A0C86">
      <w:pPr>
        <w:pStyle w:val="050-TextoPadro"/>
        <w:rPr>
          <w:rFonts w:cs="Arial"/>
        </w:rPr>
      </w:pPr>
      <w:r w:rsidRPr="00381433">
        <w:rPr>
          <w:rFonts w:cs="Arial"/>
        </w:rPr>
        <w:t>Também contribuiu para a evolução da margem de seguros a redução do componente de perda relativo aos planos tradicionais, resultado do maior volume de saídas (resgates e migrações) em comparação ao estimado, explicado, principalmente, pelo início de vigência em janeiro de 2024 das alterações trazidas pela Circular Susep nº 678/2022 no tratamento da sobrevivência dos participantes desses planos ao período de diferimento contratado.</w:t>
      </w:r>
    </w:p>
    <w:p w14:paraId="2BBC4A39" w14:textId="76A4EBF0" w:rsidR="003A0C86" w:rsidRDefault="003A0C86" w:rsidP="003A0C86">
      <w:pPr>
        <w:pStyle w:val="050-TextoPadro"/>
        <w:rPr>
          <w:rFonts w:cs="Arial"/>
          <w:color w:val="FF0000"/>
        </w:rPr>
      </w:pPr>
      <w:r w:rsidRPr="00972C17">
        <w:rPr>
          <w:rFonts w:cs="Arial"/>
        </w:rPr>
        <w:t>Já o resultado financeiro contraiu 43,2% no ano, em função tanto da alta do custo do passivo (IGP-M</w:t>
      </w:r>
      <w:r>
        <w:rPr>
          <w:rFonts w:cs="Arial"/>
        </w:rPr>
        <w:t xml:space="preserve"> com defasagem de 1 mês</w:t>
      </w:r>
      <w:r w:rsidRPr="00972C17">
        <w:rPr>
          <w:rFonts w:cs="Arial"/>
        </w:rPr>
        <w:t xml:space="preserve"> 2024: +6,3% vs. 2023: -3,5%) como pelo resultado negativo de marcação a mercado dos ativos para negociação decorrente da abertura da estrutura a termo de taxa de juros, no montante de R$439,5 milhões, enquanto em 2023 a marcação foi positiva em R$334,1 milhões.</w:t>
      </w:r>
      <w:r>
        <w:rPr>
          <w:rFonts w:cs="Arial"/>
          <w:color w:val="FF0000"/>
        </w:rPr>
        <w:t xml:space="preserve"> </w:t>
      </w:r>
    </w:p>
    <w:p w14:paraId="71783FCD" w14:textId="77777777" w:rsidR="003A0C86" w:rsidRPr="00F35C44" w:rsidRDefault="003A0C86" w:rsidP="003A0C86">
      <w:pPr>
        <w:pStyle w:val="050-TextoPadro"/>
        <w:rPr>
          <w:rFonts w:cs="Arial"/>
        </w:rPr>
      </w:pPr>
    </w:p>
    <w:p w14:paraId="2D34862C" w14:textId="77777777" w:rsidR="003A0C86" w:rsidRPr="00F35C44" w:rsidRDefault="003A0C86" w:rsidP="003A0C86">
      <w:pPr>
        <w:pStyle w:val="03-SubttulodeNota"/>
        <w:spacing w:line="276" w:lineRule="auto"/>
        <w:rPr>
          <w:rFonts w:cs="Arial"/>
          <w:color w:val="1F3864" w:themeColor="accent1" w:themeShade="80"/>
        </w:rPr>
      </w:pPr>
      <w:proofErr w:type="spellStart"/>
      <w:r w:rsidRPr="00F35C44">
        <w:rPr>
          <w:rFonts w:cs="Arial"/>
          <w:color w:val="1F3864" w:themeColor="accent1" w:themeShade="80"/>
        </w:rPr>
        <w:t>Brasilcap</w:t>
      </w:r>
      <w:proofErr w:type="spellEnd"/>
    </w:p>
    <w:p w14:paraId="530C12A3" w14:textId="77777777" w:rsidR="003A0C86" w:rsidRPr="00942237" w:rsidRDefault="003A0C86" w:rsidP="003A0C86">
      <w:pPr>
        <w:pStyle w:val="050-TextoPadro"/>
        <w:rPr>
          <w:rFonts w:cs="Arial"/>
        </w:rPr>
      </w:pPr>
      <w:r w:rsidRPr="00942237">
        <w:rPr>
          <w:rFonts w:cs="Arial"/>
        </w:rPr>
        <w:t xml:space="preserve">No ano, o lucro líquido da operação de capitalização atingiu R$280,8 milhões (+4,6%), impulsionado pela alta do resultado financeiro (+5,2%), com queda do custo do passivo refletindo principalmente a contração da Taxa Referencial (TR), e pela menor alíquota efetiva de impostos (-1,8 </w:t>
      </w:r>
      <w:proofErr w:type="spellStart"/>
      <w:r w:rsidRPr="00942237">
        <w:rPr>
          <w:rFonts w:cs="Arial"/>
        </w:rPr>
        <w:t>p.p</w:t>
      </w:r>
      <w:proofErr w:type="spellEnd"/>
      <w:r w:rsidRPr="00942237">
        <w:rPr>
          <w:rFonts w:cs="Arial"/>
        </w:rPr>
        <w:t>.), decorrente da decisão favorável em ação coletiva relacionada à cobrança de CSLL, que impactou positivamente o 2T24 em R$11,3 milhões.</w:t>
      </w:r>
    </w:p>
    <w:p w14:paraId="1133CA17" w14:textId="2FFC5232" w:rsidR="003A0C86" w:rsidRPr="00942237" w:rsidRDefault="003A0C86" w:rsidP="003A0C86">
      <w:pPr>
        <w:pStyle w:val="050-TextoPadro"/>
        <w:rPr>
          <w:rFonts w:cs="Arial"/>
        </w:rPr>
      </w:pPr>
      <w:r w:rsidRPr="00942237">
        <w:rPr>
          <w:rFonts w:cs="Arial"/>
        </w:rPr>
        <w:t xml:space="preserve">A arrecadação com títulos de capitalização evoluiu 4,2%, dinâmica atribuída ao maior ticket médio dos títulos. Por outro lado, a cota média de carregamento registrou redução de 0,5 </w:t>
      </w:r>
      <w:proofErr w:type="spellStart"/>
      <w:r w:rsidRPr="00942237">
        <w:rPr>
          <w:rFonts w:cs="Arial"/>
        </w:rPr>
        <w:t>p.p</w:t>
      </w:r>
      <w:proofErr w:type="spellEnd"/>
      <w:r w:rsidRPr="00942237">
        <w:rPr>
          <w:rFonts w:cs="Arial"/>
        </w:rPr>
        <w:t xml:space="preserve">., devido a maior concentração da arrecadação em títulos de pagamento único com prazos mais curtos (12 e 24 meses) no total de arrecadação, uma vez que esses produtos apresentam menor cota em comparação aos produtos mais longos (36 e 48 meses), que tiveram maior participação no fluxo de 2023. </w:t>
      </w:r>
    </w:p>
    <w:p w14:paraId="0ADC83CA" w14:textId="77777777" w:rsidR="003A0C86" w:rsidRPr="000612BF" w:rsidRDefault="003A0C86" w:rsidP="003A0C86">
      <w:pPr>
        <w:pStyle w:val="050-TextoPadro"/>
        <w:rPr>
          <w:rFonts w:cs="Arial"/>
          <w:color w:val="FF0000"/>
        </w:rPr>
      </w:pPr>
    </w:p>
    <w:p w14:paraId="48B88F09" w14:textId="77777777" w:rsidR="003A0C86" w:rsidRPr="00F35C44" w:rsidRDefault="003A0C86" w:rsidP="003A0C86">
      <w:pPr>
        <w:pStyle w:val="03-SubttulodeNota"/>
        <w:spacing w:line="276" w:lineRule="auto"/>
        <w:rPr>
          <w:rFonts w:cs="Arial"/>
          <w:color w:val="1F3864" w:themeColor="accent1" w:themeShade="80"/>
        </w:rPr>
      </w:pPr>
      <w:proofErr w:type="spellStart"/>
      <w:r w:rsidRPr="00F35C44">
        <w:rPr>
          <w:rFonts w:cs="Arial"/>
          <w:color w:val="1F3864" w:themeColor="accent1" w:themeShade="80"/>
        </w:rPr>
        <w:t>Brasildental</w:t>
      </w:r>
      <w:proofErr w:type="spellEnd"/>
    </w:p>
    <w:p w14:paraId="6B541E04" w14:textId="7DEA1350" w:rsidR="003A0C86" w:rsidRPr="00A3369D" w:rsidRDefault="003A0C86" w:rsidP="003A0C86">
      <w:pPr>
        <w:pStyle w:val="050-TextoPadro"/>
        <w:rPr>
          <w:rFonts w:cs="Arial"/>
        </w:rPr>
      </w:pPr>
      <w:r w:rsidRPr="00A3369D">
        <w:rPr>
          <w:rFonts w:cs="Arial"/>
        </w:rPr>
        <w:t xml:space="preserve">No segmento de planos odontológicos, operado pela </w:t>
      </w:r>
      <w:proofErr w:type="spellStart"/>
      <w:r w:rsidRPr="00A3369D">
        <w:rPr>
          <w:rFonts w:cs="Arial"/>
        </w:rPr>
        <w:t>Brasildental</w:t>
      </w:r>
      <w:proofErr w:type="spellEnd"/>
      <w:r w:rsidRPr="00A3369D">
        <w:rPr>
          <w:rFonts w:cs="Arial"/>
        </w:rPr>
        <w:t xml:space="preserve">, em função de questões operacionais, a partir de janeiro/2023 os lançamentos contábeis são efetuados com defasagem de um mês.  </w:t>
      </w:r>
    </w:p>
    <w:p w14:paraId="5CB5EB66" w14:textId="77777777" w:rsidR="003A0C86" w:rsidRPr="00A3369D" w:rsidRDefault="003A0C86" w:rsidP="003A0C86">
      <w:pPr>
        <w:pStyle w:val="050-TextoPadro"/>
        <w:rPr>
          <w:rFonts w:cs="Arial"/>
        </w:rPr>
      </w:pPr>
      <w:r w:rsidRPr="00A3369D">
        <w:rPr>
          <w:rFonts w:cs="Arial"/>
        </w:rPr>
        <w:t xml:space="preserve">No acumulado até novembro, o lucro líquido alcançou R$23,5 milhões, montante 3,3% inferior ao registrado no </w:t>
      </w:r>
      <w:r>
        <w:rPr>
          <w:rFonts w:cs="Arial"/>
        </w:rPr>
        <w:t xml:space="preserve">mesmo período </w:t>
      </w:r>
      <w:r w:rsidRPr="00A3369D">
        <w:rPr>
          <w:rFonts w:cs="Arial"/>
        </w:rPr>
        <w:t xml:space="preserve">de 2023, queda tanto do resultado financeiro como da margem de seguros. </w:t>
      </w:r>
    </w:p>
    <w:p w14:paraId="303878D1" w14:textId="77777777" w:rsidR="003A0C86" w:rsidRPr="000612BF" w:rsidRDefault="003A0C86" w:rsidP="003A0C86">
      <w:pPr>
        <w:pStyle w:val="050-TextoPadro"/>
        <w:rPr>
          <w:rFonts w:cs="Arial"/>
          <w:color w:val="FF0000"/>
        </w:rPr>
      </w:pPr>
    </w:p>
    <w:p w14:paraId="017FC3FE" w14:textId="77777777" w:rsidR="003A0C86" w:rsidRPr="00F35C44" w:rsidRDefault="003A0C86" w:rsidP="003A0C86">
      <w:pPr>
        <w:pStyle w:val="03-SubttulodeNota"/>
        <w:spacing w:line="276" w:lineRule="auto"/>
        <w:rPr>
          <w:rFonts w:cs="Arial"/>
          <w:color w:val="1F3864" w:themeColor="accent1" w:themeShade="80"/>
        </w:rPr>
      </w:pPr>
      <w:r w:rsidRPr="00F35C44">
        <w:rPr>
          <w:rFonts w:cs="Arial"/>
          <w:color w:val="1F3864" w:themeColor="accent1" w:themeShade="80"/>
        </w:rPr>
        <w:t>BB Corretora</w:t>
      </w:r>
    </w:p>
    <w:p w14:paraId="1D8EA77D" w14:textId="17F3EB63" w:rsidR="003A0C86" w:rsidRDefault="003A0C86" w:rsidP="003A0C86">
      <w:pPr>
        <w:pStyle w:val="050-TextoPadro"/>
        <w:rPr>
          <w:rFonts w:cs="Arial"/>
        </w:rPr>
      </w:pPr>
      <w:bookmarkStart w:id="5" w:name="_Hlk157085883"/>
      <w:bookmarkEnd w:id="4"/>
      <w:r w:rsidRPr="00BD0EFD">
        <w:rPr>
          <w:rFonts w:cs="Arial"/>
        </w:rPr>
        <w:t xml:space="preserve">No ano, o lucro líquido da BB Corretora cresceu 10,7%, </w:t>
      </w:r>
      <w:r>
        <w:rPr>
          <w:rFonts w:cs="Arial"/>
        </w:rPr>
        <w:t xml:space="preserve">com melhora da margem operacional decorrente da evolução de 10,0% das receitas de comissões líquidas, além de expansão do </w:t>
      </w:r>
      <w:r w:rsidRPr="00BD0EFD">
        <w:rPr>
          <w:rFonts w:cs="Arial"/>
        </w:rPr>
        <w:t>resultado financeiro</w:t>
      </w:r>
      <w:r>
        <w:rPr>
          <w:rFonts w:cs="Arial"/>
        </w:rPr>
        <w:t xml:space="preserve"> em razão do aumento do saldo médio de aplicações</w:t>
      </w:r>
      <w:r w:rsidRPr="00BD0EFD">
        <w:rPr>
          <w:rFonts w:cs="Arial"/>
        </w:rPr>
        <w:t xml:space="preserve">. </w:t>
      </w:r>
    </w:p>
    <w:p w14:paraId="6165E84C" w14:textId="77777777" w:rsidR="003A0C86" w:rsidRPr="00BD0EFD" w:rsidRDefault="003A0C86" w:rsidP="003A0C86">
      <w:pPr>
        <w:pStyle w:val="050-TextoPadro"/>
        <w:rPr>
          <w:rFonts w:cs="Arial"/>
        </w:rPr>
      </w:pPr>
      <w:r>
        <w:rPr>
          <w:rFonts w:cs="Arial"/>
        </w:rPr>
        <w:t xml:space="preserve">A alta das receitas de comissões líquidas é explicada pelo bom desempenho comercial especialmente nos seguros prestamista (+7,9%), vida produtor rural (+21,2%) e penhor rural (+28,1%), além do reconhecimento de receitas diferidas relativas às vendas realizadas em períodos passados, em especial do seguro prestamista, que possui maior duração média das apólices. </w:t>
      </w:r>
    </w:p>
    <w:bookmarkEnd w:id="5"/>
    <w:p w14:paraId="1D8D9B8E" w14:textId="77777777" w:rsidR="003A0C86" w:rsidRPr="00C06376" w:rsidRDefault="003A0C86" w:rsidP="003A0C86">
      <w:pPr>
        <w:pStyle w:val="050-TextoPadro"/>
        <w:rPr>
          <w:rFonts w:cs="Arial"/>
        </w:rPr>
      </w:pPr>
      <w:r w:rsidRPr="007451CC">
        <w:rPr>
          <w:rFonts w:cs="Arial"/>
        </w:rPr>
        <w:t>A contribuição do segmento de previdência para as receitas de comissões cresceu 7,0%, ritmo superior a evolução da</w:t>
      </w:r>
      <w:r>
        <w:rPr>
          <w:rFonts w:cs="Arial"/>
        </w:rPr>
        <w:t>s</w:t>
      </w:r>
      <w:r w:rsidRPr="007451CC">
        <w:rPr>
          <w:rFonts w:cs="Arial"/>
        </w:rPr>
        <w:t xml:space="preserve"> </w:t>
      </w:r>
      <w:r>
        <w:rPr>
          <w:rFonts w:cs="Arial"/>
        </w:rPr>
        <w:t xml:space="preserve">contribuições </w:t>
      </w:r>
      <w:r w:rsidRPr="007451CC">
        <w:rPr>
          <w:rFonts w:cs="Arial"/>
        </w:rPr>
        <w:t xml:space="preserve">(+2,8%), justificado pela dinâmica de vendas mais concentrada em produtos com percentual de comissionamento mais elevado. Já a receita de corretagem originada pelo segmento de capitalização subiu 5,9%, </w:t>
      </w:r>
      <w:r>
        <w:rPr>
          <w:rFonts w:cs="Arial"/>
        </w:rPr>
        <w:t>alta conduzida principalmente pela maior a</w:t>
      </w:r>
      <w:r w:rsidRPr="00C06376">
        <w:rPr>
          <w:rFonts w:cs="Arial"/>
        </w:rPr>
        <w:t xml:space="preserve">rrecadação (+5,1%).   </w:t>
      </w:r>
    </w:p>
    <w:p w14:paraId="1182BFF9" w14:textId="77777777" w:rsidR="003A0C86" w:rsidRPr="00C06376" w:rsidRDefault="003A0C86" w:rsidP="003A0C86">
      <w:pPr>
        <w:pStyle w:val="050-TextoPadro"/>
        <w:rPr>
          <w:rFonts w:cs="Arial"/>
        </w:rPr>
      </w:pPr>
      <w:r w:rsidRPr="00C06376">
        <w:rPr>
          <w:rFonts w:cs="Arial"/>
        </w:rPr>
        <w:lastRenderedPageBreak/>
        <w:t xml:space="preserve">O saldo negativo de outras receitas e despesas cresceu </w:t>
      </w:r>
      <w:r>
        <w:rPr>
          <w:rFonts w:cs="Arial"/>
        </w:rPr>
        <w:t>18,8</w:t>
      </w:r>
      <w:r w:rsidRPr="00C06376">
        <w:rPr>
          <w:rFonts w:cs="Arial"/>
        </w:rPr>
        <w:t>%, movimento explicado principalmente por:</w:t>
      </w:r>
    </w:p>
    <w:p w14:paraId="600B685B" w14:textId="77777777" w:rsidR="003A0C86" w:rsidRPr="00C06376" w:rsidRDefault="003A0C86" w:rsidP="003A0C86">
      <w:pPr>
        <w:pStyle w:val="10-Lista2"/>
        <w:tabs>
          <w:tab w:val="clear" w:pos="360"/>
        </w:tabs>
        <w:spacing w:before="120" w:line="240" w:lineRule="auto"/>
        <w:ind w:left="1003" w:hanging="357"/>
        <w:rPr>
          <w:rFonts w:cs="Arial"/>
        </w:rPr>
      </w:pPr>
      <w:r w:rsidRPr="00C06376">
        <w:rPr>
          <w:rFonts w:cs="Arial"/>
        </w:rPr>
        <w:t>alta das despesas administrativas e com vendas, com maior volume de patrocínios e doações incentivadas, e aumento das despesas com incentivo às vendas, processamento de dados e comunicação digital. No entanto, tais efeitos foram parcialmente compensados pela redução nas despesas com promoções e relações públicas;</w:t>
      </w:r>
    </w:p>
    <w:p w14:paraId="30AF4E0A" w14:textId="0399EA3E" w:rsidR="003A0C86" w:rsidRPr="00C06376" w:rsidRDefault="003A0C86" w:rsidP="003A0C86">
      <w:pPr>
        <w:pStyle w:val="10-Lista2"/>
        <w:tabs>
          <w:tab w:val="clear" w:pos="360"/>
        </w:tabs>
        <w:spacing w:before="120" w:line="240" w:lineRule="auto"/>
        <w:ind w:left="1003" w:hanging="357"/>
        <w:rPr>
          <w:rFonts w:cs="Arial"/>
        </w:rPr>
      </w:pPr>
      <w:r w:rsidRPr="00C06376">
        <w:rPr>
          <w:rFonts w:cs="Arial"/>
        </w:rPr>
        <w:t xml:space="preserve">crescimento das despesas com pessoal, consequência do dissídio coletivo e da maior alocação para a BB Corretora das despesas rateadas com as holdings (BB Seguridade e BB Seguros); </w:t>
      </w:r>
    </w:p>
    <w:p w14:paraId="5051AD73" w14:textId="42BC059E" w:rsidR="003A0C86" w:rsidRPr="00C06376" w:rsidRDefault="003A0C86" w:rsidP="003A0C86">
      <w:pPr>
        <w:pStyle w:val="10-Lista2"/>
        <w:tabs>
          <w:tab w:val="clear" w:pos="360"/>
        </w:tabs>
        <w:spacing w:before="120" w:line="240" w:lineRule="auto"/>
        <w:ind w:left="1003" w:hanging="357"/>
        <w:rPr>
          <w:rFonts w:cs="Arial"/>
        </w:rPr>
      </w:pPr>
      <w:bookmarkStart w:id="6" w:name="_Hlk157085849"/>
      <w:r w:rsidRPr="00C06376">
        <w:rPr>
          <w:rFonts w:cs="Arial"/>
        </w:rPr>
        <w:t>aumento na linha de “outras despesas operacionais”, em razão da maior constituição de provisão para contingências para fazer frente a novas demandas e em função da reclassificação de probabilidade de perda de processos já existentes; e</w:t>
      </w:r>
    </w:p>
    <w:p w14:paraId="6877EA1E" w14:textId="77777777" w:rsidR="003A0C86" w:rsidRPr="00C06376" w:rsidRDefault="003A0C86" w:rsidP="003A0C86">
      <w:pPr>
        <w:pStyle w:val="10-Lista2"/>
        <w:tabs>
          <w:tab w:val="clear" w:pos="360"/>
        </w:tabs>
        <w:spacing w:before="120" w:line="240" w:lineRule="auto"/>
        <w:ind w:left="1003" w:hanging="357"/>
        <w:rPr>
          <w:rFonts w:cs="Arial"/>
        </w:rPr>
      </w:pPr>
      <w:r w:rsidRPr="00C06376">
        <w:rPr>
          <w:rFonts w:cs="Arial"/>
        </w:rPr>
        <w:t>incremento das despesas tributárias incidentes sobre receitas financeiras, em virtude da expansão do saldo médio de aplicações financeiras.</w:t>
      </w:r>
    </w:p>
    <w:bookmarkEnd w:id="6"/>
    <w:p w14:paraId="5B5D7CD4" w14:textId="77777777" w:rsidR="003A0C86" w:rsidRPr="00C06376" w:rsidRDefault="003A0C86" w:rsidP="003A0C86">
      <w:pPr>
        <w:pStyle w:val="05-Textonormal"/>
        <w:rPr>
          <w:rFonts w:cs="Arial"/>
        </w:rPr>
      </w:pPr>
      <w:r w:rsidRPr="00C06376">
        <w:rPr>
          <w:rFonts w:cs="Arial"/>
        </w:rPr>
        <w:t xml:space="preserve">Por outro lado, os efeitos acima foram parcialmente compensados pela melhora no resultado do investimento mantido na </w:t>
      </w:r>
      <w:proofErr w:type="spellStart"/>
      <w:r w:rsidRPr="00C06376">
        <w:rPr>
          <w:rFonts w:cs="Arial"/>
        </w:rPr>
        <w:t>Ciclic</w:t>
      </w:r>
      <w:proofErr w:type="spellEnd"/>
      <w:r w:rsidRPr="00C06376">
        <w:rPr>
          <w:rFonts w:cs="Arial"/>
        </w:rPr>
        <w:t>.</w:t>
      </w:r>
    </w:p>
    <w:p w14:paraId="2C8ABB7E" w14:textId="77777777" w:rsidR="003A0C86" w:rsidRPr="00F35C44" w:rsidRDefault="003A0C86" w:rsidP="003A0C86">
      <w:pPr>
        <w:pStyle w:val="05-Textonormal"/>
        <w:rPr>
          <w:rFonts w:cs="Arial"/>
        </w:rPr>
      </w:pPr>
    </w:p>
    <w:p w14:paraId="61478885" w14:textId="77777777" w:rsidR="003A0C86" w:rsidRPr="00F35C44" w:rsidRDefault="003A0C86" w:rsidP="003A0C86">
      <w:pPr>
        <w:pStyle w:val="01-TtulodeNota"/>
        <w:rPr>
          <w:rFonts w:cs="Arial"/>
          <w:color w:val="1F3864" w:themeColor="accent1" w:themeShade="80"/>
        </w:rPr>
      </w:pPr>
      <w:r w:rsidRPr="00F35C44">
        <w:rPr>
          <w:rFonts w:cs="Arial"/>
          <w:color w:val="1F3864" w:themeColor="accent1" w:themeShade="80"/>
        </w:rPr>
        <w:t>DESEMPENHO DAS AÇÕES E RELACIONAMENTO COM O MERCADO</w:t>
      </w:r>
    </w:p>
    <w:p w14:paraId="104D358E" w14:textId="77777777" w:rsidR="003A0C86" w:rsidRPr="00F35C44" w:rsidRDefault="003A0C86" w:rsidP="003A0C86">
      <w:pPr>
        <w:pStyle w:val="050-TextoPadro"/>
        <w:rPr>
          <w:rFonts w:cs="Arial"/>
        </w:rPr>
      </w:pPr>
      <w:r w:rsidRPr="00F35C44">
        <w:rPr>
          <w:rFonts w:cs="Arial"/>
        </w:rPr>
        <w:t>As ações da BB Seguridade, negociadas na B3 – Brasil, Bolsa, Balcão (“B3”) sob o código BBSE3, encerraram o ano cotadas a R$3</w:t>
      </w:r>
      <w:r>
        <w:rPr>
          <w:rFonts w:cs="Arial"/>
        </w:rPr>
        <w:t>6,18</w:t>
      </w:r>
      <w:r w:rsidRPr="00F35C44">
        <w:rPr>
          <w:rFonts w:cs="Arial"/>
        </w:rPr>
        <w:t xml:space="preserve">, com valorização acumulada de </w:t>
      </w:r>
      <w:r>
        <w:rPr>
          <w:rFonts w:cs="Arial"/>
        </w:rPr>
        <w:t>15,9</w:t>
      </w:r>
      <w:r w:rsidRPr="00F35C44">
        <w:rPr>
          <w:rFonts w:cs="Arial"/>
        </w:rPr>
        <w:t>% no ano. Com base na cotação de encerramento do exercício, o valor de mercado da BB Seguridade atingiu R$</w:t>
      </w:r>
      <w:r>
        <w:rPr>
          <w:rFonts w:cs="Arial"/>
        </w:rPr>
        <w:t>72,4</w:t>
      </w:r>
      <w:r w:rsidRPr="00F35C44">
        <w:rPr>
          <w:rFonts w:cs="Arial"/>
        </w:rPr>
        <w:t xml:space="preserve"> bilhões, posicionando a Companhia como a 1</w:t>
      </w:r>
      <w:r>
        <w:rPr>
          <w:rFonts w:cs="Arial"/>
        </w:rPr>
        <w:t>5</w:t>
      </w:r>
      <w:r w:rsidRPr="00F35C44">
        <w:rPr>
          <w:rFonts w:cs="Arial"/>
        </w:rPr>
        <w:t>ª maior empresa listada na bolsa brasileira pelo critério de valor de mercado. Em 202</w:t>
      </w:r>
      <w:r>
        <w:rPr>
          <w:rFonts w:cs="Arial"/>
        </w:rPr>
        <w:t>4</w:t>
      </w:r>
      <w:r w:rsidRPr="00F35C44">
        <w:rPr>
          <w:rFonts w:cs="Arial"/>
        </w:rPr>
        <w:t>, o volume financeiro médio diário de negociação com ações da Companhia foi de R$1</w:t>
      </w:r>
      <w:r>
        <w:rPr>
          <w:rFonts w:cs="Arial"/>
        </w:rPr>
        <w:t>58</w:t>
      </w:r>
      <w:r w:rsidRPr="00F35C44">
        <w:rPr>
          <w:rFonts w:cs="Arial"/>
        </w:rPr>
        <w:t xml:space="preserve"> milhões.</w:t>
      </w:r>
    </w:p>
    <w:p w14:paraId="7D0C36E3" w14:textId="77777777" w:rsidR="003A0C86" w:rsidRPr="002C6B30" w:rsidRDefault="003A0C86" w:rsidP="003A0C86">
      <w:pPr>
        <w:pStyle w:val="050-TextoPadro"/>
        <w:rPr>
          <w:rFonts w:cs="Arial"/>
        </w:rPr>
      </w:pPr>
      <w:r w:rsidRPr="002C6B30">
        <w:rPr>
          <w:rFonts w:cs="Arial"/>
        </w:rPr>
        <w:t xml:space="preserve">As ações da BB Seguridade encerraram o exercício integrando as carteiras teóricas do Ibovespa, IBrX 50, IBrX 100, </w:t>
      </w:r>
      <w:proofErr w:type="spellStart"/>
      <w:r w:rsidRPr="002C6B30">
        <w:rPr>
          <w:rFonts w:cs="Arial"/>
        </w:rPr>
        <w:t>IBrA</w:t>
      </w:r>
      <w:proofErr w:type="spellEnd"/>
      <w:r w:rsidRPr="002C6B30">
        <w:rPr>
          <w:rFonts w:cs="Arial"/>
        </w:rPr>
        <w:t xml:space="preserve">, Índice BM&amp;FBOVESPA Financeiro (IFNC), </w:t>
      </w:r>
      <w:r w:rsidRPr="002C6B30">
        <w:rPr>
          <w:rStyle w:val="nfase"/>
          <w:rFonts w:eastAsia="Calibri" w:cs="Arial"/>
          <w:bCs/>
          <w:i w:val="0"/>
          <w:iCs w:val="0"/>
          <w:color w:val="auto"/>
        </w:rPr>
        <w:t>Índice de Ações com Governança Corporativa Diferenciada (IGC),</w:t>
      </w:r>
      <w:r w:rsidRPr="002C6B30">
        <w:rPr>
          <w:rStyle w:val="nfase"/>
          <w:rFonts w:eastAsia="Calibri" w:cs="Arial"/>
          <w:bCs/>
          <w:color w:val="auto"/>
        </w:rPr>
        <w:t xml:space="preserve"> </w:t>
      </w:r>
      <w:r w:rsidRPr="002C6B30">
        <w:rPr>
          <w:rFonts w:cs="Arial"/>
        </w:rPr>
        <w:t xml:space="preserve">Índice de Governança Corporativa Trade (IGCT), Índice de Ações com Governança Corporativa – Novo Mercado (IGC-NM), Índice de Ações com </w:t>
      </w:r>
      <w:proofErr w:type="spellStart"/>
      <w:r w:rsidRPr="002C6B30">
        <w:rPr>
          <w:rFonts w:cs="Arial"/>
        </w:rPr>
        <w:t>Tag</w:t>
      </w:r>
      <w:proofErr w:type="spellEnd"/>
      <w:r w:rsidRPr="002C6B30">
        <w:rPr>
          <w:rFonts w:cs="Arial"/>
        </w:rPr>
        <w:t xml:space="preserve"> Along Diferenciado (ITAG), Índice Dividendos </w:t>
      </w:r>
      <w:proofErr w:type="spellStart"/>
      <w:r w:rsidRPr="002C6B30">
        <w:rPr>
          <w:rFonts w:cs="Arial"/>
        </w:rPr>
        <w:t>BM&amp;FBovespa</w:t>
      </w:r>
      <w:proofErr w:type="spellEnd"/>
      <w:r w:rsidRPr="002C6B30">
        <w:rPr>
          <w:rFonts w:cs="Arial"/>
        </w:rPr>
        <w:t xml:space="preserve"> (IDIV), Índice </w:t>
      </w:r>
      <w:proofErr w:type="spellStart"/>
      <w:r w:rsidRPr="002C6B30">
        <w:rPr>
          <w:rFonts w:cs="Arial"/>
        </w:rPr>
        <w:t>MidLarge</w:t>
      </w:r>
      <w:proofErr w:type="spellEnd"/>
      <w:r w:rsidRPr="002C6B30">
        <w:rPr>
          <w:rFonts w:cs="Arial"/>
        </w:rPr>
        <w:t xml:space="preserve"> Cap (MLCX), Índice Valor </w:t>
      </w:r>
      <w:proofErr w:type="spellStart"/>
      <w:r w:rsidRPr="002C6B30">
        <w:rPr>
          <w:rFonts w:cs="Arial"/>
        </w:rPr>
        <w:t>BM&amp;FBovespa</w:t>
      </w:r>
      <w:proofErr w:type="spellEnd"/>
      <w:r w:rsidRPr="002C6B30">
        <w:rPr>
          <w:rFonts w:cs="Arial"/>
        </w:rPr>
        <w:t xml:space="preserve"> (IVBX2), Índice de diversidade B3 (IDIVERSA B3), Índice MSCI </w:t>
      </w:r>
      <w:proofErr w:type="spellStart"/>
      <w:r w:rsidRPr="002C6B30">
        <w:rPr>
          <w:rFonts w:cs="Arial"/>
        </w:rPr>
        <w:t>Brazil</w:t>
      </w:r>
      <w:proofErr w:type="spellEnd"/>
      <w:r w:rsidRPr="002C6B30">
        <w:rPr>
          <w:rFonts w:cs="Arial"/>
        </w:rPr>
        <w:t xml:space="preserve"> e Índice FTSE4Good.</w:t>
      </w:r>
    </w:p>
    <w:p w14:paraId="58A2AC68" w14:textId="77777777" w:rsidR="003A0C86" w:rsidRPr="00F35C44" w:rsidRDefault="003A0C86" w:rsidP="003A0C86">
      <w:pPr>
        <w:pStyle w:val="050-TextoPadro"/>
        <w:rPr>
          <w:rFonts w:cs="Arial"/>
        </w:rPr>
      </w:pPr>
      <w:r w:rsidRPr="00F35C44">
        <w:rPr>
          <w:rFonts w:cs="Arial"/>
        </w:rPr>
        <w:t xml:space="preserve">Desde março de 2014, a BB Seguridade mantém Programa de </w:t>
      </w:r>
      <w:r w:rsidRPr="00F35C44">
        <w:rPr>
          <w:rFonts w:cs="Arial"/>
          <w:i/>
        </w:rPr>
        <w:t xml:space="preserve">American Depositary </w:t>
      </w:r>
      <w:proofErr w:type="spellStart"/>
      <w:r w:rsidRPr="00F35C44">
        <w:rPr>
          <w:rFonts w:cs="Arial"/>
          <w:i/>
        </w:rPr>
        <w:t>Receipts</w:t>
      </w:r>
      <w:proofErr w:type="spellEnd"/>
      <w:r w:rsidRPr="00F35C44">
        <w:rPr>
          <w:rFonts w:cs="Arial"/>
        </w:rPr>
        <w:t xml:space="preserve"> (“ADR”) Nível I. </w:t>
      </w:r>
      <w:r>
        <w:rPr>
          <w:rFonts w:cs="Arial"/>
        </w:rPr>
        <w:t xml:space="preserve">Em outubro </w:t>
      </w:r>
      <w:r w:rsidRPr="002C6B30">
        <w:rPr>
          <w:rFonts w:cs="Arial"/>
        </w:rPr>
        <w:t>de 2024 houve a troca da instituição financeira depositária do Programa, do Citibank para o JP Morgan. Os ADRs t</w:t>
      </w:r>
      <w:r>
        <w:rPr>
          <w:rFonts w:cs="Arial"/>
        </w:rPr>
        <w:t>ê</w:t>
      </w:r>
      <w:r w:rsidRPr="002C6B30">
        <w:rPr>
          <w:rFonts w:cs="Arial"/>
        </w:rPr>
        <w:t>m lastro nas ações ordinárias (ON) da Companhia, na relação de 1 ADR: 1 ON, e negociados em mercado de balcão norte-americano (O</w:t>
      </w:r>
      <w:r w:rsidRPr="002C6B30">
        <w:rPr>
          <w:rFonts w:cs="Arial"/>
          <w:i/>
        </w:rPr>
        <w:t>ver-The-Counter</w:t>
      </w:r>
      <w:r w:rsidRPr="002C6B30">
        <w:rPr>
          <w:rFonts w:cs="Arial"/>
        </w:rPr>
        <w:t>). Ao final do exercício, o programa contava com mais de 14,5 milhões de ADRs emitidos, cotados a US$5,87 por recibo depositário.</w:t>
      </w:r>
    </w:p>
    <w:p w14:paraId="73BCFB0D" w14:textId="77777777" w:rsidR="003A0C86" w:rsidRPr="00F35C44" w:rsidRDefault="003A0C86" w:rsidP="003A0C86">
      <w:pPr>
        <w:pStyle w:val="050-TextoPadro"/>
        <w:rPr>
          <w:rFonts w:cs="Arial"/>
        </w:rPr>
      </w:pPr>
      <w:r w:rsidRPr="00F35C44">
        <w:rPr>
          <w:rFonts w:cs="Arial"/>
        </w:rPr>
        <w:t>Abaixo, apresentamos os principais indicadores para o desempenho das ações da BB Seguridade nos últimos dois exercícios:</w:t>
      </w:r>
    </w:p>
    <w:p w14:paraId="4EB49F62" w14:textId="167B464B" w:rsidR="003A0C86" w:rsidRPr="00F35C44" w:rsidRDefault="003A0C86" w:rsidP="003A0C86">
      <w:pPr>
        <w:pStyle w:val="01-TtulodeNota"/>
        <w:rPr>
          <w:rFonts w:cs="Arial"/>
          <w:b w:val="0"/>
          <w:sz w:val="14"/>
        </w:rPr>
      </w:pPr>
      <w:r w:rsidRPr="00F35C44">
        <w:rPr>
          <w:rFonts w:cs="Arial"/>
          <w:b w:val="0"/>
          <w:sz w:val="14"/>
          <w:szCs w:val="14"/>
        </w:rPr>
        <w:t xml:space="preserve">Tabela </w:t>
      </w:r>
      <w:r w:rsidRPr="00F35C44">
        <w:rPr>
          <w:rFonts w:cs="Arial"/>
          <w:b w:val="0"/>
          <w:sz w:val="14"/>
          <w:szCs w:val="14"/>
        </w:rPr>
        <w:fldChar w:fldCharType="begin"/>
      </w:r>
      <w:r w:rsidRPr="00F35C44">
        <w:rPr>
          <w:rFonts w:cs="Arial"/>
          <w:b w:val="0"/>
          <w:sz w:val="14"/>
          <w:szCs w:val="14"/>
        </w:rPr>
        <w:instrText xml:space="preserve"> SEQ Tabela \* ARABIC </w:instrText>
      </w:r>
      <w:r w:rsidRPr="00F35C44">
        <w:rPr>
          <w:rFonts w:cs="Arial"/>
          <w:b w:val="0"/>
          <w:sz w:val="14"/>
          <w:szCs w:val="14"/>
        </w:rPr>
        <w:fldChar w:fldCharType="separate"/>
      </w:r>
      <w:r w:rsidR="00713C42">
        <w:rPr>
          <w:rFonts w:cs="Arial"/>
          <w:b w:val="0"/>
          <w:noProof/>
          <w:sz w:val="14"/>
          <w:szCs w:val="14"/>
        </w:rPr>
        <w:t>2</w:t>
      </w:r>
      <w:r w:rsidRPr="00F35C44">
        <w:rPr>
          <w:rFonts w:cs="Arial"/>
          <w:b w:val="0"/>
          <w:noProof/>
          <w:sz w:val="14"/>
          <w:szCs w:val="14"/>
        </w:rPr>
        <w:fldChar w:fldCharType="end"/>
      </w:r>
      <w:r w:rsidRPr="00F35C44">
        <w:rPr>
          <w:rFonts w:cs="Arial"/>
          <w:b w:val="0"/>
          <w:sz w:val="14"/>
        </w:rPr>
        <w:t xml:space="preserve"> – Desempenho das Ações</w:t>
      </w:r>
    </w:p>
    <w:tbl>
      <w:tblPr>
        <w:tblStyle w:val="TabeladeLista6Colorida-nfase5"/>
        <w:tblW w:w="9639" w:type="dxa"/>
        <w:tblLook w:val="04A0" w:firstRow="1" w:lastRow="0" w:firstColumn="1" w:lastColumn="0" w:noHBand="0" w:noVBand="1"/>
      </w:tblPr>
      <w:tblGrid>
        <w:gridCol w:w="3828"/>
        <w:gridCol w:w="281"/>
        <w:gridCol w:w="1644"/>
        <w:gridCol w:w="199"/>
        <w:gridCol w:w="1446"/>
        <w:gridCol w:w="397"/>
        <w:gridCol w:w="1844"/>
      </w:tblGrid>
      <w:tr w:rsidR="003A0C86" w:rsidRPr="00F35C44" w14:paraId="6E563D17" w14:textId="77777777" w:rsidTr="00BA17E7">
        <w:trPr>
          <w:cnfStyle w:val="100000000000" w:firstRow="1" w:lastRow="0" w:firstColumn="0" w:lastColumn="0" w:oddVBand="0" w:evenVBand="0" w:oddHBand="0"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single" w:sz="2" w:space="0" w:color="9CC2E5" w:themeColor="accent5" w:themeTint="99"/>
              <w:right w:val="nil"/>
            </w:tcBorders>
            <w:shd w:val="clear" w:color="auto" w:fill="auto"/>
            <w:vAlign w:val="center"/>
          </w:tcPr>
          <w:p w14:paraId="02535D3B" w14:textId="77777777" w:rsidR="003A0C86" w:rsidRPr="00F35C44" w:rsidRDefault="003A0C86" w:rsidP="00BA17E7">
            <w:pPr>
              <w:pStyle w:val="08-Tabelageral"/>
              <w:jc w:val="left"/>
              <w:rPr>
                <w:rFonts w:cs="Arial"/>
                <w:bCs w:val="0"/>
                <w:szCs w:val="14"/>
                <w:lang w:eastAsia="en-US"/>
              </w:rPr>
            </w:pPr>
          </w:p>
        </w:tc>
        <w:tc>
          <w:tcPr>
            <w:tcW w:w="281" w:type="dxa"/>
            <w:tcBorders>
              <w:top w:val="nil"/>
              <w:left w:val="nil"/>
              <w:bottom w:val="single" w:sz="2" w:space="0" w:color="9CC2E5" w:themeColor="accent5" w:themeTint="99"/>
              <w:right w:val="nil"/>
            </w:tcBorders>
            <w:shd w:val="clear" w:color="auto" w:fill="auto"/>
            <w:vAlign w:val="center"/>
          </w:tcPr>
          <w:p w14:paraId="532C3FC1" w14:textId="77777777" w:rsidR="003A0C86" w:rsidRPr="00F35C44" w:rsidRDefault="003A0C86" w:rsidP="00BA17E7">
            <w:pPr>
              <w:pStyle w:val="08-Tabelageral"/>
              <w:ind w:right="-57"/>
              <w:cnfStyle w:val="100000000000" w:firstRow="1" w:lastRow="0" w:firstColumn="0" w:lastColumn="0" w:oddVBand="0" w:evenVBand="0" w:oddHBand="0" w:evenHBand="0" w:firstRowFirstColumn="0" w:firstRowLastColumn="0" w:lastRowFirstColumn="0" w:lastRowLastColumn="0"/>
              <w:rPr>
                <w:rFonts w:cs="Arial"/>
                <w:b w:val="0"/>
                <w:lang w:eastAsia="en-US"/>
              </w:rPr>
            </w:pPr>
          </w:p>
        </w:tc>
        <w:tc>
          <w:tcPr>
            <w:tcW w:w="1644" w:type="dxa"/>
            <w:tcBorders>
              <w:top w:val="nil"/>
              <w:left w:val="nil"/>
              <w:bottom w:val="single" w:sz="2" w:space="0" w:color="9CC2E5" w:themeColor="accent5" w:themeTint="99"/>
              <w:right w:val="nil"/>
            </w:tcBorders>
            <w:shd w:val="clear" w:color="auto" w:fill="auto"/>
            <w:vAlign w:val="center"/>
          </w:tcPr>
          <w:p w14:paraId="6396A61B" w14:textId="77777777" w:rsidR="003A0C86" w:rsidRPr="00F35C44" w:rsidRDefault="003A0C86" w:rsidP="00BA17E7">
            <w:pPr>
              <w:pStyle w:val="08-Tabelageral"/>
              <w:ind w:right="-57"/>
              <w:cnfStyle w:val="100000000000" w:firstRow="1" w:lastRow="0" w:firstColumn="0" w:lastColumn="0" w:oddVBand="0" w:evenVBand="0" w:oddHBand="0" w:evenHBand="0" w:firstRowFirstColumn="0" w:firstRowLastColumn="0" w:lastRowFirstColumn="0" w:lastRowLastColumn="0"/>
              <w:rPr>
                <w:rFonts w:cs="Arial"/>
                <w:b w:val="0"/>
                <w:lang w:eastAsia="en-US"/>
              </w:rPr>
            </w:pPr>
          </w:p>
        </w:tc>
        <w:tc>
          <w:tcPr>
            <w:tcW w:w="1645" w:type="dxa"/>
            <w:gridSpan w:val="2"/>
            <w:tcBorders>
              <w:top w:val="nil"/>
              <w:left w:val="nil"/>
              <w:bottom w:val="single" w:sz="2" w:space="0" w:color="9CC2E5" w:themeColor="accent5" w:themeTint="99"/>
              <w:right w:val="nil"/>
            </w:tcBorders>
            <w:shd w:val="clear" w:color="auto" w:fill="auto"/>
            <w:vAlign w:val="center"/>
          </w:tcPr>
          <w:p w14:paraId="256F463B" w14:textId="77777777" w:rsidR="003A0C86" w:rsidRPr="00F35C44" w:rsidRDefault="003A0C86" w:rsidP="00BA17E7">
            <w:pPr>
              <w:pStyle w:val="08-Tabelageral"/>
              <w:ind w:right="-57"/>
              <w:cnfStyle w:val="100000000000" w:firstRow="1" w:lastRow="0" w:firstColumn="0" w:lastColumn="0" w:oddVBand="0" w:evenVBand="0" w:oddHBand="0" w:evenHBand="0" w:firstRowFirstColumn="0" w:firstRowLastColumn="0" w:lastRowFirstColumn="0" w:lastRowLastColumn="0"/>
              <w:rPr>
                <w:rFonts w:cs="Arial"/>
                <w:b w:val="0"/>
                <w:lang w:eastAsia="en-US"/>
              </w:rPr>
            </w:pPr>
          </w:p>
        </w:tc>
        <w:tc>
          <w:tcPr>
            <w:tcW w:w="2241" w:type="dxa"/>
            <w:gridSpan w:val="2"/>
            <w:tcBorders>
              <w:top w:val="nil"/>
              <w:left w:val="nil"/>
              <w:bottom w:val="single" w:sz="2" w:space="0" w:color="9CC2E5" w:themeColor="accent5" w:themeTint="99"/>
              <w:right w:val="nil"/>
            </w:tcBorders>
            <w:shd w:val="clear" w:color="auto" w:fill="auto"/>
            <w:vAlign w:val="center"/>
          </w:tcPr>
          <w:p w14:paraId="38E618E8" w14:textId="77777777" w:rsidR="003A0C86" w:rsidRPr="00F35C44" w:rsidRDefault="003A0C86" w:rsidP="00BA17E7">
            <w:pPr>
              <w:pStyle w:val="08-Tabelageral"/>
              <w:cnfStyle w:val="100000000000" w:firstRow="1" w:lastRow="0" w:firstColumn="0" w:lastColumn="0" w:oddVBand="0" w:evenVBand="0" w:oddHBand="0" w:evenHBand="0" w:firstRowFirstColumn="0" w:firstRowLastColumn="0" w:lastRowFirstColumn="0" w:lastRowLastColumn="0"/>
              <w:rPr>
                <w:rFonts w:cs="Arial"/>
                <w:b w:val="0"/>
                <w:lang w:eastAsia="en-US"/>
              </w:rPr>
            </w:pPr>
          </w:p>
        </w:tc>
      </w:tr>
      <w:tr w:rsidR="003A0C86" w:rsidRPr="00F35C44" w14:paraId="788F3DE2" w14:textId="77777777" w:rsidTr="00BA17E7">
        <w:trPr>
          <w:cnfStyle w:val="000000100000" w:firstRow="0" w:lastRow="0" w:firstColumn="0" w:lastColumn="0" w:oddVBand="0" w:evenVBand="0" w:oddHBand="1" w:evenHBand="0" w:firstRowFirstColumn="0" w:firstRowLastColumn="0" w:lastRowFirstColumn="0" w:lastRowLastColumn="0"/>
          <w:trHeight w:hRule="exact" w:val="517"/>
        </w:trPr>
        <w:tc>
          <w:tcPr>
            <w:cnfStyle w:val="001000000000" w:firstRow="0" w:lastRow="0" w:firstColumn="1" w:lastColumn="0" w:oddVBand="0" w:evenVBand="0" w:oddHBand="0" w:evenHBand="0" w:firstRowFirstColumn="0" w:firstRowLastColumn="0" w:lastRowFirstColumn="0" w:lastRowLastColumn="0"/>
            <w:tcW w:w="3828" w:type="dxa"/>
            <w:tcBorders>
              <w:top w:val="single" w:sz="2" w:space="0" w:color="9CC2E5" w:themeColor="accent5" w:themeTint="99"/>
              <w:left w:val="nil"/>
              <w:bottom w:val="single" w:sz="4" w:space="0" w:color="9CC2E5" w:themeColor="accent5" w:themeTint="99"/>
              <w:right w:val="nil"/>
            </w:tcBorders>
            <w:shd w:val="clear" w:color="auto" w:fill="auto"/>
            <w:vAlign w:val="center"/>
          </w:tcPr>
          <w:p w14:paraId="7D72A020" w14:textId="77777777" w:rsidR="003A0C86" w:rsidRPr="00F35C44" w:rsidRDefault="003A0C86" w:rsidP="00BA17E7">
            <w:pPr>
              <w:pStyle w:val="08-Tabelageral"/>
              <w:jc w:val="left"/>
              <w:rPr>
                <w:rFonts w:cs="Arial"/>
                <w:b w:val="0"/>
                <w:snapToGrid w:val="0"/>
                <w:lang w:eastAsia="en-US"/>
              </w:rPr>
            </w:pPr>
          </w:p>
        </w:tc>
        <w:tc>
          <w:tcPr>
            <w:tcW w:w="281" w:type="dxa"/>
            <w:tcBorders>
              <w:top w:val="single" w:sz="2" w:space="0" w:color="9CC2E5" w:themeColor="accent5" w:themeTint="99"/>
              <w:left w:val="nil"/>
              <w:bottom w:val="single" w:sz="4" w:space="0" w:color="9CC2E5" w:themeColor="accent5" w:themeTint="99"/>
              <w:right w:val="nil"/>
            </w:tcBorders>
            <w:shd w:val="clear" w:color="auto" w:fill="auto"/>
            <w:vAlign w:val="center"/>
          </w:tcPr>
          <w:p w14:paraId="3175E6BC" w14:textId="77777777" w:rsidR="003A0C86" w:rsidRPr="00F35C44" w:rsidRDefault="003A0C86" w:rsidP="00BA17E7">
            <w:pPr>
              <w:pStyle w:val="08-Tabelageral"/>
              <w:cnfStyle w:val="000000100000" w:firstRow="0" w:lastRow="0" w:firstColumn="0" w:lastColumn="0" w:oddVBand="0" w:evenVBand="0" w:oddHBand="1" w:evenHBand="0" w:firstRowFirstColumn="0" w:firstRowLastColumn="0" w:lastRowFirstColumn="0" w:lastRowLastColumn="0"/>
              <w:rPr>
                <w:rFonts w:cs="Arial"/>
                <w:bCs/>
                <w:color w:val="FF0000"/>
                <w:szCs w:val="14"/>
                <w:lang w:eastAsia="en-US"/>
              </w:rPr>
            </w:pPr>
          </w:p>
        </w:tc>
        <w:tc>
          <w:tcPr>
            <w:tcW w:w="1843" w:type="dxa"/>
            <w:gridSpan w:val="2"/>
            <w:tcBorders>
              <w:top w:val="single" w:sz="2" w:space="0" w:color="9CC2E5" w:themeColor="accent5" w:themeTint="99"/>
              <w:left w:val="nil"/>
              <w:bottom w:val="single" w:sz="4" w:space="0" w:color="9CC2E5" w:themeColor="accent5" w:themeTint="99"/>
              <w:right w:val="nil"/>
            </w:tcBorders>
            <w:shd w:val="clear" w:color="auto" w:fill="auto"/>
            <w:vAlign w:val="center"/>
            <w:hideMark/>
          </w:tcPr>
          <w:p w14:paraId="13217E8F" w14:textId="77777777" w:rsidR="003A0C86" w:rsidRPr="00F35C44" w:rsidRDefault="003A0C86" w:rsidP="00BA17E7">
            <w:pPr>
              <w:pStyle w:val="08-Tabelageral"/>
              <w:cnfStyle w:val="000000100000" w:firstRow="0" w:lastRow="0" w:firstColumn="0" w:lastColumn="0" w:oddVBand="0" w:evenVBand="0" w:oddHBand="1" w:evenHBand="0" w:firstRowFirstColumn="0" w:firstRowLastColumn="0" w:lastRowFirstColumn="0" w:lastRowLastColumn="0"/>
              <w:rPr>
                <w:rFonts w:cs="Arial"/>
                <w:b/>
                <w:szCs w:val="14"/>
                <w:lang w:eastAsia="en-US"/>
              </w:rPr>
            </w:pPr>
            <w:r w:rsidRPr="00F35C44">
              <w:rPr>
                <w:rFonts w:cs="Arial"/>
                <w:b/>
                <w:color w:val="auto"/>
                <w:szCs w:val="14"/>
                <w:lang w:eastAsia="en-US"/>
              </w:rPr>
              <w:t>Unidade</w:t>
            </w:r>
          </w:p>
        </w:tc>
        <w:tc>
          <w:tcPr>
            <w:tcW w:w="1843" w:type="dxa"/>
            <w:gridSpan w:val="2"/>
            <w:tcBorders>
              <w:top w:val="single" w:sz="2" w:space="0" w:color="9CC2E5" w:themeColor="accent5" w:themeTint="99"/>
              <w:left w:val="nil"/>
              <w:bottom w:val="single" w:sz="4" w:space="0" w:color="9CC2E5" w:themeColor="accent5" w:themeTint="99"/>
              <w:right w:val="nil"/>
            </w:tcBorders>
            <w:shd w:val="clear" w:color="auto" w:fill="auto"/>
            <w:vAlign w:val="center"/>
            <w:hideMark/>
          </w:tcPr>
          <w:p w14:paraId="0700F9A3" w14:textId="77777777" w:rsidR="003A0C86" w:rsidRPr="00F35C44" w:rsidRDefault="003A0C86" w:rsidP="00BA17E7">
            <w:pPr>
              <w:pStyle w:val="08-Tabelageral"/>
              <w:cnfStyle w:val="000000100000" w:firstRow="0" w:lastRow="0" w:firstColumn="0" w:lastColumn="0" w:oddVBand="0" w:evenVBand="0" w:oddHBand="1" w:evenHBand="0" w:firstRowFirstColumn="0" w:firstRowLastColumn="0" w:lastRowFirstColumn="0" w:lastRowLastColumn="0"/>
              <w:rPr>
                <w:rFonts w:cs="Arial"/>
                <w:b/>
                <w:szCs w:val="14"/>
                <w:lang w:eastAsia="en-US"/>
              </w:rPr>
            </w:pPr>
            <w:r w:rsidRPr="00F35C44">
              <w:rPr>
                <w:rFonts w:cs="Arial"/>
                <w:b/>
                <w:color w:val="auto"/>
                <w:szCs w:val="14"/>
                <w:lang w:eastAsia="en-US"/>
              </w:rPr>
              <w:t>Exercício/202</w:t>
            </w:r>
            <w:r>
              <w:rPr>
                <w:rFonts w:cs="Arial"/>
                <w:b/>
                <w:color w:val="auto"/>
                <w:szCs w:val="14"/>
                <w:lang w:eastAsia="en-US"/>
              </w:rPr>
              <w:t>4</w:t>
            </w:r>
          </w:p>
        </w:tc>
        <w:tc>
          <w:tcPr>
            <w:tcW w:w="1844" w:type="dxa"/>
            <w:tcBorders>
              <w:top w:val="single" w:sz="2" w:space="0" w:color="9CC2E5" w:themeColor="accent5" w:themeTint="99"/>
              <w:left w:val="nil"/>
              <w:bottom w:val="single" w:sz="4" w:space="0" w:color="9CC2E5" w:themeColor="accent5" w:themeTint="99"/>
              <w:right w:val="nil"/>
            </w:tcBorders>
            <w:shd w:val="clear" w:color="auto" w:fill="auto"/>
            <w:vAlign w:val="center"/>
            <w:hideMark/>
          </w:tcPr>
          <w:p w14:paraId="4B7592D8" w14:textId="77777777" w:rsidR="003A0C86" w:rsidRPr="00F35C44" w:rsidRDefault="003A0C86" w:rsidP="00BA17E7">
            <w:pPr>
              <w:pStyle w:val="08-Tabelageral"/>
              <w:cnfStyle w:val="000000100000" w:firstRow="0" w:lastRow="0" w:firstColumn="0" w:lastColumn="0" w:oddVBand="0" w:evenVBand="0" w:oddHBand="1" w:evenHBand="0" w:firstRowFirstColumn="0" w:firstRowLastColumn="0" w:lastRowFirstColumn="0" w:lastRowLastColumn="0"/>
              <w:rPr>
                <w:rFonts w:cs="Arial"/>
                <w:b/>
                <w:szCs w:val="14"/>
                <w:lang w:eastAsia="en-US"/>
              </w:rPr>
            </w:pPr>
            <w:r w:rsidRPr="00F35C44">
              <w:rPr>
                <w:rFonts w:cs="Arial"/>
                <w:b/>
                <w:color w:val="auto"/>
                <w:szCs w:val="14"/>
                <w:lang w:eastAsia="en-US"/>
              </w:rPr>
              <w:t>Exercício/202</w:t>
            </w:r>
            <w:r>
              <w:rPr>
                <w:rFonts w:cs="Arial"/>
                <w:b/>
                <w:color w:val="auto"/>
                <w:szCs w:val="14"/>
                <w:lang w:eastAsia="en-US"/>
              </w:rPr>
              <w:t>3</w:t>
            </w:r>
          </w:p>
        </w:tc>
      </w:tr>
      <w:tr w:rsidR="003A0C86" w:rsidRPr="00F35C44" w14:paraId="67944037" w14:textId="77777777" w:rsidTr="00BA17E7">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9CC2E5" w:themeColor="accent5" w:themeTint="99"/>
              <w:left w:val="nil"/>
              <w:bottom w:val="nil"/>
              <w:right w:val="nil"/>
            </w:tcBorders>
            <w:shd w:val="clear" w:color="auto" w:fill="auto"/>
            <w:hideMark/>
          </w:tcPr>
          <w:p w14:paraId="2A460A01" w14:textId="77777777" w:rsidR="003A0C86" w:rsidRPr="00F35C44" w:rsidRDefault="003A0C86" w:rsidP="00BA17E7">
            <w:pPr>
              <w:pStyle w:val="08-Tabelageral"/>
              <w:jc w:val="left"/>
              <w:rPr>
                <w:rFonts w:cs="Arial"/>
                <w:b w:val="0"/>
                <w:snapToGrid w:val="0"/>
                <w:lang w:eastAsia="en-US"/>
              </w:rPr>
            </w:pPr>
            <w:r w:rsidRPr="00F35C44">
              <w:rPr>
                <w:rFonts w:cs="Arial"/>
                <w:b w:val="0"/>
                <w:lang w:eastAsia="en-US"/>
              </w:rPr>
              <w:t>Lucro por ação</w:t>
            </w:r>
          </w:p>
        </w:tc>
        <w:tc>
          <w:tcPr>
            <w:tcW w:w="281" w:type="dxa"/>
            <w:tcBorders>
              <w:top w:val="single" w:sz="4" w:space="0" w:color="9CC2E5" w:themeColor="accent5" w:themeTint="99"/>
              <w:left w:val="nil"/>
              <w:bottom w:val="nil"/>
              <w:right w:val="nil"/>
            </w:tcBorders>
            <w:shd w:val="clear" w:color="auto" w:fill="auto"/>
            <w:vAlign w:val="center"/>
          </w:tcPr>
          <w:p w14:paraId="5BFA886D" w14:textId="77777777" w:rsidR="003A0C86" w:rsidRPr="00F35C44" w:rsidRDefault="003A0C86" w:rsidP="00BA17E7">
            <w:pPr>
              <w:pStyle w:val="08-Tabelageral"/>
              <w:cnfStyle w:val="000000010000" w:firstRow="0" w:lastRow="0" w:firstColumn="0" w:lastColumn="0" w:oddVBand="0" w:evenVBand="0" w:oddHBand="0" w:evenHBand="1" w:firstRowFirstColumn="0" w:firstRowLastColumn="0" w:lastRowFirstColumn="0" w:lastRowLastColumn="0"/>
              <w:rPr>
                <w:rFonts w:cs="Arial"/>
                <w:lang w:eastAsia="en-US"/>
              </w:rPr>
            </w:pPr>
          </w:p>
        </w:tc>
        <w:tc>
          <w:tcPr>
            <w:tcW w:w="1843" w:type="dxa"/>
            <w:gridSpan w:val="2"/>
            <w:tcBorders>
              <w:top w:val="single" w:sz="4" w:space="0" w:color="9CC2E5" w:themeColor="accent5" w:themeTint="99"/>
              <w:left w:val="nil"/>
              <w:bottom w:val="nil"/>
              <w:right w:val="nil"/>
            </w:tcBorders>
            <w:shd w:val="clear" w:color="auto" w:fill="auto"/>
            <w:hideMark/>
          </w:tcPr>
          <w:p w14:paraId="3550A30D" w14:textId="77777777" w:rsidR="003A0C86" w:rsidRPr="00F35C44" w:rsidRDefault="003A0C86" w:rsidP="00BA17E7">
            <w:pPr>
              <w:pStyle w:val="08-Tabelageral"/>
              <w:cnfStyle w:val="000000010000" w:firstRow="0" w:lastRow="0" w:firstColumn="0" w:lastColumn="0" w:oddVBand="0" w:evenVBand="0" w:oddHBand="0" w:evenHBand="1" w:firstRowFirstColumn="0" w:firstRowLastColumn="0" w:lastRowFirstColumn="0" w:lastRowLastColumn="0"/>
              <w:rPr>
                <w:rFonts w:cs="Arial"/>
                <w:lang w:eastAsia="en-US"/>
              </w:rPr>
            </w:pPr>
            <w:r w:rsidRPr="00F35C44">
              <w:rPr>
                <w:rFonts w:cs="Arial"/>
                <w:lang w:eastAsia="en-US"/>
              </w:rPr>
              <w:t>R$</w:t>
            </w:r>
          </w:p>
        </w:tc>
        <w:tc>
          <w:tcPr>
            <w:tcW w:w="1843" w:type="dxa"/>
            <w:gridSpan w:val="2"/>
            <w:tcBorders>
              <w:top w:val="single" w:sz="4" w:space="0" w:color="9CC2E5" w:themeColor="accent5" w:themeTint="99"/>
              <w:left w:val="nil"/>
              <w:bottom w:val="nil"/>
              <w:right w:val="nil"/>
            </w:tcBorders>
            <w:shd w:val="clear" w:color="auto" w:fill="auto"/>
            <w:hideMark/>
          </w:tcPr>
          <w:p w14:paraId="718C0150" w14:textId="77777777" w:rsidR="003A0C86" w:rsidRPr="006D1433" w:rsidRDefault="003A0C86" w:rsidP="00BA17E7">
            <w:pPr>
              <w:pStyle w:val="08-Tabelageral"/>
              <w:ind w:left="708"/>
              <w:cnfStyle w:val="000000010000" w:firstRow="0" w:lastRow="0" w:firstColumn="0" w:lastColumn="0" w:oddVBand="0" w:evenVBand="0" w:oddHBand="0" w:evenHBand="1" w:firstRowFirstColumn="0" w:firstRowLastColumn="0" w:lastRowFirstColumn="0" w:lastRowLastColumn="0"/>
              <w:rPr>
                <w:rFonts w:cs="Arial"/>
                <w:color w:val="auto"/>
                <w:lang w:eastAsia="en-US"/>
              </w:rPr>
            </w:pPr>
            <w:r w:rsidRPr="006D1433">
              <w:rPr>
                <w:rFonts w:cs="Arial"/>
                <w:color w:val="auto"/>
                <w:lang w:eastAsia="en-US"/>
              </w:rPr>
              <w:t>4,35</w:t>
            </w:r>
          </w:p>
        </w:tc>
        <w:tc>
          <w:tcPr>
            <w:tcW w:w="1844" w:type="dxa"/>
            <w:tcBorders>
              <w:top w:val="single" w:sz="4" w:space="0" w:color="9CC2E5" w:themeColor="accent5" w:themeTint="99"/>
              <w:left w:val="nil"/>
              <w:bottom w:val="nil"/>
              <w:right w:val="nil"/>
            </w:tcBorders>
            <w:shd w:val="clear" w:color="auto" w:fill="auto"/>
            <w:hideMark/>
          </w:tcPr>
          <w:p w14:paraId="231B40DE" w14:textId="77777777" w:rsidR="003A0C86" w:rsidRPr="006D1433" w:rsidRDefault="003A0C86" w:rsidP="00BA17E7">
            <w:pPr>
              <w:pStyle w:val="08-Tabelageral"/>
              <w:cnfStyle w:val="000000010000" w:firstRow="0" w:lastRow="0" w:firstColumn="0" w:lastColumn="0" w:oddVBand="0" w:evenVBand="0" w:oddHBand="0" w:evenHBand="1" w:firstRowFirstColumn="0" w:firstRowLastColumn="0" w:lastRowFirstColumn="0" w:lastRowLastColumn="0"/>
              <w:rPr>
                <w:rFonts w:cs="Arial"/>
                <w:color w:val="auto"/>
                <w:lang w:eastAsia="en-US"/>
              </w:rPr>
            </w:pPr>
            <w:r w:rsidRPr="006D1433">
              <w:rPr>
                <w:rFonts w:cs="Arial"/>
                <w:color w:val="auto"/>
                <w:lang w:eastAsia="en-US"/>
              </w:rPr>
              <w:t>3,97</w:t>
            </w:r>
          </w:p>
        </w:tc>
      </w:tr>
      <w:tr w:rsidR="003A0C86" w:rsidRPr="00F35C44" w14:paraId="4C47940D" w14:textId="77777777" w:rsidTr="00BA17E7">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auto"/>
            <w:hideMark/>
          </w:tcPr>
          <w:p w14:paraId="3D706755" w14:textId="77777777" w:rsidR="003A0C86" w:rsidRPr="00F35C44" w:rsidRDefault="003A0C86" w:rsidP="00BA17E7">
            <w:pPr>
              <w:pStyle w:val="08-Tabelageral"/>
              <w:jc w:val="left"/>
              <w:rPr>
                <w:rFonts w:cs="Arial"/>
                <w:b w:val="0"/>
                <w:snapToGrid w:val="0"/>
                <w:lang w:eastAsia="en-US"/>
              </w:rPr>
            </w:pPr>
            <w:r w:rsidRPr="00F35C44">
              <w:rPr>
                <w:rFonts w:cs="Arial"/>
                <w:b w:val="0"/>
                <w:lang w:eastAsia="en-US"/>
              </w:rPr>
              <w:t>Valor patrimonial por ação</w:t>
            </w:r>
          </w:p>
        </w:tc>
        <w:tc>
          <w:tcPr>
            <w:tcW w:w="281" w:type="dxa"/>
            <w:tcBorders>
              <w:top w:val="nil"/>
              <w:left w:val="nil"/>
              <w:bottom w:val="nil"/>
              <w:right w:val="nil"/>
            </w:tcBorders>
            <w:shd w:val="clear" w:color="auto" w:fill="auto"/>
            <w:vAlign w:val="center"/>
          </w:tcPr>
          <w:p w14:paraId="1C38EA31" w14:textId="77777777" w:rsidR="003A0C86" w:rsidRPr="00F35C44" w:rsidRDefault="003A0C86" w:rsidP="00BA17E7">
            <w:pPr>
              <w:pStyle w:val="08-Tabelageral"/>
              <w:cnfStyle w:val="000000100000" w:firstRow="0" w:lastRow="0" w:firstColumn="0" w:lastColumn="0" w:oddVBand="0" w:evenVBand="0" w:oddHBand="1" w:evenHBand="0" w:firstRowFirstColumn="0" w:firstRowLastColumn="0" w:lastRowFirstColumn="0" w:lastRowLastColumn="0"/>
              <w:rPr>
                <w:rFonts w:cs="Arial"/>
                <w:lang w:eastAsia="en-US"/>
              </w:rPr>
            </w:pPr>
          </w:p>
        </w:tc>
        <w:tc>
          <w:tcPr>
            <w:tcW w:w="1843" w:type="dxa"/>
            <w:gridSpan w:val="2"/>
            <w:tcBorders>
              <w:top w:val="nil"/>
              <w:left w:val="nil"/>
              <w:bottom w:val="nil"/>
              <w:right w:val="nil"/>
            </w:tcBorders>
            <w:shd w:val="clear" w:color="auto" w:fill="auto"/>
            <w:hideMark/>
          </w:tcPr>
          <w:p w14:paraId="4E7D2A20" w14:textId="77777777" w:rsidR="003A0C86" w:rsidRPr="00F35C44" w:rsidRDefault="003A0C86" w:rsidP="00BA17E7">
            <w:pPr>
              <w:pStyle w:val="08-Tabelageral"/>
              <w:cnfStyle w:val="000000100000" w:firstRow="0" w:lastRow="0" w:firstColumn="0" w:lastColumn="0" w:oddVBand="0" w:evenVBand="0" w:oddHBand="1" w:evenHBand="0" w:firstRowFirstColumn="0" w:firstRowLastColumn="0" w:lastRowFirstColumn="0" w:lastRowLastColumn="0"/>
              <w:rPr>
                <w:rFonts w:cs="Arial"/>
                <w:lang w:eastAsia="en-US"/>
              </w:rPr>
            </w:pPr>
            <w:r w:rsidRPr="00F35C44">
              <w:rPr>
                <w:rFonts w:cs="Arial"/>
                <w:color w:val="auto"/>
                <w:lang w:eastAsia="en-US"/>
              </w:rPr>
              <w:t>R$</w:t>
            </w:r>
          </w:p>
        </w:tc>
        <w:tc>
          <w:tcPr>
            <w:tcW w:w="1843" w:type="dxa"/>
            <w:gridSpan w:val="2"/>
            <w:tcBorders>
              <w:top w:val="nil"/>
              <w:left w:val="nil"/>
              <w:bottom w:val="nil"/>
              <w:right w:val="nil"/>
            </w:tcBorders>
            <w:shd w:val="clear" w:color="auto" w:fill="auto"/>
            <w:hideMark/>
          </w:tcPr>
          <w:p w14:paraId="32C5DCAD" w14:textId="77777777" w:rsidR="003A0C86" w:rsidRPr="006D1433" w:rsidRDefault="003A0C86" w:rsidP="00BA17E7">
            <w:pPr>
              <w:pStyle w:val="08-Tabelageral"/>
              <w:cnfStyle w:val="000000100000" w:firstRow="0" w:lastRow="0" w:firstColumn="0" w:lastColumn="0" w:oddVBand="0" w:evenVBand="0" w:oddHBand="1" w:evenHBand="0" w:firstRowFirstColumn="0" w:firstRowLastColumn="0" w:lastRowFirstColumn="0" w:lastRowLastColumn="0"/>
              <w:rPr>
                <w:rFonts w:cs="Arial"/>
                <w:color w:val="auto"/>
                <w:lang w:eastAsia="en-US"/>
              </w:rPr>
            </w:pPr>
            <w:r w:rsidRPr="002625CC">
              <w:rPr>
                <w:rFonts w:cs="Arial"/>
                <w:color w:val="auto"/>
                <w:lang w:eastAsia="en-US"/>
              </w:rPr>
              <w:t>4,85</w:t>
            </w:r>
          </w:p>
        </w:tc>
        <w:tc>
          <w:tcPr>
            <w:tcW w:w="1844" w:type="dxa"/>
            <w:tcBorders>
              <w:top w:val="nil"/>
              <w:left w:val="nil"/>
              <w:bottom w:val="nil"/>
              <w:right w:val="nil"/>
            </w:tcBorders>
            <w:shd w:val="clear" w:color="auto" w:fill="auto"/>
            <w:hideMark/>
          </w:tcPr>
          <w:p w14:paraId="6BAFA486" w14:textId="77777777" w:rsidR="003A0C86" w:rsidRPr="006D1433" w:rsidRDefault="003A0C86" w:rsidP="00BA17E7">
            <w:pPr>
              <w:pStyle w:val="08-Tabelageral"/>
              <w:cnfStyle w:val="000000100000" w:firstRow="0" w:lastRow="0" w:firstColumn="0" w:lastColumn="0" w:oddVBand="0" w:evenVBand="0" w:oddHBand="1" w:evenHBand="0" w:firstRowFirstColumn="0" w:firstRowLastColumn="0" w:lastRowFirstColumn="0" w:lastRowLastColumn="0"/>
              <w:rPr>
                <w:rFonts w:cs="Arial"/>
                <w:color w:val="auto"/>
                <w:lang w:eastAsia="en-US"/>
              </w:rPr>
            </w:pPr>
            <w:r w:rsidRPr="006D1433">
              <w:rPr>
                <w:rFonts w:cs="Arial"/>
                <w:color w:val="auto"/>
                <w:lang w:eastAsia="en-US"/>
              </w:rPr>
              <w:t>4,91</w:t>
            </w:r>
          </w:p>
        </w:tc>
      </w:tr>
      <w:tr w:rsidR="003A0C86" w:rsidRPr="00F35C44" w14:paraId="4D577E06" w14:textId="77777777" w:rsidTr="00BA17E7">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auto"/>
            <w:hideMark/>
          </w:tcPr>
          <w:p w14:paraId="71079BCC" w14:textId="77777777" w:rsidR="003A0C86" w:rsidRPr="00F35C44" w:rsidRDefault="003A0C86" w:rsidP="00BA17E7">
            <w:pPr>
              <w:pStyle w:val="08-Tabelageral"/>
              <w:jc w:val="left"/>
              <w:rPr>
                <w:rFonts w:cs="Arial"/>
                <w:b w:val="0"/>
                <w:snapToGrid w:val="0"/>
                <w:lang w:eastAsia="en-US"/>
              </w:rPr>
            </w:pPr>
            <w:r w:rsidRPr="00F35C44">
              <w:rPr>
                <w:rFonts w:cs="Arial"/>
                <w:b w:val="0"/>
                <w:lang w:eastAsia="en-US"/>
              </w:rPr>
              <w:t>Cotação de fechamento</w:t>
            </w:r>
          </w:p>
        </w:tc>
        <w:tc>
          <w:tcPr>
            <w:tcW w:w="281" w:type="dxa"/>
            <w:tcBorders>
              <w:top w:val="nil"/>
              <w:left w:val="nil"/>
              <w:bottom w:val="nil"/>
              <w:right w:val="nil"/>
            </w:tcBorders>
            <w:shd w:val="clear" w:color="auto" w:fill="auto"/>
            <w:vAlign w:val="center"/>
          </w:tcPr>
          <w:p w14:paraId="4BF0E296" w14:textId="77777777" w:rsidR="003A0C86" w:rsidRPr="00F35C44" w:rsidRDefault="003A0C86" w:rsidP="00BA17E7">
            <w:pPr>
              <w:pStyle w:val="08-Tabelageral"/>
              <w:cnfStyle w:val="000000010000" w:firstRow="0" w:lastRow="0" w:firstColumn="0" w:lastColumn="0" w:oddVBand="0" w:evenVBand="0" w:oddHBand="0" w:evenHBand="1" w:firstRowFirstColumn="0" w:firstRowLastColumn="0" w:lastRowFirstColumn="0" w:lastRowLastColumn="0"/>
              <w:rPr>
                <w:rFonts w:cs="Arial"/>
                <w:lang w:eastAsia="en-US"/>
              </w:rPr>
            </w:pPr>
          </w:p>
        </w:tc>
        <w:tc>
          <w:tcPr>
            <w:tcW w:w="1843" w:type="dxa"/>
            <w:gridSpan w:val="2"/>
            <w:tcBorders>
              <w:top w:val="nil"/>
              <w:left w:val="nil"/>
              <w:bottom w:val="nil"/>
              <w:right w:val="nil"/>
            </w:tcBorders>
            <w:shd w:val="clear" w:color="auto" w:fill="auto"/>
            <w:hideMark/>
          </w:tcPr>
          <w:p w14:paraId="73316988" w14:textId="77777777" w:rsidR="003A0C86" w:rsidRPr="00F35C44" w:rsidRDefault="003A0C86" w:rsidP="00BA17E7">
            <w:pPr>
              <w:pStyle w:val="08-Tabelageral"/>
              <w:cnfStyle w:val="000000010000" w:firstRow="0" w:lastRow="0" w:firstColumn="0" w:lastColumn="0" w:oddVBand="0" w:evenVBand="0" w:oddHBand="0" w:evenHBand="1" w:firstRowFirstColumn="0" w:firstRowLastColumn="0" w:lastRowFirstColumn="0" w:lastRowLastColumn="0"/>
              <w:rPr>
                <w:rFonts w:cs="Arial"/>
                <w:lang w:eastAsia="en-US"/>
              </w:rPr>
            </w:pPr>
            <w:r w:rsidRPr="00F35C44">
              <w:rPr>
                <w:rFonts w:cs="Arial"/>
                <w:lang w:eastAsia="en-US"/>
              </w:rPr>
              <w:t>R$</w:t>
            </w:r>
          </w:p>
        </w:tc>
        <w:tc>
          <w:tcPr>
            <w:tcW w:w="1843" w:type="dxa"/>
            <w:gridSpan w:val="2"/>
            <w:tcBorders>
              <w:top w:val="nil"/>
              <w:left w:val="nil"/>
              <w:bottom w:val="nil"/>
              <w:right w:val="nil"/>
            </w:tcBorders>
            <w:shd w:val="clear" w:color="auto" w:fill="auto"/>
            <w:hideMark/>
          </w:tcPr>
          <w:p w14:paraId="49AA8CD4" w14:textId="77777777" w:rsidR="003A0C86" w:rsidRPr="006D1433" w:rsidRDefault="003A0C86" w:rsidP="00BA17E7">
            <w:pPr>
              <w:pStyle w:val="08-Tabelageral"/>
              <w:cnfStyle w:val="000000010000" w:firstRow="0" w:lastRow="0" w:firstColumn="0" w:lastColumn="0" w:oddVBand="0" w:evenVBand="0" w:oddHBand="0" w:evenHBand="1" w:firstRowFirstColumn="0" w:firstRowLastColumn="0" w:lastRowFirstColumn="0" w:lastRowLastColumn="0"/>
              <w:rPr>
                <w:rFonts w:cs="Arial"/>
                <w:color w:val="auto"/>
                <w:lang w:eastAsia="en-US"/>
              </w:rPr>
            </w:pPr>
            <w:r w:rsidRPr="006D1433">
              <w:rPr>
                <w:rFonts w:cs="Arial"/>
                <w:color w:val="auto"/>
                <w:lang w:eastAsia="en-US"/>
              </w:rPr>
              <w:t>36,1</w:t>
            </w:r>
            <w:r>
              <w:rPr>
                <w:rFonts w:cs="Arial"/>
                <w:color w:val="auto"/>
                <w:lang w:eastAsia="en-US"/>
              </w:rPr>
              <w:t>8</w:t>
            </w:r>
          </w:p>
        </w:tc>
        <w:tc>
          <w:tcPr>
            <w:tcW w:w="1844" w:type="dxa"/>
            <w:tcBorders>
              <w:top w:val="nil"/>
              <w:left w:val="nil"/>
              <w:bottom w:val="nil"/>
              <w:right w:val="nil"/>
            </w:tcBorders>
            <w:shd w:val="clear" w:color="auto" w:fill="auto"/>
            <w:hideMark/>
          </w:tcPr>
          <w:p w14:paraId="2EE975C3" w14:textId="77777777" w:rsidR="003A0C86" w:rsidRPr="006D1433" w:rsidRDefault="003A0C86" w:rsidP="00BA17E7">
            <w:pPr>
              <w:pStyle w:val="08-Tabelageral"/>
              <w:cnfStyle w:val="000000010000" w:firstRow="0" w:lastRow="0" w:firstColumn="0" w:lastColumn="0" w:oddVBand="0" w:evenVBand="0" w:oddHBand="0" w:evenHBand="1" w:firstRowFirstColumn="0" w:firstRowLastColumn="0" w:lastRowFirstColumn="0" w:lastRowLastColumn="0"/>
              <w:rPr>
                <w:rFonts w:cs="Arial"/>
                <w:color w:val="auto"/>
                <w:lang w:eastAsia="en-US"/>
              </w:rPr>
            </w:pPr>
            <w:r w:rsidRPr="006D1433">
              <w:rPr>
                <w:rFonts w:cs="Arial"/>
                <w:color w:val="auto"/>
                <w:lang w:eastAsia="en-US"/>
              </w:rPr>
              <w:t>33,65</w:t>
            </w:r>
          </w:p>
        </w:tc>
      </w:tr>
      <w:tr w:rsidR="003A0C86" w:rsidRPr="00F35C44" w14:paraId="505CA757" w14:textId="77777777" w:rsidTr="00BA17E7">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auto"/>
            <w:hideMark/>
          </w:tcPr>
          <w:p w14:paraId="308A9142" w14:textId="77777777" w:rsidR="003A0C86" w:rsidRPr="00F35C44" w:rsidRDefault="003A0C86" w:rsidP="00BA17E7">
            <w:pPr>
              <w:pStyle w:val="08-Tabelageral"/>
              <w:jc w:val="left"/>
              <w:rPr>
                <w:rFonts w:cs="Arial"/>
                <w:b w:val="0"/>
                <w:snapToGrid w:val="0"/>
                <w:lang w:eastAsia="en-US"/>
              </w:rPr>
            </w:pPr>
            <w:r w:rsidRPr="00F35C44">
              <w:rPr>
                <w:rFonts w:cs="Arial"/>
                <w:b w:val="0"/>
                <w:lang w:eastAsia="en-US"/>
              </w:rPr>
              <w:t>Valor de mercado</w:t>
            </w:r>
          </w:p>
        </w:tc>
        <w:tc>
          <w:tcPr>
            <w:tcW w:w="281" w:type="dxa"/>
            <w:tcBorders>
              <w:top w:val="nil"/>
              <w:left w:val="nil"/>
              <w:bottom w:val="nil"/>
              <w:right w:val="nil"/>
            </w:tcBorders>
            <w:shd w:val="clear" w:color="auto" w:fill="auto"/>
            <w:vAlign w:val="center"/>
          </w:tcPr>
          <w:p w14:paraId="4EF36C17" w14:textId="77777777" w:rsidR="003A0C86" w:rsidRPr="00F35C44" w:rsidRDefault="003A0C86" w:rsidP="00BA17E7">
            <w:pPr>
              <w:pStyle w:val="08-Tabelageral"/>
              <w:cnfStyle w:val="000000100000" w:firstRow="0" w:lastRow="0" w:firstColumn="0" w:lastColumn="0" w:oddVBand="0" w:evenVBand="0" w:oddHBand="1" w:evenHBand="0" w:firstRowFirstColumn="0" w:firstRowLastColumn="0" w:lastRowFirstColumn="0" w:lastRowLastColumn="0"/>
              <w:rPr>
                <w:rFonts w:cs="Arial"/>
                <w:lang w:eastAsia="en-US"/>
              </w:rPr>
            </w:pPr>
          </w:p>
        </w:tc>
        <w:tc>
          <w:tcPr>
            <w:tcW w:w="1843" w:type="dxa"/>
            <w:gridSpan w:val="2"/>
            <w:tcBorders>
              <w:top w:val="nil"/>
              <w:left w:val="nil"/>
              <w:bottom w:val="nil"/>
              <w:right w:val="nil"/>
            </w:tcBorders>
            <w:shd w:val="clear" w:color="auto" w:fill="auto"/>
            <w:hideMark/>
          </w:tcPr>
          <w:p w14:paraId="6B868366" w14:textId="77777777" w:rsidR="003A0C86" w:rsidRPr="00F35C44" w:rsidRDefault="003A0C86" w:rsidP="00BA17E7">
            <w:pPr>
              <w:pStyle w:val="08-Tabelageral"/>
              <w:cnfStyle w:val="000000100000" w:firstRow="0" w:lastRow="0" w:firstColumn="0" w:lastColumn="0" w:oddVBand="0" w:evenVBand="0" w:oddHBand="1" w:evenHBand="0" w:firstRowFirstColumn="0" w:firstRowLastColumn="0" w:lastRowFirstColumn="0" w:lastRowLastColumn="0"/>
              <w:rPr>
                <w:rFonts w:cs="Arial"/>
                <w:lang w:eastAsia="en-US"/>
              </w:rPr>
            </w:pPr>
            <w:r w:rsidRPr="00F35C44">
              <w:rPr>
                <w:rFonts w:cs="Arial"/>
                <w:color w:val="auto"/>
                <w:lang w:eastAsia="en-US"/>
              </w:rPr>
              <w:t>R$ bilhões</w:t>
            </w:r>
          </w:p>
        </w:tc>
        <w:tc>
          <w:tcPr>
            <w:tcW w:w="1843" w:type="dxa"/>
            <w:gridSpan w:val="2"/>
            <w:tcBorders>
              <w:top w:val="nil"/>
              <w:left w:val="nil"/>
              <w:bottom w:val="nil"/>
              <w:right w:val="nil"/>
            </w:tcBorders>
            <w:shd w:val="clear" w:color="auto" w:fill="auto"/>
            <w:hideMark/>
          </w:tcPr>
          <w:p w14:paraId="226BC01D" w14:textId="77777777" w:rsidR="003A0C86" w:rsidRPr="006D1433" w:rsidRDefault="003A0C86" w:rsidP="00BA17E7">
            <w:pPr>
              <w:pStyle w:val="08-Tabelageral"/>
              <w:cnfStyle w:val="000000100000" w:firstRow="0" w:lastRow="0" w:firstColumn="0" w:lastColumn="0" w:oddVBand="0" w:evenVBand="0" w:oddHBand="1" w:evenHBand="0" w:firstRowFirstColumn="0" w:firstRowLastColumn="0" w:lastRowFirstColumn="0" w:lastRowLastColumn="0"/>
              <w:rPr>
                <w:rFonts w:cs="Arial"/>
                <w:color w:val="auto"/>
                <w:lang w:eastAsia="en-US"/>
              </w:rPr>
            </w:pPr>
            <w:r w:rsidRPr="006D1433">
              <w:rPr>
                <w:rFonts w:cs="Arial"/>
                <w:color w:val="auto"/>
                <w:lang w:eastAsia="en-US"/>
              </w:rPr>
              <w:t>72,</w:t>
            </w:r>
            <w:r>
              <w:rPr>
                <w:rFonts w:cs="Arial"/>
                <w:color w:val="auto"/>
                <w:lang w:eastAsia="en-US"/>
              </w:rPr>
              <w:t>4</w:t>
            </w:r>
          </w:p>
        </w:tc>
        <w:tc>
          <w:tcPr>
            <w:tcW w:w="1844" w:type="dxa"/>
            <w:tcBorders>
              <w:top w:val="nil"/>
              <w:left w:val="nil"/>
              <w:bottom w:val="nil"/>
              <w:right w:val="nil"/>
            </w:tcBorders>
            <w:shd w:val="clear" w:color="auto" w:fill="auto"/>
            <w:hideMark/>
          </w:tcPr>
          <w:p w14:paraId="1AB5ED48" w14:textId="77777777" w:rsidR="003A0C86" w:rsidRPr="006D1433" w:rsidRDefault="003A0C86" w:rsidP="00BA17E7">
            <w:pPr>
              <w:pStyle w:val="08-Tabelageral"/>
              <w:cnfStyle w:val="000000100000" w:firstRow="0" w:lastRow="0" w:firstColumn="0" w:lastColumn="0" w:oddVBand="0" w:evenVBand="0" w:oddHBand="1" w:evenHBand="0" w:firstRowFirstColumn="0" w:firstRowLastColumn="0" w:lastRowFirstColumn="0" w:lastRowLastColumn="0"/>
              <w:rPr>
                <w:rFonts w:cs="Arial"/>
                <w:color w:val="auto"/>
                <w:lang w:eastAsia="en-US"/>
              </w:rPr>
            </w:pPr>
            <w:r w:rsidRPr="006D1433">
              <w:rPr>
                <w:rFonts w:cs="Arial"/>
                <w:color w:val="auto"/>
                <w:lang w:eastAsia="en-US"/>
              </w:rPr>
              <w:t>67,3</w:t>
            </w:r>
          </w:p>
        </w:tc>
      </w:tr>
      <w:tr w:rsidR="003A0C86" w:rsidRPr="00F35C44" w14:paraId="507EC082" w14:textId="77777777" w:rsidTr="00BA17E7">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auto"/>
            <w:hideMark/>
          </w:tcPr>
          <w:p w14:paraId="0D8C99B0" w14:textId="77777777" w:rsidR="003A0C86" w:rsidRPr="00F35C44" w:rsidRDefault="003A0C86" w:rsidP="00BA17E7">
            <w:pPr>
              <w:pStyle w:val="08-Tabelageral"/>
              <w:jc w:val="left"/>
              <w:rPr>
                <w:rFonts w:cs="Arial"/>
                <w:b w:val="0"/>
                <w:snapToGrid w:val="0"/>
                <w:lang w:eastAsia="en-US"/>
              </w:rPr>
            </w:pPr>
            <w:r w:rsidRPr="00F35C44">
              <w:rPr>
                <w:rFonts w:cs="Arial"/>
                <w:b w:val="0"/>
                <w:lang w:eastAsia="en-US"/>
              </w:rPr>
              <w:t>Quantidade de negócios realizados¹</w:t>
            </w:r>
          </w:p>
        </w:tc>
        <w:tc>
          <w:tcPr>
            <w:tcW w:w="281" w:type="dxa"/>
            <w:tcBorders>
              <w:top w:val="nil"/>
              <w:left w:val="nil"/>
              <w:bottom w:val="nil"/>
              <w:right w:val="nil"/>
            </w:tcBorders>
            <w:shd w:val="clear" w:color="auto" w:fill="auto"/>
            <w:vAlign w:val="center"/>
          </w:tcPr>
          <w:p w14:paraId="65F0A9AF" w14:textId="77777777" w:rsidR="003A0C86" w:rsidRPr="00F35C44" w:rsidRDefault="003A0C86" w:rsidP="00BA17E7">
            <w:pPr>
              <w:pStyle w:val="08-Tabelageral"/>
              <w:cnfStyle w:val="000000010000" w:firstRow="0" w:lastRow="0" w:firstColumn="0" w:lastColumn="0" w:oddVBand="0" w:evenVBand="0" w:oddHBand="0" w:evenHBand="1" w:firstRowFirstColumn="0" w:firstRowLastColumn="0" w:lastRowFirstColumn="0" w:lastRowLastColumn="0"/>
              <w:rPr>
                <w:rFonts w:cs="Arial"/>
                <w:lang w:eastAsia="en-US"/>
              </w:rPr>
            </w:pPr>
          </w:p>
        </w:tc>
        <w:tc>
          <w:tcPr>
            <w:tcW w:w="1843" w:type="dxa"/>
            <w:gridSpan w:val="2"/>
            <w:tcBorders>
              <w:top w:val="nil"/>
              <w:left w:val="nil"/>
              <w:bottom w:val="nil"/>
              <w:right w:val="nil"/>
            </w:tcBorders>
            <w:shd w:val="clear" w:color="auto" w:fill="auto"/>
            <w:hideMark/>
          </w:tcPr>
          <w:p w14:paraId="5CAA99FB" w14:textId="77777777" w:rsidR="003A0C86" w:rsidRPr="00F35C44" w:rsidRDefault="003A0C86" w:rsidP="00BA17E7">
            <w:pPr>
              <w:pStyle w:val="08-Tabelageral"/>
              <w:cnfStyle w:val="000000010000" w:firstRow="0" w:lastRow="0" w:firstColumn="0" w:lastColumn="0" w:oddVBand="0" w:evenVBand="0" w:oddHBand="0" w:evenHBand="1" w:firstRowFirstColumn="0" w:firstRowLastColumn="0" w:lastRowFirstColumn="0" w:lastRowLastColumn="0"/>
              <w:rPr>
                <w:rFonts w:cs="Arial"/>
                <w:lang w:eastAsia="en-US"/>
              </w:rPr>
            </w:pPr>
            <w:r w:rsidRPr="00F35C44">
              <w:rPr>
                <w:rFonts w:cs="Arial"/>
                <w:lang w:eastAsia="en-US"/>
              </w:rPr>
              <w:t>-</w:t>
            </w:r>
          </w:p>
        </w:tc>
        <w:tc>
          <w:tcPr>
            <w:tcW w:w="1843" w:type="dxa"/>
            <w:gridSpan w:val="2"/>
            <w:tcBorders>
              <w:top w:val="nil"/>
              <w:left w:val="nil"/>
              <w:bottom w:val="nil"/>
              <w:right w:val="nil"/>
            </w:tcBorders>
            <w:shd w:val="clear" w:color="auto" w:fill="auto"/>
            <w:hideMark/>
          </w:tcPr>
          <w:p w14:paraId="17E2123F" w14:textId="77777777" w:rsidR="003A0C86" w:rsidRPr="006D1433" w:rsidRDefault="003A0C86" w:rsidP="00BA17E7">
            <w:pPr>
              <w:pStyle w:val="08-Tabelageral"/>
              <w:cnfStyle w:val="000000010000" w:firstRow="0" w:lastRow="0" w:firstColumn="0" w:lastColumn="0" w:oddVBand="0" w:evenVBand="0" w:oddHBand="0" w:evenHBand="1" w:firstRowFirstColumn="0" w:firstRowLastColumn="0" w:lastRowFirstColumn="0" w:lastRowLastColumn="0"/>
              <w:rPr>
                <w:rFonts w:cs="Arial"/>
                <w:color w:val="auto"/>
                <w:lang w:eastAsia="en-US"/>
              </w:rPr>
            </w:pPr>
            <w:r w:rsidRPr="006D1433">
              <w:rPr>
                <w:rFonts w:cs="Arial"/>
                <w:color w:val="auto"/>
                <w:lang w:eastAsia="en-US"/>
              </w:rPr>
              <w:t>3.464.030</w:t>
            </w:r>
          </w:p>
        </w:tc>
        <w:tc>
          <w:tcPr>
            <w:tcW w:w="1844" w:type="dxa"/>
            <w:tcBorders>
              <w:top w:val="nil"/>
              <w:left w:val="nil"/>
              <w:bottom w:val="nil"/>
              <w:right w:val="nil"/>
            </w:tcBorders>
            <w:shd w:val="clear" w:color="auto" w:fill="auto"/>
            <w:hideMark/>
          </w:tcPr>
          <w:p w14:paraId="56E2A91E" w14:textId="77777777" w:rsidR="003A0C86" w:rsidRPr="006D1433" w:rsidRDefault="003A0C86" w:rsidP="00BA17E7">
            <w:pPr>
              <w:pStyle w:val="08-Tabelageral"/>
              <w:cnfStyle w:val="000000010000" w:firstRow="0" w:lastRow="0" w:firstColumn="0" w:lastColumn="0" w:oddVBand="0" w:evenVBand="0" w:oddHBand="0" w:evenHBand="1" w:firstRowFirstColumn="0" w:firstRowLastColumn="0" w:lastRowFirstColumn="0" w:lastRowLastColumn="0"/>
              <w:rPr>
                <w:rFonts w:cs="Arial"/>
                <w:color w:val="auto"/>
                <w:lang w:eastAsia="en-US"/>
              </w:rPr>
            </w:pPr>
            <w:r w:rsidRPr="006D1433">
              <w:rPr>
                <w:rFonts w:cs="Arial"/>
                <w:color w:val="auto"/>
                <w:lang w:eastAsia="en-US"/>
              </w:rPr>
              <w:t>4.426.591</w:t>
            </w:r>
          </w:p>
        </w:tc>
      </w:tr>
      <w:tr w:rsidR="003A0C86" w:rsidRPr="00F35C44" w14:paraId="7B8DE56A" w14:textId="77777777" w:rsidTr="00BA17E7">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auto"/>
            <w:hideMark/>
          </w:tcPr>
          <w:p w14:paraId="29AC288C" w14:textId="77777777" w:rsidR="003A0C86" w:rsidRPr="00F35C44" w:rsidRDefault="003A0C86" w:rsidP="00BA17E7">
            <w:pPr>
              <w:pStyle w:val="08-Tabelageral"/>
              <w:jc w:val="left"/>
              <w:rPr>
                <w:rFonts w:cs="Arial"/>
                <w:b w:val="0"/>
                <w:snapToGrid w:val="0"/>
                <w:vertAlign w:val="superscript"/>
                <w:lang w:eastAsia="en-US"/>
              </w:rPr>
            </w:pPr>
            <w:r w:rsidRPr="00F35C44">
              <w:rPr>
                <w:rFonts w:cs="Arial"/>
                <w:b w:val="0"/>
                <w:lang w:eastAsia="en-US"/>
              </w:rPr>
              <w:t>Volume médio diário negociado¹</w:t>
            </w:r>
          </w:p>
        </w:tc>
        <w:tc>
          <w:tcPr>
            <w:tcW w:w="281" w:type="dxa"/>
            <w:tcBorders>
              <w:top w:val="nil"/>
              <w:left w:val="nil"/>
              <w:bottom w:val="nil"/>
              <w:right w:val="nil"/>
            </w:tcBorders>
            <w:shd w:val="clear" w:color="auto" w:fill="auto"/>
            <w:vAlign w:val="center"/>
          </w:tcPr>
          <w:p w14:paraId="4C9C5D39" w14:textId="77777777" w:rsidR="003A0C86" w:rsidRPr="00F35C44" w:rsidRDefault="003A0C86" w:rsidP="00BA17E7">
            <w:pPr>
              <w:pStyle w:val="08-Tabelageral"/>
              <w:cnfStyle w:val="000000100000" w:firstRow="0" w:lastRow="0" w:firstColumn="0" w:lastColumn="0" w:oddVBand="0" w:evenVBand="0" w:oddHBand="1" w:evenHBand="0" w:firstRowFirstColumn="0" w:firstRowLastColumn="0" w:lastRowFirstColumn="0" w:lastRowLastColumn="0"/>
              <w:rPr>
                <w:rFonts w:cs="Arial"/>
                <w:lang w:eastAsia="en-US"/>
              </w:rPr>
            </w:pPr>
          </w:p>
        </w:tc>
        <w:tc>
          <w:tcPr>
            <w:tcW w:w="1843" w:type="dxa"/>
            <w:gridSpan w:val="2"/>
            <w:tcBorders>
              <w:top w:val="nil"/>
              <w:left w:val="nil"/>
              <w:bottom w:val="nil"/>
              <w:right w:val="nil"/>
            </w:tcBorders>
            <w:shd w:val="clear" w:color="auto" w:fill="auto"/>
            <w:hideMark/>
          </w:tcPr>
          <w:p w14:paraId="25B12FCC" w14:textId="77777777" w:rsidR="003A0C86" w:rsidRPr="00F35C44" w:rsidRDefault="003A0C86" w:rsidP="00BA17E7">
            <w:pPr>
              <w:pStyle w:val="08-Tabelageral"/>
              <w:cnfStyle w:val="000000100000" w:firstRow="0" w:lastRow="0" w:firstColumn="0" w:lastColumn="0" w:oddVBand="0" w:evenVBand="0" w:oddHBand="1" w:evenHBand="0" w:firstRowFirstColumn="0" w:firstRowLastColumn="0" w:lastRowFirstColumn="0" w:lastRowLastColumn="0"/>
              <w:rPr>
                <w:rFonts w:cs="Arial"/>
                <w:lang w:eastAsia="en-US"/>
              </w:rPr>
            </w:pPr>
            <w:r w:rsidRPr="00F35C44">
              <w:rPr>
                <w:rFonts w:cs="Arial"/>
                <w:color w:val="auto"/>
                <w:lang w:eastAsia="en-US"/>
              </w:rPr>
              <w:t>R$ milhões</w:t>
            </w:r>
          </w:p>
        </w:tc>
        <w:tc>
          <w:tcPr>
            <w:tcW w:w="1843" w:type="dxa"/>
            <w:gridSpan w:val="2"/>
            <w:tcBorders>
              <w:top w:val="nil"/>
              <w:left w:val="nil"/>
              <w:bottom w:val="nil"/>
              <w:right w:val="nil"/>
            </w:tcBorders>
            <w:shd w:val="clear" w:color="auto" w:fill="auto"/>
            <w:hideMark/>
          </w:tcPr>
          <w:p w14:paraId="198361A7" w14:textId="77777777" w:rsidR="003A0C86" w:rsidRPr="006D1433" w:rsidRDefault="003A0C86" w:rsidP="00BA17E7">
            <w:pPr>
              <w:pStyle w:val="08-Tabelageral"/>
              <w:cnfStyle w:val="000000100000" w:firstRow="0" w:lastRow="0" w:firstColumn="0" w:lastColumn="0" w:oddVBand="0" w:evenVBand="0" w:oddHBand="1" w:evenHBand="0" w:firstRowFirstColumn="0" w:firstRowLastColumn="0" w:lastRowFirstColumn="0" w:lastRowLastColumn="0"/>
              <w:rPr>
                <w:rFonts w:cs="Arial"/>
                <w:color w:val="auto"/>
                <w:lang w:eastAsia="en-US"/>
              </w:rPr>
            </w:pPr>
            <w:r w:rsidRPr="006D1433">
              <w:rPr>
                <w:rFonts w:cs="Arial"/>
                <w:color w:val="auto"/>
                <w:lang w:eastAsia="en-US"/>
              </w:rPr>
              <w:t>157,6</w:t>
            </w:r>
          </w:p>
        </w:tc>
        <w:tc>
          <w:tcPr>
            <w:tcW w:w="1844" w:type="dxa"/>
            <w:tcBorders>
              <w:top w:val="nil"/>
              <w:left w:val="nil"/>
              <w:bottom w:val="nil"/>
              <w:right w:val="nil"/>
            </w:tcBorders>
            <w:shd w:val="clear" w:color="auto" w:fill="auto"/>
            <w:hideMark/>
          </w:tcPr>
          <w:p w14:paraId="60461484" w14:textId="77777777" w:rsidR="003A0C86" w:rsidRPr="006D1433" w:rsidRDefault="003A0C86" w:rsidP="00BA17E7">
            <w:pPr>
              <w:pStyle w:val="08-Tabelageral"/>
              <w:cnfStyle w:val="000000100000" w:firstRow="0" w:lastRow="0" w:firstColumn="0" w:lastColumn="0" w:oddVBand="0" w:evenVBand="0" w:oddHBand="1" w:evenHBand="0" w:firstRowFirstColumn="0" w:firstRowLastColumn="0" w:lastRowFirstColumn="0" w:lastRowLastColumn="0"/>
              <w:rPr>
                <w:rFonts w:cs="Arial"/>
                <w:color w:val="auto"/>
                <w:lang w:eastAsia="en-US"/>
              </w:rPr>
            </w:pPr>
            <w:r w:rsidRPr="006D1433">
              <w:rPr>
                <w:rFonts w:cs="Arial"/>
                <w:color w:val="auto"/>
                <w:lang w:eastAsia="en-US"/>
              </w:rPr>
              <w:t>179,8</w:t>
            </w:r>
          </w:p>
        </w:tc>
      </w:tr>
      <w:tr w:rsidR="003A0C86" w:rsidRPr="00F35C44" w14:paraId="594F2476" w14:textId="77777777" w:rsidTr="00BA17E7">
        <w:trPr>
          <w:cnfStyle w:val="000000010000" w:firstRow="0" w:lastRow="0" w:firstColumn="0" w:lastColumn="0" w:oddVBand="0" w:evenVBand="0" w:oddHBand="0" w:evenHBand="1" w:firstRowFirstColumn="0" w:firstRowLastColumn="0" w:lastRowFirstColumn="0" w:lastRowLastColumn="0"/>
          <w:trHeight w:hRule="exact" w:val="266"/>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single" w:sz="2" w:space="0" w:color="8EAADB" w:themeColor="accent1" w:themeTint="99"/>
              <w:right w:val="nil"/>
            </w:tcBorders>
            <w:shd w:val="clear" w:color="auto" w:fill="auto"/>
            <w:hideMark/>
          </w:tcPr>
          <w:p w14:paraId="0DA70F11" w14:textId="77777777" w:rsidR="003A0C86" w:rsidRPr="00F35C44" w:rsidRDefault="003A0C86" w:rsidP="00BA17E7">
            <w:pPr>
              <w:pStyle w:val="08-Tabelageral"/>
              <w:jc w:val="left"/>
              <w:rPr>
                <w:rFonts w:cs="Arial"/>
                <w:b w:val="0"/>
                <w:snapToGrid w:val="0"/>
                <w:lang w:eastAsia="en-US"/>
              </w:rPr>
            </w:pPr>
            <w:r w:rsidRPr="00F35C44">
              <w:rPr>
                <w:rFonts w:cs="Arial"/>
                <w:b w:val="0"/>
                <w:lang w:eastAsia="en-US"/>
              </w:rPr>
              <w:t>Participação no volume médio diário da B3</w:t>
            </w:r>
          </w:p>
        </w:tc>
        <w:tc>
          <w:tcPr>
            <w:tcW w:w="281" w:type="dxa"/>
            <w:tcBorders>
              <w:top w:val="nil"/>
              <w:left w:val="nil"/>
              <w:bottom w:val="single" w:sz="2" w:space="0" w:color="8EAADB" w:themeColor="accent1" w:themeTint="99"/>
              <w:right w:val="nil"/>
            </w:tcBorders>
            <w:shd w:val="clear" w:color="auto" w:fill="auto"/>
            <w:vAlign w:val="center"/>
          </w:tcPr>
          <w:p w14:paraId="5CF9C6E1" w14:textId="77777777" w:rsidR="003A0C86" w:rsidRPr="00F35C44" w:rsidRDefault="003A0C86" w:rsidP="00BA17E7">
            <w:pPr>
              <w:pStyle w:val="08-Tabelageral"/>
              <w:cnfStyle w:val="000000010000" w:firstRow="0" w:lastRow="0" w:firstColumn="0" w:lastColumn="0" w:oddVBand="0" w:evenVBand="0" w:oddHBand="0" w:evenHBand="1" w:firstRowFirstColumn="0" w:firstRowLastColumn="0" w:lastRowFirstColumn="0" w:lastRowLastColumn="0"/>
              <w:rPr>
                <w:rFonts w:cs="Arial"/>
                <w:lang w:eastAsia="en-US"/>
              </w:rPr>
            </w:pPr>
          </w:p>
        </w:tc>
        <w:tc>
          <w:tcPr>
            <w:tcW w:w="1843" w:type="dxa"/>
            <w:gridSpan w:val="2"/>
            <w:tcBorders>
              <w:top w:val="nil"/>
              <w:left w:val="nil"/>
              <w:bottom w:val="single" w:sz="2" w:space="0" w:color="8EAADB" w:themeColor="accent1" w:themeTint="99"/>
              <w:right w:val="nil"/>
            </w:tcBorders>
            <w:shd w:val="clear" w:color="auto" w:fill="auto"/>
            <w:hideMark/>
          </w:tcPr>
          <w:p w14:paraId="754F9F6B" w14:textId="77777777" w:rsidR="003A0C86" w:rsidRPr="00F35C44" w:rsidRDefault="003A0C86" w:rsidP="00BA17E7">
            <w:pPr>
              <w:pStyle w:val="08-Tabelageral"/>
              <w:cnfStyle w:val="000000010000" w:firstRow="0" w:lastRow="0" w:firstColumn="0" w:lastColumn="0" w:oddVBand="0" w:evenVBand="0" w:oddHBand="0" w:evenHBand="1" w:firstRowFirstColumn="0" w:firstRowLastColumn="0" w:lastRowFirstColumn="0" w:lastRowLastColumn="0"/>
              <w:rPr>
                <w:rFonts w:cs="Arial"/>
                <w:lang w:eastAsia="en-US"/>
              </w:rPr>
            </w:pPr>
            <w:r w:rsidRPr="00F35C44">
              <w:rPr>
                <w:rFonts w:cs="Arial"/>
                <w:lang w:eastAsia="en-US"/>
              </w:rPr>
              <w:t>%</w:t>
            </w:r>
          </w:p>
        </w:tc>
        <w:tc>
          <w:tcPr>
            <w:tcW w:w="1843" w:type="dxa"/>
            <w:gridSpan w:val="2"/>
            <w:tcBorders>
              <w:top w:val="nil"/>
              <w:left w:val="nil"/>
              <w:bottom w:val="single" w:sz="2" w:space="0" w:color="8EAADB" w:themeColor="accent1" w:themeTint="99"/>
              <w:right w:val="nil"/>
            </w:tcBorders>
            <w:shd w:val="clear" w:color="auto" w:fill="auto"/>
            <w:hideMark/>
          </w:tcPr>
          <w:p w14:paraId="0AA3CB7A" w14:textId="77777777" w:rsidR="003A0C86" w:rsidRPr="006D1433" w:rsidRDefault="003A0C86" w:rsidP="00BA17E7">
            <w:pPr>
              <w:pStyle w:val="08-Tabelageral"/>
              <w:cnfStyle w:val="000000010000" w:firstRow="0" w:lastRow="0" w:firstColumn="0" w:lastColumn="0" w:oddVBand="0" w:evenVBand="0" w:oddHBand="0" w:evenHBand="1" w:firstRowFirstColumn="0" w:firstRowLastColumn="0" w:lastRowFirstColumn="0" w:lastRowLastColumn="0"/>
              <w:rPr>
                <w:rFonts w:cs="Arial"/>
                <w:color w:val="auto"/>
                <w:lang w:eastAsia="en-US"/>
              </w:rPr>
            </w:pPr>
            <w:r w:rsidRPr="006D1433">
              <w:rPr>
                <w:rFonts w:cs="Arial"/>
                <w:color w:val="auto"/>
                <w:lang w:eastAsia="en-US"/>
              </w:rPr>
              <w:t>0,81</w:t>
            </w:r>
          </w:p>
          <w:p w14:paraId="48C1C7AF" w14:textId="77777777" w:rsidR="003A0C86" w:rsidRPr="006D1433" w:rsidRDefault="003A0C86" w:rsidP="00BA17E7">
            <w:pPr>
              <w:pStyle w:val="08-Tabelageral"/>
              <w:cnfStyle w:val="000000010000" w:firstRow="0" w:lastRow="0" w:firstColumn="0" w:lastColumn="0" w:oddVBand="0" w:evenVBand="0" w:oddHBand="0" w:evenHBand="1" w:firstRowFirstColumn="0" w:firstRowLastColumn="0" w:lastRowFirstColumn="0" w:lastRowLastColumn="0"/>
              <w:rPr>
                <w:rFonts w:cs="Arial"/>
                <w:color w:val="auto"/>
                <w:lang w:eastAsia="en-US"/>
              </w:rPr>
            </w:pPr>
          </w:p>
        </w:tc>
        <w:tc>
          <w:tcPr>
            <w:tcW w:w="1844" w:type="dxa"/>
            <w:tcBorders>
              <w:top w:val="nil"/>
              <w:left w:val="nil"/>
              <w:bottom w:val="single" w:sz="2" w:space="0" w:color="8EAADB" w:themeColor="accent1" w:themeTint="99"/>
              <w:right w:val="nil"/>
            </w:tcBorders>
            <w:shd w:val="clear" w:color="auto" w:fill="auto"/>
            <w:hideMark/>
          </w:tcPr>
          <w:p w14:paraId="4D165F89" w14:textId="77777777" w:rsidR="003A0C86" w:rsidRPr="006D1433" w:rsidRDefault="003A0C86" w:rsidP="00BA17E7">
            <w:pPr>
              <w:pStyle w:val="08-Tabelageral"/>
              <w:cnfStyle w:val="000000010000" w:firstRow="0" w:lastRow="0" w:firstColumn="0" w:lastColumn="0" w:oddVBand="0" w:evenVBand="0" w:oddHBand="0" w:evenHBand="1" w:firstRowFirstColumn="0" w:firstRowLastColumn="0" w:lastRowFirstColumn="0" w:lastRowLastColumn="0"/>
              <w:rPr>
                <w:rFonts w:cs="Arial"/>
                <w:color w:val="auto"/>
                <w:lang w:eastAsia="en-US"/>
              </w:rPr>
            </w:pPr>
            <w:r w:rsidRPr="006D1433">
              <w:rPr>
                <w:rFonts w:cs="Arial"/>
                <w:color w:val="auto"/>
                <w:lang w:eastAsia="en-US"/>
              </w:rPr>
              <w:t>0,87</w:t>
            </w:r>
          </w:p>
          <w:p w14:paraId="6E5BF83D" w14:textId="77777777" w:rsidR="003A0C86" w:rsidRPr="006D1433" w:rsidRDefault="003A0C86" w:rsidP="00BA17E7">
            <w:pPr>
              <w:pStyle w:val="08-Tabelageral"/>
              <w:cnfStyle w:val="000000010000" w:firstRow="0" w:lastRow="0" w:firstColumn="0" w:lastColumn="0" w:oddVBand="0" w:evenVBand="0" w:oddHBand="0" w:evenHBand="1" w:firstRowFirstColumn="0" w:firstRowLastColumn="0" w:lastRowFirstColumn="0" w:lastRowLastColumn="0"/>
              <w:rPr>
                <w:rFonts w:cs="Arial"/>
                <w:color w:val="auto"/>
                <w:lang w:eastAsia="en-US"/>
              </w:rPr>
            </w:pPr>
          </w:p>
        </w:tc>
      </w:tr>
    </w:tbl>
    <w:p w14:paraId="3608B2AA" w14:textId="77777777" w:rsidR="003A0C86" w:rsidRPr="00F35C44" w:rsidRDefault="003A0C86" w:rsidP="003A0C86">
      <w:pPr>
        <w:pStyle w:val="07-Legenda"/>
        <w:rPr>
          <w:rFonts w:cs="Arial"/>
        </w:rPr>
      </w:pPr>
      <w:r w:rsidRPr="00F35C44">
        <w:rPr>
          <w:rFonts w:cs="Arial"/>
        </w:rPr>
        <w:t>(1) Referem-se ao Lote-padrão</w:t>
      </w:r>
    </w:p>
    <w:p w14:paraId="06BAFB21" w14:textId="77777777" w:rsidR="003A0C86" w:rsidRPr="00F35C44" w:rsidRDefault="003A0C86" w:rsidP="003A0C86">
      <w:pPr>
        <w:spacing w:after="0" w:line="240" w:lineRule="auto"/>
        <w:rPr>
          <w:rFonts w:ascii="Arial" w:eastAsia="Times New Roman" w:hAnsi="Arial" w:cs="Arial"/>
          <w:b/>
          <w:spacing w:val="-2"/>
          <w:sz w:val="20"/>
          <w:szCs w:val="20"/>
          <w:highlight w:val="yellow"/>
          <w:lang w:eastAsia="pt-BR"/>
        </w:rPr>
      </w:pPr>
    </w:p>
    <w:p w14:paraId="4E40CC85" w14:textId="77777777" w:rsidR="003A0C86" w:rsidRPr="00F35C44" w:rsidRDefault="003A0C86" w:rsidP="003A0C86">
      <w:pPr>
        <w:pStyle w:val="03-SubttulodeNota"/>
        <w:spacing w:line="276" w:lineRule="auto"/>
        <w:rPr>
          <w:rFonts w:cs="Arial"/>
          <w:color w:val="1F3864" w:themeColor="accent1" w:themeShade="80"/>
        </w:rPr>
      </w:pPr>
      <w:r w:rsidRPr="00F35C44">
        <w:rPr>
          <w:rFonts w:cs="Arial"/>
          <w:color w:val="1F3864" w:themeColor="accent1" w:themeShade="80"/>
        </w:rPr>
        <w:t>Remuneração aos acionistas</w:t>
      </w:r>
    </w:p>
    <w:p w14:paraId="26F2F89D" w14:textId="423067F9" w:rsidR="003A0C86" w:rsidRPr="00B03EE6" w:rsidRDefault="003A0C86" w:rsidP="003A0C86">
      <w:pPr>
        <w:pStyle w:val="050-TextoPadro"/>
        <w:rPr>
          <w:rFonts w:cs="Arial"/>
        </w:rPr>
      </w:pPr>
      <w:r w:rsidRPr="00B03EE6">
        <w:rPr>
          <w:rFonts w:cs="Arial"/>
        </w:rPr>
        <w:t xml:space="preserve">A BB Seguridade destinou aproximadamente </w:t>
      </w:r>
      <w:r>
        <w:rPr>
          <w:rFonts w:cs="Arial"/>
        </w:rPr>
        <w:t>81,7</w:t>
      </w:r>
      <w:r w:rsidRPr="00B03EE6">
        <w:rPr>
          <w:rFonts w:cs="Arial"/>
        </w:rPr>
        <w:t>% do lucro líquido aos acionistas na forma de dividendos em 2024, o que totaliza R$7,1 bilhões, equivalente a um dividendo por ação de R$3,</w:t>
      </w:r>
      <w:r>
        <w:rPr>
          <w:rFonts w:cs="Arial"/>
        </w:rPr>
        <w:t>66</w:t>
      </w:r>
      <w:r w:rsidRPr="00B03EE6">
        <w:rPr>
          <w:rStyle w:val="Refdenotaderodap"/>
          <w:rFonts w:cs="Arial"/>
        </w:rPr>
        <w:footnoteReference w:id="2"/>
      </w:r>
      <w:r w:rsidRPr="00B03EE6">
        <w:rPr>
          <w:rFonts w:cs="Arial"/>
        </w:rPr>
        <w:t xml:space="preserve">. Em 2023, o dividendo do exercício foi de R$2,83 por ação. </w:t>
      </w:r>
    </w:p>
    <w:p w14:paraId="523860E5" w14:textId="77777777" w:rsidR="003A0C86" w:rsidRPr="00B03EE6" w:rsidRDefault="003A0C86" w:rsidP="003A0C86">
      <w:pPr>
        <w:pStyle w:val="050-TextoPadro"/>
        <w:rPr>
          <w:rFonts w:cs="Arial"/>
        </w:rPr>
      </w:pPr>
      <w:r w:rsidRPr="00B03EE6">
        <w:rPr>
          <w:rFonts w:cs="Arial"/>
        </w:rPr>
        <w:t>Em agosto/2023, o Conselho de Administração aprovou a abertura de um Programa de Recompra de Ações de Emissão da Companhia. O programa contempla a aquisição de até 64</w:t>
      </w:r>
      <w:r>
        <w:rPr>
          <w:rFonts w:cs="Arial"/>
        </w:rPr>
        <w:t>,</w:t>
      </w:r>
      <w:r w:rsidRPr="00B03EE6">
        <w:rPr>
          <w:rFonts w:cs="Arial"/>
        </w:rPr>
        <w:t>2</w:t>
      </w:r>
      <w:r>
        <w:rPr>
          <w:rFonts w:cs="Arial"/>
        </w:rPr>
        <w:t xml:space="preserve"> milhões de </w:t>
      </w:r>
      <w:r w:rsidRPr="00B03EE6">
        <w:rPr>
          <w:rFonts w:cs="Arial"/>
        </w:rPr>
        <w:t xml:space="preserve">ações, para manutenção em tesouraria e posterior alienação ou cancelamento, com prazo de execução de 18 meses. Ao longo de 2024 foram adquiridas 35,7 </w:t>
      </w:r>
      <w:r w:rsidRPr="00B03EE6">
        <w:rPr>
          <w:rFonts w:cs="Arial"/>
        </w:rPr>
        <w:lastRenderedPageBreak/>
        <w:t>milhões de ações, totalizando 55,6 milhões de ações recompradas desde o lançamento do programa.</w:t>
      </w:r>
      <w:r>
        <w:rPr>
          <w:rFonts w:cs="Arial"/>
        </w:rPr>
        <w:t xml:space="preserve"> Em 04.02.2025 o programa foi encerrado após o decurso do prazo máximo de execução.</w:t>
      </w:r>
      <w:r w:rsidRPr="00B03EE6">
        <w:rPr>
          <w:rFonts w:cs="Arial"/>
        </w:rPr>
        <w:t xml:space="preserve"> </w:t>
      </w:r>
    </w:p>
    <w:p w14:paraId="57EA246E" w14:textId="77777777" w:rsidR="003A0C86" w:rsidRPr="00B03EE6" w:rsidRDefault="003A0C86" w:rsidP="003A0C86">
      <w:pPr>
        <w:pStyle w:val="050-TextoPadro"/>
        <w:rPr>
          <w:rFonts w:cs="Arial"/>
        </w:rPr>
      </w:pPr>
      <w:r w:rsidRPr="00B03EE6">
        <w:rPr>
          <w:rFonts w:cs="Arial"/>
        </w:rPr>
        <w:t>Somando-se o dividendo do ano ao montante dispendido para recompra das ações, foram destinados R$8,</w:t>
      </w:r>
      <w:r>
        <w:rPr>
          <w:rFonts w:cs="Arial"/>
        </w:rPr>
        <w:t>3</w:t>
      </w:r>
      <w:r w:rsidRPr="00B03EE6">
        <w:rPr>
          <w:rFonts w:cs="Arial"/>
        </w:rPr>
        <w:t xml:space="preserve"> bilhões em remuneração aos acionistas, equivalente a </w:t>
      </w:r>
      <w:r>
        <w:rPr>
          <w:rFonts w:cs="Arial"/>
        </w:rPr>
        <w:t xml:space="preserve">95,1% </w:t>
      </w:r>
      <w:r w:rsidRPr="00B03EE6">
        <w:rPr>
          <w:rFonts w:cs="Arial"/>
        </w:rPr>
        <w:t>do lucro do ano.</w:t>
      </w:r>
    </w:p>
    <w:p w14:paraId="4C8477BC" w14:textId="77777777" w:rsidR="003A0C86" w:rsidRDefault="003A0C86" w:rsidP="003A0C86">
      <w:pPr>
        <w:pStyle w:val="05-Textonormal"/>
        <w:rPr>
          <w:rFonts w:cs="Arial"/>
        </w:rPr>
      </w:pPr>
    </w:p>
    <w:p w14:paraId="10F25718" w14:textId="77777777" w:rsidR="003A0C86" w:rsidRPr="00F35C44" w:rsidRDefault="003A0C86" w:rsidP="003A0C86">
      <w:pPr>
        <w:pStyle w:val="PargrafodaLista"/>
        <w:spacing w:before="120" w:after="120"/>
        <w:ind w:left="0"/>
        <w:jc w:val="both"/>
        <w:rPr>
          <w:rFonts w:ascii="Arial" w:eastAsia="Times New Roman" w:hAnsi="Arial" w:cs="Arial"/>
          <w:b/>
          <w:color w:val="1F3864" w:themeColor="accent1" w:themeShade="80"/>
          <w:spacing w:val="-2"/>
          <w:sz w:val="20"/>
          <w:szCs w:val="20"/>
          <w:lang w:eastAsia="pt-BR"/>
        </w:rPr>
      </w:pPr>
      <w:r w:rsidRPr="00F35C44">
        <w:rPr>
          <w:rFonts w:ascii="Arial" w:eastAsia="Times New Roman" w:hAnsi="Arial" w:cs="Arial"/>
          <w:b/>
          <w:color w:val="1F3864" w:themeColor="accent1" w:themeShade="80"/>
          <w:spacing w:val="-2"/>
          <w:sz w:val="20"/>
          <w:szCs w:val="20"/>
          <w:lang w:eastAsia="pt-BR"/>
        </w:rPr>
        <w:t>Agradecimentos</w:t>
      </w:r>
    </w:p>
    <w:p w14:paraId="3C03E77F" w14:textId="77777777" w:rsidR="003A0C86" w:rsidRPr="00F35C44" w:rsidRDefault="003A0C86" w:rsidP="003A0C86">
      <w:pPr>
        <w:pStyle w:val="05-Textonormal"/>
        <w:rPr>
          <w:rFonts w:cs="Arial"/>
        </w:rPr>
      </w:pPr>
      <w:r w:rsidRPr="00F35C44">
        <w:rPr>
          <w:rFonts w:cs="Arial"/>
        </w:rPr>
        <w:t>Agradecemos a dedicação e o empenho de nossos funcionários e colaboradores e à rede de distribuição do Banco do Brasil e demais parceiros, fundamentais para a manutenção de um atendimento de qualidade aos clientes e da conformidade dos processos no ano de 202</w:t>
      </w:r>
      <w:r>
        <w:rPr>
          <w:rFonts w:cs="Arial"/>
        </w:rPr>
        <w:t>4</w:t>
      </w:r>
      <w:r w:rsidRPr="00F35C44">
        <w:rPr>
          <w:rFonts w:cs="Arial"/>
        </w:rPr>
        <w:t>, e a confiança depositada por acionistas, clientes e sociedade em geral.</w:t>
      </w:r>
    </w:p>
    <w:p w14:paraId="7CD4BA51" w14:textId="77777777" w:rsidR="003A0C86" w:rsidRPr="00F35C44" w:rsidRDefault="003A0C86" w:rsidP="003A0C86">
      <w:pPr>
        <w:pStyle w:val="05-Textonormal"/>
        <w:rPr>
          <w:rFonts w:cs="Arial"/>
        </w:rPr>
      </w:pPr>
    </w:p>
    <w:p w14:paraId="07FCA4B3" w14:textId="77777777" w:rsidR="003A0C86" w:rsidRPr="00F35C44" w:rsidRDefault="003A0C86" w:rsidP="003A0C86">
      <w:pPr>
        <w:pStyle w:val="PargrafodaLista"/>
        <w:spacing w:before="120" w:after="120"/>
        <w:ind w:left="0"/>
        <w:jc w:val="both"/>
        <w:rPr>
          <w:rFonts w:ascii="Arial" w:eastAsia="Times New Roman" w:hAnsi="Arial" w:cs="Arial"/>
          <w:b/>
          <w:color w:val="1F3864" w:themeColor="accent1" w:themeShade="80"/>
          <w:spacing w:val="-2"/>
          <w:sz w:val="20"/>
          <w:szCs w:val="20"/>
          <w:lang w:eastAsia="pt-BR"/>
        </w:rPr>
      </w:pPr>
      <w:r w:rsidRPr="00F35C44">
        <w:rPr>
          <w:rFonts w:ascii="Arial" w:eastAsia="Times New Roman" w:hAnsi="Arial" w:cs="Arial"/>
          <w:b/>
          <w:color w:val="1F3864" w:themeColor="accent1" w:themeShade="80"/>
          <w:spacing w:val="-2"/>
          <w:sz w:val="20"/>
          <w:szCs w:val="20"/>
          <w:lang w:eastAsia="pt-BR"/>
        </w:rPr>
        <w:t>Brasília, 202</w:t>
      </w:r>
      <w:r>
        <w:rPr>
          <w:rFonts w:ascii="Arial" w:eastAsia="Times New Roman" w:hAnsi="Arial" w:cs="Arial"/>
          <w:b/>
          <w:color w:val="1F3864" w:themeColor="accent1" w:themeShade="80"/>
          <w:spacing w:val="-2"/>
          <w:sz w:val="20"/>
          <w:szCs w:val="20"/>
          <w:lang w:eastAsia="pt-BR"/>
        </w:rPr>
        <w:t>5</w:t>
      </w:r>
    </w:p>
    <w:p w14:paraId="02471077" w14:textId="77777777" w:rsidR="003A0C86" w:rsidRPr="00F35C44" w:rsidRDefault="003A0C86" w:rsidP="003A0C86">
      <w:pPr>
        <w:pStyle w:val="PargrafodaLista"/>
        <w:spacing w:before="120" w:after="120"/>
        <w:ind w:left="0"/>
        <w:jc w:val="both"/>
        <w:rPr>
          <w:rFonts w:ascii="Arial" w:eastAsia="Times New Roman" w:hAnsi="Arial" w:cs="Arial"/>
          <w:b/>
          <w:color w:val="1F3864" w:themeColor="accent1" w:themeShade="80"/>
          <w:spacing w:val="-2"/>
          <w:sz w:val="20"/>
          <w:szCs w:val="20"/>
          <w:lang w:eastAsia="pt-BR"/>
        </w:rPr>
      </w:pPr>
    </w:p>
    <w:p w14:paraId="7B4F69DD" w14:textId="77777777" w:rsidR="003A0C86" w:rsidRPr="00F35C44" w:rsidRDefault="003A0C86" w:rsidP="003A0C86">
      <w:pPr>
        <w:keepNext/>
        <w:keepLines/>
        <w:spacing w:before="360" w:after="40" w:line="259" w:lineRule="auto"/>
        <w:jc w:val="both"/>
        <w:outlineLvl w:val="0"/>
        <w:rPr>
          <w:rFonts w:ascii="Arial" w:hAnsi="Arial" w:cs="Arial"/>
          <w:sz w:val="14"/>
          <w:szCs w:val="14"/>
        </w:rPr>
      </w:pPr>
      <w:r w:rsidRPr="00F35C44">
        <w:rPr>
          <w:rFonts w:ascii="Arial" w:eastAsia="Times New Roman" w:hAnsi="Arial" w:cs="Arial"/>
          <w:b/>
          <w:color w:val="1F3864" w:themeColor="accent1" w:themeShade="80"/>
          <w:spacing w:val="-2"/>
          <w:sz w:val="20"/>
          <w:szCs w:val="20"/>
          <w:lang w:eastAsia="pt-BR"/>
        </w:rPr>
        <w:t>A Administração</w:t>
      </w:r>
    </w:p>
    <w:p w14:paraId="152BB4EE" w14:textId="77777777" w:rsidR="003A0C86" w:rsidRDefault="003A0C86" w:rsidP="003A0C86">
      <w:pPr>
        <w:pStyle w:val="05-Textonormal"/>
        <w:rPr>
          <w:rFonts w:cs="Arial"/>
        </w:rPr>
      </w:pPr>
    </w:p>
    <w:p w14:paraId="309D2BD0" w14:textId="77777777" w:rsidR="00DD56A4" w:rsidRDefault="00DD56A4" w:rsidP="00DD56A4">
      <w:pPr>
        <w:pStyle w:val="05-Textonormal"/>
        <w:rPr>
          <w:rFonts w:cs="Arial"/>
        </w:rPr>
      </w:pPr>
    </w:p>
    <w:p w14:paraId="57EB3214" w14:textId="77777777" w:rsidR="00573AFA" w:rsidRPr="00BF2AAF" w:rsidRDefault="00573AFA">
      <w:pPr>
        <w:rPr>
          <w:rFonts w:ascii="Arial" w:eastAsiaTheme="majorEastAsia" w:hAnsi="Arial" w:cs="Arial"/>
          <w:color w:val="1F3864" w:themeColor="accent1" w:themeShade="80"/>
        </w:rPr>
        <w:sectPr w:rsidR="00573AFA" w:rsidRPr="00BF2AAF" w:rsidSect="00573AFA">
          <w:footerReference w:type="first" r:id="rId18"/>
          <w:pgSz w:w="11906" w:h="16838" w:code="9"/>
          <w:pgMar w:top="1134" w:right="1134" w:bottom="851" w:left="1134" w:header="851" w:footer="284" w:gutter="0"/>
          <w:pgNumType w:start="1"/>
          <w:cols w:space="708"/>
          <w:titlePg/>
          <w:docGrid w:linePitch="360"/>
        </w:sectPr>
      </w:pPr>
    </w:p>
    <w:p w14:paraId="72A2BC16" w14:textId="77777777" w:rsidR="00DD4503" w:rsidRPr="00BF2AAF" w:rsidRDefault="00DD4503" w:rsidP="00DD4503">
      <w:pPr>
        <w:keepNext/>
        <w:keepLines/>
        <w:spacing w:before="120" w:after="120"/>
        <w:outlineLvl w:val="0"/>
        <w:rPr>
          <w:rFonts w:ascii="Arial" w:eastAsiaTheme="majorEastAsia" w:hAnsi="Arial" w:cs="Arial"/>
          <w:b/>
          <w:color w:val="1F3864" w:themeColor="accent1" w:themeShade="80"/>
        </w:rPr>
      </w:pPr>
      <w:bookmarkStart w:id="7" w:name="_Toc134648202"/>
      <w:bookmarkStart w:id="8" w:name="_Toc189757058"/>
      <w:r w:rsidRPr="00BF2AAF">
        <w:rPr>
          <w:rFonts w:ascii="Arial" w:eastAsia="Times New Roman" w:hAnsi="Arial" w:cs="Arial"/>
          <w:b/>
          <w:color w:val="1F3864" w:themeColor="accent1" w:themeShade="80"/>
          <w:sz w:val="20"/>
          <w:szCs w:val="20"/>
          <w:lang w:eastAsia="pt-BR"/>
        </w:rPr>
        <w:lastRenderedPageBreak/>
        <w:t>DEMONSTRAÇÃO DO RESULTADO</w:t>
      </w:r>
      <w:bookmarkEnd w:id="7"/>
      <w:bookmarkEnd w:id="8"/>
    </w:p>
    <w:p w14:paraId="026CDD8D" w14:textId="77777777" w:rsidR="00D2749E" w:rsidRPr="00BF2AAF" w:rsidRDefault="00D2749E" w:rsidP="00D2749E">
      <w:pPr>
        <w:pStyle w:val="01-TtulodeNota"/>
        <w:spacing w:before="0" w:after="0"/>
        <w:ind w:right="-1"/>
        <w:jc w:val="right"/>
        <w:rPr>
          <w:rFonts w:cs="Arial"/>
          <w:sz w:val="14"/>
          <w:szCs w:val="14"/>
        </w:rPr>
      </w:pPr>
      <w:r w:rsidRPr="00BF2AAF">
        <w:rPr>
          <w:rFonts w:cs="Arial"/>
          <w:sz w:val="14"/>
          <w:szCs w:val="14"/>
        </w:rPr>
        <w:t>R$ mil (exceto lucro por ação)</w:t>
      </w:r>
    </w:p>
    <w:tbl>
      <w:tblPr>
        <w:tblStyle w:val="TabeladeLista6Colorida-nfase5"/>
        <w:tblW w:w="9639" w:type="dxa"/>
        <w:jc w:val="center"/>
        <w:shd w:val="clear" w:color="auto" w:fill="FFFFFF" w:themeFill="background1"/>
        <w:tblLayout w:type="fixed"/>
        <w:tblLook w:val="04A0" w:firstRow="1" w:lastRow="0" w:firstColumn="1" w:lastColumn="0" w:noHBand="0" w:noVBand="1"/>
      </w:tblPr>
      <w:tblGrid>
        <w:gridCol w:w="1584"/>
        <w:gridCol w:w="1273"/>
        <w:gridCol w:w="957"/>
        <w:gridCol w:w="1089"/>
        <w:gridCol w:w="239"/>
        <w:gridCol w:w="162"/>
        <w:gridCol w:w="927"/>
        <w:gridCol w:w="337"/>
        <w:gridCol w:w="157"/>
        <w:gridCol w:w="133"/>
        <w:gridCol w:w="70"/>
        <w:gridCol w:w="1237"/>
        <w:gridCol w:w="1428"/>
        <w:gridCol w:w="46"/>
      </w:tblGrid>
      <w:tr w:rsidR="00D2749E" w:rsidRPr="00BF2AAF" w14:paraId="4CA937FB" w14:textId="77777777" w:rsidTr="00981081">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57" w:type="dxa"/>
            <w:gridSpan w:val="2"/>
            <w:tcBorders>
              <w:top w:val="single" w:sz="2" w:space="0" w:color="1F3864" w:themeColor="accent1" w:themeShade="80"/>
              <w:left w:val="nil"/>
              <w:bottom w:val="nil"/>
              <w:right w:val="nil"/>
            </w:tcBorders>
            <w:shd w:val="clear" w:color="auto" w:fill="FFFFFF" w:themeFill="background1"/>
            <w:vAlign w:val="center"/>
          </w:tcPr>
          <w:p w14:paraId="257C2736" w14:textId="77777777" w:rsidR="00D2749E" w:rsidRPr="00BF2AAF" w:rsidRDefault="00D2749E">
            <w:pPr>
              <w:jc w:val="center"/>
              <w:rPr>
                <w:rFonts w:ascii="Arial" w:eastAsiaTheme="minorHAnsi" w:hAnsi="Arial" w:cs="Arial"/>
                <w:sz w:val="14"/>
                <w:szCs w:val="14"/>
              </w:rPr>
            </w:pPr>
          </w:p>
        </w:tc>
        <w:tc>
          <w:tcPr>
            <w:tcW w:w="957" w:type="dxa"/>
            <w:tcBorders>
              <w:top w:val="single" w:sz="2" w:space="0" w:color="1F3864" w:themeColor="accent1" w:themeShade="80"/>
              <w:left w:val="nil"/>
              <w:bottom w:val="nil"/>
              <w:right w:val="nil"/>
            </w:tcBorders>
            <w:shd w:val="clear" w:color="auto" w:fill="FFFFFF" w:themeFill="background1"/>
            <w:vAlign w:val="center"/>
          </w:tcPr>
          <w:p w14:paraId="26F90F49" w14:textId="77777777" w:rsidR="00D2749E" w:rsidRPr="00BF2AAF" w:rsidRDefault="00D2749E">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rPr>
            </w:pPr>
          </w:p>
        </w:tc>
        <w:tc>
          <w:tcPr>
            <w:tcW w:w="2754" w:type="dxa"/>
            <w:gridSpan w:val="5"/>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3BCC3DEC" w14:textId="77777777" w:rsidR="00D2749E" w:rsidRPr="00BF2AAF" w:rsidRDefault="00D2749E">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rPr>
            </w:pPr>
            <w:r w:rsidRPr="00BF2AAF">
              <w:rPr>
                <w:rFonts w:ascii="Arial" w:eastAsiaTheme="minorHAnsi" w:hAnsi="Arial" w:cs="Arial"/>
                <w:sz w:val="14"/>
                <w:szCs w:val="14"/>
              </w:rPr>
              <w:t>Controlador</w:t>
            </w:r>
          </w:p>
        </w:tc>
        <w:tc>
          <w:tcPr>
            <w:tcW w:w="360" w:type="dxa"/>
            <w:gridSpan w:val="3"/>
            <w:tcBorders>
              <w:top w:val="single" w:sz="2" w:space="0" w:color="1F3864" w:themeColor="accent1" w:themeShade="80"/>
              <w:left w:val="nil"/>
              <w:bottom w:val="nil"/>
              <w:right w:val="nil"/>
            </w:tcBorders>
            <w:shd w:val="clear" w:color="auto" w:fill="FFFFFF" w:themeFill="background1"/>
            <w:vAlign w:val="center"/>
          </w:tcPr>
          <w:p w14:paraId="25705320" w14:textId="77777777" w:rsidR="00D2749E" w:rsidRPr="00BF2AAF" w:rsidRDefault="00D2749E">
            <w:pPr>
              <w:ind w:left="1025"/>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rPr>
            </w:pPr>
          </w:p>
        </w:tc>
        <w:tc>
          <w:tcPr>
            <w:tcW w:w="2711" w:type="dxa"/>
            <w:gridSpan w:val="3"/>
            <w:tcBorders>
              <w:top w:val="single" w:sz="2" w:space="0" w:color="1F3864" w:themeColor="accent1" w:themeShade="80"/>
              <w:left w:val="nil"/>
              <w:bottom w:val="single" w:sz="2" w:space="0" w:color="1F3864" w:themeColor="accent1" w:themeShade="80"/>
              <w:right w:val="nil"/>
            </w:tcBorders>
            <w:shd w:val="clear" w:color="auto" w:fill="FFFFFF" w:themeFill="background1"/>
            <w:vAlign w:val="center"/>
            <w:hideMark/>
          </w:tcPr>
          <w:p w14:paraId="6131C040" w14:textId="77777777" w:rsidR="00D2749E" w:rsidRPr="00BF2AAF" w:rsidRDefault="00D2749E">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rPr>
            </w:pPr>
            <w:r w:rsidRPr="00BF2AAF">
              <w:rPr>
                <w:rFonts w:ascii="Arial" w:eastAsiaTheme="minorHAnsi" w:hAnsi="Arial" w:cs="Arial"/>
                <w:sz w:val="14"/>
                <w:szCs w:val="14"/>
              </w:rPr>
              <w:t>Consolidado</w:t>
            </w:r>
          </w:p>
        </w:tc>
      </w:tr>
      <w:tr w:rsidR="00981081" w:rsidRPr="00BF2AAF" w14:paraId="02F76D82" w14:textId="77777777" w:rsidTr="00981081">
        <w:trPr>
          <w:gridAfter w:val="1"/>
          <w:cnfStyle w:val="000000100000" w:firstRow="0" w:lastRow="0" w:firstColumn="0" w:lastColumn="0" w:oddVBand="0" w:evenVBand="0" w:oddHBand="1" w:evenHBand="0" w:firstRowFirstColumn="0" w:firstRowLastColumn="0" w:lastRowFirstColumn="0" w:lastRowLastColumn="0"/>
          <w:wAfter w:w="46" w:type="dxa"/>
          <w:trHeight w:val="238"/>
          <w:jc w:val="center"/>
        </w:trPr>
        <w:tc>
          <w:tcPr>
            <w:cnfStyle w:val="001000000000" w:firstRow="0" w:lastRow="0" w:firstColumn="1" w:lastColumn="0" w:oddVBand="0" w:evenVBand="0" w:oddHBand="0" w:evenHBand="0" w:firstRowFirstColumn="0" w:firstRowLastColumn="0" w:lastRowFirstColumn="0" w:lastRowLastColumn="0"/>
            <w:tcW w:w="2857" w:type="dxa"/>
            <w:gridSpan w:val="2"/>
            <w:tcBorders>
              <w:top w:val="nil"/>
              <w:left w:val="nil"/>
              <w:bottom w:val="single" w:sz="2" w:space="0" w:color="1F3864" w:themeColor="accent1" w:themeShade="80"/>
              <w:right w:val="nil"/>
            </w:tcBorders>
            <w:vAlign w:val="center"/>
          </w:tcPr>
          <w:p w14:paraId="12D58522" w14:textId="77777777" w:rsidR="00981081" w:rsidRPr="00BF2AAF" w:rsidRDefault="00981081" w:rsidP="00981081">
            <w:pPr>
              <w:keepNext/>
              <w:keepLines/>
              <w:spacing w:before="40" w:after="40"/>
              <w:rPr>
                <w:rFonts w:ascii="Arial" w:eastAsia="Times New Roman" w:hAnsi="Arial" w:cs="Arial"/>
                <w:spacing w:val="-2"/>
                <w:sz w:val="14"/>
                <w:szCs w:val="14"/>
                <w:lang w:eastAsia="pt-BR"/>
              </w:rPr>
            </w:pPr>
          </w:p>
        </w:tc>
        <w:tc>
          <w:tcPr>
            <w:tcW w:w="957" w:type="dxa"/>
            <w:tcBorders>
              <w:top w:val="nil"/>
              <w:left w:val="nil"/>
              <w:bottom w:val="single" w:sz="2" w:space="0" w:color="1F3864" w:themeColor="accent1" w:themeShade="80"/>
              <w:right w:val="nil"/>
            </w:tcBorders>
            <w:vAlign w:val="center"/>
            <w:hideMark/>
          </w:tcPr>
          <w:p w14:paraId="246120E0" w14:textId="77777777" w:rsidR="00981081" w:rsidRPr="00BF2AAF" w:rsidRDefault="00981081" w:rsidP="0098108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BF2AAF">
              <w:rPr>
                <w:rFonts w:ascii="Arial" w:eastAsia="Times New Roman" w:hAnsi="Arial" w:cs="Arial"/>
                <w:b/>
                <w:spacing w:val="-2"/>
                <w:sz w:val="14"/>
                <w:szCs w:val="14"/>
                <w:lang w:eastAsia="pt-BR"/>
              </w:rPr>
              <w:t>Nota</w:t>
            </w:r>
          </w:p>
        </w:tc>
        <w:tc>
          <w:tcPr>
            <w:tcW w:w="1328" w:type="dxa"/>
            <w:gridSpan w:val="2"/>
            <w:tcBorders>
              <w:top w:val="single" w:sz="2" w:space="0" w:color="1F3864" w:themeColor="accent1" w:themeShade="80"/>
              <w:left w:val="nil"/>
              <w:bottom w:val="single" w:sz="2" w:space="0" w:color="1F3864" w:themeColor="accent1" w:themeShade="80"/>
              <w:right w:val="nil"/>
            </w:tcBorders>
            <w:vAlign w:val="center"/>
            <w:hideMark/>
          </w:tcPr>
          <w:p w14:paraId="3D36FBB4" w14:textId="39EDA219" w:rsidR="00981081" w:rsidRPr="00BF2AAF" w:rsidRDefault="00981081" w:rsidP="00981081">
            <w:pPr>
              <w:keepNext/>
              <w:keepLines/>
              <w:spacing w:before="40" w:after="40"/>
              <w:ind w:right="57"/>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BF2AAF">
              <w:rPr>
                <w:rFonts w:ascii="Arial" w:hAnsi="Arial" w:cs="Arial"/>
                <w:b/>
                <w:sz w:val="14"/>
                <w:szCs w:val="14"/>
              </w:rPr>
              <w:t>Exercício 202</w:t>
            </w:r>
            <w:r>
              <w:rPr>
                <w:rFonts w:ascii="Arial" w:hAnsi="Arial" w:cs="Arial"/>
                <w:b/>
                <w:sz w:val="14"/>
                <w:szCs w:val="14"/>
              </w:rPr>
              <w:t>4</w:t>
            </w:r>
          </w:p>
        </w:tc>
        <w:tc>
          <w:tcPr>
            <w:tcW w:w="1426" w:type="dxa"/>
            <w:gridSpan w:val="3"/>
            <w:tcBorders>
              <w:top w:val="single" w:sz="2" w:space="0" w:color="1F3864" w:themeColor="accent1" w:themeShade="80"/>
              <w:left w:val="nil"/>
              <w:bottom w:val="single" w:sz="2" w:space="0" w:color="1F3864" w:themeColor="accent1" w:themeShade="80"/>
              <w:right w:val="nil"/>
            </w:tcBorders>
            <w:vAlign w:val="center"/>
            <w:hideMark/>
          </w:tcPr>
          <w:p w14:paraId="0163096D" w14:textId="619CC643" w:rsidR="00981081" w:rsidRPr="00BF2AAF" w:rsidRDefault="00981081" w:rsidP="0098108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BF2AAF">
              <w:rPr>
                <w:rFonts w:ascii="Arial" w:eastAsia="Times New Roman" w:hAnsi="Arial" w:cs="Arial"/>
                <w:b/>
                <w:spacing w:val="-2"/>
                <w:sz w:val="14"/>
                <w:szCs w:val="14"/>
                <w:lang w:eastAsia="pt-BR"/>
              </w:rPr>
              <w:t>Exercício 202</w:t>
            </w:r>
            <w:r>
              <w:rPr>
                <w:rFonts w:ascii="Arial" w:eastAsia="Times New Roman" w:hAnsi="Arial" w:cs="Arial"/>
                <w:b/>
                <w:spacing w:val="-2"/>
                <w:sz w:val="14"/>
                <w:szCs w:val="14"/>
                <w:lang w:eastAsia="pt-BR"/>
              </w:rPr>
              <w:t>3</w:t>
            </w:r>
          </w:p>
        </w:tc>
        <w:tc>
          <w:tcPr>
            <w:tcW w:w="290" w:type="dxa"/>
            <w:gridSpan w:val="2"/>
            <w:tcBorders>
              <w:top w:val="nil"/>
              <w:left w:val="nil"/>
              <w:bottom w:val="single" w:sz="2" w:space="0" w:color="1F3864" w:themeColor="accent1" w:themeShade="80"/>
              <w:right w:val="nil"/>
            </w:tcBorders>
            <w:vAlign w:val="center"/>
          </w:tcPr>
          <w:p w14:paraId="4F6D56B1" w14:textId="77777777" w:rsidR="00981081" w:rsidRPr="00BF2AAF" w:rsidRDefault="00981081" w:rsidP="0098108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307" w:type="dxa"/>
            <w:gridSpan w:val="2"/>
            <w:tcBorders>
              <w:top w:val="single" w:sz="2" w:space="0" w:color="1F3864" w:themeColor="accent1" w:themeShade="80"/>
              <w:left w:val="nil"/>
              <w:bottom w:val="single" w:sz="2" w:space="0" w:color="1F3864" w:themeColor="accent1" w:themeShade="80"/>
              <w:right w:val="nil"/>
            </w:tcBorders>
            <w:vAlign w:val="center"/>
            <w:hideMark/>
          </w:tcPr>
          <w:p w14:paraId="30A391B4" w14:textId="2A49C7CC" w:rsidR="00981081" w:rsidRPr="00BF2AAF" w:rsidRDefault="00981081" w:rsidP="0098108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BF2AAF">
              <w:rPr>
                <w:rFonts w:ascii="Arial" w:hAnsi="Arial" w:cs="Arial"/>
                <w:b/>
                <w:sz w:val="14"/>
                <w:szCs w:val="14"/>
              </w:rPr>
              <w:t>Exercício 202</w:t>
            </w:r>
            <w:r>
              <w:rPr>
                <w:rFonts w:ascii="Arial" w:hAnsi="Arial" w:cs="Arial"/>
                <w:b/>
                <w:sz w:val="14"/>
                <w:szCs w:val="14"/>
              </w:rPr>
              <w:t>4</w:t>
            </w:r>
          </w:p>
        </w:tc>
        <w:tc>
          <w:tcPr>
            <w:tcW w:w="1428" w:type="dxa"/>
            <w:tcBorders>
              <w:top w:val="single" w:sz="2" w:space="0" w:color="1F3864" w:themeColor="accent1" w:themeShade="80"/>
              <w:left w:val="nil"/>
              <w:bottom w:val="single" w:sz="2" w:space="0" w:color="1F3864" w:themeColor="accent1" w:themeShade="80"/>
              <w:right w:val="nil"/>
            </w:tcBorders>
            <w:vAlign w:val="center"/>
            <w:hideMark/>
          </w:tcPr>
          <w:p w14:paraId="0E197DAF" w14:textId="5A837907" w:rsidR="00981081" w:rsidRPr="00BF2AAF" w:rsidRDefault="00981081" w:rsidP="0098108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BF2AAF">
              <w:rPr>
                <w:rFonts w:ascii="Arial" w:eastAsia="Times New Roman" w:hAnsi="Arial" w:cs="Arial"/>
                <w:b/>
                <w:spacing w:val="-2"/>
                <w:sz w:val="14"/>
                <w:szCs w:val="14"/>
                <w:lang w:eastAsia="pt-BR"/>
              </w:rPr>
              <w:t>Exercício 202</w:t>
            </w:r>
            <w:r>
              <w:rPr>
                <w:rFonts w:ascii="Arial" w:eastAsia="Times New Roman" w:hAnsi="Arial" w:cs="Arial"/>
                <w:b/>
                <w:spacing w:val="-2"/>
                <w:sz w:val="14"/>
                <w:szCs w:val="14"/>
                <w:lang w:eastAsia="pt-BR"/>
              </w:rPr>
              <w:t>3</w:t>
            </w:r>
          </w:p>
        </w:tc>
      </w:tr>
      <w:tr w:rsidR="004D255E" w:rsidRPr="00BF2AAF" w14:paraId="15EF0D9A" w14:textId="77777777" w:rsidTr="009F514E">
        <w:trPr>
          <w:gridAfter w:val="1"/>
          <w:cnfStyle w:val="000000010000" w:firstRow="0" w:lastRow="0" w:firstColumn="0" w:lastColumn="0" w:oddVBand="0" w:evenVBand="0" w:oddHBand="0" w:evenHBand="1" w:firstRowFirstColumn="0" w:firstRowLastColumn="0" w:lastRowFirstColumn="0" w:lastRowLastColumn="0"/>
          <w:wAfter w:w="46" w:type="dxa"/>
          <w:trHeight w:val="238"/>
          <w:jc w:val="center"/>
        </w:trPr>
        <w:tc>
          <w:tcPr>
            <w:cnfStyle w:val="001000000000" w:firstRow="0" w:lastRow="0" w:firstColumn="1" w:lastColumn="0" w:oddVBand="0" w:evenVBand="0" w:oddHBand="0" w:evenHBand="0" w:firstRowFirstColumn="0" w:firstRowLastColumn="0" w:lastRowFirstColumn="0" w:lastRowLastColumn="0"/>
            <w:tcW w:w="2857" w:type="dxa"/>
            <w:gridSpan w:val="2"/>
            <w:tcBorders>
              <w:top w:val="single" w:sz="2" w:space="0" w:color="1F3864" w:themeColor="accent1" w:themeShade="80"/>
              <w:left w:val="nil"/>
              <w:bottom w:val="nil"/>
              <w:right w:val="nil"/>
            </w:tcBorders>
            <w:shd w:val="clear" w:color="auto" w:fill="FFFFFF" w:themeFill="background1"/>
            <w:vAlign w:val="center"/>
            <w:hideMark/>
          </w:tcPr>
          <w:p w14:paraId="6930B9EA" w14:textId="77777777" w:rsidR="004D255E" w:rsidRPr="00BF2AAF" w:rsidRDefault="004D255E" w:rsidP="004D255E">
            <w:pPr>
              <w:keepNext/>
              <w:keepLines/>
              <w:spacing w:before="40" w:after="4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Receitas Operacionais</w:t>
            </w:r>
          </w:p>
        </w:tc>
        <w:tc>
          <w:tcPr>
            <w:tcW w:w="957" w:type="dxa"/>
            <w:tcBorders>
              <w:top w:val="single" w:sz="2" w:space="0" w:color="1F3864" w:themeColor="accent1" w:themeShade="80"/>
              <w:left w:val="nil"/>
              <w:bottom w:val="nil"/>
              <w:right w:val="nil"/>
            </w:tcBorders>
            <w:shd w:val="clear" w:color="auto" w:fill="FFFFFF" w:themeFill="background1"/>
            <w:vAlign w:val="center"/>
          </w:tcPr>
          <w:p w14:paraId="0D592DDD" w14:textId="77777777" w:rsidR="004D255E" w:rsidRPr="00BF2AAF" w:rsidRDefault="004D255E" w:rsidP="004D255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328" w:type="dxa"/>
            <w:gridSpan w:val="2"/>
            <w:tcBorders>
              <w:top w:val="single" w:sz="2" w:space="0" w:color="1F3864" w:themeColor="accent1" w:themeShade="80"/>
              <w:left w:val="nil"/>
              <w:bottom w:val="nil"/>
              <w:right w:val="nil"/>
            </w:tcBorders>
            <w:shd w:val="clear" w:color="auto" w:fill="FFFFFF" w:themeFill="background1"/>
            <w:vAlign w:val="center"/>
          </w:tcPr>
          <w:p w14:paraId="31413853" w14:textId="06201D94" w:rsidR="004D255E" w:rsidRPr="00BF2AAF" w:rsidRDefault="004D255E" w:rsidP="004D255E">
            <w:pPr>
              <w:keepNext/>
              <w:keepLines/>
              <w:spacing w:before="40" w:after="40"/>
              <w:ind w:right="52"/>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Pr>
                <w:rFonts w:ascii="Arial" w:hAnsi="Arial" w:cs="Arial"/>
                <w:b/>
                <w:bCs/>
                <w:color w:val="000000"/>
                <w:sz w:val="14"/>
                <w:szCs w:val="14"/>
              </w:rPr>
              <w:t>8.683.817</w:t>
            </w:r>
          </w:p>
        </w:tc>
        <w:tc>
          <w:tcPr>
            <w:tcW w:w="1426" w:type="dxa"/>
            <w:gridSpan w:val="3"/>
            <w:tcBorders>
              <w:top w:val="single" w:sz="2" w:space="0" w:color="1F3864" w:themeColor="accent1" w:themeShade="80"/>
              <w:left w:val="nil"/>
              <w:bottom w:val="nil"/>
              <w:right w:val="nil"/>
            </w:tcBorders>
            <w:shd w:val="clear" w:color="auto" w:fill="FFFFFF" w:themeFill="background1"/>
            <w:vAlign w:val="center"/>
          </w:tcPr>
          <w:p w14:paraId="2E1A951B" w14:textId="56143F6A" w:rsidR="004D255E" w:rsidRPr="00BF2AAF" w:rsidRDefault="004D255E" w:rsidP="004D255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r w:rsidRPr="00BF2AAF">
              <w:rPr>
                <w:rFonts w:ascii="Arial" w:hAnsi="Arial" w:cs="Arial"/>
                <w:b/>
                <w:bCs/>
                <w:color w:val="000000"/>
                <w:sz w:val="14"/>
                <w:szCs w:val="14"/>
              </w:rPr>
              <w:t>7.925.902</w:t>
            </w:r>
          </w:p>
        </w:tc>
        <w:tc>
          <w:tcPr>
            <w:tcW w:w="290" w:type="dxa"/>
            <w:gridSpan w:val="2"/>
            <w:tcBorders>
              <w:top w:val="single" w:sz="2" w:space="0" w:color="1F3864" w:themeColor="accent1" w:themeShade="80"/>
              <w:left w:val="nil"/>
              <w:bottom w:val="nil"/>
              <w:right w:val="nil"/>
            </w:tcBorders>
            <w:shd w:val="clear" w:color="auto" w:fill="FFFFFF" w:themeFill="background1"/>
            <w:vAlign w:val="center"/>
          </w:tcPr>
          <w:p w14:paraId="4CD6F530" w14:textId="77777777" w:rsidR="004D255E" w:rsidRPr="00BF2AAF" w:rsidRDefault="004D255E" w:rsidP="004D255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p>
        </w:tc>
        <w:tc>
          <w:tcPr>
            <w:tcW w:w="1307" w:type="dxa"/>
            <w:gridSpan w:val="2"/>
            <w:tcBorders>
              <w:top w:val="single" w:sz="2" w:space="0" w:color="1F3864" w:themeColor="accent1" w:themeShade="80"/>
              <w:left w:val="nil"/>
              <w:bottom w:val="nil"/>
              <w:right w:val="nil"/>
            </w:tcBorders>
            <w:shd w:val="clear" w:color="auto" w:fill="FFFFFF" w:themeFill="background1"/>
            <w:vAlign w:val="center"/>
          </w:tcPr>
          <w:p w14:paraId="6D891E1B" w14:textId="4AE6BD39" w:rsidR="004D255E" w:rsidRPr="00BF2AAF" w:rsidRDefault="004D255E" w:rsidP="004D255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Pr>
                <w:rFonts w:ascii="Arial" w:hAnsi="Arial" w:cs="Arial"/>
                <w:b/>
                <w:bCs/>
                <w:color w:val="000000"/>
                <w:sz w:val="14"/>
                <w:szCs w:val="14"/>
              </w:rPr>
              <w:t>10.180.016</w:t>
            </w:r>
          </w:p>
        </w:tc>
        <w:tc>
          <w:tcPr>
            <w:tcW w:w="1428" w:type="dxa"/>
            <w:tcBorders>
              <w:top w:val="single" w:sz="2" w:space="0" w:color="1F3864" w:themeColor="accent1" w:themeShade="80"/>
              <w:left w:val="nil"/>
              <w:bottom w:val="nil"/>
              <w:right w:val="nil"/>
            </w:tcBorders>
            <w:shd w:val="clear" w:color="auto" w:fill="FFFFFF" w:themeFill="background1"/>
            <w:vAlign w:val="center"/>
          </w:tcPr>
          <w:p w14:paraId="4054F2B0" w14:textId="46949CE1" w:rsidR="004D255E" w:rsidRPr="00BF2AAF" w:rsidRDefault="004D255E" w:rsidP="004D255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r w:rsidRPr="00BF2AAF">
              <w:rPr>
                <w:rFonts w:ascii="Arial" w:hAnsi="Arial" w:cs="Arial"/>
                <w:b/>
                <w:bCs/>
                <w:color w:val="000000"/>
                <w:sz w:val="14"/>
                <w:szCs w:val="14"/>
              </w:rPr>
              <w:t>9.314.860</w:t>
            </w:r>
          </w:p>
        </w:tc>
      </w:tr>
      <w:tr w:rsidR="004D255E" w:rsidRPr="00BF2AAF" w14:paraId="5D68585D" w14:textId="77777777" w:rsidTr="009F514E">
        <w:trPr>
          <w:gridAfter w:val="1"/>
          <w:cnfStyle w:val="000000100000" w:firstRow="0" w:lastRow="0" w:firstColumn="0" w:lastColumn="0" w:oddVBand="0" w:evenVBand="0" w:oddHBand="1" w:evenHBand="0" w:firstRowFirstColumn="0" w:firstRowLastColumn="0" w:lastRowFirstColumn="0" w:lastRowLastColumn="0"/>
          <w:wAfter w:w="46" w:type="dxa"/>
          <w:trHeight w:val="238"/>
          <w:jc w:val="center"/>
        </w:trPr>
        <w:tc>
          <w:tcPr>
            <w:cnfStyle w:val="001000000000" w:firstRow="0" w:lastRow="0" w:firstColumn="1" w:lastColumn="0" w:oddVBand="0" w:evenVBand="0" w:oddHBand="0" w:evenHBand="0" w:firstRowFirstColumn="0" w:firstRowLastColumn="0" w:lastRowFirstColumn="0" w:lastRowLastColumn="0"/>
            <w:tcW w:w="2857" w:type="dxa"/>
            <w:gridSpan w:val="2"/>
            <w:tcBorders>
              <w:top w:val="nil"/>
              <w:left w:val="nil"/>
              <w:bottom w:val="nil"/>
              <w:right w:val="nil"/>
            </w:tcBorders>
            <w:vAlign w:val="center"/>
            <w:hideMark/>
          </w:tcPr>
          <w:p w14:paraId="0EE98140" w14:textId="77777777" w:rsidR="004D255E" w:rsidRPr="00BF2AAF" w:rsidRDefault="004D255E" w:rsidP="004D255E">
            <w:pPr>
              <w:keepNext/>
              <w:keepLines/>
              <w:spacing w:before="40" w:after="40"/>
              <w:ind w:left="113"/>
              <w:rPr>
                <w:rFonts w:ascii="Arial" w:eastAsia="Times New Roman" w:hAnsi="Arial" w:cs="Arial"/>
                <w:spacing w:val="-2"/>
                <w:sz w:val="14"/>
                <w:szCs w:val="14"/>
                <w:lang w:eastAsia="pt-BR"/>
              </w:rPr>
            </w:pPr>
            <w:r w:rsidRPr="00BF2AAF">
              <w:rPr>
                <w:rFonts w:ascii="Arial" w:eastAsia="Times New Roman" w:hAnsi="Arial" w:cs="Arial"/>
                <w:b w:val="0"/>
                <w:bCs w:val="0"/>
                <w:spacing w:val="-2"/>
                <w:sz w:val="14"/>
                <w:szCs w:val="14"/>
                <w:lang w:eastAsia="pt-BR"/>
              </w:rPr>
              <w:t>Resultado de investimentos em participações societárias</w:t>
            </w:r>
          </w:p>
        </w:tc>
        <w:tc>
          <w:tcPr>
            <w:tcW w:w="957" w:type="dxa"/>
            <w:tcBorders>
              <w:top w:val="nil"/>
              <w:left w:val="nil"/>
              <w:bottom w:val="nil"/>
              <w:right w:val="nil"/>
            </w:tcBorders>
            <w:vAlign w:val="center"/>
            <w:hideMark/>
          </w:tcPr>
          <w:p w14:paraId="2F101F7C" w14:textId="77777777" w:rsidR="004D255E" w:rsidRPr="00BF2AAF" w:rsidRDefault="004D255E" w:rsidP="004D255E">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[7.b]</w:t>
            </w:r>
          </w:p>
        </w:tc>
        <w:tc>
          <w:tcPr>
            <w:tcW w:w="1328" w:type="dxa"/>
            <w:gridSpan w:val="2"/>
            <w:tcBorders>
              <w:top w:val="nil"/>
              <w:left w:val="nil"/>
              <w:bottom w:val="nil"/>
              <w:right w:val="nil"/>
            </w:tcBorders>
            <w:vAlign w:val="center"/>
          </w:tcPr>
          <w:p w14:paraId="1894AA79" w14:textId="191B69A5" w:rsidR="004D255E" w:rsidRPr="00BF2AAF" w:rsidRDefault="004D255E" w:rsidP="004D255E">
            <w:pPr>
              <w:keepNext/>
              <w:keepLines/>
              <w:spacing w:before="40" w:after="40"/>
              <w:ind w:right="52"/>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hAnsi="Arial" w:cs="Arial"/>
                <w:color w:val="000000"/>
                <w:sz w:val="14"/>
                <w:szCs w:val="14"/>
              </w:rPr>
              <w:t>8.683.817</w:t>
            </w:r>
          </w:p>
        </w:tc>
        <w:tc>
          <w:tcPr>
            <w:tcW w:w="1426" w:type="dxa"/>
            <w:gridSpan w:val="3"/>
            <w:tcBorders>
              <w:top w:val="nil"/>
              <w:left w:val="nil"/>
              <w:bottom w:val="nil"/>
              <w:right w:val="nil"/>
            </w:tcBorders>
            <w:vAlign w:val="center"/>
          </w:tcPr>
          <w:p w14:paraId="1A5C8FF1" w14:textId="61D1965B" w:rsidR="004D255E" w:rsidRPr="00BF2AAF" w:rsidRDefault="004D255E" w:rsidP="004D255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sidRPr="00BF2AAF">
              <w:rPr>
                <w:rFonts w:ascii="Arial" w:hAnsi="Arial" w:cs="Arial"/>
                <w:color w:val="000000"/>
                <w:sz w:val="14"/>
                <w:szCs w:val="14"/>
              </w:rPr>
              <w:t>7.925.902</w:t>
            </w:r>
          </w:p>
        </w:tc>
        <w:tc>
          <w:tcPr>
            <w:tcW w:w="290" w:type="dxa"/>
            <w:gridSpan w:val="2"/>
            <w:tcBorders>
              <w:top w:val="nil"/>
              <w:left w:val="nil"/>
              <w:bottom w:val="nil"/>
              <w:right w:val="nil"/>
            </w:tcBorders>
            <w:vAlign w:val="center"/>
          </w:tcPr>
          <w:p w14:paraId="6C0ADBED" w14:textId="77777777" w:rsidR="004D255E" w:rsidRPr="00BF2AAF" w:rsidRDefault="004D255E" w:rsidP="004D255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307" w:type="dxa"/>
            <w:gridSpan w:val="2"/>
            <w:tcBorders>
              <w:top w:val="nil"/>
              <w:left w:val="nil"/>
              <w:bottom w:val="nil"/>
              <w:right w:val="nil"/>
            </w:tcBorders>
            <w:vAlign w:val="center"/>
          </w:tcPr>
          <w:p w14:paraId="77A408F5" w14:textId="10F61724" w:rsidR="004D255E" w:rsidRPr="00BF2AAF" w:rsidRDefault="004D255E" w:rsidP="004D255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hAnsi="Arial" w:cs="Arial"/>
                <w:color w:val="000000"/>
                <w:sz w:val="14"/>
                <w:szCs w:val="14"/>
              </w:rPr>
              <w:t>5.311.964</w:t>
            </w:r>
          </w:p>
        </w:tc>
        <w:tc>
          <w:tcPr>
            <w:tcW w:w="1428" w:type="dxa"/>
            <w:tcBorders>
              <w:top w:val="nil"/>
              <w:left w:val="nil"/>
              <w:bottom w:val="nil"/>
              <w:right w:val="nil"/>
            </w:tcBorders>
            <w:vAlign w:val="center"/>
          </w:tcPr>
          <w:p w14:paraId="6AF89490" w14:textId="4E533230" w:rsidR="004D255E" w:rsidRPr="00BF2AAF" w:rsidRDefault="004D255E" w:rsidP="004D255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highlight w:val="yellow"/>
                <w:lang w:eastAsia="pt-BR"/>
              </w:rPr>
            </w:pPr>
            <w:r w:rsidRPr="00BF2AAF">
              <w:rPr>
                <w:rFonts w:ascii="Arial" w:hAnsi="Arial" w:cs="Arial"/>
                <w:color w:val="000000"/>
                <w:sz w:val="14"/>
                <w:szCs w:val="14"/>
              </w:rPr>
              <w:t>4.890.458</w:t>
            </w:r>
          </w:p>
        </w:tc>
      </w:tr>
      <w:tr w:rsidR="004D255E" w:rsidRPr="00BF2AAF" w14:paraId="1A348824" w14:textId="77777777" w:rsidTr="009F514E">
        <w:trPr>
          <w:gridAfter w:val="1"/>
          <w:cnfStyle w:val="000000010000" w:firstRow="0" w:lastRow="0" w:firstColumn="0" w:lastColumn="0" w:oddVBand="0" w:evenVBand="0" w:oddHBand="0" w:evenHBand="1" w:firstRowFirstColumn="0" w:firstRowLastColumn="0" w:lastRowFirstColumn="0" w:lastRowLastColumn="0"/>
          <w:wAfter w:w="46" w:type="dxa"/>
          <w:trHeight w:val="238"/>
          <w:jc w:val="center"/>
        </w:trPr>
        <w:tc>
          <w:tcPr>
            <w:cnfStyle w:val="001000000000" w:firstRow="0" w:lastRow="0" w:firstColumn="1" w:lastColumn="0" w:oddVBand="0" w:evenVBand="0" w:oddHBand="0" w:evenHBand="0" w:firstRowFirstColumn="0" w:firstRowLastColumn="0" w:lastRowFirstColumn="0" w:lastRowLastColumn="0"/>
            <w:tcW w:w="2857" w:type="dxa"/>
            <w:gridSpan w:val="2"/>
            <w:tcBorders>
              <w:top w:val="nil"/>
              <w:left w:val="nil"/>
              <w:bottom w:val="nil"/>
              <w:right w:val="nil"/>
            </w:tcBorders>
            <w:shd w:val="clear" w:color="auto" w:fill="FFFFFF" w:themeFill="background1"/>
            <w:vAlign w:val="center"/>
            <w:hideMark/>
          </w:tcPr>
          <w:p w14:paraId="0712D1F6" w14:textId="775DCE91" w:rsidR="004D255E" w:rsidRPr="00BF2AAF" w:rsidRDefault="004D255E" w:rsidP="004D255E">
            <w:pPr>
              <w:keepNext/>
              <w:keepLines/>
              <w:spacing w:before="40" w:after="40"/>
              <w:ind w:left="113"/>
              <w:rPr>
                <w:rFonts w:ascii="Arial" w:eastAsia="Times New Roman" w:hAnsi="Arial" w:cs="Arial"/>
                <w:b w:val="0"/>
                <w:bCs w:val="0"/>
                <w:spacing w:val="-2"/>
                <w:sz w:val="14"/>
                <w:szCs w:val="14"/>
                <w:lang w:eastAsia="pt-BR"/>
              </w:rPr>
            </w:pPr>
            <w:r w:rsidRPr="00BF2AAF">
              <w:rPr>
                <w:rFonts w:ascii="Arial" w:eastAsia="Times New Roman" w:hAnsi="Arial" w:cs="Arial"/>
                <w:b w:val="0"/>
                <w:bCs w:val="0"/>
                <w:spacing w:val="-2"/>
                <w:sz w:val="14"/>
                <w:szCs w:val="14"/>
                <w:lang w:eastAsia="pt-BR"/>
              </w:rPr>
              <w:t>Receitas de comissões</w:t>
            </w:r>
          </w:p>
        </w:tc>
        <w:tc>
          <w:tcPr>
            <w:tcW w:w="957" w:type="dxa"/>
            <w:tcBorders>
              <w:top w:val="nil"/>
              <w:left w:val="nil"/>
              <w:bottom w:val="nil"/>
              <w:right w:val="nil"/>
            </w:tcBorders>
            <w:shd w:val="clear" w:color="auto" w:fill="FFFFFF" w:themeFill="background1"/>
            <w:vAlign w:val="center"/>
            <w:hideMark/>
          </w:tcPr>
          <w:p w14:paraId="780D8C9A" w14:textId="77777777" w:rsidR="004D255E" w:rsidRPr="00BF2AAF" w:rsidRDefault="004D255E" w:rsidP="004D255E">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[8]</w:t>
            </w:r>
          </w:p>
        </w:tc>
        <w:tc>
          <w:tcPr>
            <w:tcW w:w="1328" w:type="dxa"/>
            <w:gridSpan w:val="2"/>
            <w:tcBorders>
              <w:top w:val="nil"/>
              <w:left w:val="nil"/>
              <w:bottom w:val="nil"/>
              <w:right w:val="nil"/>
            </w:tcBorders>
            <w:shd w:val="clear" w:color="auto" w:fill="FFFFFF" w:themeFill="background1"/>
            <w:vAlign w:val="center"/>
          </w:tcPr>
          <w:p w14:paraId="3AD7DFAA" w14:textId="4BB09F3B" w:rsidR="004D255E" w:rsidRPr="00BF2AAF" w:rsidRDefault="004D255E" w:rsidP="004D255E">
            <w:pPr>
              <w:keepNext/>
              <w:keepLines/>
              <w:spacing w:before="40" w:after="40"/>
              <w:ind w:right="52"/>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w:t>
            </w:r>
          </w:p>
        </w:tc>
        <w:tc>
          <w:tcPr>
            <w:tcW w:w="1426" w:type="dxa"/>
            <w:gridSpan w:val="3"/>
            <w:tcBorders>
              <w:top w:val="nil"/>
              <w:left w:val="nil"/>
              <w:bottom w:val="nil"/>
              <w:right w:val="nil"/>
            </w:tcBorders>
            <w:shd w:val="clear" w:color="auto" w:fill="FFFFFF" w:themeFill="background1"/>
            <w:vAlign w:val="center"/>
          </w:tcPr>
          <w:p w14:paraId="06AC5002" w14:textId="4081FA86" w:rsidR="004D255E" w:rsidRPr="00BF2AAF" w:rsidRDefault="004D255E" w:rsidP="004D255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sidRPr="00BF2AAF">
              <w:rPr>
                <w:rFonts w:ascii="Arial" w:eastAsia="Times New Roman" w:hAnsi="Arial" w:cs="Arial"/>
                <w:spacing w:val="-2"/>
                <w:sz w:val="14"/>
                <w:szCs w:val="14"/>
                <w:lang w:eastAsia="pt-BR"/>
              </w:rPr>
              <w:t>--</w:t>
            </w:r>
          </w:p>
        </w:tc>
        <w:tc>
          <w:tcPr>
            <w:tcW w:w="290" w:type="dxa"/>
            <w:gridSpan w:val="2"/>
            <w:tcBorders>
              <w:top w:val="nil"/>
              <w:left w:val="nil"/>
              <w:bottom w:val="nil"/>
              <w:right w:val="nil"/>
            </w:tcBorders>
            <w:shd w:val="clear" w:color="auto" w:fill="FFFFFF" w:themeFill="background1"/>
            <w:vAlign w:val="center"/>
          </w:tcPr>
          <w:p w14:paraId="1B8608A3" w14:textId="77777777" w:rsidR="004D255E" w:rsidRPr="00BF2AAF" w:rsidRDefault="004D255E" w:rsidP="004D255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307" w:type="dxa"/>
            <w:gridSpan w:val="2"/>
            <w:tcBorders>
              <w:top w:val="nil"/>
              <w:left w:val="nil"/>
              <w:bottom w:val="nil"/>
              <w:right w:val="nil"/>
            </w:tcBorders>
            <w:shd w:val="clear" w:color="auto" w:fill="FFFFFF" w:themeFill="background1"/>
            <w:vAlign w:val="center"/>
          </w:tcPr>
          <w:p w14:paraId="000619A1" w14:textId="4BE274FA" w:rsidR="004D255E" w:rsidRPr="00BF2AAF" w:rsidRDefault="004D255E" w:rsidP="004D255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4.868.052</w:t>
            </w:r>
          </w:p>
        </w:tc>
        <w:tc>
          <w:tcPr>
            <w:tcW w:w="1428" w:type="dxa"/>
            <w:tcBorders>
              <w:top w:val="nil"/>
              <w:left w:val="nil"/>
              <w:bottom w:val="nil"/>
              <w:right w:val="nil"/>
            </w:tcBorders>
            <w:shd w:val="clear" w:color="auto" w:fill="FFFFFF" w:themeFill="background1"/>
            <w:vAlign w:val="center"/>
          </w:tcPr>
          <w:p w14:paraId="0511E2C0" w14:textId="68B93C18" w:rsidR="004D255E" w:rsidRPr="00BF2AAF" w:rsidRDefault="004D255E" w:rsidP="004D255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sidRPr="00BF2AAF">
              <w:rPr>
                <w:rFonts w:ascii="Arial" w:hAnsi="Arial" w:cs="Arial"/>
                <w:color w:val="000000"/>
                <w:sz w:val="14"/>
                <w:szCs w:val="14"/>
              </w:rPr>
              <w:t>4.424.402</w:t>
            </w:r>
          </w:p>
        </w:tc>
      </w:tr>
      <w:tr w:rsidR="004D255E" w:rsidRPr="00BF2AAF" w14:paraId="31A2B67A" w14:textId="77777777" w:rsidTr="009F514E">
        <w:trPr>
          <w:gridAfter w:val="1"/>
          <w:cnfStyle w:val="000000100000" w:firstRow="0" w:lastRow="0" w:firstColumn="0" w:lastColumn="0" w:oddVBand="0" w:evenVBand="0" w:oddHBand="1" w:evenHBand="0" w:firstRowFirstColumn="0" w:firstRowLastColumn="0" w:lastRowFirstColumn="0" w:lastRowLastColumn="0"/>
          <w:wAfter w:w="46" w:type="dxa"/>
          <w:trHeight w:val="238"/>
          <w:jc w:val="center"/>
        </w:trPr>
        <w:tc>
          <w:tcPr>
            <w:cnfStyle w:val="001000000000" w:firstRow="0" w:lastRow="0" w:firstColumn="1" w:lastColumn="0" w:oddVBand="0" w:evenVBand="0" w:oddHBand="0" w:evenHBand="0" w:firstRowFirstColumn="0" w:firstRowLastColumn="0" w:lastRowFirstColumn="0" w:lastRowLastColumn="0"/>
            <w:tcW w:w="2857" w:type="dxa"/>
            <w:gridSpan w:val="2"/>
            <w:tcBorders>
              <w:top w:val="nil"/>
              <w:left w:val="nil"/>
              <w:bottom w:val="nil"/>
              <w:right w:val="nil"/>
            </w:tcBorders>
            <w:vAlign w:val="center"/>
            <w:hideMark/>
          </w:tcPr>
          <w:p w14:paraId="6C578A89" w14:textId="77777777" w:rsidR="004D255E" w:rsidRPr="00BF2AAF" w:rsidRDefault="004D255E" w:rsidP="004D255E">
            <w:pPr>
              <w:keepNext/>
              <w:keepLines/>
              <w:spacing w:before="40" w:after="4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Custos dos Serviços Prestados</w:t>
            </w:r>
          </w:p>
        </w:tc>
        <w:tc>
          <w:tcPr>
            <w:tcW w:w="957" w:type="dxa"/>
            <w:tcBorders>
              <w:top w:val="nil"/>
              <w:left w:val="nil"/>
              <w:bottom w:val="nil"/>
              <w:right w:val="nil"/>
            </w:tcBorders>
            <w:vAlign w:val="center"/>
            <w:hideMark/>
          </w:tcPr>
          <w:p w14:paraId="756AA006" w14:textId="77777777" w:rsidR="004D255E" w:rsidRPr="00BF2AAF" w:rsidRDefault="004D255E" w:rsidP="004D255E">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highlight w:val="yellow"/>
                <w:lang w:eastAsia="pt-BR"/>
              </w:rPr>
            </w:pPr>
            <w:r w:rsidRPr="00BF2AAF">
              <w:rPr>
                <w:rFonts w:ascii="Arial" w:eastAsia="Times New Roman" w:hAnsi="Arial" w:cs="Arial"/>
                <w:b/>
                <w:spacing w:val="-2"/>
                <w:sz w:val="14"/>
                <w:szCs w:val="14"/>
                <w:lang w:eastAsia="pt-BR"/>
              </w:rPr>
              <w:t>[9]</w:t>
            </w:r>
          </w:p>
        </w:tc>
        <w:tc>
          <w:tcPr>
            <w:tcW w:w="1328" w:type="dxa"/>
            <w:gridSpan w:val="2"/>
            <w:tcBorders>
              <w:top w:val="nil"/>
              <w:left w:val="nil"/>
              <w:bottom w:val="nil"/>
              <w:right w:val="nil"/>
            </w:tcBorders>
            <w:vAlign w:val="center"/>
          </w:tcPr>
          <w:p w14:paraId="1689F05B" w14:textId="51D96E6D" w:rsidR="004D255E" w:rsidRPr="00BF2AAF" w:rsidRDefault="004D255E" w:rsidP="004D255E">
            <w:pPr>
              <w:keepNext/>
              <w:keepLines/>
              <w:spacing w:before="40" w:after="40"/>
              <w:ind w:right="52"/>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hAnsi="Arial" w:cs="Arial"/>
                <w:b/>
                <w:bCs/>
                <w:color w:val="000000"/>
                <w:sz w:val="14"/>
                <w:szCs w:val="14"/>
              </w:rPr>
              <w:t>--</w:t>
            </w:r>
          </w:p>
        </w:tc>
        <w:tc>
          <w:tcPr>
            <w:tcW w:w="1426" w:type="dxa"/>
            <w:gridSpan w:val="3"/>
            <w:tcBorders>
              <w:top w:val="nil"/>
              <w:left w:val="nil"/>
              <w:bottom w:val="nil"/>
              <w:right w:val="nil"/>
            </w:tcBorders>
            <w:vAlign w:val="center"/>
          </w:tcPr>
          <w:p w14:paraId="44D6955F" w14:textId="5574BBDF" w:rsidR="004D255E" w:rsidRPr="00BF2AAF" w:rsidRDefault="004D255E" w:rsidP="004D255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highlight w:val="yellow"/>
                <w:lang w:eastAsia="pt-BR"/>
              </w:rPr>
            </w:pPr>
            <w:r w:rsidRPr="00BF2AAF">
              <w:rPr>
                <w:rFonts w:ascii="Arial" w:eastAsia="Times New Roman" w:hAnsi="Arial" w:cs="Arial"/>
                <w:b/>
                <w:spacing w:val="-2"/>
                <w:sz w:val="14"/>
                <w:szCs w:val="14"/>
                <w:lang w:eastAsia="pt-BR"/>
              </w:rPr>
              <w:t>--</w:t>
            </w:r>
          </w:p>
        </w:tc>
        <w:tc>
          <w:tcPr>
            <w:tcW w:w="290" w:type="dxa"/>
            <w:gridSpan w:val="2"/>
            <w:tcBorders>
              <w:top w:val="nil"/>
              <w:left w:val="nil"/>
              <w:bottom w:val="nil"/>
              <w:right w:val="nil"/>
            </w:tcBorders>
            <w:vAlign w:val="center"/>
          </w:tcPr>
          <w:p w14:paraId="772D2DD5" w14:textId="77777777" w:rsidR="004D255E" w:rsidRPr="00BF2AAF" w:rsidRDefault="004D255E" w:rsidP="004D255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307" w:type="dxa"/>
            <w:gridSpan w:val="2"/>
            <w:tcBorders>
              <w:top w:val="nil"/>
              <w:left w:val="nil"/>
              <w:bottom w:val="nil"/>
              <w:right w:val="nil"/>
            </w:tcBorders>
            <w:vAlign w:val="center"/>
          </w:tcPr>
          <w:p w14:paraId="1B4439CB" w14:textId="49AE7DCD" w:rsidR="004D255E" w:rsidRPr="00BF2AAF" w:rsidRDefault="004D255E" w:rsidP="004D255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hAnsi="Arial" w:cs="Arial"/>
                <w:b/>
                <w:bCs/>
                <w:color w:val="000000"/>
                <w:sz w:val="14"/>
                <w:szCs w:val="14"/>
              </w:rPr>
              <w:t>(172.198)</w:t>
            </w:r>
          </w:p>
        </w:tc>
        <w:tc>
          <w:tcPr>
            <w:tcW w:w="1428" w:type="dxa"/>
            <w:tcBorders>
              <w:top w:val="nil"/>
              <w:left w:val="nil"/>
              <w:bottom w:val="nil"/>
              <w:right w:val="nil"/>
            </w:tcBorders>
            <w:vAlign w:val="center"/>
          </w:tcPr>
          <w:p w14:paraId="2369EC80" w14:textId="25434AB3" w:rsidR="004D255E" w:rsidRPr="00BF2AAF" w:rsidRDefault="004D255E" w:rsidP="004D255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highlight w:val="yellow"/>
                <w:lang w:eastAsia="pt-BR"/>
              </w:rPr>
            </w:pPr>
            <w:r w:rsidRPr="00BF2AAF">
              <w:rPr>
                <w:rFonts w:ascii="Arial" w:hAnsi="Arial" w:cs="Arial"/>
                <w:b/>
                <w:bCs/>
                <w:color w:val="000000"/>
                <w:sz w:val="14"/>
                <w:szCs w:val="14"/>
              </w:rPr>
              <w:t>(188.792)</w:t>
            </w:r>
          </w:p>
        </w:tc>
      </w:tr>
      <w:tr w:rsidR="004D255E" w:rsidRPr="00BF2AAF" w14:paraId="351BBE1D" w14:textId="77777777" w:rsidTr="009F514E">
        <w:trPr>
          <w:gridAfter w:val="1"/>
          <w:cnfStyle w:val="000000010000" w:firstRow="0" w:lastRow="0" w:firstColumn="0" w:lastColumn="0" w:oddVBand="0" w:evenVBand="0" w:oddHBand="0" w:evenHBand="1" w:firstRowFirstColumn="0" w:firstRowLastColumn="0" w:lastRowFirstColumn="0" w:lastRowLastColumn="0"/>
          <w:wAfter w:w="46" w:type="dxa"/>
          <w:trHeight w:val="238"/>
          <w:jc w:val="center"/>
        </w:trPr>
        <w:tc>
          <w:tcPr>
            <w:cnfStyle w:val="001000000000" w:firstRow="0" w:lastRow="0" w:firstColumn="1" w:lastColumn="0" w:oddVBand="0" w:evenVBand="0" w:oddHBand="0" w:evenHBand="0" w:firstRowFirstColumn="0" w:firstRowLastColumn="0" w:lastRowFirstColumn="0" w:lastRowLastColumn="0"/>
            <w:tcW w:w="2857" w:type="dxa"/>
            <w:gridSpan w:val="2"/>
            <w:tcBorders>
              <w:top w:val="nil"/>
              <w:left w:val="nil"/>
              <w:bottom w:val="nil"/>
              <w:right w:val="nil"/>
            </w:tcBorders>
            <w:shd w:val="clear" w:color="auto" w:fill="FFFFFF" w:themeFill="background1"/>
            <w:vAlign w:val="center"/>
            <w:hideMark/>
          </w:tcPr>
          <w:p w14:paraId="4A3F4734" w14:textId="77777777" w:rsidR="004D255E" w:rsidRPr="00BF2AAF" w:rsidRDefault="004D255E" w:rsidP="004D255E">
            <w:pPr>
              <w:keepNext/>
              <w:keepLines/>
              <w:spacing w:before="40" w:after="4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Resultado Bruto</w:t>
            </w:r>
          </w:p>
        </w:tc>
        <w:tc>
          <w:tcPr>
            <w:tcW w:w="957" w:type="dxa"/>
            <w:tcBorders>
              <w:top w:val="nil"/>
              <w:left w:val="nil"/>
              <w:bottom w:val="nil"/>
              <w:right w:val="nil"/>
            </w:tcBorders>
            <w:shd w:val="clear" w:color="auto" w:fill="FFFFFF" w:themeFill="background1"/>
            <w:vAlign w:val="center"/>
          </w:tcPr>
          <w:p w14:paraId="789B6A68" w14:textId="77777777" w:rsidR="004D255E" w:rsidRPr="00BF2AAF" w:rsidRDefault="004D255E" w:rsidP="004D255E">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p>
        </w:tc>
        <w:tc>
          <w:tcPr>
            <w:tcW w:w="1328" w:type="dxa"/>
            <w:gridSpan w:val="2"/>
            <w:tcBorders>
              <w:top w:val="nil"/>
              <w:left w:val="nil"/>
              <w:bottom w:val="nil"/>
              <w:right w:val="nil"/>
            </w:tcBorders>
            <w:shd w:val="clear" w:color="auto" w:fill="FFFFFF" w:themeFill="background1"/>
            <w:vAlign w:val="center"/>
          </w:tcPr>
          <w:p w14:paraId="7D4E13C9" w14:textId="1D6E3D31" w:rsidR="004D255E" w:rsidRPr="00BF2AAF" w:rsidRDefault="004D255E" w:rsidP="004D255E">
            <w:pPr>
              <w:keepNext/>
              <w:keepLines/>
              <w:spacing w:before="40" w:after="40"/>
              <w:ind w:right="52"/>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b/>
                <w:bCs/>
                <w:color w:val="000000"/>
                <w:sz w:val="14"/>
                <w:szCs w:val="14"/>
              </w:rPr>
              <w:t>8.683.817</w:t>
            </w:r>
          </w:p>
        </w:tc>
        <w:tc>
          <w:tcPr>
            <w:tcW w:w="1426" w:type="dxa"/>
            <w:gridSpan w:val="3"/>
            <w:tcBorders>
              <w:top w:val="nil"/>
              <w:left w:val="nil"/>
              <w:bottom w:val="nil"/>
              <w:right w:val="nil"/>
            </w:tcBorders>
            <w:shd w:val="clear" w:color="auto" w:fill="FFFFFF" w:themeFill="background1"/>
            <w:vAlign w:val="center"/>
          </w:tcPr>
          <w:p w14:paraId="3759F789" w14:textId="7A584801" w:rsidR="004D255E" w:rsidRPr="00BF2AAF" w:rsidRDefault="004D255E" w:rsidP="004D255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sidRPr="00BF2AAF">
              <w:rPr>
                <w:rFonts w:ascii="Arial" w:hAnsi="Arial" w:cs="Arial"/>
                <w:b/>
                <w:bCs/>
                <w:color w:val="000000"/>
                <w:sz w:val="14"/>
                <w:szCs w:val="14"/>
              </w:rPr>
              <w:t>7.925.902</w:t>
            </w:r>
          </w:p>
        </w:tc>
        <w:tc>
          <w:tcPr>
            <w:tcW w:w="290" w:type="dxa"/>
            <w:gridSpan w:val="2"/>
            <w:tcBorders>
              <w:top w:val="nil"/>
              <w:left w:val="nil"/>
              <w:bottom w:val="nil"/>
              <w:right w:val="nil"/>
            </w:tcBorders>
            <w:shd w:val="clear" w:color="auto" w:fill="FFFFFF" w:themeFill="background1"/>
            <w:vAlign w:val="center"/>
          </w:tcPr>
          <w:p w14:paraId="117A23CE" w14:textId="77777777" w:rsidR="004D255E" w:rsidRPr="00BF2AAF" w:rsidRDefault="004D255E" w:rsidP="004D255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307" w:type="dxa"/>
            <w:gridSpan w:val="2"/>
            <w:tcBorders>
              <w:top w:val="nil"/>
              <w:left w:val="nil"/>
              <w:bottom w:val="nil"/>
              <w:right w:val="nil"/>
            </w:tcBorders>
            <w:shd w:val="clear" w:color="auto" w:fill="FFFFFF" w:themeFill="background1"/>
            <w:vAlign w:val="center"/>
          </w:tcPr>
          <w:p w14:paraId="15BC51EE" w14:textId="461CF94A" w:rsidR="004D255E" w:rsidRPr="00BF2AAF" w:rsidRDefault="004D255E" w:rsidP="004D255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b/>
                <w:bCs/>
                <w:color w:val="000000"/>
                <w:sz w:val="14"/>
                <w:szCs w:val="14"/>
              </w:rPr>
              <w:t>10.007.818</w:t>
            </w:r>
          </w:p>
        </w:tc>
        <w:tc>
          <w:tcPr>
            <w:tcW w:w="1428" w:type="dxa"/>
            <w:tcBorders>
              <w:top w:val="nil"/>
              <w:left w:val="nil"/>
              <w:bottom w:val="nil"/>
              <w:right w:val="nil"/>
            </w:tcBorders>
            <w:shd w:val="clear" w:color="auto" w:fill="FFFFFF" w:themeFill="background1"/>
            <w:vAlign w:val="center"/>
          </w:tcPr>
          <w:p w14:paraId="749FE4DC" w14:textId="219570AC" w:rsidR="004D255E" w:rsidRPr="00BF2AAF" w:rsidRDefault="004D255E" w:rsidP="004D255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sidRPr="00BF2AAF">
              <w:rPr>
                <w:rFonts w:ascii="Arial" w:hAnsi="Arial" w:cs="Arial"/>
                <w:b/>
                <w:bCs/>
                <w:color w:val="000000"/>
                <w:sz w:val="14"/>
                <w:szCs w:val="14"/>
              </w:rPr>
              <w:t>9.126.068</w:t>
            </w:r>
          </w:p>
        </w:tc>
      </w:tr>
      <w:tr w:rsidR="004D255E" w:rsidRPr="00BF2AAF" w14:paraId="5DF26FED" w14:textId="77777777" w:rsidTr="009F514E">
        <w:trPr>
          <w:gridAfter w:val="1"/>
          <w:cnfStyle w:val="000000100000" w:firstRow="0" w:lastRow="0" w:firstColumn="0" w:lastColumn="0" w:oddVBand="0" w:evenVBand="0" w:oddHBand="1" w:evenHBand="0" w:firstRowFirstColumn="0" w:firstRowLastColumn="0" w:lastRowFirstColumn="0" w:lastRowLastColumn="0"/>
          <w:wAfter w:w="46" w:type="dxa"/>
          <w:trHeight w:val="238"/>
          <w:jc w:val="center"/>
        </w:trPr>
        <w:tc>
          <w:tcPr>
            <w:cnfStyle w:val="001000000000" w:firstRow="0" w:lastRow="0" w:firstColumn="1" w:lastColumn="0" w:oddVBand="0" w:evenVBand="0" w:oddHBand="0" w:evenHBand="0" w:firstRowFirstColumn="0" w:firstRowLastColumn="0" w:lastRowFirstColumn="0" w:lastRowLastColumn="0"/>
            <w:tcW w:w="2857" w:type="dxa"/>
            <w:gridSpan w:val="2"/>
            <w:tcBorders>
              <w:top w:val="nil"/>
              <w:left w:val="nil"/>
              <w:bottom w:val="nil"/>
              <w:right w:val="nil"/>
            </w:tcBorders>
            <w:vAlign w:val="center"/>
            <w:hideMark/>
          </w:tcPr>
          <w:p w14:paraId="0459317C" w14:textId="77777777" w:rsidR="004D255E" w:rsidRPr="00BF2AAF" w:rsidRDefault="004D255E" w:rsidP="004D255E">
            <w:pPr>
              <w:keepNext/>
              <w:keepLines/>
              <w:spacing w:before="40" w:after="4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Outras Receitas e Despesas</w:t>
            </w:r>
          </w:p>
        </w:tc>
        <w:tc>
          <w:tcPr>
            <w:tcW w:w="957" w:type="dxa"/>
            <w:tcBorders>
              <w:top w:val="nil"/>
              <w:left w:val="nil"/>
              <w:bottom w:val="nil"/>
              <w:right w:val="nil"/>
            </w:tcBorders>
            <w:vAlign w:val="center"/>
          </w:tcPr>
          <w:p w14:paraId="6CCC1871" w14:textId="77777777" w:rsidR="004D255E" w:rsidRPr="00BF2AAF" w:rsidRDefault="004D255E" w:rsidP="004D255E">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p>
        </w:tc>
        <w:tc>
          <w:tcPr>
            <w:tcW w:w="1328" w:type="dxa"/>
            <w:gridSpan w:val="2"/>
            <w:tcBorders>
              <w:top w:val="nil"/>
              <w:left w:val="nil"/>
              <w:bottom w:val="nil"/>
              <w:right w:val="nil"/>
            </w:tcBorders>
            <w:vAlign w:val="center"/>
          </w:tcPr>
          <w:p w14:paraId="6CD2A24E" w14:textId="292E425D" w:rsidR="004D255E" w:rsidRPr="00BF2AAF" w:rsidRDefault="004D255E" w:rsidP="004D255E">
            <w:pPr>
              <w:keepNext/>
              <w:keepLines/>
              <w:spacing w:before="40" w:after="40"/>
              <w:ind w:right="52"/>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hAnsi="Arial" w:cs="Arial"/>
                <w:b/>
                <w:bCs/>
                <w:color w:val="000000"/>
                <w:sz w:val="14"/>
                <w:szCs w:val="14"/>
              </w:rPr>
              <w:t>(18.972)</w:t>
            </w:r>
          </w:p>
        </w:tc>
        <w:tc>
          <w:tcPr>
            <w:tcW w:w="1426" w:type="dxa"/>
            <w:gridSpan w:val="3"/>
            <w:tcBorders>
              <w:top w:val="nil"/>
              <w:left w:val="nil"/>
              <w:bottom w:val="nil"/>
              <w:right w:val="nil"/>
            </w:tcBorders>
            <w:vAlign w:val="center"/>
          </w:tcPr>
          <w:p w14:paraId="67A982E5" w14:textId="27CF4115" w:rsidR="004D255E" w:rsidRPr="00BF2AAF" w:rsidRDefault="004D255E" w:rsidP="004D255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sidRPr="00BF2AAF">
              <w:rPr>
                <w:rFonts w:ascii="Arial" w:hAnsi="Arial" w:cs="Arial"/>
                <w:b/>
                <w:bCs/>
                <w:color w:val="000000"/>
                <w:sz w:val="14"/>
                <w:szCs w:val="14"/>
              </w:rPr>
              <w:t>(18.117)</w:t>
            </w:r>
          </w:p>
        </w:tc>
        <w:tc>
          <w:tcPr>
            <w:tcW w:w="290" w:type="dxa"/>
            <w:gridSpan w:val="2"/>
            <w:tcBorders>
              <w:top w:val="nil"/>
              <w:left w:val="nil"/>
              <w:bottom w:val="nil"/>
              <w:right w:val="nil"/>
            </w:tcBorders>
            <w:vAlign w:val="center"/>
          </w:tcPr>
          <w:p w14:paraId="6D0F6F12" w14:textId="77777777" w:rsidR="004D255E" w:rsidRPr="00BF2AAF" w:rsidRDefault="004D255E" w:rsidP="004D255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307" w:type="dxa"/>
            <w:gridSpan w:val="2"/>
            <w:tcBorders>
              <w:top w:val="nil"/>
              <w:left w:val="nil"/>
              <w:bottom w:val="nil"/>
              <w:right w:val="nil"/>
            </w:tcBorders>
            <w:vAlign w:val="center"/>
          </w:tcPr>
          <w:p w14:paraId="0424E441" w14:textId="60946139" w:rsidR="004D255E" w:rsidRPr="00BF2AAF" w:rsidRDefault="004D255E" w:rsidP="004D255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hAnsi="Arial" w:cs="Arial"/>
                <w:b/>
                <w:bCs/>
                <w:color w:val="000000"/>
                <w:sz w:val="14"/>
                <w:szCs w:val="14"/>
              </w:rPr>
              <w:t>(250.551)</w:t>
            </w:r>
          </w:p>
        </w:tc>
        <w:tc>
          <w:tcPr>
            <w:tcW w:w="1428" w:type="dxa"/>
            <w:tcBorders>
              <w:top w:val="nil"/>
              <w:left w:val="nil"/>
              <w:bottom w:val="nil"/>
              <w:right w:val="nil"/>
            </w:tcBorders>
            <w:vAlign w:val="center"/>
          </w:tcPr>
          <w:p w14:paraId="16553582" w14:textId="7D10406F" w:rsidR="004D255E" w:rsidRPr="00BF2AAF" w:rsidRDefault="004D255E" w:rsidP="004D255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sidRPr="00BF2AAF">
              <w:rPr>
                <w:rFonts w:ascii="Arial" w:hAnsi="Arial" w:cs="Arial"/>
                <w:b/>
                <w:bCs/>
                <w:color w:val="000000"/>
                <w:sz w:val="14"/>
                <w:szCs w:val="14"/>
              </w:rPr>
              <w:t>(220.301)</w:t>
            </w:r>
          </w:p>
        </w:tc>
      </w:tr>
      <w:tr w:rsidR="004D255E" w:rsidRPr="00BF2AAF" w14:paraId="7C6D9604" w14:textId="77777777" w:rsidTr="009F514E">
        <w:trPr>
          <w:gridAfter w:val="1"/>
          <w:cnfStyle w:val="000000010000" w:firstRow="0" w:lastRow="0" w:firstColumn="0" w:lastColumn="0" w:oddVBand="0" w:evenVBand="0" w:oddHBand="0" w:evenHBand="1" w:firstRowFirstColumn="0" w:firstRowLastColumn="0" w:lastRowFirstColumn="0" w:lastRowLastColumn="0"/>
          <w:wAfter w:w="46" w:type="dxa"/>
          <w:trHeight w:val="238"/>
          <w:jc w:val="center"/>
        </w:trPr>
        <w:tc>
          <w:tcPr>
            <w:cnfStyle w:val="001000000000" w:firstRow="0" w:lastRow="0" w:firstColumn="1" w:lastColumn="0" w:oddVBand="0" w:evenVBand="0" w:oddHBand="0" w:evenHBand="0" w:firstRowFirstColumn="0" w:firstRowLastColumn="0" w:lastRowFirstColumn="0" w:lastRowLastColumn="0"/>
            <w:tcW w:w="2857" w:type="dxa"/>
            <w:gridSpan w:val="2"/>
            <w:tcBorders>
              <w:top w:val="nil"/>
              <w:left w:val="nil"/>
              <w:bottom w:val="nil"/>
              <w:right w:val="nil"/>
            </w:tcBorders>
            <w:shd w:val="clear" w:color="auto" w:fill="auto"/>
            <w:vAlign w:val="center"/>
            <w:hideMark/>
          </w:tcPr>
          <w:p w14:paraId="38BCBDAD" w14:textId="77777777" w:rsidR="004D255E" w:rsidRPr="00BF2AAF" w:rsidRDefault="004D255E" w:rsidP="004D255E">
            <w:pPr>
              <w:keepNext/>
              <w:keepLines/>
              <w:spacing w:before="40" w:after="40"/>
              <w:ind w:left="113"/>
              <w:rPr>
                <w:rFonts w:ascii="Arial" w:eastAsia="Times New Roman" w:hAnsi="Arial" w:cs="Arial"/>
                <w:spacing w:val="-2"/>
                <w:sz w:val="14"/>
                <w:szCs w:val="14"/>
                <w:lang w:eastAsia="pt-BR"/>
              </w:rPr>
            </w:pPr>
            <w:r w:rsidRPr="00BF2AAF">
              <w:rPr>
                <w:rFonts w:ascii="Arial" w:eastAsia="Times New Roman" w:hAnsi="Arial" w:cs="Arial"/>
                <w:b w:val="0"/>
                <w:bCs w:val="0"/>
                <w:spacing w:val="-2"/>
                <w:sz w:val="14"/>
                <w:szCs w:val="14"/>
                <w:lang w:eastAsia="pt-BR"/>
              </w:rPr>
              <w:t>Despesas com pessoal</w:t>
            </w:r>
          </w:p>
        </w:tc>
        <w:tc>
          <w:tcPr>
            <w:tcW w:w="957" w:type="dxa"/>
            <w:tcBorders>
              <w:top w:val="nil"/>
              <w:left w:val="nil"/>
              <w:bottom w:val="nil"/>
              <w:right w:val="nil"/>
            </w:tcBorders>
            <w:shd w:val="clear" w:color="auto" w:fill="auto"/>
            <w:vAlign w:val="center"/>
            <w:hideMark/>
          </w:tcPr>
          <w:p w14:paraId="3BC562E0" w14:textId="77777777" w:rsidR="004D255E" w:rsidRPr="00BF2AAF" w:rsidRDefault="004D255E" w:rsidP="004D255E">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sidRPr="00BF2AAF">
              <w:rPr>
                <w:rFonts w:ascii="Arial" w:eastAsia="Times New Roman" w:hAnsi="Arial" w:cs="Arial"/>
                <w:spacing w:val="-2"/>
                <w:sz w:val="14"/>
                <w:szCs w:val="14"/>
                <w:lang w:eastAsia="pt-BR"/>
              </w:rPr>
              <w:t>[10]</w:t>
            </w:r>
          </w:p>
        </w:tc>
        <w:tc>
          <w:tcPr>
            <w:tcW w:w="1328" w:type="dxa"/>
            <w:gridSpan w:val="2"/>
            <w:tcBorders>
              <w:top w:val="nil"/>
              <w:left w:val="nil"/>
              <w:bottom w:val="nil"/>
              <w:right w:val="nil"/>
            </w:tcBorders>
            <w:shd w:val="clear" w:color="auto" w:fill="auto"/>
            <w:vAlign w:val="center"/>
          </w:tcPr>
          <w:p w14:paraId="1E6EFABA" w14:textId="6EB4C126" w:rsidR="004D255E" w:rsidRPr="00BF2AAF" w:rsidRDefault="004D255E" w:rsidP="004D255E">
            <w:pPr>
              <w:keepNext/>
              <w:keepLines/>
              <w:spacing w:before="40" w:after="40"/>
              <w:ind w:right="52"/>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(11.853)</w:t>
            </w:r>
          </w:p>
        </w:tc>
        <w:tc>
          <w:tcPr>
            <w:tcW w:w="1426" w:type="dxa"/>
            <w:gridSpan w:val="3"/>
            <w:tcBorders>
              <w:top w:val="nil"/>
              <w:left w:val="nil"/>
              <w:bottom w:val="nil"/>
              <w:right w:val="nil"/>
            </w:tcBorders>
            <w:shd w:val="clear" w:color="auto" w:fill="auto"/>
            <w:vAlign w:val="center"/>
          </w:tcPr>
          <w:p w14:paraId="229572C3" w14:textId="550079B3" w:rsidR="004D255E" w:rsidRPr="00BF2AAF" w:rsidRDefault="004D255E" w:rsidP="004D255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sidRPr="00BF2AAF">
              <w:rPr>
                <w:rFonts w:ascii="Arial" w:hAnsi="Arial" w:cs="Arial"/>
                <w:color w:val="000000"/>
                <w:sz w:val="14"/>
                <w:szCs w:val="14"/>
              </w:rPr>
              <w:t>(13.129)</w:t>
            </w:r>
          </w:p>
        </w:tc>
        <w:tc>
          <w:tcPr>
            <w:tcW w:w="290" w:type="dxa"/>
            <w:gridSpan w:val="2"/>
            <w:tcBorders>
              <w:top w:val="nil"/>
              <w:left w:val="nil"/>
              <w:bottom w:val="nil"/>
              <w:right w:val="nil"/>
            </w:tcBorders>
            <w:shd w:val="clear" w:color="auto" w:fill="auto"/>
            <w:vAlign w:val="center"/>
          </w:tcPr>
          <w:p w14:paraId="5A60575D" w14:textId="77777777" w:rsidR="004D255E" w:rsidRPr="00BF2AAF" w:rsidRDefault="004D255E" w:rsidP="004D255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307" w:type="dxa"/>
            <w:gridSpan w:val="2"/>
            <w:tcBorders>
              <w:top w:val="nil"/>
              <w:left w:val="nil"/>
              <w:bottom w:val="nil"/>
              <w:right w:val="nil"/>
            </w:tcBorders>
            <w:shd w:val="clear" w:color="auto" w:fill="auto"/>
            <w:vAlign w:val="center"/>
          </w:tcPr>
          <w:p w14:paraId="3D04714A" w14:textId="3762C3A4" w:rsidR="004D255E" w:rsidRPr="00BF2AAF" w:rsidRDefault="004D255E" w:rsidP="004D255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(89.665)</w:t>
            </w:r>
          </w:p>
        </w:tc>
        <w:tc>
          <w:tcPr>
            <w:tcW w:w="1428" w:type="dxa"/>
            <w:tcBorders>
              <w:top w:val="nil"/>
              <w:left w:val="nil"/>
              <w:bottom w:val="nil"/>
              <w:right w:val="nil"/>
            </w:tcBorders>
            <w:shd w:val="clear" w:color="auto" w:fill="auto"/>
            <w:vAlign w:val="center"/>
          </w:tcPr>
          <w:p w14:paraId="6E7AE9F0" w14:textId="7384ED3D" w:rsidR="004D255E" w:rsidRPr="00BF2AAF" w:rsidRDefault="004D255E" w:rsidP="004D255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sidRPr="00BF2AAF">
              <w:rPr>
                <w:rFonts w:ascii="Arial" w:hAnsi="Arial" w:cs="Arial"/>
                <w:color w:val="000000"/>
                <w:sz w:val="14"/>
                <w:szCs w:val="14"/>
              </w:rPr>
              <w:t>(86.122)</w:t>
            </w:r>
          </w:p>
        </w:tc>
      </w:tr>
      <w:tr w:rsidR="004D255E" w:rsidRPr="00BF2AAF" w14:paraId="2D4FFB3D" w14:textId="77777777" w:rsidTr="009F514E">
        <w:trPr>
          <w:gridAfter w:val="1"/>
          <w:cnfStyle w:val="000000100000" w:firstRow="0" w:lastRow="0" w:firstColumn="0" w:lastColumn="0" w:oddVBand="0" w:evenVBand="0" w:oddHBand="1" w:evenHBand="0" w:firstRowFirstColumn="0" w:firstRowLastColumn="0" w:lastRowFirstColumn="0" w:lastRowLastColumn="0"/>
          <w:wAfter w:w="46" w:type="dxa"/>
          <w:trHeight w:val="238"/>
          <w:jc w:val="center"/>
        </w:trPr>
        <w:tc>
          <w:tcPr>
            <w:cnfStyle w:val="001000000000" w:firstRow="0" w:lastRow="0" w:firstColumn="1" w:lastColumn="0" w:oddVBand="0" w:evenVBand="0" w:oddHBand="0" w:evenHBand="0" w:firstRowFirstColumn="0" w:firstRowLastColumn="0" w:lastRowFirstColumn="0" w:lastRowLastColumn="0"/>
            <w:tcW w:w="2857" w:type="dxa"/>
            <w:gridSpan w:val="2"/>
            <w:tcBorders>
              <w:top w:val="nil"/>
              <w:left w:val="nil"/>
              <w:bottom w:val="nil"/>
              <w:right w:val="nil"/>
            </w:tcBorders>
            <w:shd w:val="clear" w:color="auto" w:fill="auto"/>
            <w:vAlign w:val="center"/>
            <w:hideMark/>
          </w:tcPr>
          <w:p w14:paraId="13212525" w14:textId="77777777" w:rsidR="004D255E" w:rsidRPr="00BF2AAF" w:rsidRDefault="004D255E" w:rsidP="004D255E">
            <w:pPr>
              <w:keepNext/>
              <w:keepLines/>
              <w:spacing w:before="40" w:after="40"/>
              <w:ind w:left="113"/>
              <w:rPr>
                <w:rFonts w:ascii="Arial" w:eastAsia="Times New Roman" w:hAnsi="Arial" w:cs="Arial"/>
                <w:spacing w:val="-2"/>
                <w:sz w:val="14"/>
                <w:szCs w:val="14"/>
                <w:lang w:eastAsia="pt-BR"/>
              </w:rPr>
            </w:pPr>
            <w:r w:rsidRPr="00BF2AAF">
              <w:rPr>
                <w:rFonts w:ascii="Arial" w:eastAsia="Times New Roman" w:hAnsi="Arial" w:cs="Arial"/>
                <w:b w:val="0"/>
                <w:bCs w:val="0"/>
                <w:spacing w:val="-2"/>
                <w:sz w:val="14"/>
                <w:szCs w:val="14"/>
                <w:lang w:eastAsia="pt-BR"/>
              </w:rPr>
              <w:t>Despesas administrativas e com vendas</w:t>
            </w:r>
          </w:p>
        </w:tc>
        <w:tc>
          <w:tcPr>
            <w:tcW w:w="957" w:type="dxa"/>
            <w:tcBorders>
              <w:top w:val="nil"/>
              <w:left w:val="nil"/>
              <w:bottom w:val="nil"/>
              <w:right w:val="nil"/>
            </w:tcBorders>
            <w:shd w:val="clear" w:color="auto" w:fill="auto"/>
            <w:vAlign w:val="center"/>
            <w:hideMark/>
          </w:tcPr>
          <w:p w14:paraId="799AC27F" w14:textId="77777777" w:rsidR="004D255E" w:rsidRPr="00BF2AAF" w:rsidRDefault="004D255E" w:rsidP="004D255E">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sidRPr="00BF2AAF">
              <w:rPr>
                <w:rFonts w:ascii="Arial" w:eastAsia="Times New Roman" w:hAnsi="Arial" w:cs="Arial"/>
                <w:spacing w:val="-2"/>
                <w:sz w:val="14"/>
                <w:szCs w:val="14"/>
                <w:lang w:eastAsia="pt-BR"/>
              </w:rPr>
              <w:t>[11]</w:t>
            </w:r>
          </w:p>
        </w:tc>
        <w:tc>
          <w:tcPr>
            <w:tcW w:w="1328" w:type="dxa"/>
            <w:gridSpan w:val="2"/>
            <w:tcBorders>
              <w:top w:val="nil"/>
              <w:left w:val="nil"/>
              <w:bottom w:val="nil"/>
              <w:right w:val="nil"/>
            </w:tcBorders>
            <w:shd w:val="clear" w:color="auto" w:fill="auto"/>
            <w:vAlign w:val="center"/>
          </w:tcPr>
          <w:p w14:paraId="41247BF8" w14:textId="2762C711" w:rsidR="004D255E" w:rsidRPr="00BF2AAF" w:rsidRDefault="004D255E" w:rsidP="004D255E">
            <w:pPr>
              <w:keepNext/>
              <w:keepLines/>
              <w:spacing w:before="40" w:after="40"/>
              <w:ind w:right="52"/>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(3.890)</w:t>
            </w:r>
          </w:p>
        </w:tc>
        <w:tc>
          <w:tcPr>
            <w:tcW w:w="1426" w:type="dxa"/>
            <w:gridSpan w:val="3"/>
            <w:tcBorders>
              <w:top w:val="nil"/>
              <w:left w:val="nil"/>
              <w:bottom w:val="nil"/>
              <w:right w:val="nil"/>
            </w:tcBorders>
            <w:shd w:val="clear" w:color="auto" w:fill="auto"/>
            <w:vAlign w:val="center"/>
          </w:tcPr>
          <w:p w14:paraId="2FB4C06C" w14:textId="0E49B547" w:rsidR="004D255E" w:rsidRPr="00BF2AAF" w:rsidRDefault="004D255E" w:rsidP="004D255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sidRPr="00BF2AAF">
              <w:rPr>
                <w:rFonts w:ascii="Arial" w:hAnsi="Arial" w:cs="Arial"/>
                <w:color w:val="000000"/>
                <w:sz w:val="14"/>
                <w:szCs w:val="14"/>
              </w:rPr>
              <w:t>(3.589)</w:t>
            </w:r>
          </w:p>
        </w:tc>
        <w:tc>
          <w:tcPr>
            <w:tcW w:w="290" w:type="dxa"/>
            <w:gridSpan w:val="2"/>
            <w:tcBorders>
              <w:top w:val="nil"/>
              <w:left w:val="nil"/>
              <w:bottom w:val="nil"/>
              <w:right w:val="nil"/>
            </w:tcBorders>
            <w:shd w:val="clear" w:color="auto" w:fill="auto"/>
            <w:vAlign w:val="center"/>
          </w:tcPr>
          <w:p w14:paraId="4446B538" w14:textId="77777777" w:rsidR="004D255E" w:rsidRPr="00BF2AAF" w:rsidRDefault="004D255E" w:rsidP="004D255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307" w:type="dxa"/>
            <w:gridSpan w:val="2"/>
            <w:tcBorders>
              <w:top w:val="nil"/>
              <w:left w:val="nil"/>
              <w:bottom w:val="nil"/>
              <w:right w:val="nil"/>
            </w:tcBorders>
            <w:shd w:val="clear" w:color="auto" w:fill="auto"/>
            <w:vAlign w:val="center"/>
          </w:tcPr>
          <w:p w14:paraId="67A2F1D8" w14:textId="62F82EB0" w:rsidR="004D255E" w:rsidRPr="00BF2AAF" w:rsidRDefault="004D255E" w:rsidP="004D255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(107.498)</w:t>
            </w:r>
          </w:p>
        </w:tc>
        <w:tc>
          <w:tcPr>
            <w:tcW w:w="1428" w:type="dxa"/>
            <w:tcBorders>
              <w:top w:val="nil"/>
              <w:left w:val="nil"/>
              <w:bottom w:val="nil"/>
              <w:right w:val="nil"/>
            </w:tcBorders>
            <w:shd w:val="clear" w:color="auto" w:fill="auto"/>
            <w:vAlign w:val="center"/>
          </w:tcPr>
          <w:p w14:paraId="7124D6C3" w14:textId="4D8E345F" w:rsidR="004D255E" w:rsidRPr="00BF2AAF" w:rsidRDefault="004D255E" w:rsidP="004D255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sidRPr="00BF2AAF">
              <w:rPr>
                <w:rFonts w:ascii="Arial" w:hAnsi="Arial" w:cs="Arial"/>
                <w:color w:val="000000"/>
                <w:sz w:val="14"/>
                <w:szCs w:val="14"/>
              </w:rPr>
              <w:t>(88.554)</w:t>
            </w:r>
          </w:p>
        </w:tc>
      </w:tr>
      <w:tr w:rsidR="004D255E" w:rsidRPr="00BF2AAF" w14:paraId="546641E7" w14:textId="77777777" w:rsidTr="009F514E">
        <w:trPr>
          <w:gridAfter w:val="1"/>
          <w:cnfStyle w:val="000000010000" w:firstRow="0" w:lastRow="0" w:firstColumn="0" w:lastColumn="0" w:oddVBand="0" w:evenVBand="0" w:oddHBand="0" w:evenHBand="1" w:firstRowFirstColumn="0" w:firstRowLastColumn="0" w:lastRowFirstColumn="0" w:lastRowLastColumn="0"/>
          <w:wAfter w:w="46" w:type="dxa"/>
          <w:trHeight w:val="238"/>
          <w:jc w:val="center"/>
        </w:trPr>
        <w:tc>
          <w:tcPr>
            <w:cnfStyle w:val="001000000000" w:firstRow="0" w:lastRow="0" w:firstColumn="1" w:lastColumn="0" w:oddVBand="0" w:evenVBand="0" w:oddHBand="0" w:evenHBand="0" w:firstRowFirstColumn="0" w:firstRowLastColumn="0" w:lastRowFirstColumn="0" w:lastRowLastColumn="0"/>
            <w:tcW w:w="2857" w:type="dxa"/>
            <w:gridSpan w:val="2"/>
            <w:tcBorders>
              <w:top w:val="nil"/>
              <w:left w:val="nil"/>
              <w:bottom w:val="nil"/>
              <w:right w:val="nil"/>
            </w:tcBorders>
            <w:shd w:val="clear" w:color="auto" w:fill="auto"/>
            <w:vAlign w:val="center"/>
            <w:hideMark/>
          </w:tcPr>
          <w:p w14:paraId="70662B7F" w14:textId="77777777" w:rsidR="004D255E" w:rsidRPr="00BF2AAF" w:rsidRDefault="004D255E" w:rsidP="004D255E">
            <w:pPr>
              <w:keepNext/>
              <w:keepLines/>
              <w:spacing w:before="40" w:after="40"/>
              <w:ind w:left="113"/>
              <w:rPr>
                <w:rFonts w:ascii="Arial" w:eastAsia="Times New Roman" w:hAnsi="Arial" w:cs="Arial"/>
                <w:spacing w:val="-2"/>
                <w:sz w:val="14"/>
                <w:szCs w:val="14"/>
                <w:lang w:eastAsia="pt-BR"/>
              </w:rPr>
            </w:pPr>
            <w:r w:rsidRPr="00BF2AAF">
              <w:rPr>
                <w:rFonts w:ascii="Arial" w:eastAsia="Times New Roman" w:hAnsi="Arial" w:cs="Arial"/>
                <w:b w:val="0"/>
                <w:bCs w:val="0"/>
                <w:spacing w:val="-2"/>
                <w:sz w:val="14"/>
                <w:szCs w:val="14"/>
                <w:lang w:eastAsia="pt-BR"/>
              </w:rPr>
              <w:t>Despesas tributárias</w:t>
            </w:r>
          </w:p>
        </w:tc>
        <w:tc>
          <w:tcPr>
            <w:tcW w:w="957" w:type="dxa"/>
            <w:tcBorders>
              <w:top w:val="nil"/>
              <w:left w:val="nil"/>
              <w:bottom w:val="nil"/>
              <w:right w:val="nil"/>
            </w:tcBorders>
            <w:shd w:val="clear" w:color="auto" w:fill="auto"/>
            <w:vAlign w:val="center"/>
            <w:hideMark/>
          </w:tcPr>
          <w:p w14:paraId="1A9FAD43" w14:textId="77777777" w:rsidR="004D255E" w:rsidRPr="00BF2AAF" w:rsidRDefault="004D255E" w:rsidP="004D255E">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sidRPr="00BF2AAF">
              <w:rPr>
                <w:rFonts w:ascii="Arial" w:eastAsia="Times New Roman" w:hAnsi="Arial" w:cs="Arial"/>
                <w:spacing w:val="-2"/>
                <w:sz w:val="14"/>
                <w:szCs w:val="14"/>
                <w:lang w:eastAsia="pt-BR"/>
              </w:rPr>
              <w:t>[12.c]</w:t>
            </w:r>
          </w:p>
        </w:tc>
        <w:tc>
          <w:tcPr>
            <w:tcW w:w="1328" w:type="dxa"/>
            <w:gridSpan w:val="2"/>
            <w:tcBorders>
              <w:top w:val="nil"/>
              <w:left w:val="nil"/>
              <w:bottom w:val="nil"/>
              <w:right w:val="nil"/>
            </w:tcBorders>
            <w:shd w:val="clear" w:color="auto" w:fill="auto"/>
            <w:vAlign w:val="center"/>
          </w:tcPr>
          <w:p w14:paraId="7AC69C35" w14:textId="137B9F2F" w:rsidR="004D255E" w:rsidRPr="00BF2AAF" w:rsidRDefault="004D255E" w:rsidP="004D255E">
            <w:pPr>
              <w:keepNext/>
              <w:keepLines/>
              <w:spacing w:before="40" w:after="40"/>
              <w:ind w:right="52"/>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(4.562)</w:t>
            </w:r>
          </w:p>
        </w:tc>
        <w:tc>
          <w:tcPr>
            <w:tcW w:w="1426" w:type="dxa"/>
            <w:gridSpan w:val="3"/>
            <w:tcBorders>
              <w:top w:val="nil"/>
              <w:left w:val="nil"/>
              <w:bottom w:val="nil"/>
              <w:right w:val="nil"/>
            </w:tcBorders>
            <w:shd w:val="clear" w:color="auto" w:fill="auto"/>
            <w:vAlign w:val="center"/>
          </w:tcPr>
          <w:p w14:paraId="3063984A" w14:textId="3CBC11D3" w:rsidR="004D255E" w:rsidRPr="00BF2AAF" w:rsidRDefault="004D255E" w:rsidP="004D255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sidRPr="00BF2AAF">
              <w:rPr>
                <w:rFonts w:ascii="Arial" w:hAnsi="Arial" w:cs="Arial"/>
                <w:color w:val="000000"/>
                <w:sz w:val="14"/>
                <w:szCs w:val="14"/>
              </w:rPr>
              <w:t>(6.798)</w:t>
            </w:r>
          </w:p>
        </w:tc>
        <w:tc>
          <w:tcPr>
            <w:tcW w:w="290" w:type="dxa"/>
            <w:gridSpan w:val="2"/>
            <w:tcBorders>
              <w:top w:val="nil"/>
              <w:left w:val="nil"/>
              <w:bottom w:val="nil"/>
              <w:right w:val="nil"/>
            </w:tcBorders>
            <w:shd w:val="clear" w:color="auto" w:fill="auto"/>
            <w:vAlign w:val="center"/>
          </w:tcPr>
          <w:p w14:paraId="77D60C3F" w14:textId="77777777" w:rsidR="004D255E" w:rsidRPr="00BF2AAF" w:rsidRDefault="004D255E" w:rsidP="004D255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307" w:type="dxa"/>
            <w:gridSpan w:val="2"/>
            <w:tcBorders>
              <w:top w:val="nil"/>
              <w:left w:val="nil"/>
              <w:bottom w:val="nil"/>
              <w:right w:val="nil"/>
            </w:tcBorders>
            <w:shd w:val="clear" w:color="auto" w:fill="auto"/>
            <w:vAlign w:val="center"/>
          </w:tcPr>
          <w:p w14:paraId="69A0C405" w14:textId="6623F40C" w:rsidR="004D255E" w:rsidRPr="00BF2AAF" w:rsidRDefault="004D255E" w:rsidP="004D255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(34.373)</w:t>
            </w:r>
          </w:p>
        </w:tc>
        <w:tc>
          <w:tcPr>
            <w:tcW w:w="1428" w:type="dxa"/>
            <w:tcBorders>
              <w:top w:val="nil"/>
              <w:left w:val="nil"/>
              <w:bottom w:val="nil"/>
              <w:right w:val="nil"/>
            </w:tcBorders>
            <w:shd w:val="clear" w:color="auto" w:fill="auto"/>
            <w:vAlign w:val="center"/>
          </w:tcPr>
          <w:p w14:paraId="578CECD3" w14:textId="637BFA0D" w:rsidR="004D255E" w:rsidRPr="00BF2AAF" w:rsidRDefault="004D255E" w:rsidP="004D255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sidRPr="00BF2AAF">
              <w:rPr>
                <w:rFonts w:ascii="Arial" w:hAnsi="Arial" w:cs="Arial"/>
                <w:color w:val="000000"/>
                <w:sz w:val="14"/>
                <w:szCs w:val="14"/>
              </w:rPr>
              <w:t>(35.684)</w:t>
            </w:r>
          </w:p>
        </w:tc>
      </w:tr>
      <w:tr w:rsidR="00876A81" w:rsidRPr="00BF2AAF" w14:paraId="0991893F" w14:textId="77777777" w:rsidTr="00491785">
        <w:trPr>
          <w:gridAfter w:val="1"/>
          <w:cnfStyle w:val="000000100000" w:firstRow="0" w:lastRow="0" w:firstColumn="0" w:lastColumn="0" w:oddVBand="0" w:evenVBand="0" w:oddHBand="1" w:evenHBand="0" w:firstRowFirstColumn="0" w:firstRowLastColumn="0" w:lastRowFirstColumn="0" w:lastRowLastColumn="0"/>
          <w:wAfter w:w="46" w:type="dxa"/>
          <w:trHeight w:val="238"/>
          <w:jc w:val="center"/>
        </w:trPr>
        <w:tc>
          <w:tcPr>
            <w:cnfStyle w:val="001000000000" w:firstRow="0" w:lastRow="0" w:firstColumn="1" w:lastColumn="0" w:oddVBand="0" w:evenVBand="0" w:oddHBand="0" w:evenHBand="0" w:firstRowFirstColumn="0" w:firstRowLastColumn="0" w:lastRowFirstColumn="0" w:lastRowLastColumn="0"/>
            <w:tcW w:w="2857" w:type="dxa"/>
            <w:gridSpan w:val="2"/>
            <w:tcBorders>
              <w:top w:val="nil"/>
              <w:left w:val="nil"/>
              <w:bottom w:val="nil"/>
              <w:right w:val="nil"/>
            </w:tcBorders>
            <w:shd w:val="clear" w:color="auto" w:fill="auto"/>
            <w:vAlign w:val="center"/>
          </w:tcPr>
          <w:p w14:paraId="58B90347" w14:textId="0193CADB" w:rsidR="00876A81" w:rsidRPr="00BF2AAF" w:rsidRDefault="00876A81" w:rsidP="00876A81">
            <w:pPr>
              <w:keepNext/>
              <w:keepLines/>
              <w:spacing w:before="40" w:after="40"/>
              <w:ind w:left="113"/>
              <w:rPr>
                <w:rFonts w:ascii="Arial" w:eastAsia="Times New Roman" w:hAnsi="Arial" w:cs="Arial"/>
                <w:spacing w:val="-2"/>
                <w:sz w:val="14"/>
                <w:szCs w:val="14"/>
                <w:lang w:eastAsia="pt-BR"/>
              </w:rPr>
            </w:pPr>
            <w:r w:rsidRPr="009E076A">
              <w:rPr>
                <w:rFonts w:ascii="Arial" w:eastAsia="Times New Roman" w:hAnsi="Arial" w:cs="Arial"/>
                <w:b w:val="0"/>
                <w:bCs w:val="0"/>
                <w:spacing w:val="-2"/>
                <w:sz w:val="14"/>
                <w:szCs w:val="14"/>
                <w:lang w:eastAsia="pt-BR"/>
              </w:rPr>
              <w:t>Outras receitas operacionais</w:t>
            </w:r>
          </w:p>
        </w:tc>
        <w:tc>
          <w:tcPr>
            <w:tcW w:w="957" w:type="dxa"/>
            <w:tcBorders>
              <w:top w:val="nil"/>
              <w:left w:val="nil"/>
              <w:bottom w:val="nil"/>
              <w:right w:val="nil"/>
            </w:tcBorders>
            <w:shd w:val="clear" w:color="auto" w:fill="auto"/>
            <w:vAlign w:val="center"/>
          </w:tcPr>
          <w:p w14:paraId="4CBF9AED" w14:textId="4818C8EF" w:rsidR="00876A81" w:rsidRPr="00BF2AAF" w:rsidRDefault="00876A81" w:rsidP="00876A8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[13]</w:t>
            </w:r>
          </w:p>
        </w:tc>
        <w:tc>
          <w:tcPr>
            <w:tcW w:w="1328" w:type="dxa"/>
            <w:gridSpan w:val="2"/>
            <w:tcBorders>
              <w:top w:val="nil"/>
              <w:left w:val="nil"/>
              <w:bottom w:val="nil"/>
              <w:right w:val="nil"/>
            </w:tcBorders>
            <w:shd w:val="clear" w:color="auto" w:fill="auto"/>
            <w:vAlign w:val="center"/>
          </w:tcPr>
          <w:p w14:paraId="6DA751A8" w14:textId="2C3A650E" w:rsidR="00876A81" w:rsidRPr="00BF2AAF" w:rsidRDefault="00876A81" w:rsidP="00876A81">
            <w:pPr>
              <w:keepNext/>
              <w:keepLines/>
              <w:spacing w:before="40" w:after="40"/>
              <w:ind w:right="52"/>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3.889</w:t>
            </w:r>
          </w:p>
        </w:tc>
        <w:tc>
          <w:tcPr>
            <w:tcW w:w="1426" w:type="dxa"/>
            <w:gridSpan w:val="3"/>
            <w:tcBorders>
              <w:top w:val="nil"/>
              <w:left w:val="nil"/>
              <w:bottom w:val="nil"/>
              <w:right w:val="nil"/>
            </w:tcBorders>
            <w:shd w:val="clear" w:color="auto" w:fill="auto"/>
            <w:vAlign w:val="center"/>
          </w:tcPr>
          <w:p w14:paraId="46F498E2" w14:textId="3EBFCF9D" w:rsidR="00876A81" w:rsidRPr="00BF2AAF" w:rsidRDefault="00876A81" w:rsidP="00876A8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color w:val="000000"/>
                <w:sz w:val="14"/>
                <w:szCs w:val="14"/>
              </w:rPr>
              <w:t>6.237</w:t>
            </w:r>
          </w:p>
        </w:tc>
        <w:tc>
          <w:tcPr>
            <w:tcW w:w="290" w:type="dxa"/>
            <w:gridSpan w:val="2"/>
            <w:tcBorders>
              <w:top w:val="nil"/>
              <w:left w:val="nil"/>
              <w:bottom w:val="nil"/>
              <w:right w:val="nil"/>
            </w:tcBorders>
            <w:shd w:val="clear" w:color="auto" w:fill="auto"/>
            <w:vAlign w:val="center"/>
          </w:tcPr>
          <w:p w14:paraId="309A03DF" w14:textId="77777777" w:rsidR="00876A81" w:rsidRPr="00BF2AAF" w:rsidRDefault="00876A81" w:rsidP="00876A8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307" w:type="dxa"/>
            <w:gridSpan w:val="2"/>
            <w:tcBorders>
              <w:top w:val="nil"/>
              <w:left w:val="nil"/>
              <w:bottom w:val="nil"/>
              <w:right w:val="nil"/>
            </w:tcBorders>
            <w:shd w:val="clear" w:color="auto" w:fill="auto"/>
            <w:vAlign w:val="center"/>
          </w:tcPr>
          <w:p w14:paraId="1F935FD3" w14:textId="2E73F6F9" w:rsidR="00876A81" w:rsidRPr="00BF2AAF" w:rsidRDefault="00876A81" w:rsidP="00876A8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20.350</w:t>
            </w:r>
          </w:p>
        </w:tc>
        <w:tc>
          <w:tcPr>
            <w:tcW w:w="1428" w:type="dxa"/>
            <w:tcBorders>
              <w:top w:val="nil"/>
              <w:left w:val="nil"/>
              <w:bottom w:val="nil"/>
              <w:right w:val="nil"/>
            </w:tcBorders>
            <w:shd w:val="clear" w:color="auto" w:fill="auto"/>
            <w:vAlign w:val="center"/>
          </w:tcPr>
          <w:p w14:paraId="73CFE503" w14:textId="639510AE" w:rsidR="00876A81" w:rsidRPr="00BF2AAF" w:rsidRDefault="00876A81" w:rsidP="00876A8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Pr>
                <w:rFonts w:ascii="Arial" w:hAnsi="Arial" w:cs="Arial"/>
                <w:color w:val="000000"/>
                <w:sz w:val="14"/>
                <w:szCs w:val="14"/>
              </w:rPr>
              <w:t>16.226</w:t>
            </w:r>
          </w:p>
        </w:tc>
      </w:tr>
      <w:tr w:rsidR="00876A81" w:rsidRPr="00BF2AAF" w14:paraId="495EC57A" w14:textId="77777777" w:rsidTr="009F514E">
        <w:trPr>
          <w:gridAfter w:val="1"/>
          <w:cnfStyle w:val="000000010000" w:firstRow="0" w:lastRow="0" w:firstColumn="0" w:lastColumn="0" w:oddVBand="0" w:evenVBand="0" w:oddHBand="0" w:evenHBand="1" w:firstRowFirstColumn="0" w:firstRowLastColumn="0" w:lastRowFirstColumn="0" w:lastRowLastColumn="0"/>
          <w:wAfter w:w="46" w:type="dxa"/>
          <w:trHeight w:val="238"/>
          <w:jc w:val="center"/>
        </w:trPr>
        <w:tc>
          <w:tcPr>
            <w:cnfStyle w:val="001000000000" w:firstRow="0" w:lastRow="0" w:firstColumn="1" w:lastColumn="0" w:oddVBand="0" w:evenVBand="0" w:oddHBand="0" w:evenHBand="0" w:firstRowFirstColumn="0" w:firstRowLastColumn="0" w:lastRowFirstColumn="0" w:lastRowLastColumn="0"/>
            <w:tcW w:w="2857" w:type="dxa"/>
            <w:gridSpan w:val="2"/>
            <w:tcBorders>
              <w:top w:val="nil"/>
              <w:left w:val="nil"/>
              <w:bottom w:val="nil"/>
              <w:right w:val="nil"/>
            </w:tcBorders>
            <w:shd w:val="clear" w:color="auto" w:fill="auto"/>
            <w:vAlign w:val="center"/>
            <w:hideMark/>
          </w:tcPr>
          <w:p w14:paraId="71FB204B" w14:textId="2AADF3B8" w:rsidR="00876A81" w:rsidRPr="00BF2AAF" w:rsidRDefault="00876A81" w:rsidP="00876A81">
            <w:pPr>
              <w:keepNext/>
              <w:keepLines/>
              <w:spacing w:before="40" w:after="40"/>
              <w:ind w:left="113"/>
              <w:rPr>
                <w:rFonts w:ascii="Arial" w:eastAsia="Times New Roman" w:hAnsi="Arial" w:cs="Arial"/>
                <w:spacing w:val="-2"/>
                <w:sz w:val="14"/>
                <w:szCs w:val="14"/>
                <w:lang w:eastAsia="pt-BR"/>
              </w:rPr>
            </w:pPr>
            <w:r w:rsidRPr="009E076A">
              <w:rPr>
                <w:rFonts w:ascii="Arial" w:eastAsia="Times New Roman" w:hAnsi="Arial" w:cs="Arial"/>
                <w:b w:val="0"/>
                <w:bCs w:val="0"/>
                <w:spacing w:val="-2"/>
                <w:sz w:val="14"/>
                <w:szCs w:val="14"/>
                <w:lang w:eastAsia="pt-BR"/>
              </w:rPr>
              <w:t>Outras despesas operacionais</w:t>
            </w:r>
          </w:p>
        </w:tc>
        <w:tc>
          <w:tcPr>
            <w:tcW w:w="957" w:type="dxa"/>
            <w:tcBorders>
              <w:top w:val="nil"/>
              <w:left w:val="nil"/>
              <w:bottom w:val="nil"/>
              <w:right w:val="nil"/>
            </w:tcBorders>
            <w:shd w:val="clear" w:color="auto" w:fill="auto"/>
            <w:vAlign w:val="center"/>
            <w:hideMark/>
          </w:tcPr>
          <w:p w14:paraId="4A12D43B" w14:textId="77777777" w:rsidR="00876A81" w:rsidRPr="00BF2AAF" w:rsidRDefault="00876A81" w:rsidP="00876A8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sidRPr="00BF2AAF">
              <w:rPr>
                <w:rFonts w:ascii="Arial" w:eastAsia="Times New Roman" w:hAnsi="Arial" w:cs="Arial"/>
                <w:spacing w:val="-2"/>
                <w:sz w:val="14"/>
                <w:szCs w:val="14"/>
                <w:lang w:eastAsia="pt-BR"/>
              </w:rPr>
              <w:t>[13]</w:t>
            </w:r>
          </w:p>
        </w:tc>
        <w:tc>
          <w:tcPr>
            <w:tcW w:w="1328" w:type="dxa"/>
            <w:gridSpan w:val="2"/>
            <w:tcBorders>
              <w:top w:val="nil"/>
              <w:left w:val="nil"/>
              <w:bottom w:val="nil"/>
              <w:right w:val="nil"/>
            </w:tcBorders>
            <w:shd w:val="clear" w:color="auto" w:fill="auto"/>
            <w:vAlign w:val="center"/>
          </w:tcPr>
          <w:p w14:paraId="4F64C65B" w14:textId="5743A7E5" w:rsidR="00876A81" w:rsidRPr="00BF2AAF" w:rsidRDefault="00876A81" w:rsidP="00876A81">
            <w:pPr>
              <w:keepNext/>
              <w:keepLines/>
              <w:spacing w:before="40" w:after="40"/>
              <w:ind w:right="52"/>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(2.556)</w:t>
            </w:r>
          </w:p>
        </w:tc>
        <w:tc>
          <w:tcPr>
            <w:tcW w:w="1426" w:type="dxa"/>
            <w:gridSpan w:val="3"/>
            <w:tcBorders>
              <w:top w:val="nil"/>
              <w:left w:val="nil"/>
              <w:bottom w:val="nil"/>
              <w:right w:val="nil"/>
            </w:tcBorders>
            <w:shd w:val="clear" w:color="auto" w:fill="auto"/>
            <w:vAlign w:val="center"/>
          </w:tcPr>
          <w:p w14:paraId="681A729D" w14:textId="5F8CA182" w:rsidR="00876A81" w:rsidRPr="00BF2AAF" w:rsidRDefault="00876A81" w:rsidP="00876A8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Pr>
                <w:rFonts w:ascii="Arial" w:hAnsi="Arial" w:cs="Arial"/>
                <w:color w:val="000000"/>
                <w:sz w:val="14"/>
                <w:szCs w:val="14"/>
              </w:rPr>
              <w:t>(838)</w:t>
            </w:r>
          </w:p>
        </w:tc>
        <w:tc>
          <w:tcPr>
            <w:tcW w:w="290" w:type="dxa"/>
            <w:gridSpan w:val="2"/>
            <w:tcBorders>
              <w:top w:val="nil"/>
              <w:left w:val="nil"/>
              <w:bottom w:val="nil"/>
              <w:right w:val="nil"/>
            </w:tcBorders>
            <w:shd w:val="clear" w:color="auto" w:fill="auto"/>
            <w:vAlign w:val="center"/>
          </w:tcPr>
          <w:p w14:paraId="59ABDDE8" w14:textId="77777777" w:rsidR="00876A81" w:rsidRPr="00BF2AAF" w:rsidRDefault="00876A81" w:rsidP="00876A8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307" w:type="dxa"/>
            <w:gridSpan w:val="2"/>
            <w:tcBorders>
              <w:top w:val="nil"/>
              <w:left w:val="nil"/>
              <w:bottom w:val="nil"/>
              <w:right w:val="nil"/>
            </w:tcBorders>
            <w:shd w:val="clear" w:color="auto" w:fill="auto"/>
            <w:vAlign w:val="center"/>
          </w:tcPr>
          <w:p w14:paraId="316CE433" w14:textId="31D66921" w:rsidR="00876A81" w:rsidRPr="00BF2AAF" w:rsidRDefault="00876A81" w:rsidP="00876A8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(39.365)</w:t>
            </w:r>
          </w:p>
        </w:tc>
        <w:tc>
          <w:tcPr>
            <w:tcW w:w="1428" w:type="dxa"/>
            <w:tcBorders>
              <w:top w:val="nil"/>
              <w:left w:val="nil"/>
              <w:bottom w:val="nil"/>
              <w:right w:val="nil"/>
            </w:tcBorders>
            <w:shd w:val="clear" w:color="auto" w:fill="auto"/>
            <w:vAlign w:val="center"/>
          </w:tcPr>
          <w:p w14:paraId="397B46FA" w14:textId="68ADCBF5" w:rsidR="00876A81" w:rsidRPr="00BF2AAF" w:rsidRDefault="00876A81" w:rsidP="00876A8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Pr>
                <w:rFonts w:ascii="Arial" w:hAnsi="Arial" w:cs="Arial"/>
                <w:color w:val="000000"/>
                <w:sz w:val="14"/>
                <w:szCs w:val="14"/>
              </w:rPr>
              <w:t>(26.167)</w:t>
            </w:r>
          </w:p>
        </w:tc>
      </w:tr>
      <w:tr w:rsidR="00EA14DA" w:rsidRPr="00BF2AAF" w14:paraId="6FB86C9B" w14:textId="77777777" w:rsidTr="009F514E">
        <w:trPr>
          <w:gridAfter w:val="1"/>
          <w:cnfStyle w:val="000000100000" w:firstRow="0" w:lastRow="0" w:firstColumn="0" w:lastColumn="0" w:oddVBand="0" w:evenVBand="0" w:oddHBand="1" w:evenHBand="0" w:firstRowFirstColumn="0" w:firstRowLastColumn="0" w:lastRowFirstColumn="0" w:lastRowLastColumn="0"/>
          <w:wAfter w:w="46" w:type="dxa"/>
          <w:trHeight w:val="238"/>
          <w:jc w:val="center"/>
        </w:trPr>
        <w:tc>
          <w:tcPr>
            <w:cnfStyle w:val="001000000000" w:firstRow="0" w:lastRow="0" w:firstColumn="1" w:lastColumn="0" w:oddVBand="0" w:evenVBand="0" w:oddHBand="0" w:evenHBand="0" w:firstRowFirstColumn="0" w:firstRowLastColumn="0" w:lastRowFirstColumn="0" w:lastRowLastColumn="0"/>
            <w:tcW w:w="2857" w:type="dxa"/>
            <w:gridSpan w:val="2"/>
            <w:tcBorders>
              <w:top w:val="nil"/>
              <w:left w:val="nil"/>
              <w:bottom w:val="nil"/>
              <w:right w:val="nil"/>
            </w:tcBorders>
            <w:shd w:val="clear" w:color="auto" w:fill="auto"/>
            <w:vAlign w:val="center"/>
            <w:hideMark/>
          </w:tcPr>
          <w:p w14:paraId="53CABF4C" w14:textId="77777777" w:rsidR="00EA14DA" w:rsidRPr="00BF2AAF" w:rsidRDefault="00EA14DA" w:rsidP="00EA14DA">
            <w:pPr>
              <w:keepNext/>
              <w:keepLines/>
              <w:spacing w:before="40" w:after="4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Resultado Antes das Receitas e Despesas Financeiras</w:t>
            </w:r>
          </w:p>
        </w:tc>
        <w:tc>
          <w:tcPr>
            <w:tcW w:w="957" w:type="dxa"/>
            <w:tcBorders>
              <w:top w:val="nil"/>
              <w:left w:val="nil"/>
              <w:bottom w:val="nil"/>
              <w:right w:val="nil"/>
            </w:tcBorders>
            <w:shd w:val="clear" w:color="auto" w:fill="auto"/>
            <w:vAlign w:val="center"/>
          </w:tcPr>
          <w:p w14:paraId="2419A89E" w14:textId="77777777" w:rsidR="00EA14DA" w:rsidRPr="00BF2AAF" w:rsidRDefault="00EA14DA" w:rsidP="00EA14DA">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p>
        </w:tc>
        <w:tc>
          <w:tcPr>
            <w:tcW w:w="1328" w:type="dxa"/>
            <w:gridSpan w:val="2"/>
            <w:tcBorders>
              <w:top w:val="nil"/>
              <w:left w:val="nil"/>
              <w:bottom w:val="nil"/>
              <w:right w:val="nil"/>
            </w:tcBorders>
            <w:shd w:val="clear" w:color="auto" w:fill="auto"/>
            <w:vAlign w:val="center"/>
          </w:tcPr>
          <w:p w14:paraId="07667F5B" w14:textId="32E9263B" w:rsidR="00EA14DA" w:rsidRPr="00BF2AAF" w:rsidRDefault="00EA14DA" w:rsidP="00EA14DA">
            <w:pPr>
              <w:keepNext/>
              <w:keepLines/>
              <w:spacing w:before="40" w:after="40"/>
              <w:ind w:right="52"/>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hAnsi="Arial" w:cs="Arial"/>
                <w:b/>
                <w:bCs/>
                <w:color w:val="000000"/>
                <w:sz w:val="14"/>
                <w:szCs w:val="14"/>
              </w:rPr>
              <w:t>8.664.845</w:t>
            </w:r>
          </w:p>
        </w:tc>
        <w:tc>
          <w:tcPr>
            <w:tcW w:w="1426" w:type="dxa"/>
            <w:gridSpan w:val="3"/>
            <w:tcBorders>
              <w:top w:val="nil"/>
              <w:left w:val="nil"/>
              <w:bottom w:val="nil"/>
              <w:right w:val="nil"/>
            </w:tcBorders>
            <w:shd w:val="clear" w:color="auto" w:fill="auto"/>
            <w:vAlign w:val="center"/>
          </w:tcPr>
          <w:p w14:paraId="02308441" w14:textId="4C41F974" w:rsidR="00EA14DA" w:rsidRPr="00BF2AAF" w:rsidRDefault="00EA14DA" w:rsidP="00EA14D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sidRPr="00BF2AAF">
              <w:rPr>
                <w:rFonts w:ascii="Arial" w:hAnsi="Arial" w:cs="Arial"/>
                <w:b/>
                <w:bCs/>
                <w:color w:val="000000"/>
                <w:sz w:val="14"/>
                <w:szCs w:val="14"/>
              </w:rPr>
              <w:t>7.907.785</w:t>
            </w:r>
          </w:p>
        </w:tc>
        <w:tc>
          <w:tcPr>
            <w:tcW w:w="290" w:type="dxa"/>
            <w:gridSpan w:val="2"/>
            <w:tcBorders>
              <w:top w:val="nil"/>
              <w:left w:val="nil"/>
              <w:bottom w:val="nil"/>
              <w:right w:val="nil"/>
            </w:tcBorders>
            <w:shd w:val="clear" w:color="auto" w:fill="auto"/>
            <w:vAlign w:val="center"/>
          </w:tcPr>
          <w:p w14:paraId="1A4E5BF3" w14:textId="77777777" w:rsidR="00EA14DA" w:rsidRPr="00BF2AAF" w:rsidRDefault="00EA14DA" w:rsidP="00EA14D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307" w:type="dxa"/>
            <w:gridSpan w:val="2"/>
            <w:tcBorders>
              <w:top w:val="nil"/>
              <w:left w:val="nil"/>
              <w:bottom w:val="nil"/>
              <w:right w:val="nil"/>
            </w:tcBorders>
            <w:shd w:val="clear" w:color="auto" w:fill="auto"/>
            <w:vAlign w:val="center"/>
          </w:tcPr>
          <w:p w14:paraId="4B2A44CF" w14:textId="1DDC987E" w:rsidR="00EA14DA" w:rsidRPr="00BF2AAF" w:rsidRDefault="00EA14DA" w:rsidP="00EA14D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hAnsi="Arial" w:cs="Arial"/>
                <w:b/>
                <w:bCs/>
                <w:color w:val="000000"/>
                <w:sz w:val="14"/>
                <w:szCs w:val="14"/>
              </w:rPr>
              <w:t>9.757.267</w:t>
            </w:r>
          </w:p>
        </w:tc>
        <w:tc>
          <w:tcPr>
            <w:tcW w:w="1428" w:type="dxa"/>
            <w:tcBorders>
              <w:top w:val="nil"/>
              <w:left w:val="nil"/>
              <w:bottom w:val="nil"/>
              <w:right w:val="nil"/>
            </w:tcBorders>
            <w:shd w:val="clear" w:color="auto" w:fill="auto"/>
            <w:vAlign w:val="center"/>
          </w:tcPr>
          <w:p w14:paraId="2F9E8747" w14:textId="4C0CE7FA" w:rsidR="00EA14DA" w:rsidRPr="00BF2AAF" w:rsidRDefault="00EA14DA" w:rsidP="00EA14D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sidRPr="00BF2AAF">
              <w:rPr>
                <w:rFonts w:ascii="Arial" w:hAnsi="Arial" w:cs="Arial"/>
                <w:b/>
                <w:bCs/>
                <w:color w:val="000000"/>
                <w:sz w:val="14"/>
                <w:szCs w:val="14"/>
              </w:rPr>
              <w:t>8.905.767</w:t>
            </w:r>
          </w:p>
        </w:tc>
      </w:tr>
      <w:tr w:rsidR="00EA14DA" w:rsidRPr="00BF2AAF" w14:paraId="6AFBA9EB" w14:textId="77777777" w:rsidTr="009F514E">
        <w:trPr>
          <w:gridAfter w:val="1"/>
          <w:cnfStyle w:val="000000010000" w:firstRow="0" w:lastRow="0" w:firstColumn="0" w:lastColumn="0" w:oddVBand="0" w:evenVBand="0" w:oddHBand="0" w:evenHBand="1" w:firstRowFirstColumn="0" w:firstRowLastColumn="0" w:lastRowFirstColumn="0" w:lastRowLastColumn="0"/>
          <w:wAfter w:w="46" w:type="dxa"/>
          <w:trHeight w:val="238"/>
          <w:jc w:val="center"/>
        </w:trPr>
        <w:tc>
          <w:tcPr>
            <w:cnfStyle w:val="001000000000" w:firstRow="0" w:lastRow="0" w:firstColumn="1" w:lastColumn="0" w:oddVBand="0" w:evenVBand="0" w:oddHBand="0" w:evenHBand="0" w:firstRowFirstColumn="0" w:firstRowLastColumn="0" w:lastRowFirstColumn="0" w:lastRowLastColumn="0"/>
            <w:tcW w:w="2857" w:type="dxa"/>
            <w:gridSpan w:val="2"/>
            <w:tcBorders>
              <w:top w:val="nil"/>
              <w:left w:val="nil"/>
              <w:bottom w:val="nil"/>
              <w:right w:val="nil"/>
            </w:tcBorders>
            <w:shd w:val="clear" w:color="auto" w:fill="auto"/>
            <w:vAlign w:val="center"/>
            <w:hideMark/>
          </w:tcPr>
          <w:p w14:paraId="112B70E5" w14:textId="77777777" w:rsidR="00EA14DA" w:rsidRPr="00BF2AAF" w:rsidRDefault="00EA14DA" w:rsidP="00EA14DA">
            <w:pPr>
              <w:keepNext/>
              <w:keepLines/>
              <w:spacing w:before="40" w:after="4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Resultado Financeiro</w:t>
            </w:r>
          </w:p>
        </w:tc>
        <w:tc>
          <w:tcPr>
            <w:tcW w:w="957" w:type="dxa"/>
            <w:tcBorders>
              <w:top w:val="nil"/>
              <w:left w:val="nil"/>
              <w:bottom w:val="nil"/>
              <w:right w:val="nil"/>
            </w:tcBorders>
            <w:shd w:val="clear" w:color="auto" w:fill="auto"/>
            <w:vAlign w:val="center"/>
            <w:hideMark/>
          </w:tcPr>
          <w:p w14:paraId="4A96BAF6" w14:textId="77777777" w:rsidR="00EA14DA" w:rsidRPr="00BF2AAF" w:rsidRDefault="00EA14DA" w:rsidP="00EA14D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sidRPr="00BF2AAF">
              <w:rPr>
                <w:rFonts w:ascii="Arial" w:eastAsia="Times New Roman" w:hAnsi="Arial" w:cs="Arial"/>
                <w:b/>
                <w:bCs/>
                <w:spacing w:val="-2"/>
                <w:sz w:val="14"/>
                <w:szCs w:val="14"/>
                <w:lang w:eastAsia="pt-BR"/>
              </w:rPr>
              <w:t>[14]</w:t>
            </w:r>
          </w:p>
        </w:tc>
        <w:tc>
          <w:tcPr>
            <w:tcW w:w="1328" w:type="dxa"/>
            <w:gridSpan w:val="2"/>
            <w:tcBorders>
              <w:top w:val="nil"/>
              <w:left w:val="nil"/>
              <w:bottom w:val="nil"/>
              <w:right w:val="nil"/>
            </w:tcBorders>
            <w:shd w:val="clear" w:color="auto" w:fill="auto"/>
            <w:vAlign w:val="center"/>
          </w:tcPr>
          <w:p w14:paraId="138F4AEF" w14:textId="356C7096" w:rsidR="00EA14DA" w:rsidRPr="00BF2AAF" w:rsidRDefault="00EA14DA" w:rsidP="00EA14DA">
            <w:pPr>
              <w:keepNext/>
              <w:keepLines/>
              <w:spacing w:before="40" w:after="40"/>
              <w:ind w:right="52"/>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b/>
                <w:bCs/>
                <w:color w:val="000000"/>
                <w:sz w:val="14"/>
                <w:szCs w:val="14"/>
              </w:rPr>
              <w:t>48.021</w:t>
            </w:r>
          </w:p>
        </w:tc>
        <w:tc>
          <w:tcPr>
            <w:tcW w:w="1426" w:type="dxa"/>
            <w:gridSpan w:val="3"/>
            <w:tcBorders>
              <w:top w:val="nil"/>
              <w:left w:val="nil"/>
              <w:bottom w:val="nil"/>
              <w:right w:val="nil"/>
            </w:tcBorders>
            <w:shd w:val="clear" w:color="auto" w:fill="auto"/>
            <w:vAlign w:val="center"/>
          </w:tcPr>
          <w:p w14:paraId="7B3A64F3" w14:textId="1A0BAB83" w:rsidR="00EA14DA" w:rsidRPr="00BF2AAF" w:rsidRDefault="00EA14DA" w:rsidP="00EA14D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sidRPr="00BF2AAF">
              <w:rPr>
                <w:rFonts w:ascii="Arial" w:hAnsi="Arial" w:cs="Arial"/>
                <w:b/>
                <w:bCs/>
                <w:color w:val="000000"/>
                <w:sz w:val="14"/>
                <w:szCs w:val="14"/>
              </w:rPr>
              <w:t>51.039</w:t>
            </w:r>
          </w:p>
        </w:tc>
        <w:tc>
          <w:tcPr>
            <w:tcW w:w="290" w:type="dxa"/>
            <w:gridSpan w:val="2"/>
            <w:tcBorders>
              <w:top w:val="nil"/>
              <w:left w:val="nil"/>
              <w:bottom w:val="nil"/>
              <w:right w:val="nil"/>
            </w:tcBorders>
            <w:shd w:val="clear" w:color="auto" w:fill="auto"/>
            <w:vAlign w:val="center"/>
          </w:tcPr>
          <w:p w14:paraId="0A3FABFA" w14:textId="77777777" w:rsidR="00EA14DA" w:rsidRPr="00BF2AAF" w:rsidRDefault="00EA14DA" w:rsidP="00EA14D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307" w:type="dxa"/>
            <w:gridSpan w:val="2"/>
            <w:tcBorders>
              <w:top w:val="nil"/>
              <w:left w:val="nil"/>
              <w:bottom w:val="nil"/>
              <w:right w:val="nil"/>
            </w:tcBorders>
            <w:shd w:val="clear" w:color="auto" w:fill="auto"/>
            <w:vAlign w:val="center"/>
          </w:tcPr>
          <w:p w14:paraId="47B5464C" w14:textId="32D2CCCD" w:rsidR="00EA14DA" w:rsidRPr="00BF2AAF" w:rsidRDefault="00EA14DA" w:rsidP="00EA14D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b/>
                <w:bCs/>
                <w:color w:val="000000"/>
                <w:sz w:val="14"/>
                <w:szCs w:val="14"/>
              </w:rPr>
              <w:t>653.722</w:t>
            </w:r>
          </w:p>
        </w:tc>
        <w:tc>
          <w:tcPr>
            <w:tcW w:w="1428" w:type="dxa"/>
            <w:tcBorders>
              <w:top w:val="nil"/>
              <w:left w:val="nil"/>
              <w:bottom w:val="nil"/>
              <w:right w:val="nil"/>
            </w:tcBorders>
            <w:shd w:val="clear" w:color="auto" w:fill="auto"/>
            <w:vAlign w:val="center"/>
          </w:tcPr>
          <w:p w14:paraId="1056BF75" w14:textId="262C2E8C" w:rsidR="00EA14DA" w:rsidRPr="00BF2AAF" w:rsidRDefault="00EA14DA" w:rsidP="00EA14D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sidRPr="00BF2AAF">
              <w:rPr>
                <w:rFonts w:ascii="Arial" w:hAnsi="Arial" w:cs="Arial"/>
                <w:b/>
                <w:bCs/>
                <w:color w:val="000000"/>
                <w:sz w:val="14"/>
                <w:szCs w:val="14"/>
              </w:rPr>
              <w:t>587.545</w:t>
            </w:r>
          </w:p>
        </w:tc>
      </w:tr>
      <w:tr w:rsidR="00EA14DA" w:rsidRPr="00BF2AAF" w14:paraId="082FC504" w14:textId="77777777" w:rsidTr="009F514E">
        <w:trPr>
          <w:gridAfter w:val="1"/>
          <w:cnfStyle w:val="000000100000" w:firstRow="0" w:lastRow="0" w:firstColumn="0" w:lastColumn="0" w:oddVBand="0" w:evenVBand="0" w:oddHBand="1" w:evenHBand="0" w:firstRowFirstColumn="0" w:firstRowLastColumn="0" w:lastRowFirstColumn="0" w:lastRowLastColumn="0"/>
          <w:wAfter w:w="46" w:type="dxa"/>
          <w:trHeight w:val="238"/>
          <w:jc w:val="center"/>
        </w:trPr>
        <w:tc>
          <w:tcPr>
            <w:cnfStyle w:val="001000000000" w:firstRow="0" w:lastRow="0" w:firstColumn="1" w:lastColumn="0" w:oddVBand="0" w:evenVBand="0" w:oddHBand="0" w:evenHBand="0" w:firstRowFirstColumn="0" w:firstRowLastColumn="0" w:lastRowFirstColumn="0" w:lastRowLastColumn="0"/>
            <w:tcW w:w="2857" w:type="dxa"/>
            <w:gridSpan w:val="2"/>
            <w:tcBorders>
              <w:top w:val="nil"/>
              <w:left w:val="nil"/>
              <w:bottom w:val="nil"/>
              <w:right w:val="nil"/>
            </w:tcBorders>
            <w:shd w:val="clear" w:color="auto" w:fill="auto"/>
            <w:vAlign w:val="center"/>
            <w:hideMark/>
          </w:tcPr>
          <w:p w14:paraId="53B281F9" w14:textId="77777777" w:rsidR="00EA14DA" w:rsidRPr="00BF2AAF" w:rsidRDefault="00EA14DA" w:rsidP="00EA14DA">
            <w:pPr>
              <w:keepNext/>
              <w:keepLines/>
              <w:spacing w:before="40" w:after="40"/>
              <w:ind w:left="113"/>
              <w:rPr>
                <w:rFonts w:ascii="Arial" w:eastAsia="Times New Roman" w:hAnsi="Arial" w:cs="Arial"/>
                <w:spacing w:val="-2"/>
                <w:sz w:val="14"/>
                <w:szCs w:val="14"/>
                <w:lang w:eastAsia="pt-BR"/>
              </w:rPr>
            </w:pPr>
            <w:r w:rsidRPr="00BF2AAF">
              <w:rPr>
                <w:rFonts w:ascii="Arial" w:eastAsia="Times New Roman" w:hAnsi="Arial" w:cs="Arial"/>
                <w:b w:val="0"/>
                <w:bCs w:val="0"/>
                <w:spacing w:val="-2"/>
                <w:sz w:val="14"/>
                <w:szCs w:val="14"/>
                <w:lang w:eastAsia="pt-BR"/>
              </w:rPr>
              <w:t>Receitas financeiras</w:t>
            </w:r>
          </w:p>
        </w:tc>
        <w:tc>
          <w:tcPr>
            <w:tcW w:w="957" w:type="dxa"/>
            <w:tcBorders>
              <w:top w:val="nil"/>
              <w:left w:val="nil"/>
              <w:bottom w:val="nil"/>
              <w:right w:val="nil"/>
            </w:tcBorders>
            <w:shd w:val="clear" w:color="auto" w:fill="auto"/>
            <w:vAlign w:val="center"/>
          </w:tcPr>
          <w:p w14:paraId="023112FD" w14:textId="77777777" w:rsidR="00EA14DA" w:rsidRPr="00BF2AAF" w:rsidRDefault="00EA14DA" w:rsidP="00EA14DA">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p>
        </w:tc>
        <w:tc>
          <w:tcPr>
            <w:tcW w:w="1328" w:type="dxa"/>
            <w:gridSpan w:val="2"/>
            <w:tcBorders>
              <w:top w:val="nil"/>
              <w:left w:val="nil"/>
              <w:bottom w:val="nil"/>
              <w:right w:val="nil"/>
            </w:tcBorders>
            <w:shd w:val="clear" w:color="auto" w:fill="auto"/>
            <w:vAlign w:val="center"/>
          </w:tcPr>
          <w:p w14:paraId="2FB22C1C" w14:textId="1C280B74" w:rsidR="00EA14DA" w:rsidRPr="00BF2AAF" w:rsidRDefault="00EA14DA" w:rsidP="00EA14DA">
            <w:pPr>
              <w:keepNext/>
              <w:keepLines/>
              <w:spacing w:before="40" w:after="40"/>
              <w:ind w:right="52"/>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89.041</w:t>
            </w:r>
          </w:p>
        </w:tc>
        <w:tc>
          <w:tcPr>
            <w:tcW w:w="1426" w:type="dxa"/>
            <w:gridSpan w:val="3"/>
            <w:tcBorders>
              <w:top w:val="nil"/>
              <w:left w:val="nil"/>
              <w:bottom w:val="nil"/>
              <w:right w:val="nil"/>
            </w:tcBorders>
            <w:shd w:val="clear" w:color="auto" w:fill="auto"/>
            <w:vAlign w:val="center"/>
          </w:tcPr>
          <w:p w14:paraId="6152EA7D" w14:textId="4CBF884C" w:rsidR="00EA14DA" w:rsidRPr="00BF2AAF" w:rsidRDefault="00EA14DA" w:rsidP="00EA14D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sidRPr="00BF2AAF">
              <w:rPr>
                <w:rFonts w:ascii="Arial" w:hAnsi="Arial" w:cs="Arial"/>
                <w:color w:val="000000"/>
                <w:sz w:val="14"/>
                <w:szCs w:val="14"/>
              </w:rPr>
              <w:t>132.900</w:t>
            </w:r>
          </w:p>
        </w:tc>
        <w:tc>
          <w:tcPr>
            <w:tcW w:w="290" w:type="dxa"/>
            <w:gridSpan w:val="2"/>
            <w:tcBorders>
              <w:top w:val="nil"/>
              <w:left w:val="nil"/>
              <w:bottom w:val="nil"/>
              <w:right w:val="nil"/>
            </w:tcBorders>
            <w:shd w:val="clear" w:color="auto" w:fill="auto"/>
            <w:vAlign w:val="center"/>
          </w:tcPr>
          <w:p w14:paraId="44FAB6B8" w14:textId="77777777" w:rsidR="00EA14DA" w:rsidRPr="00BF2AAF" w:rsidRDefault="00EA14DA" w:rsidP="00EA14D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307" w:type="dxa"/>
            <w:gridSpan w:val="2"/>
            <w:tcBorders>
              <w:top w:val="nil"/>
              <w:left w:val="nil"/>
              <w:bottom w:val="nil"/>
              <w:right w:val="nil"/>
            </w:tcBorders>
            <w:shd w:val="clear" w:color="auto" w:fill="auto"/>
            <w:vAlign w:val="center"/>
          </w:tcPr>
          <w:p w14:paraId="61408D9A" w14:textId="5C07A2B2" w:rsidR="00EA14DA" w:rsidRPr="00BF2AAF" w:rsidRDefault="00EA14DA" w:rsidP="00EA14D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696.360</w:t>
            </w:r>
          </w:p>
        </w:tc>
        <w:tc>
          <w:tcPr>
            <w:tcW w:w="1428" w:type="dxa"/>
            <w:tcBorders>
              <w:top w:val="nil"/>
              <w:left w:val="nil"/>
              <w:bottom w:val="nil"/>
              <w:right w:val="nil"/>
            </w:tcBorders>
            <w:shd w:val="clear" w:color="auto" w:fill="auto"/>
            <w:vAlign w:val="center"/>
          </w:tcPr>
          <w:p w14:paraId="04854835" w14:textId="08028AB4" w:rsidR="00EA14DA" w:rsidRPr="00BF2AAF" w:rsidRDefault="00EA14DA" w:rsidP="00EA14D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sidRPr="00BF2AAF">
              <w:rPr>
                <w:rFonts w:ascii="Arial" w:hAnsi="Arial" w:cs="Arial"/>
                <w:color w:val="000000"/>
                <w:sz w:val="14"/>
                <w:szCs w:val="14"/>
              </w:rPr>
              <w:t>670.933</w:t>
            </w:r>
          </w:p>
        </w:tc>
      </w:tr>
      <w:tr w:rsidR="00EA14DA" w:rsidRPr="00BF2AAF" w14:paraId="6D7AD8DA" w14:textId="77777777" w:rsidTr="009F514E">
        <w:trPr>
          <w:gridAfter w:val="1"/>
          <w:cnfStyle w:val="000000010000" w:firstRow="0" w:lastRow="0" w:firstColumn="0" w:lastColumn="0" w:oddVBand="0" w:evenVBand="0" w:oddHBand="0" w:evenHBand="1" w:firstRowFirstColumn="0" w:firstRowLastColumn="0" w:lastRowFirstColumn="0" w:lastRowLastColumn="0"/>
          <w:wAfter w:w="46" w:type="dxa"/>
          <w:trHeight w:val="238"/>
          <w:jc w:val="center"/>
        </w:trPr>
        <w:tc>
          <w:tcPr>
            <w:cnfStyle w:val="001000000000" w:firstRow="0" w:lastRow="0" w:firstColumn="1" w:lastColumn="0" w:oddVBand="0" w:evenVBand="0" w:oddHBand="0" w:evenHBand="0" w:firstRowFirstColumn="0" w:firstRowLastColumn="0" w:lastRowFirstColumn="0" w:lastRowLastColumn="0"/>
            <w:tcW w:w="2857" w:type="dxa"/>
            <w:gridSpan w:val="2"/>
            <w:tcBorders>
              <w:top w:val="nil"/>
              <w:left w:val="nil"/>
              <w:bottom w:val="nil"/>
              <w:right w:val="nil"/>
            </w:tcBorders>
            <w:shd w:val="clear" w:color="auto" w:fill="auto"/>
            <w:vAlign w:val="center"/>
            <w:hideMark/>
          </w:tcPr>
          <w:p w14:paraId="2BA5E0ED" w14:textId="77777777" w:rsidR="00EA14DA" w:rsidRPr="00BF2AAF" w:rsidRDefault="00EA14DA" w:rsidP="00EA14DA">
            <w:pPr>
              <w:keepNext/>
              <w:keepLines/>
              <w:spacing w:before="40" w:after="40"/>
              <w:ind w:left="113"/>
              <w:rPr>
                <w:rFonts w:ascii="Arial" w:eastAsia="Times New Roman" w:hAnsi="Arial" w:cs="Arial"/>
                <w:spacing w:val="-2"/>
                <w:sz w:val="14"/>
                <w:szCs w:val="14"/>
                <w:lang w:eastAsia="pt-BR"/>
              </w:rPr>
            </w:pPr>
            <w:r w:rsidRPr="00BF2AAF">
              <w:rPr>
                <w:rFonts w:ascii="Arial" w:eastAsia="Times New Roman" w:hAnsi="Arial" w:cs="Arial"/>
                <w:b w:val="0"/>
                <w:bCs w:val="0"/>
                <w:spacing w:val="-2"/>
                <w:sz w:val="14"/>
                <w:szCs w:val="14"/>
                <w:lang w:eastAsia="pt-BR"/>
              </w:rPr>
              <w:t>Despesas financeiras</w:t>
            </w:r>
          </w:p>
        </w:tc>
        <w:tc>
          <w:tcPr>
            <w:tcW w:w="957" w:type="dxa"/>
            <w:tcBorders>
              <w:top w:val="nil"/>
              <w:left w:val="nil"/>
              <w:bottom w:val="nil"/>
              <w:right w:val="nil"/>
            </w:tcBorders>
            <w:shd w:val="clear" w:color="auto" w:fill="auto"/>
            <w:vAlign w:val="center"/>
          </w:tcPr>
          <w:p w14:paraId="15B2BFF6" w14:textId="77777777" w:rsidR="00EA14DA" w:rsidRPr="00BF2AAF" w:rsidRDefault="00EA14DA" w:rsidP="00EA14D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p>
        </w:tc>
        <w:tc>
          <w:tcPr>
            <w:tcW w:w="1328" w:type="dxa"/>
            <w:gridSpan w:val="2"/>
            <w:tcBorders>
              <w:top w:val="nil"/>
              <w:left w:val="nil"/>
              <w:bottom w:val="nil"/>
              <w:right w:val="nil"/>
            </w:tcBorders>
            <w:shd w:val="clear" w:color="auto" w:fill="auto"/>
            <w:vAlign w:val="center"/>
          </w:tcPr>
          <w:p w14:paraId="057B0E5F" w14:textId="474C1644" w:rsidR="00EA14DA" w:rsidRPr="00BF2AAF" w:rsidRDefault="00EA14DA" w:rsidP="00EA14DA">
            <w:pPr>
              <w:keepNext/>
              <w:keepLines/>
              <w:spacing w:before="40" w:after="40"/>
              <w:ind w:right="52"/>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(41.020)</w:t>
            </w:r>
          </w:p>
        </w:tc>
        <w:tc>
          <w:tcPr>
            <w:tcW w:w="1426" w:type="dxa"/>
            <w:gridSpan w:val="3"/>
            <w:tcBorders>
              <w:top w:val="nil"/>
              <w:left w:val="nil"/>
              <w:bottom w:val="nil"/>
              <w:right w:val="nil"/>
            </w:tcBorders>
            <w:shd w:val="clear" w:color="auto" w:fill="auto"/>
            <w:vAlign w:val="center"/>
          </w:tcPr>
          <w:p w14:paraId="5CE3095C" w14:textId="6ADC9EED" w:rsidR="00EA14DA" w:rsidRPr="00BF2AAF" w:rsidRDefault="00EA14DA" w:rsidP="00EA14D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sidRPr="00BF2AAF">
              <w:rPr>
                <w:rFonts w:ascii="Arial" w:hAnsi="Arial" w:cs="Arial"/>
                <w:color w:val="000000"/>
                <w:sz w:val="14"/>
                <w:szCs w:val="14"/>
              </w:rPr>
              <w:t>(81.861)</w:t>
            </w:r>
          </w:p>
        </w:tc>
        <w:tc>
          <w:tcPr>
            <w:tcW w:w="290" w:type="dxa"/>
            <w:gridSpan w:val="2"/>
            <w:tcBorders>
              <w:top w:val="nil"/>
              <w:left w:val="nil"/>
              <w:bottom w:val="nil"/>
              <w:right w:val="nil"/>
            </w:tcBorders>
            <w:shd w:val="clear" w:color="auto" w:fill="auto"/>
            <w:vAlign w:val="center"/>
          </w:tcPr>
          <w:p w14:paraId="0CEAE6C4" w14:textId="77777777" w:rsidR="00EA14DA" w:rsidRPr="00BF2AAF" w:rsidRDefault="00EA14DA" w:rsidP="00EA14D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307" w:type="dxa"/>
            <w:gridSpan w:val="2"/>
            <w:tcBorders>
              <w:top w:val="nil"/>
              <w:left w:val="nil"/>
              <w:bottom w:val="nil"/>
              <w:right w:val="nil"/>
            </w:tcBorders>
            <w:shd w:val="clear" w:color="auto" w:fill="auto"/>
            <w:vAlign w:val="center"/>
          </w:tcPr>
          <w:p w14:paraId="2AA3A69A" w14:textId="2BF978C8" w:rsidR="00EA14DA" w:rsidRPr="00BF2AAF" w:rsidRDefault="00EA14DA" w:rsidP="00EA14D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(42.638)</w:t>
            </w:r>
          </w:p>
        </w:tc>
        <w:tc>
          <w:tcPr>
            <w:tcW w:w="1428" w:type="dxa"/>
            <w:tcBorders>
              <w:top w:val="nil"/>
              <w:left w:val="nil"/>
              <w:bottom w:val="nil"/>
              <w:right w:val="nil"/>
            </w:tcBorders>
            <w:shd w:val="clear" w:color="auto" w:fill="auto"/>
            <w:vAlign w:val="center"/>
          </w:tcPr>
          <w:p w14:paraId="633B1AAA" w14:textId="648FC6B3" w:rsidR="00EA14DA" w:rsidRPr="00BF2AAF" w:rsidRDefault="00EA14DA" w:rsidP="00EA14D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sidRPr="00BF2AAF">
              <w:rPr>
                <w:rFonts w:ascii="Arial" w:hAnsi="Arial" w:cs="Arial"/>
                <w:color w:val="000000"/>
                <w:sz w:val="14"/>
                <w:szCs w:val="14"/>
              </w:rPr>
              <w:t>(83.388)</w:t>
            </w:r>
          </w:p>
        </w:tc>
      </w:tr>
      <w:tr w:rsidR="00EA14DA" w:rsidRPr="00BF2AAF" w14:paraId="088293D9" w14:textId="77777777" w:rsidTr="009F514E">
        <w:trPr>
          <w:gridAfter w:val="1"/>
          <w:cnfStyle w:val="000000100000" w:firstRow="0" w:lastRow="0" w:firstColumn="0" w:lastColumn="0" w:oddVBand="0" w:evenVBand="0" w:oddHBand="1" w:evenHBand="0" w:firstRowFirstColumn="0" w:firstRowLastColumn="0" w:lastRowFirstColumn="0" w:lastRowLastColumn="0"/>
          <w:wAfter w:w="46" w:type="dxa"/>
          <w:trHeight w:val="238"/>
          <w:jc w:val="center"/>
        </w:trPr>
        <w:tc>
          <w:tcPr>
            <w:cnfStyle w:val="001000000000" w:firstRow="0" w:lastRow="0" w:firstColumn="1" w:lastColumn="0" w:oddVBand="0" w:evenVBand="0" w:oddHBand="0" w:evenHBand="0" w:firstRowFirstColumn="0" w:firstRowLastColumn="0" w:lastRowFirstColumn="0" w:lastRowLastColumn="0"/>
            <w:tcW w:w="2857" w:type="dxa"/>
            <w:gridSpan w:val="2"/>
            <w:tcBorders>
              <w:top w:val="nil"/>
              <w:left w:val="nil"/>
              <w:bottom w:val="nil"/>
              <w:right w:val="nil"/>
            </w:tcBorders>
            <w:shd w:val="clear" w:color="auto" w:fill="auto"/>
            <w:vAlign w:val="center"/>
            <w:hideMark/>
          </w:tcPr>
          <w:p w14:paraId="1CDE0F05" w14:textId="77777777" w:rsidR="00EA14DA" w:rsidRPr="00BF2AAF" w:rsidRDefault="00EA14DA" w:rsidP="00EA14DA">
            <w:pPr>
              <w:keepNext/>
              <w:keepLines/>
              <w:spacing w:before="40" w:after="4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Resultado Antes do Imposto de Renda e Contribuição Social</w:t>
            </w:r>
          </w:p>
        </w:tc>
        <w:tc>
          <w:tcPr>
            <w:tcW w:w="957" w:type="dxa"/>
            <w:tcBorders>
              <w:top w:val="nil"/>
              <w:left w:val="nil"/>
              <w:bottom w:val="nil"/>
              <w:right w:val="nil"/>
            </w:tcBorders>
            <w:shd w:val="clear" w:color="auto" w:fill="auto"/>
            <w:vAlign w:val="center"/>
          </w:tcPr>
          <w:p w14:paraId="0DF2F4FB" w14:textId="77777777" w:rsidR="00EA14DA" w:rsidRPr="00BF2AAF" w:rsidRDefault="00EA14DA" w:rsidP="00EA14DA">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p>
        </w:tc>
        <w:tc>
          <w:tcPr>
            <w:tcW w:w="1328" w:type="dxa"/>
            <w:gridSpan w:val="2"/>
            <w:tcBorders>
              <w:top w:val="nil"/>
              <w:left w:val="nil"/>
              <w:bottom w:val="nil"/>
              <w:right w:val="nil"/>
            </w:tcBorders>
            <w:shd w:val="clear" w:color="auto" w:fill="auto"/>
            <w:vAlign w:val="center"/>
          </w:tcPr>
          <w:p w14:paraId="3CAD0392" w14:textId="4CFF003A" w:rsidR="00EA14DA" w:rsidRPr="00BF2AAF" w:rsidRDefault="00EA14DA" w:rsidP="00EA14DA">
            <w:pPr>
              <w:keepNext/>
              <w:keepLines/>
              <w:spacing w:before="40" w:after="40"/>
              <w:ind w:right="52"/>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hAnsi="Arial" w:cs="Arial"/>
                <w:b/>
                <w:bCs/>
                <w:color w:val="000000"/>
                <w:sz w:val="14"/>
                <w:szCs w:val="14"/>
              </w:rPr>
              <w:t>8.712.866</w:t>
            </w:r>
          </w:p>
        </w:tc>
        <w:tc>
          <w:tcPr>
            <w:tcW w:w="1426" w:type="dxa"/>
            <w:gridSpan w:val="3"/>
            <w:tcBorders>
              <w:top w:val="nil"/>
              <w:left w:val="nil"/>
              <w:bottom w:val="nil"/>
              <w:right w:val="nil"/>
            </w:tcBorders>
            <w:shd w:val="clear" w:color="auto" w:fill="auto"/>
            <w:vAlign w:val="center"/>
          </w:tcPr>
          <w:p w14:paraId="546ECF54" w14:textId="2CC9E9B4" w:rsidR="00EA14DA" w:rsidRPr="00BF2AAF" w:rsidRDefault="00EA14DA" w:rsidP="00EA14D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sidRPr="00BF2AAF">
              <w:rPr>
                <w:rFonts w:ascii="Arial" w:hAnsi="Arial" w:cs="Arial"/>
                <w:b/>
                <w:bCs/>
                <w:color w:val="000000"/>
                <w:sz w:val="14"/>
                <w:szCs w:val="14"/>
              </w:rPr>
              <w:t>7.958.824</w:t>
            </w:r>
          </w:p>
        </w:tc>
        <w:tc>
          <w:tcPr>
            <w:tcW w:w="290" w:type="dxa"/>
            <w:gridSpan w:val="2"/>
            <w:tcBorders>
              <w:top w:val="nil"/>
              <w:left w:val="nil"/>
              <w:bottom w:val="nil"/>
              <w:right w:val="nil"/>
            </w:tcBorders>
            <w:shd w:val="clear" w:color="auto" w:fill="auto"/>
            <w:vAlign w:val="center"/>
          </w:tcPr>
          <w:p w14:paraId="3A14BACF" w14:textId="77777777" w:rsidR="00EA14DA" w:rsidRPr="00BF2AAF" w:rsidRDefault="00EA14DA" w:rsidP="00EA14D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307" w:type="dxa"/>
            <w:gridSpan w:val="2"/>
            <w:tcBorders>
              <w:top w:val="nil"/>
              <w:left w:val="nil"/>
              <w:bottom w:val="nil"/>
              <w:right w:val="nil"/>
            </w:tcBorders>
            <w:shd w:val="clear" w:color="auto" w:fill="auto"/>
            <w:vAlign w:val="center"/>
          </w:tcPr>
          <w:p w14:paraId="484F6340" w14:textId="1C9B5CA3" w:rsidR="00EA14DA" w:rsidRPr="00BF2AAF" w:rsidRDefault="00EA14DA" w:rsidP="00EA14D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hAnsi="Arial" w:cs="Arial"/>
                <w:b/>
                <w:bCs/>
                <w:color w:val="000000"/>
                <w:sz w:val="14"/>
                <w:szCs w:val="14"/>
              </w:rPr>
              <w:t>10.410.989</w:t>
            </w:r>
          </w:p>
        </w:tc>
        <w:tc>
          <w:tcPr>
            <w:tcW w:w="1428" w:type="dxa"/>
            <w:tcBorders>
              <w:top w:val="nil"/>
              <w:left w:val="nil"/>
              <w:bottom w:val="nil"/>
              <w:right w:val="nil"/>
            </w:tcBorders>
            <w:shd w:val="clear" w:color="auto" w:fill="auto"/>
            <w:vAlign w:val="center"/>
          </w:tcPr>
          <w:p w14:paraId="289F761A" w14:textId="7AC69A6A" w:rsidR="00EA14DA" w:rsidRPr="00BF2AAF" w:rsidRDefault="00EA14DA" w:rsidP="00EA14D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sidRPr="00BF2AAF">
              <w:rPr>
                <w:rFonts w:ascii="Arial" w:hAnsi="Arial" w:cs="Arial"/>
                <w:b/>
                <w:bCs/>
                <w:color w:val="000000"/>
                <w:sz w:val="14"/>
                <w:szCs w:val="14"/>
              </w:rPr>
              <w:t>9.493.312</w:t>
            </w:r>
          </w:p>
        </w:tc>
      </w:tr>
      <w:tr w:rsidR="00EA14DA" w:rsidRPr="00BF2AAF" w14:paraId="189083EB" w14:textId="77777777" w:rsidTr="009F514E">
        <w:trPr>
          <w:gridAfter w:val="1"/>
          <w:cnfStyle w:val="000000010000" w:firstRow="0" w:lastRow="0" w:firstColumn="0" w:lastColumn="0" w:oddVBand="0" w:evenVBand="0" w:oddHBand="0" w:evenHBand="1" w:firstRowFirstColumn="0" w:firstRowLastColumn="0" w:lastRowFirstColumn="0" w:lastRowLastColumn="0"/>
          <w:wAfter w:w="46" w:type="dxa"/>
          <w:trHeight w:val="238"/>
          <w:jc w:val="center"/>
        </w:trPr>
        <w:tc>
          <w:tcPr>
            <w:cnfStyle w:val="001000000000" w:firstRow="0" w:lastRow="0" w:firstColumn="1" w:lastColumn="0" w:oddVBand="0" w:evenVBand="0" w:oddHBand="0" w:evenHBand="0" w:firstRowFirstColumn="0" w:firstRowLastColumn="0" w:lastRowFirstColumn="0" w:lastRowLastColumn="0"/>
            <w:tcW w:w="2857" w:type="dxa"/>
            <w:gridSpan w:val="2"/>
            <w:tcBorders>
              <w:top w:val="nil"/>
              <w:left w:val="nil"/>
              <w:bottom w:val="nil"/>
              <w:right w:val="nil"/>
            </w:tcBorders>
            <w:shd w:val="clear" w:color="auto" w:fill="auto"/>
            <w:vAlign w:val="center"/>
            <w:hideMark/>
          </w:tcPr>
          <w:p w14:paraId="146E9B7D" w14:textId="77777777" w:rsidR="00EA14DA" w:rsidRPr="00BF2AAF" w:rsidRDefault="00EA14DA" w:rsidP="00EA14DA">
            <w:pPr>
              <w:keepNext/>
              <w:keepLines/>
              <w:spacing w:before="40" w:after="40"/>
              <w:ind w:left="113"/>
              <w:rPr>
                <w:rFonts w:ascii="Arial" w:eastAsia="Times New Roman" w:hAnsi="Arial" w:cs="Arial"/>
                <w:b w:val="0"/>
                <w:spacing w:val="-2"/>
                <w:sz w:val="14"/>
                <w:szCs w:val="14"/>
                <w:lang w:eastAsia="pt-BR"/>
              </w:rPr>
            </w:pPr>
            <w:r w:rsidRPr="00BF2AAF">
              <w:rPr>
                <w:rFonts w:ascii="Arial" w:eastAsia="Times New Roman" w:hAnsi="Arial" w:cs="Arial"/>
                <w:b w:val="0"/>
                <w:bCs w:val="0"/>
                <w:spacing w:val="-2"/>
                <w:sz w:val="14"/>
                <w:szCs w:val="14"/>
                <w:lang w:eastAsia="pt-BR"/>
              </w:rPr>
              <w:t>Imposto de Renda e Contribuição Social</w:t>
            </w:r>
          </w:p>
        </w:tc>
        <w:tc>
          <w:tcPr>
            <w:tcW w:w="957" w:type="dxa"/>
            <w:tcBorders>
              <w:top w:val="nil"/>
              <w:left w:val="nil"/>
              <w:bottom w:val="nil"/>
              <w:right w:val="nil"/>
            </w:tcBorders>
            <w:shd w:val="clear" w:color="auto" w:fill="auto"/>
            <w:vAlign w:val="center"/>
            <w:hideMark/>
          </w:tcPr>
          <w:p w14:paraId="724FD1F7" w14:textId="77777777" w:rsidR="00EA14DA" w:rsidRPr="00BF2AAF" w:rsidRDefault="00EA14DA" w:rsidP="00EA14DA">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sidRPr="00BF2AAF">
              <w:rPr>
                <w:rFonts w:ascii="Arial" w:eastAsia="Times New Roman" w:hAnsi="Arial" w:cs="Arial"/>
                <w:spacing w:val="-2"/>
                <w:sz w:val="14"/>
                <w:szCs w:val="14"/>
                <w:lang w:eastAsia="pt-BR"/>
              </w:rPr>
              <w:t>[12.a]</w:t>
            </w:r>
          </w:p>
        </w:tc>
        <w:tc>
          <w:tcPr>
            <w:tcW w:w="1328" w:type="dxa"/>
            <w:gridSpan w:val="2"/>
            <w:tcBorders>
              <w:top w:val="nil"/>
              <w:left w:val="nil"/>
              <w:bottom w:val="nil"/>
              <w:right w:val="nil"/>
            </w:tcBorders>
            <w:shd w:val="clear" w:color="auto" w:fill="auto"/>
            <w:vAlign w:val="center"/>
          </w:tcPr>
          <w:p w14:paraId="7B36DC79" w14:textId="6DB87C85" w:rsidR="00EA14DA" w:rsidRPr="00BF2AAF" w:rsidRDefault="00EA14DA" w:rsidP="00EA14DA">
            <w:pPr>
              <w:keepNext/>
              <w:keepLines/>
              <w:spacing w:before="40" w:after="40"/>
              <w:ind w:right="52"/>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(9.513)</w:t>
            </w:r>
          </w:p>
        </w:tc>
        <w:tc>
          <w:tcPr>
            <w:tcW w:w="1426" w:type="dxa"/>
            <w:gridSpan w:val="3"/>
            <w:tcBorders>
              <w:top w:val="nil"/>
              <w:left w:val="nil"/>
              <w:bottom w:val="nil"/>
              <w:right w:val="nil"/>
            </w:tcBorders>
            <w:shd w:val="clear" w:color="auto" w:fill="auto"/>
            <w:vAlign w:val="center"/>
          </w:tcPr>
          <w:p w14:paraId="02B515F5" w14:textId="59175EC1" w:rsidR="00EA14DA" w:rsidRPr="00BF2AAF" w:rsidRDefault="00EA14DA" w:rsidP="00EA14D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sidRPr="00BF2AAF">
              <w:rPr>
                <w:rFonts w:ascii="Arial" w:hAnsi="Arial" w:cs="Arial"/>
                <w:color w:val="000000"/>
                <w:sz w:val="14"/>
                <w:szCs w:val="14"/>
              </w:rPr>
              <w:t>(11.621)</w:t>
            </w:r>
          </w:p>
        </w:tc>
        <w:tc>
          <w:tcPr>
            <w:tcW w:w="290" w:type="dxa"/>
            <w:gridSpan w:val="2"/>
            <w:tcBorders>
              <w:top w:val="nil"/>
              <w:left w:val="nil"/>
              <w:bottom w:val="nil"/>
              <w:right w:val="nil"/>
            </w:tcBorders>
            <w:shd w:val="clear" w:color="auto" w:fill="auto"/>
            <w:vAlign w:val="center"/>
          </w:tcPr>
          <w:p w14:paraId="7817FF30" w14:textId="77777777" w:rsidR="00EA14DA" w:rsidRPr="00BF2AAF" w:rsidRDefault="00EA14DA" w:rsidP="00EA14D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307" w:type="dxa"/>
            <w:gridSpan w:val="2"/>
            <w:tcBorders>
              <w:top w:val="nil"/>
              <w:left w:val="nil"/>
              <w:bottom w:val="nil"/>
              <w:right w:val="nil"/>
            </w:tcBorders>
            <w:shd w:val="clear" w:color="auto" w:fill="auto"/>
            <w:vAlign w:val="center"/>
          </w:tcPr>
          <w:p w14:paraId="4BA5D491" w14:textId="0F3D93BD" w:rsidR="00EA14DA" w:rsidRPr="00BF2AAF" w:rsidRDefault="00EA14DA" w:rsidP="00EA14D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(1.707.636)</w:t>
            </w:r>
          </w:p>
        </w:tc>
        <w:tc>
          <w:tcPr>
            <w:tcW w:w="1428" w:type="dxa"/>
            <w:tcBorders>
              <w:top w:val="nil"/>
              <w:left w:val="nil"/>
              <w:bottom w:val="nil"/>
              <w:right w:val="nil"/>
            </w:tcBorders>
            <w:shd w:val="clear" w:color="auto" w:fill="auto"/>
            <w:vAlign w:val="center"/>
          </w:tcPr>
          <w:p w14:paraId="33D8A075" w14:textId="301EC919" w:rsidR="00EA14DA" w:rsidRPr="00BF2AAF" w:rsidRDefault="00EA14DA" w:rsidP="00EA14D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sidRPr="00BF2AAF">
              <w:rPr>
                <w:rFonts w:ascii="Arial" w:hAnsi="Arial" w:cs="Arial"/>
                <w:color w:val="000000"/>
                <w:sz w:val="14"/>
                <w:szCs w:val="14"/>
              </w:rPr>
              <w:t>(1.546.109)</w:t>
            </w:r>
          </w:p>
        </w:tc>
      </w:tr>
      <w:tr w:rsidR="009F514E" w:rsidRPr="00BF2AAF" w14:paraId="57EA5D69" w14:textId="77777777" w:rsidTr="00491785">
        <w:trPr>
          <w:gridAfter w:val="1"/>
          <w:cnfStyle w:val="000000100000" w:firstRow="0" w:lastRow="0" w:firstColumn="0" w:lastColumn="0" w:oddVBand="0" w:evenVBand="0" w:oddHBand="1" w:evenHBand="0" w:firstRowFirstColumn="0" w:firstRowLastColumn="0" w:lastRowFirstColumn="0" w:lastRowLastColumn="0"/>
          <w:wAfter w:w="46" w:type="dxa"/>
          <w:trHeight w:val="238"/>
          <w:jc w:val="center"/>
        </w:trPr>
        <w:tc>
          <w:tcPr>
            <w:cnfStyle w:val="001000000000" w:firstRow="0" w:lastRow="0" w:firstColumn="1" w:lastColumn="0" w:oddVBand="0" w:evenVBand="0" w:oddHBand="0" w:evenHBand="0" w:firstRowFirstColumn="0" w:firstRowLastColumn="0" w:lastRowFirstColumn="0" w:lastRowLastColumn="0"/>
            <w:tcW w:w="2857" w:type="dxa"/>
            <w:gridSpan w:val="2"/>
            <w:tcBorders>
              <w:top w:val="nil"/>
              <w:left w:val="nil"/>
              <w:bottom w:val="nil"/>
              <w:right w:val="nil"/>
            </w:tcBorders>
            <w:shd w:val="clear" w:color="auto" w:fill="auto"/>
            <w:vAlign w:val="center"/>
          </w:tcPr>
          <w:p w14:paraId="7B2198EC" w14:textId="77777777" w:rsidR="009F514E" w:rsidRPr="00BF2AAF" w:rsidRDefault="009F514E" w:rsidP="009F514E">
            <w:pPr>
              <w:keepNext/>
              <w:keepLines/>
              <w:spacing w:before="40" w:after="40"/>
              <w:ind w:left="113"/>
              <w:rPr>
                <w:rFonts w:ascii="Arial" w:eastAsia="Times New Roman" w:hAnsi="Arial" w:cs="Arial"/>
                <w:spacing w:val="-2"/>
                <w:sz w:val="14"/>
                <w:szCs w:val="14"/>
                <w:lang w:eastAsia="pt-BR"/>
              </w:rPr>
            </w:pPr>
          </w:p>
        </w:tc>
        <w:tc>
          <w:tcPr>
            <w:tcW w:w="957" w:type="dxa"/>
            <w:tcBorders>
              <w:top w:val="nil"/>
              <w:left w:val="nil"/>
              <w:bottom w:val="nil"/>
              <w:right w:val="nil"/>
            </w:tcBorders>
            <w:shd w:val="clear" w:color="auto" w:fill="auto"/>
            <w:vAlign w:val="center"/>
          </w:tcPr>
          <w:p w14:paraId="52F48BAC" w14:textId="77777777" w:rsidR="009F514E" w:rsidRPr="00BF2AAF" w:rsidRDefault="009F514E" w:rsidP="009F514E">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p>
        </w:tc>
        <w:tc>
          <w:tcPr>
            <w:tcW w:w="1328" w:type="dxa"/>
            <w:gridSpan w:val="2"/>
            <w:tcBorders>
              <w:top w:val="nil"/>
              <w:left w:val="nil"/>
              <w:bottom w:val="nil"/>
              <w:right w:val="nil"/>
            </w:tcBorders>
            <w:shd w:val="clear" w:color="auto" w:fill="auto"/>
            <w:vAlign w:val="center"/>
          </w:tcPr>
          <w:p w14:paraId="0A9F1BBB" w14:textId="77777777" w:rsidR="009F514E" w:rsidRPr="00BF2AAF" w:rsidRDefault="009F514E" w:rsidP="009F514E">
            <w:pPr>
              <w:keepNext/>
              <w:keepLines/>
              <w:spacing w:before="40" w:after="40"/>
              <w:ind w:right="52"/>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26" w:type="dxa"/>
            <w:gridSpan w:val="3"/>
            <w:tcBorders>
              <w:top w:val="nil"/>
              <w:left w:val="nil"/>
              <w:bottom w:val="nil"/>
              <w:right w:val="nil"/>
            </w:tcBorders>
            <w:shd w:val="clear" w:color="auto" w:fill="auto"/>
            <w:vAlign w:val="center"/>
          </w:tcPr>
          <w:p w14:paraId="14F78B09" w14:textId="77777777" w:rsidR="009F514E" w:rsidRPr="00BF2AAF" w:rsidRDefault="009F514E" w:rsidP="009F514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p>
        </w:tc>
        <w:tc>
          <w:tcPr>
            <w:tcW w:w="290" w:type="dxa"/>
            <w:gridSpan w:val="2"/>
            <w:tcBorders>
              <w:top w:val="nil"/>
              <w:left w:val="nil"/>
              <w:bottom w:val="nil"/>
              <w:right w:val="nil"/>
            </w:tcBorders>
            <w:shd w:val="clear" w:color="auto" w:fill="auto"/>
            <w:vAlign w:val="center"/>
          </w:tcPr>
          <w:p w14:paraId="779D9149" w14:textId="77777777" w:rsidR="009F514E" w:rsidRPr="00BF2AAF" w:rsidRDefault="009F514E" w:rsidP="009F514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307" w:type="dxa"/>
            <w:gridSpan w:val="2"/>
            <w:tcBorders>
              <w:top w:val="nil"/>
              <w:left w:val="nil"/>
              <w:bottom w:val="nil"/>
              <w:right w:val="nil"/>
            </w:tcBorders>
            <w:shd w:val="clear" w:color="auto" w:fill="auto"/>
            <w:vAlign w:val="center"/>
          </w:tcPr>
          <w:p w14:paraId="72DBA67C" w14:textId="77777777" w:rsidR="009F514E" w:rsidRPr="00BF2AAF" w:rsidRDefault="009F514E" w:rsidP="009F514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p>
        </w:tc>
        <w:tc>
          <w:tcPr>
            <w:tcW w:w="1428" w:type="dxa"/>
            <w:tcBorders>
              <w:top w:val="nil"/>
              <w:left w:val="nil"/>
              <w:bottom w:val="nil"/>
              <w:right w:val="nil"/>
            </w:tcBorders>
            <w:shd w:val="clear" w:color="auto" w:fill="auto"/>
            <w:vAlign w:val="center"/>
          </w:tcPr>
          <w:p w14:paraId="6F8EE4BF" w14:textId="77777777" w:rsidR="009F514E" w:rsidRPr="00BF2AAF" w:rsidRDefault="009F514E" w:rsidP="009F514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p>
        </w:tc>
      </w:tr>
      <w:tr w:rsidR="009F514E" w:rsidRPr="00BF2AAF" w14:paraId="1070410D" w14:textId="77777777" w:rsidTr="00AD4B42">
        <w:trPr>
          <w:gridAfter w:val="1"/>
          <w:cnfStyle w:val="000000010000" w:firstRow="0" w:lastRow="0" w:firstColumn="0" w:lastColumn="0" w:oddVBand="0" w:evenVBand="0" w:oddHBand="0" w:evenHBand="1" w:firstRowFirstColumn="0" w:firstRowLastColumn="0" w:lastRowFirstColumn="0" w:lastRowLastColumn="0"/>
          <w:wAfter w:w="46" w:type="dxa"/>
          <w:trHeight w:val="238"/>
          <w:jc w:val="center"/>
        </w:trPr>
        <w:tc>
          <w:tcPr>
            <w:cnfStyle w:val="001000000000" w:firstRow="0" w:lastRow="0" w:firstColumn="1" w:lastColumn="0" w:oddVBand="0" w:evenVBand="0" w:oddHBand="0" w:evenHBand="0" w:firstRowFirstColumn="0" w:firstRowLastColumn="0" w:lastRowFirstColumn="0" w:lastRowLastColumn="0"/>
            <w:tcW w:w="2857" w:type="dxa"/>
            <w:gridSpan w:val="2"/>
            <w:tcBorders>
              <w:top w:val="nil"/>
              <w:left w:val="nil"/>
              <w:bottom w:val="nil"/>
              <w:right w:val="nil"/>
            </w:tcBorders>
            <w:shd w:val="clear" w:color="auto" w:fill="auto"/>
            <w:vAlign w:val="center"/>
            <w:hideMark/>
          </w:tcPr>
          <w:p w14:paraId="550E5FE2" w14:textId="77777777" w:rsidR="009F514E" w:rsidRPr="00BF2AAF" w:rsidRDefault="009F514E" w:rsidP="009F514E">
            <w:pPr>
              <w:keepNext/>
              <w:keepLines/>
              <w:spacing w:before="40" w:after="4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Lucro Líquido do Exercício</w:t>
            </w:r>
          </w:p>
        </w:tc>
        <w:tc>
          <w:tcPr>
            <w:tcW w:w="957" w:type="dxa"/>
            <w:tcBorders>
              <w:top w:val="nil"/>
              <w:left w:val="nil"/>
              <w:bottom w:val="nil"/>
              <w:right w:val="nil"/>
            </w:tcBorders>
            <w:shd w:val="clear" w:color="auto" w:fill="auto"/>
            <w:vAlign w:val="center"/>
          </w:tcPr>
          <w:p w14:paraId="238139AB" w14:textId="77777777" w:rsidR="009F514E" w:rsidRPr="00BF2AAF" w:rsidRDefault="009F514E" w:rsidP="009F514E">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highlight w:val="yellow"/>
                <w:lang w:eastAsia="pt-BR"/>
              </w:rPr>
            </w:pPr>
          </w:p>
        </w:tc>
        <w:tc>
          <w:tcPr>
            <w:tcW w:w="1328" w:type="dxa"/>
            <w:gridSpan w:val="2"/>
            <w:tcBorders>
              <w:top w:val="nil"/>
              <w:left w:val="nil"/>
              <w:bottom w:val="nil"/>
              <w:right w:val="nil"/>
            </w:tcBorders>
            <w:shd w:val="clear" w:color="auto" w:fill="auto"/>
            <w:vAlign w:val="center"/>
          </w:tcPr>
          <w:p w14:paraId="2F8E236C" w14:textId="5F3F85EC" w:rsidR="009F514E" w:rsidRPr="00BF2AAF" w:rsidRDefault="00AD4B42" w:rsidP="00AD4B42">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Pr>
                <w:rFonts w:ascii="Arial" w:hAnsi="Arial" w:cs="Arial"/>
                <w:b/>
                <w:bCs/>
                <w:color w:val="000000"/>
                <w:sz w:val="14"/>
                <w:szCs w:val="14"/>
              </w:rPr>
              <w:t>8.703.353</w:t>
            </w:r>
          </w:p>
        </w:tc>
        <w:tc>
          <w:tcPr>
            <w:tcW w:w="1426" w:type="dxa"/>
            <w:gridSpan w:val="3"/>
            <w:tcBorders>
              <w:top w:val="nil"/>
              <w:left w:val="nil"/>
              <w:bottom w:val="nil"/>
              <w:right w:val="nil"/>
            </w:tcBorders>
            <w:shd w:val="clear" w:color="auto" w:fill="auto"/>
            <w:vAlign w:val="center"/>
          </w:tcPr>
          <w:p w14:paraId="7AF1B8F4" w14:textId="709AED13" w:rsidR="009F514E" w:rsidRPr="009E2F00" w:rsidRDefault="009F514E" w:rsidP="009E2F00">
            <w:pPr>
              <w:jc w:val="right"/>
              <w:cnfStyle w:val="000000010000" w:firstRow="0" w:lastRow="0" w:firstColumn="0" w:lastColumn="0" w:oddVBand="0" w:evenVBand="0" w:oddHBand="0" w:evenHBand="1" w:firstRowFirstColumn="0" w:firstRowLastColumn="0" w:lastRowFirstColumn="0" w:lastRowLastColumn="0"/>
              <w:rPr>
                <w:rFonts w:ascii="Arial" w:hAnsi="Arial" w:cs="Arial"/>
                <w:b/>
                <w:color w:val="000000"/>
                <w:sz w:val="14"/>
                <w:szCs w:val="14"/>
              </w:rPr>
            </w:pPr>
            <w:r w:rsidRPr="009E2F00">
              <w:rPr>
                <w:rFonts w:ascii="Arial" w:hAnsi="Arial" w:cs="Arial"/>
                <w:b/>
                <w:color w:val="000000"/>
                <w:sz w:val="14"/>
                <w:szCs w:val="14"/>
              </w:rPr>
              <w:t>7.947.203</w:t>
            </w:r>
          </w:p>
        </w:tc>
        <w:tc>
          <w:tcPr>
            <w:tcW w:w="290" w:type="dxa"/>
            <w:gridSpan w:val="2"/>
            <w:tcBorders>
              <w:top w:val="nil"/>
              <w:left w:val="nil"/>
              <w:bottom w:val="nil"/>
              <w:right w:val="nil"/>
            </w:tcBorders>
            <w:shd w:val="clear" w:color="auto" w:fill="auto"/>
            <w:vAlign w:val="center"/>
          </w:tcPr>
          <w:p w14:paraId="265156DD" w14:textId="77777777" w:rsidR="009F514E" w:rsidRPr="00BF2AAF" w:rsidRDefault="009F514E" w:rsidP="009F51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307" w:type="dxa"/>
            <w:gridSpan w:val="2"/>
            <w:tcBorders>
              <w:top w:val="nil"/>
              <w:left w:val="nil"/>
              <w:bottom w:val="nil"/>
              <w:right w:val="nil"/>
            </w:tcBorders>
            <w:shd w:val="clear" w:color="auto" w:fill="auto"/>
            <w:vAlign w:val="center"/>
          </w:tcPr>
          <w:p w14:paraId="197E1742" w14:textId="43908981" w:rsidR="009F514E" w:rsidRPr="00BF2AAF" w:rsidRDefault="00EA14DA" w:rsidP="00EA14DA">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highlight w:val="yellow"/>
                <w:lang w:eastAsia="pt-BR"/>
              </w:rPr>
            </w:pPr>
            <w:r>
              <w:rPr>
                <w:rFonts w:ascii="Arial" w:hAnsi="Arial" w:cs="Arial"/>
                <w:b/>
                <w:bCs/>
                <w:color w:val="000000"/>
                <w:sz w:val="14"/>
                <w:szCs w:val="14"/>
              </w:rPr>
              <w:t>8.703.353</w:t>
            </w:r>
          </w:p>
        </w:tc>
        <w:tc>
          <w:tcPr>
            <w:tcW w:w="1428" w:type="dxa"/>
            <w:tcBorders>
              <w:top w:val="nil"/>
              <w:left w:val="nil"/>
              <w:bottom w:val="nil"/>
              <w:right w:val="nil"/>
            </w:tcBorders>
            <w:shd w:val="clear" w:color="auto" w:fill="auto"/>
            <w:vAlign w:val="center"/>
          </w:tcPr>
          <w:p w14:paraId="154EF095" w14:textId="28158FD6" w:rsidR="009F514E" w:rsidRPr="00AC25D1" w:rsidRDefault="009F514E" w:rsidP="00AC25D1">
            <w:pPr>
              <w:jc w:val="right"/>
              <w:cnfStyle w:val="000000010000" w:firstRow="0" w:lastRow="0" w:firstColumn="0" w:lastColumn="0" w:oddVBand="0" w:evenVBand="0" w:oddHBand="0" w:evenHBand="1" w:firstRowFirstColumn="0" w:firstRowLastColumn="0" w:lastRowFirstColumn="0" w:lastRowLastColumn="0"/>
              <w:rPr>
                <w:rFonts w:ascii="Arial" w:hAnsi="Arial" w:cs="Arial"/>
                <w:b/>
                <w:color w:val="000000"/>
                <w:sz w:val="14"/>
                <w:szCs w:val="14"/>
              </w:rPr>
            </w:pPr>
            <w:r w:rsidRPr="00AC25D1">
              <w:rPr>
                <w:rFonts w:ascii="Arial" w:hAnsi="Arial" w:cs="Arial"/>
                <w:b/>
                <w:color w:val="000000"/>
                <w:sz w:val="14"/>
                <w:szCs w:val="14"/>
              </w:rPr>
              <w:t>7.947.203</w:t>
            </w:r>
          </w:p>
        </w:tc>
      </w:tr>
      <w:tr w:rsidR="00A21728" w:rsidRPr="00BF2AAF" w14:paraId="0B249F96" w14:textId="77777777" w:rsidTr="00491785">
        <w:trPr>
          <w:gridAfter w:val="5"/>
          <w:cnfStyle w:val="000000100000" w:firstRow="0" w:lastRow="0" w:firstColumn="0" w:lastColumn="0" w:oddVBand="0" w:evenVBand="0" w:oddHBand="1" w:evenHBand="0" w:firstRowFirstColumn="0" w:firstRowLastColumn="0" w:lastRowFirstColumn="0" w:lastRowLastColumn="0"/>
          <w:wAfter w:w="2914" w:type="dxa"/>
          <w:trHeight w:val="238"/>
          <w:jc w:val="center"/>
        </w:trPr>
        <w:tc>
          <w:tcPr>
            <w:cnfStyle w:val="001000000000" w:firstRow="0" w:lastRow="0" w:firstColumn="1" w:lastColumn="0" w:oddVBand="0" w:evenVBand="0" w:oddHBand="0" w:evenHBand="0" w:firstRowFirstColumn="0" w:firstRowLastColumn="0" w:lastRowFirstColumn="0" w:lastRowLastColumn="0"/>
            <w:tcW w:w="1584" w:type="dxa"/>
            <w:tcBorders>
              <w:top w:val="nil"/>
              <w:left w:val="nil"/>
              <w:bottom w:val="single" w:sz="2" w:space="0" w:color="1F3864" w:themeColor="accent1" w:themeShade="80"/>
              <w:right w:val="nil"/>
            </w:tcBorders>
            <w:shd w:val="clear" w:color="auto" w:fill="auto"/>
            <w:vAlign w:val="center"/>
          </w:tcPr>
          <w:p w14:paraId="3D7C36B0" w14:textId="77777777" w:rsidR="00A21728" w:rsidRPr="00BF2AAF" w:rsidRDefault="00A21728" w:rsidP="00A21728">
            <w:pPr>
              <w:keepNext/>
              <w:keepLines/>
              <w:spacing w:before="40" w:after="40"/>
              <w:rPr>
                <w:rFonts w:ascii="Arial" w:eastAsia="Times New Roman" w:hAnsi="Arial" w:cs="Arial"/>
                <w:spacing w:val="-2"/>
                <w:sz w:val="14"/>
                <w:szCs w:val="14"/>
                <w:lang w:eastAsia="pt-BR"/>
              </w:rPr>
            </w:pPr>
          </w:p>
        </w:tc>
        <w:tc>
          <w:tcPr>
            <w:tcW w:w="1273" w:type="dxa"/>
            <w:tcBorders>
              <w:top w:val="nil"/>
              <w:left w:val="nil"/>
              <w:bottom w:val="single" w:sz="2" w:space="0" w:color="1F3864" w:themeColor="accent1" w:themeShade="80"/>
              <w:right w:val="nil"/>
            </w:tcBorders>
            <w:shd w:val="clear" w:color="auto" w:fill="auto"/>
            <w:vAlign w:val="center"/>
          </w:tcPr>
          <w:p w14:paraId="614AC2CB" w14:textId="77777777" w:rsidR="00A21728" w:rsidRPr="00BF2AAF" w:rsidRDefault="00A21728" w:rsidP="00A217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highlight w:val="yellow"/>
                <w:lang w:eastAsia="pt-BR"/>
              </w:rPr>
            </w:pPr>
          </w:p>
        </w:tc>
        <w:tc>
          <w:tcPr>
            <w:tcW w:w="957" w:type="dxa"/>
            <w:tcBorders>
              <w:top w:val="nil"/>
              <w:left w:val="nil"/>
              <w:bottom w:val="single" w:sz="2" w:space="0" w:color="1F3864" w:themeColor="accent1" w:themeShade="80"/>
              <w:right w:val="nil"/>
            </w:tcBorders>
            <w:shd w:val="clear" w:color="auto" w:fill="auto"/>
            <w:vAlign w:val="center"/>
          </w:tcPr>
          <w:p w14:paraId="0C1FE32E" w14:textId="77777777" w:rsidR="00A21728" w:rsidRPr="00BF2AAF" w:rsidRDefault="00A21728" w:rsidP="00A21728">
            <w:pPr>
              <w:keepNext/>
              <w:keepLines/>
              <w:spacing w:before="40" w:after="40"/>
              <w:ind w:right="52"/>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089" w:type="dxa"/>
            <w:tcBorders>
              <w:top w:val="nil"/>
              <w:left w:val="nil"/>
              <w:bottom w:val="single" w:sz="2" w:space="0" w:color="1F3864" w:themeColor="accent1" w:themeShade="80"/>
              <w:right w:val="nil"/>
            </w:tcBorders>
            <w:shd w:val="clear" w:color="auto" w:fill="auto"/>
            <w:vAlign w:val="center"/>
          </w:tcPr>
          <w:p w14:paraId="3E5B11BC" w14:textId="77777777" w:rsidR="00A21728" w:rsidRPr="00BF2AAF" w:rsidRDefault="00A21728" w:rsidP="00A217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p>
        </w:tc>
        <w:tc>
          <w:tcPr>
            <w:tcW w:w="401" w:type="dxa"/>
            <w:gridSpan w:val="2"/>
            <w:tcBorders>
              <w:top w:val="nil"/>
              <w:left w:val="nil"/>
              <w:bottom w:val="single" w:sz="2" w:space="0" w:color="1F3864" w:themeColor="accent1" w:themeShade="80"/>
              <w:right w:val="nil"/>
            </w:tcBorders>
            <w:shd w:val="clear" w:color="auto" w:fill="auto"/>
            <w:vAlign w:val="center"/>
          </w:tcPr>
          <w:p w14:paraId="46C431B6" w14:textId="77777777" w:rsidR="00A21728" w:rsidRPr="00BF2AAF" w:rsidRDefault="00A21728" w:rsidP="00A217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927" w:type="dxa"/>
            <w:tcBorders>
              <w:top w:val="nil"/>
              <w:left w:val="nil"/>
              <w:bottom w:val="single" w:sz="2" w:space="0" w:color="1F3864" w:themeColor="accent1" w:themeShade="80"/>
              <w:right w:val="nil"/>
            </w:tcBorders>
            <w:shd w:val="clear" w:color="auto" w:fill="auto"/>
            <w:vAlign w:val="center"/>
          </w:tcPr>
          <w:p w14:paraId="6FB3F9D7" w14:textId="77777777" w:rsidR="00A21728" w:rsidRPr="00BF2AAF" w:rsidRDefault="00A21728" w:rsidP="00A217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494" w:type="dxa"/>
            <w:gridSpan w:val="2"/>
            <w:tcBorders>
              <w:top w:val="nil"/>
              <w:left w:val="nil"/>
              <w:bottom w:val="single" w:sz="2" w:space="0" w:color="1F3864" w:themeColor="accent1" w:themeShade="80"/>
              <w:right w:val="nil"/>
            </w:tcBorders>
            <w:shd w:val="clear" w:color="auto" w:fill="auto"/>
            <w:vAlign w:val="center"/>
          </w:tcPr>
          <w:p w14:paraId="6684AE6E" w14:textId="77777777" w:rsidR="00A21728" w:rsidRPr="00BF2AAF" w:rsidRDefault="00A21728" w:rsidP="00A217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4"/>
                <w:szCs w:val="14"/>
              </w:rPr>
            </w:pPr>
          </w:p>
        </w:tc>
      </w:tr>
      <w:tr w:rsidR="00A21728" w:rsidRPr="00BF2AAF" w14:paraId="530DA2FA" w14:textId="77777777" w:rsidTr="00491785">
        <w:trPr>
          <w:gridAfter w:val="1"/>
          <w:cnfStyle w:val="000000010000" w:firstRow="0" w:lastRow="0" w:firstColumn="0" w:lastColumn="0" w:oddVBand="0" w:evenVBand="0" w:oddHBand="0" w:evenHBand="1" w:firstRowFirstColumn="0" w:firstRowLastColumn="0" w:lastRowFirstColumn="0" w:lastRowLastColumn="0"/>
          <w:wAfter w:w="46" w:type="dxa"/>
          <w:trHeight w:val="238"/>
          <w:jc w:val="center"/>
        </w:trPr>
        <w:tc>
          <w:tcPr>
            <w:cnfStyle w:val="001000000000" w:firstRow="0" w:lastRow="0" w:firstColumn="1" w:lastColumn="0" w:oddVBand="0" w:evenVBand="0" w:oddHBand="0" w:evenHBand="0" w:firstRowFirstColumn="0" w:firstRowLastColumn="0" w:lastRowFirstColumn="0" w:lastRowLastColumn="0"/>
            <w:tcW w:w="2857" w:type="dxa"/>
            <w:gridSpan w:val="2"/>
            <w:tcBorders>
              <w:top w:val="single" w:sz="2" w:space="0" w:color="1F3864" w:themeColor="accent1" w:themeShade="80"/>
              <w:left w:val="nil"/>
              <w:bottom w:val="nil"/>
              <w:right w:val="nil"/>
            </w:tcBorders>
            <w:shd w:val="clear" w:color="auto" w:fill="auto"/>
            <w:vAlign w:val="center"/>
            <w:hideMark/>
          </w:tcPr>
          <w:p w14:paraId="170AE701" w14:textId="77777777" w:rsidR="00A21728" w:rsidRPr="00BF2AAF" w:rsidRDefault="00A21728" w:rsidP="00A21728">
            <w:pPr>
              <w:keepNext/>
              <w:keepLines/>
              <w:spacing w:before="40" w:after="40"/>
              <w:rPr>
                <w:rFonts w:ascii="Arial" w:eastAsia="Times New Roman" w:hAnsi="Arial" w:cs="Arial"/>
                <w:b w:val="0"/>
                <w:spacing w:val="-2"/>
                <w:sz w:val="14"/>
                <w:szCs w:val="14"/>
                <w:lang w:eastAsia="pt-BR"/>
              </w:rPr>
            </w:pPr>
            <w:r w:rsidRPr="00BF2AAF">
              <w:rPr>
                <w:rFonts w:ascii="Arial" w:eastAsia="Times New Roman" w:hAnsi="Arial" w:cs="Arial"/>
                <w:b w:val="0"/>
                <w:spacing w:val="-2"/>
                <w:sz w:val="14"/>
                <w:szCs w:val="14"/>
                <w:lang w:eastAsia="pt-BR"/>
              </w:rPr>
              <w:t>Número de ações</w:t>
            </w:r>
          </w:p>
        </w:tc>
        <w:tc>
          <w:tcPr>
            <w:tcW w:w="957" w:type="dxa"/>
            <w:tcBorders>
              <w:top w:val="single" w:sz="2" w:space="0" w:color="1F3864" w:themeColor="accent1" w:themeShade="80"/>
              <w:left w:val="nil"/>
              <w:bottom w:val="nil"/>
              <w:right w:val="nil"/>
            </w:tcBorders>
            <w:shd w:val="clear" w:color="auto" w:fill="auto"/>
            <w:vAlign w:val="center"/>
            <w:hideMark/>
          </w:tcPr>
          <w:p w14:paraId="184CDCF8" w14:textId="77777777" w:rsidR="00A21728" w:rsidRPr="00BF2AAF" w:rsidRDefault="00A21728" w:rsidP="00A21728">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sidRPr="00BF2AAF">
              <w:rPr>
                <w:rFonts w:ascii="Arial" w:eastAsia="Times New Roman" w:hAnsi="Arial" w:cs="Arial"/>
                <w:spacing w:val="-2"/>
                <w:sz w:val="14"/>
                <w:szCs w:val="14"/>
                <w:lang w:eastAsia="pt-BR"/>
              </w:rPr>
              <w:t>[25.d]</w:t>
            </w:r>
          </w:p>
        </w:tc>
        <w:tc>
          <w:tcPr>
            <w:tcW w:w="1328" w:type="dxa"/>
            <w:gridSpan w:val="2"/>
            <w:tcBorders>
              <w:top w:val="single" w:sz="2" w:space="0" w:color="1F3864" w:themeColor="accent1" w:themeShade="80"/>
              <w:left w:val="nil"/>
              <w:bottom w:val="nil"/>
              <w:right w:val="nil"/>
            </w:tcBorders>
            <w:shd w:val="clear" w:color="auto" w:fill="auto"/>
            <w:vAlign w:val="center"/>
            <w:hideMark/>
          </w:tcPr>
          <w:p w14:paraId="57C5D422" w14:textId="77777777" w:rsidR="00A21728" w:rsidRPr="00BF2AAF" w:rsidRDefault="00A21728" w:rsidP="00A21728">
            <w:pPr>
              <w:keepNext/>
              <w:keepLines/>
              <w:spacing w:before="40" w:after="40"/>
              <w:ind w:right="52"/>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BF2AAF">
              <w:rPr>
                <w:rFonts w:ascii="Arial" w:hAnsi="Arial" w:cs="Arial"/>
                <w:sz w:val="14"/>
                <w:szCs w:val="14"/>
              </w:rPr>
              <w:t>2.000.000.000</w:t>
            </w:r>
          </w:p>
        </w:tc>
        <w:tc>
          <w:tcPr>
            <w:tcW w:w="1426" w:type="dxa"/>
            <w:gridSpan w:val="3"/>
            <w:tcBorders>
              <w:top w:val="single" w:sz="2" w:space="0" w:color="1F3864" w:themeColor="accent1" w:themeShade="80"/>
              <w:left w:val="nil"/>
              <w:bottom w:val="nil"/>
              <w:right w:val="nil"/>
            </w:tcBorders>
            <w:shd w:val="clear" w:color="auto" w:fill="auto"/>
            <w:vAlign w:val="center"/>
            <w:hideMark/>
          </w:tcPr>
          <w:p w14:paraId="5B680579" w14:textId="77777777" w:rsidR="00A21728" w:rsidRPr="00BF2AAF" w:rsidRDefault="00A21728" w:rsidP="00A2172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BF2AAF">
              <w:rPr>
                <w:rFonts w:ascii="Arial" w:hAnsi="Arial" w:cs="Arial"/>
                <w:sz w:val="14"/>
                <w:szCs w:val="14"/>
              </w:rPr>
              <w:t>2.000.000.000</w:t>
            </w:r>
          </w:p>
        </w:tc>
        <w:tc>
          <w:tcPr>
            <w:tcW w:w="290" w:type="dxa"/>
            <w:gridSpan w:val="2"/>
            <w:tcBorders>
              <w:top w:val="single" w:sz="2" w:space="0" w:color="1F3864" w:themeColor="accent1" w:themeShade="80"/>
              <w:left w:val="nil"/>
              <w:bottom w:val="nil"/>
              <w:right w:val="nil"/>
            </w:tcBorders>
            <w:shd w:val="clear" w:color="auto" w:fill="auto"/>
            <w:vAlign w:val="center"/>
          </w:tcPr>
          <w:p w14:paraId="40A6ED17" w14:textId="77777777" w:rsidR="00A21728" w:rsidRPr="00BF2AAF" w:rsidRDefault="00A21728" w:rsidP="00A2172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307" w:type="dxa"/>
            <w:gridSpan w:val="2"/>
            <w:tcBorders>
              <w:top w:val="single" w:sz="2" w:space="0" w:color="1F3864" w:themeColor="accent1" w:themeShade="80"/>
              <w:left w:val="nil"/>
              <w:bottom w:val="nil"/>
              <w:right w:val="nil"/>
            </w:tcBorders>
            <w:shd w:val="clear" w:color="auto" w:fill="auto"/>
            <w:vAlign w:val="center"/>
            <w:hideMark/>
          </w:tcPr>
          <w:p w14:paraId="5EE2680A" w14:textId="77777777" w:rsidR="00A21728" w:rsidRPr="00BF2AAF" w:rsidRDefault="00A21728" w:rsidP="00A2172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BF2AAF">
              <w:rPr>
                <w:rFonts w:ascii="Arial" w:hAnsi="Arial" w:cs="Arial"/>
                <w:sz w:val="14"/>
                <w:szCs w:val="14"/>
              </w:rPr>
              <w:t>2.000.000.000</w:t>
            </w:r>
          </w:p>
        </w:tc>
        <w:tc>
          <w:tcPr>
            <w:tcW w:w="1428" w:type="dxa"/>
            <w:tcBorders>
              <w:top w:val="single" w:sz="2" w:space="0" w:color="1F3864" w:themeColor="accent1" w:themeShade="80"/>
              <w:left w:val="nil"/>
              <w:bottom w:val="nil"/>
              <w:right w:val="nil"/>
            </w:tcBorders>
            <w:shd w:val="clear" w:color="auto" w:fill="auto"/>
            <w:vAlign w:val="center"/>
            <w:hideMark/>
          </w:tcPr>
          <w:p w14:paraId="2EBE3BEC" w14:textId="77777777" w:rsidR="00A21728" w:rsidRPr="00BF2AAF" w:rsidRDefault="00A21728" w:rsidP="00A2172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BF2AAF">
              <w:rPr>
                <w:rFonts w:ascii="Arial" w:hAnsi="Arial" w:cs="Arial"/>
                <w:sz w:val="14"/>
                <w:szCs w:val="14"/>
              </w:rPr>
              <w:t>2.000.000.000</w:t>
            </w:r>
          </w:p>
        </w:tc>
      </w:tr>
      <w:tr w:rsidR="00122C63" w:rsidRPr="00BF2AAF" w14:paraId="52DC7894" w14:textId="77777777" w:rsidTr="00122C63">
        <w:trPr>
          <w:gridAfter w:val="1"/>
          <w:cnfStyle w:val="000000100000" w:firstRow="0" w:lastRow="0" w:firstColumn="0" w:lastColumn="0" w:oddVBand="0" w:evenVBand="0" w:oddHBand="1" w:evenHBand="0" w:firstRowFirstColumn="0" w:firstRowLastColumn="0" w:lastRowFirstColumn="0" w:lastRowLastColumn="0"/>
          <w:wAfter w:w="46" w:type="dxa"/>
          <w:trHeight w:val="238"/>
          <w:jc w:val="center"/>
        </w:trPr>
        <w:tc>
          <w:tcPr>
            <w:cnfStyle w:val="001000000000" w:firstRow="0" w:lastRow="0" w:firstColumn="1" w:lastColumn="0" w:oddVBand="0" w:evenVBand="0" w:oddHBand="0" w:evenHBand="0" w:firstRowFirstColumn="0" w:firstRowLastColumn="0" w:lastRowFirstColumn="0" w:lastRowLastColumn="0"/>
            <w:tcW w:w="2857" w:type="dxa"/>
            <w:gridSpan w:val="2"/>
            <w:tcBorders>
              <w:top w:val="nil"/>
              <w:left w:val="nil"/>
              <w:bottom w:val="nil"/>
              <w:right w:val="nil"/>
            </w:tcBorders>
            <w:shd w:val="clear" w:color="auto" w:fill="auto"/>
            <w:vAlign w:val="center"/>
            <w:hideMark/>
          </w:tcPr>
          <w:p w14:paraId="4D322D48" w14:textId="77777777" w:rsidR="00122C63" w:rsidRPr="00BF2AAF" w:rsidRDefault="00122C63" w:rsidP="00122C63">
            <w:pPr>
              <w:keepNext/>
              <w:keepLines/>
              <w:spacing w:before="40" w:after="40"/>
              <w:rPr>
                <w:rFonts w:ascii="Arial" w:eastAsia="Times New Roman" w:hAnsi="Arial" w:cs="Arial"/>
                <w:b w:val="0"/>
                <w:spacing w:val="-2"/>
                <w:sz w:val="14"/>
                <w:szCs w:val="14"/>
                <w:lang w:eastAsia="pt-BR"/>
              </w:rPr>
            </w:pPr>
            <w:r w:rsidRPr="00BF2AAF">
              <w:rPr>
                <w:rFonts w:ascii="Arial" w:eastAsia="Times New Roman" w:hAnsi="Arial" w:cs="Arial"/>
                <w:b w:val="0"/>
                <w:spacing w:val="-2"/>
                <w:sz w:val="14"/>
                <w:szCs w:val="14"/>
                <w:lang w:eastAsia="pt-BR"/>
              </w:rPr>
              <w:t>Número médio ponderado de ações (básico e diluído)</w:t>
            </w:r>
          </w:p>
        </w:tc>
        <w:tc>
          <w:tcPr>
            <w:tcW w:w="957" w:type="dxa"/>
            <w:tcBorders>
              <w:top w:val="nil"/>
              <w:left w:val="nil"/>
              <w:bottom w:val="nil"/>
              <w:right w:val="nil"/>
            </w:tcBorders>
            <w:shd w:val="clear" w:color="auto" w:fill="auto"/>
            <w:vAlign w:val="center"/>
            <w:hideMark/>
          </w:tcPr>
          <w:p w14:paraId="1900028B" w14:textId="77777777" w:rsidR="00122C63" w:rsidRPr="00BF2AAF" w:rsidRDefault="00122C63" w:rsidP="00122C6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[25.a]</w:t>
            </w:r>
          </w:p>
        </w:tc>
        <w:tc>
          <w:tcPr>
            <w:tcW w:w="1328" w:type="dxa"/>
            <w:gridSpan w:val="2"/>
            <w:tcBorders>
              <w:top w:val="nil"/>
              <w:left w:val="nil"/>
              <w:bottom w:val="nil"/>
              <w:right w:val="nil"/>
            </w:tcBorders>
            <w:shd w:val="clear" w:color="auto" w:fill="auto"/>
            <w:vAlign w:val="center"/>
          </w:tcPr>
          <w:p w14:paraId="306E4ABD" w14:textId="1D670CF4" w:rsidR="00122C63" w:rsidRPr="00BF2AAF" w:rsidRDefault="00AD38FC" w:rsidP="00122C63">
            <w:pPr>
              <w:keepNext/>
              <w:keepLines/>
              <w:spacing w:before="40" w:after="40"/>
              <w:ind w:right="52"/>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AD38FC">
              <w:rPr>
                <w:rFonts w:ascii="Arial" w:hAnsi="Arial" w:cs="Arial"/>
                <w:sz w:val="14"/>
                <w:szCs w:val="14"/>
              </w:rPr>
              <w:t>1.953.414.779</w:t>
            </w:r>
          </w:p>
        </w:tc>
        <w:tc>
          <w:tcPr>
            <w:tcW w:w="1426" w:type="dxa"/>
            <w:gridSpan w:val="3"/>
            <w:tcBorders>
              <w:top w:val="nil"/>
              <w:left w:val="nil"/>
              <w:bottom w:val="nil"/>
              <w:right w:val="nil"/>
            </w:tcBorders>
            <w:shd w:val="clear" w:color="auto" w:fill="auto"/>
            <w:vAlign w:val="center"/>
            <w:hideMark/>
          </w:tcPr>
          <w:p w14:paraId="12361000" w14:textId="22B31C3A" w:rsidR="00122C63" w:rsidRPr="00BF2AAF" w:rsidRDefault="00122C63" w:rsidP="00122C6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BF2AAF">
              <w:rPr>
                <w:rFonts w:ascii="Arial" w:hAnsi="Arial" w:cs="Arial"/>
                <w:sz w:val="14"/>
                <w:szCs w:val="14"/>
              </w:rPr>
              <w:t>1.993.418.627</w:t>
            </w:r>
          </w:p>
        </w:tc>
        <w:tc>
          <w:tcPr>
            <w:tcW w:w="290" w:type="dxa"/>
            <w:gridSpan w:val="2"/>
            <w:tcBorders>
              <w:top w:val="nil"/>
              <w:left w:val="nil"/>
              <w:bottom w:val="nil"/>
              <w:right w:val="nil"/>
            </w:tcBorders>
            <w:shd w:val="clear" w:color="auto" w:fill="auto"/>
            <w:vAlign w:val="center"/>
          </w:tcPr>
          <w:p w14:paraId="3F109396" w14:textId="77777777" w:rsidR="00122C63" w:rsidRPr="00BF2AAF" w:rsidRDefault="00122C63" w:rsidP="00122C6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307" w:type="dxa"/>
            <w:gridSpan w:val="2"/>
            <w:tcBorders>
              <w:top w:val="nil"/>
              <w:left w:val="nil"/>
              <w:bottom w:val="nil"/>
              <w:right w:val="nil"/>
            </w:tcBorders>
            <w:shd w:val="clear" w:color="auto" w:fill="auto"/>
            <w:vAlign w:val="center"/>
          </w:tcPr>
          <w:p w14:paraId="79FAB52F" w14:textId="44DEEB5C" w:rsidR="00122C63" w:rsidRPr="00BF2AAF" w:rsidRDefault="00F8509B" w:rsidP="00122C6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F8509B">
              <w:rPr>
                <w:rFonts w:ascii="Arial" w:eastAsia="Times New Roman" w:hAnsi="Arial" w:cs="Arial"/>
                <w:spacing w:val="-2"/>
                <w:sz w:val="14"/>
                <w:szCs w:val="14"/>
                <w:lang w:eastAsia="pt-BR"/>
              </w:rPr>
              <w:t>1.953.414.779</w:t>
            </w:r>
          </w:p>
        </w:tc>
        <w:tc>
          <w:tcPr>
            <w:tcW w:w="1428" w:type="dxa"/>
            <w:tcBorders>
              <w:top w:val="nil"/>
              <w:left w:val="nil"/>
              <w:bottom w:val="nil"/>
              <w:right w:val="nil"/>
            </w:tcBorders>
            <w:shd w:val="clear" w:color="auto" w:fill="auto"/>
            <w:vAlign w:val="center"/>
            <w:hideMark/>
          </w:tcPr>
          <w:p w14:paraId="2205C828" w14:textId="54DD98C6" w:rsidR="00122C63" w:rsidRPr="00BF2AAF" w:rsidRDefault="00122C63" w:rsidP="00122C6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1.993.418.627</w:t>
            </w:r>
          </w:p>
        </w:tc>
      </w:tr>
      <w:tr w:rsidR="00122C63" w:rsidRPr="00BF2AAF" w14:paraId="09FDF9FF" w14:textId="77777777" w:rsidTr="00122C63">
        <w:trPr>
          <w:gridAfter w:val="1"/>
          <w:cnfStyle w:val="000000010000" w:firstRow="0" w:lastRow="0" w:firstColumn="0" w:lastColumn="0" w:oddVBand="0" w:evenVBand="0" w:oddHBand="0" w:evenHBand="1" w:firstRowFirstColumn="0" w:firstRowLastColumn="0" w:lastRowFirstColumn="0" w:lastRowLastColumn="0"/>
          <w:wAfter w:w="46" w:type="dxa"/>
          <w:trHeight w:val="238"/>
          <w:jc w:val="center"/>
        </w:trPr>
        <w:tc>
          <w:tcPr>
            <w:cnfStyle w:val="001000000000" w:firstRow="0" w:lastRow="0" w:firstColumn="1" w:lastColumn="0" w:oddVBand="0" w:evenVBand="0" w:oddHBand="0" w:evenHBand="0" w:firstRowFirstColumn="0" w:firstRowLastColumn="0" w:lastRowFirstColumn="0" w:lastRowLastColumn="0"/>
            <w:tcW w:w="2857" w:type="dxa"/>
            <w:gridSpan w:val="2"/>
            <w:tcBorders>
              <w:top w:val="nil"/>
              <w:left w:val="nil"/>
              <w:bottom w:val="single" w:sz="2" w:space="0" w:color="1F3864" w:themeColor="accent1" w:themeShade="80"/>
              <w:right w:val="nil"/>
            </w:tcBorders>
            <w:shd w:val="clear" w:color="auto" w:fill="auto"/>
            <w:vAlign w:val="center"/>
            <w:hideMark/>
          </w:tcPr>
          <w:p w14:paraId="6F0A9BA2" w14:textId="77777777" w:rsidR="00122C63" w:rsidRPr="00BF2AAF" w:rsidRDefault="00122C63" w:rsidP="00122C63">
            <w:pPr>
              <w:keepNext/>
              <w:keepLines/>
              <w:spacing w:before="40" w:after="40"/>
              <w:rPr>
                <w:rFonts w:ascii="Arial" w:eastAsia="Times New Roman" w:hAnsi="Arial" w:cs="Arial"/>
                <w:b w:val="0"/>
                <w:spacing w:val="-2"/>
                <w:sz w:val="14"/>
                <w:szCs w:val="14"/>
                <w:lang w:eastAsia="pt-BR"/>
              </w:rPr>
            </w:pPr>
            <w:r w:rsidRPr="00BF2AAF">
              <w:rPr>
                <w:rFonts w:ascii="Arial" w:eastAsia="Times New Roman" w:hAnsi="Arial" w:cs="Arial"/>
                <w:b w:val="0"/>
                <w:spacing w:val="-2"/>
                <w:sz w:val="14"/>
                <w:szCs w:val="14"/>
                <w:lang w:eastAsia="pt-BR"/>
              </w:rPr>
              <w:t>Lucro por ação (básico e diluído) (R$)</w:t>
            </w:r>
          </w:p>
        </w:tc>
        <w:tc>
          <w:tcPr>
            <w:tcW w:w="957" w:type="dxa"/>
            <w:tcBorders>
              <w:top w:val="nil"/>
              <w:left w:val="nil"/>
              <w:bottom w:val="single" w:sz="2" w:space="0" w:color="1F3864" w:themeColor="accent1" w:themeShade="80"/>
              <w:right w:val="nil"/>
            </w:tcBorders>
            <w:shd w:val="clear" w:color="auto" w:fill="auto"/>
            <w:vAlign w:val="center"/>
            <w:hideMark/>
          </w:tcPr>
          <w:p w14:paraId="050175D7" w14:textId="77777777" w:rsidR="00122C63" w:rsidRPr="00BF2AAF" w:rsidRDefault="00122C63" w:rsidP="00122C6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[25.a]</w:t>
            </w:r>
          </w:p>
        </w:tc>
        <w:tc>
          <w:tcPr>
            <w:tcW w:w="1328" w:type="dxa"/>
            <w:gridSpan w:val="2"/>
            <w:tcBorders>
              <w:top w:val="nil"/>
              <w:left w:val="nil"/>
              <w:bottom w:val="single" w:sz="2" w:space="0" w:color="1F3864" w:themeColor="accent1" w:themeShade="80"/>
              <w:right w:val="nil"/>
            </w:tcBorders>
            <w:shd w:val="clear" w:color="auto" w:fill="auto"/>
            <w:vAlign w:val="center"/>
          </w:tcPr>
          <w:p w14:paraId="24126072" w14:textId="2FCED3EB" w:rsidR="00122C63" w:rsidRPr="00BF2AAF" w:rsidRDefault="00C710A7" w:rsidP="00122C63">
            <w:pPr>
              <w:keepNext/>
              <w:keepLines/>
              <w:spacing w:before="40" w:after="40"/>
              <w:ind w:right="52"/>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C710A7">
              <w:rPr>
                <w:rFonts w:ascii="Arial" w:eastAsia="Times New Roman" w:hAnsi="Arial" w:cs="Arial"/>
                <w:spacing w:val="-2"/>
                <w:sz w:val="14"/>
                <w:szCs w:val="14"/>
                <w:lang w:eastAsia="pt-BR"/>
              </w:rPr>
              <w:t>4,46</w:t>
            </w:r>
          </w:p>
        </w:tc>
        <w:tc>
          <w:tcPr>
            <w:tcW w:w="1426" w:type="dxa"/>
            <w:gridSpan w:val="3"/>
            <w:tcBorders>
              <w:top w:val="nil"/>
              <w:left w:val="nil"/>
              <w:bottom w:val="single" w:sz="2" w:space="0" w:color="1F3864" w:themeColor="accent1" w:themeShade="80"/>
              <w:right w:val="nil"/>
            </w:tcBorders>
            <w:shd w:val="clear" w:color="auto" w:fill="auto"/>
            <w:vAlign w:val="center"/>
            <w:hideMark/>
          </w:tcPr>
          <w:p w14:paraId="700AB6C0" w14:textId="7DC9DF7E" w:rsidR="00122C63" w:rsidRPr="00BF2AAF" w:rsidRDefault="00122C63" w:rsidP="00122C6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3,99</w:t>
            </w:r>
          </w:p>
        </w:tc>
        <w:tc>
          <w:tcPr>
            <w:tcW w:w="290" w:type="dxa"/>
            <w:gridSpan w:val="2"/>
            <w:tcBorders>
              <w:top w:val="nil"/>
              <w:left w:val="nil"/>
              <w:bottom w:val="single" w:sz="2" w:space="0" w:color="1F3864" w:themeColor="accent1" w:themeShade="80"/>
              <w:right w:val="nil"/>
            </w:tcBorders>
            <w:shd w:val="clear" w:color="auto" w:fill="auto"/>
            <w:vAlign w:val="center"/>
          </w:tcPr>
          <w:p w14:paraId="6611CC93" w14:textId="77777777" w:rsidR="00122C63" w:rsidRPr="00BF2AAF" w:rsidRDefault="00122C63" w:rsidP="00122C6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307" w:type="dxa"/>
            <w:gridSpan w:val="2"/>
            <w:tcBorders>
              <w:top w:val="nil"/>
              <w:left w:val="nil"/>
              <w:bottom w:val="single" w:sz="2" w:space="0" w:color="1F3864" w:themeColor="accent1" w:themeShade="80"/>
              <w:right w:val="nil"/>
            </w:tcBorders>
            <w:shd w:val="clear" w:color="auto" w:fill="auto"/>
            <w:vAlign w:val="center"/>
          </w:tcPr>
          <w:p w14:paraId="53E201BC" w14:textId="28684639" w:rsidR="00122C63" w:rsidRPr="00BF2AAF" w:rsidRDefault="00C710A7" w:rsidP="00122C6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C710A7">
              <w:rPr>
                <w:rFonts w:ascii="Arial" w:eastAsia="Times New Roman" w:hAnsi="Arial" w:cs="Arial"/>
                <w:spacing w:val="-2"/>
                <w:sz w:val="14"/>
                <w:szCs w:val="14"/>
                <w:lang w:eastAsia="pt-BR"/>
              </w:rPr>
              <w:t>4,46</w:t>
            </w:r>
          </w:p>
        </w:tc>
        <w:tc>
          <w:tcPr>
            <w:tcW w:w="1428" w:type="dxa"/>
            <w:tcBorders>
              <w:top w:val="nil"/>
              <w:left w:val="nil"/>
              <w:bottom w:val="single" w:sz="2" w:space="0" w:color="1F3864" w:themeColor="accent1" w:themeShade="80"/>
              <w:right w:val="nil"/>
            </w:tcBorders>
            <w:shd w:val="clear" w:color="auto" w:fill="auto"/>
            <w:vAlign w:val="center"/>
            <w:hideMark/>
          </w:tcPr>
          <w:p w14:paraId="20697D70" w14:textId="6E524BEE" w:rsidR="00122C63" w:rsidRPr="00BF2AAF" w:rsidRDefault="00122C63" w:rsidP="00122C6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3,99</w:t>
            </w:r>
          </w:p>
        </w:tc>
      </w:tr>
    </w:tbl>
    <w:p w14:paraId="15BA7B19" w14:textId="68D0904D" w:rsidR="00A86B7A" w:rsidRDefault="00A86B7A" w:rsidP="00A86B7A">
      <w:pPr>
        <w:jc w:val="both"/>
        <w:rPr>
          <w:rFonts w:ascii="Arial" w:eastAsiaTheme="minorHAnsi" w:hAnsi="Arial" w:cs="Arial"/>
          <w:sz w:val="14"/>
          <w:szCs w:val="14"/>
        </w:rPr>
      </w:pPr>
      <w:r w:rsidRPr="00AC5C8C">
        <w:rPr>
          <w:rFonts w:ascii="Arial" w:eastAsiaTheme="minorHAnsi" w:hAnsi="Arial" w:cs="Arial"/>
          <w:sz w:val="14"/>
          <w:szCs w:val="14"/>
        </w:rPr>
        <w:t>As notas explicativas são parte integrante das demonstrações contábeis.</w:t>
      </w:r>
    </w:p>
    <w:p w14:paraId="6B1C12CB" w14:textId="77777777" w:rsidR="004A3D92" w:rsidRPr="00BF2AAF" w:rsidRDefault="004A3D92" w:rsidP="001812D2">
      <w:pPr>
        <w:ind w:right="140"/>
        <w:jc w:val="both"/>
        <w:rPr>
          <w:rFonts w:ascii="Arial" w:hAnsi="Arial" w:cs="Arial"/>
          <w:sz w:val="14"/>
          <w:szCs w:val="14"/>
        </w:rPr>
      </w:pPr>
    </w:p>
    <w:p w14:paraId="363C4564" w14:textId="20B0E05A" w:rsidR="00DC73DF" w:rsidRPr="00BF2AAF" w:rsidRDefault="00DC73DF" w:rsidP="00DC73DF">
      <w:pPr>
        <w:keepNext/>
        <w:keepLines/>
        <w:spacing w:before="360" w:after="40" w:line="259" w:lineRule="auto"/>
        <w:jc w:val="both"/>
        <w:outlineLvl w:val="0"/>
        <w:rPr>
          <w:rFonts w:ascii="Arial" w:eastAsiaTheme="majorEastAsia" w:hAnsi="Arial" w:cs="Arial"/>
          <w:b/>
          <w:color w:val="1F3864" w:themeColor="accent1" w:themeShade="80"/>
          <w:sz w:val="20"/>
          <w:szCs w:val="20"/>
        </w:rPr>
      </w:pPr>
      <w:bookmarkStart w:id="9" w:name="_Toc189757059"/>
      <w:r w:rsidRPr="00BF2AAF">
        <w:rPr>
          <w:rFonts w:ascii="Arial" w:eastAsiaTheme="majorEastAsia" w:hAnsi="Arial" w:cs="Arial"/>
          <w:b/>
          <w:color w:val="1F3864" w:themeColor="accent1" w:themeShade="80"/>
          <w:sz w:val="20"/>
          <w:szCs w:val="20"/>
        </w:rPr>
        <w:t>DEMONSTRAÇÃO DO RESULTADO ABRANGENTE</w:t>
      </w:r>
      <w:bookmarkEnd w:id="9"/>
    </w:p>
    <w:p w14:paraId="55DACE17" w14:textId="77777777" w:rsidR="00174DA7" w:rsidRPr="00BF2AAF" w:rsidRDefault="00174DA7" w:rsidP="00174DA7">
      <w:pPr>
        <w:spacing w:after="0" w:line="240" w:lineRule="auto"/>
        <w:ind w:right="-1"/>
        <w:jc w:val="right"/>
        <w:rPr>
          <w:rFonts w:ascii="Arial" w:eastAsia="Times New Roman" w:hAnsi="Arial" w:cs="Arial"/>
          <w:b/>
          <w:spacing w:val="-2"/>
          <w:sz w:val="14"/>
          <w:szCs w:val="14"/>
          <w:lang w:eastAsia="pt-BR"/>
        </w:rPr>
      </w:pPr>
      <w:bookmarkStart w:id="10" w:name="_Hlk149036179"/>
      <w:r w:rsidRPr="00BF2AAF">
        <w:rPr>
          <w:rFonts w:ascii="Arial" w:eastAsia="Times New Roman" w:hAnsi="Arial" w:cs="Arial"/>
          <w:b/>
          <w:spacing w:val="-2"/>
          <w:sz w:val="14"/>
          <w:szCs w:val="14"/>
          <w:lang w:eastAsia="pt-BR"/>
        </w:rPr>
        <w:t>R$ mil</w:t>
      </w:r>
    </w:p>
    <w:tbl>
      <w:tblPr>
        <w:tblStyle w:val="TabeladeLista6Colorida-nfase5"/>
        <w:tblW w:w="9642" w:type="dxa"/>
        <w:jc w:val="center"/>
        <w:tblLayout w:type="fixed"/>
        <w:tblLook w:val="04A0" w:firstRow="1" w:lastRow="0" w:firstColumn="1" w:lastColumn="0" w:noHBand="0" w:noVBand="1"/>
      </w:tblPr>
      <w:tblGrid>
        <w:gridCol w:w="2976"/>
        <w:gridCol w:w="284"/>
        <w:gridCol w:w="709"/>
        <w:gridCol w:w="1276"/>
        <w:gridCol w:w="1311"/>
        <w:gridCol w:w="291"/>
        <w:gridCol w:w="70"/>
        <w:gridCol w:w="1241"/>
        <w:gridCol w:w="1432"/>
        <w:gridCol w:w="52"/>
      </w:tblGrid>
      <w:tr w:rsidR="00C13E25" w:rsidRPr="00BF2AAF" w14:paraId="5EEF6B9C" w14:textId="77777777" w:rsidTr="00074DB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76" w:type="dxa"/>
            <w:tcBorders>
              <w:top w:val="single" w:sz="2" w:space="0" w:color="1F3864" w:themeColor="accent1" w:themeShade="80"/>
              <w:left w:val="nil"/>
              <w:bottom w:val="nil"/>
              <w:right w:val="nil"/>
            </w:tcBorders>
            <w:shd w:val="clear" w:color="auto" w:fill="auto"/>
            <w:vAlign w:val="center"/>
          </w:tcPr>
          <w:p w14:paraId="46213D2B" w14:textId="77777777" w:rsidR="00C13E25" w:rsidRPr="00BF2AAF" w:rsidRDefault="00C13E25">
            <w:pPr>
              <w:jc w:val="center"/>
              <w:rPr>
                <w:rFonts w:ascii="Arial" w:eastAsiaTheme="minorHAnsi" w:hAnsi="Arial" w:cs="Arial"/>
                <w:sz w:val="14"/>
                <w:szCs w:val="14"/>
              </w:rPr>
            </w:pPr>
          </w:p>
        </w:tc>
        <w:tc>
          <w:tcPr>
            <w:tcW w:w="993" w:type="dxa"/>
            <w:gridSpan w:val="2"/>
            <w:tcBorders>
              <w:top w:val="single" w:sz="2" w:space="0" w:color="1F3864" w:themeColor="accent1" w:themeShade="80"/>
              <w:left w:val="nil"/>
              <w:bottom w:val="nil"/>
              <w:right w:val="nil"/>
            </w:tcBorders>
            <w:shd w:val="clear" w:color="auto" w:fill="auto"/>
            <w:vAlign w:val="center"/>
          </w:tcPr>
          <w:p w14:paraId="04347B48" w14:textId="77777777" w:rsidR="00C13E25" w:rsidRPr="00BF2AAF" w:rsidRDefault="00C13E25">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rPr>
            </w:pPr>
          </w:p>
        </w:tc>
        <w:tc>
          <w:tcPr>
            <w:tcW w:w="2587" w:type="dxa"/>
            <w:gridSpan w:val="2"/>
            <w:tcBorders>
              <w:top w:val="single" w:sz="2" w:space="0" w:color="1F3864" w:themeColor="accent1" w:themeShade="80"/>
              <w:left w:val="nil"/>
              <w:bottom w:val="single" w:sz="2" w:space="0" w:color="1F3864" w:themeColor="accent1" w:themeShade="80"/>
              <w:right w:val="nil"/>
            </w:tcBorders>
            <w:shd w:val="clear" w:color="auto" w:fill="auto"/>
            <w:vAlign w:val="center"/>
            <w:hideMark/>
          </w:tcPr>
          <w:p w14:paraId="6C6A38C5" w14:textId="77777777" w:rsidR="00C13E25" w:rsidRPr="004A3EC3" w:rsidRDefault="00C13E25">
            <w:pPr>
              <w:keepNext/>
              <w:keepLines/>
              <w:spacing w:before="40" w:after="40"/>
              <w:ind w:right="52"/>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013F">
              <w:rPr>
                <w:rFonts w:ascii="Arial" w:hAnsi="Arial" w:cs="Arial"/>
                <w:color w:val="000000"/>
                <w:sz w:val="14"/>
                <w:szCs w:val="14"/>
              </w:rPr>
              <w:t>Controlador</w:t>
            </w:r>
          </w:p>
        </w:tc>
        <w:tc>
          <w:tcPr>
            <w:tcW w:w="361" w:type="dxa"/>
            <w:gridSpan w:val="2"/>
            <w:tcBorders>
              <w:top w:val="single" w:sz="2" w:space="0" w:color="1F3864" w:themeColor="accent1" w:themeShade="80"/>
              <w:left w:val="nil"/>
              <w:bottom w:val="nil"/>
              <w:right w:val="nil"/>
            </w:tcBorders>
            <w:shd w:val="clear" w:color="auto" w:fill="auto"/>
            <w:vAlign w:val="center"/>
          </w:tcPr>
          <w:p w14:paraId="4210BF93" w14:textId="77777777" w:rsidR="00C13E25" w:rsidRPr="00BF2AAF" w:rsidRDefault="00C13E25">
            <w:pPr>
              <w:ind w:left="1025"/>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rPr>
            </w:pPr>
          </w:p>
        </w:tc>
        <w:tc>
          <w:tcPr>
            <w:tcW w:w="2725" w:type="dxa"/>
            <w:gridSpan w:val="3"/>
            <w:tcBorders>
              <w:top w:val="single" w:sz="2" w:space="0" w:color="1F3864" w:themeColor="accent1" w:themeShade="80"/>
              <w:left w:val="nil"/>
              <w:bottom w:val="single" w:sz="2" w:space="0" w:color="1F3864" w:themeColor="accent1" w:themeShade="80"/>
              <w:right w:val="nil"/>
            </w:tcBorders>
            <w:shd w:val="clear" w:color="auto" w:fill="auto"/>
            <w:vAlign w:val="center"/>
            <w:hideMark/>
          </w:tcPr>
          <w:p w14:paraId="1792345C" w14:textId="77777777" w:rsidR="00C13E25" w:rsidRPr="004A3EC3" w:rsidRDefault="00C13E25">
            <w:pPr>
              <w:keepNext/>
              <w:keepLines/>
              <w:spacing w:before="40" w:after="40"/>
              <w:ind w:right="52"/>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4"/>
                <w:szCs w:val="14"/>
              </w:rPr>
            </w:pPr>
            <w:r w:rsidRPr="004C013F">
              <w:rPr>
                <w:rFonts w:ascii="Arial" w:hAnsi="Arial" w:cs="Arial"/>
                <w:color w:val="000000"/>
                <w:sz w:val="14"/>
                <w:szCs w:val="14"/>
              </w:rPr>
              <w:t>Consolidado</w:t>
            </w:r>
          </w:p>
        </w:tc>
      </w:tr>
      <w:tr w:rsidR="00074DB7" w:rsidRPr="00BF2AAF" w14:paraId="48D3F988" w14:textId="77777777" w:rsidTr="00074DB7">
        <w:trPr>
          <w:gridAfter w:val="1"/>
          <w:cnfStyle w:val="000000100000" w:firstRow="0" w:lastRow="0" w:firstColumn="0" w:lastColumn="0" w:oddVBand="0" w:evenVBand="0" w:oddHBand="1" w:evenHBand="0" w:firstRowFirstColumn="0" w:firstRowLastColumn="0" w:lastRowFirstColumn="0" w:lastRowLastColumn="0"/>
          <w:wAfter w:w="52" w:type="dxa"/>
          <w:trHeight w:val="238"/>
          <w:jc w:val="center"/>
        </w:trPr>
        <w:tc>
          <w:tcPr>
            <w:cnfStyle w:val="001000000000" w:firstRow="0" w:lastRow="0" w:firstColumn="1" w:lastColumn="0" w:oddVBand="0" w:evenVBand="0" w:oddHBand="0" w:evenHBand="0" w:firstRowFirstColumn="0" w:firstRowLastColumn="0" w:lastRowFirstColumn="0" w:lastRowLastColumn="0"/>
            <w:tcW w:w="2976" w:type="dxa"/>
            <w:tcBorders>
              <w:top w:val="nil"/>
              <w:left w:val="nil"/>
              <w:bottom w:val="single" w:sz="2" w:space="0" w:color="1F3864" w:themeColor="accent1" w:themeShade="80"/>
              <w:right w:val="nil"/>
            </w:tcBorders>
            <w:shd w:val="clear" w:color="auto" w:fill="auto"/>
            <w:vAlign w:val="center"/>
          </w:tcPr>
          <w:p w14:paraId="220036BC" w14:textId="77777777" w:rsidR="00C13E25" w:rsidRPr="00BF2AAF" w:rsidRDefault="00C13E25">
            <w:pPr>
              <w:keepNext/>
              <w:keepLines/>
              <w:spacing w:before="40" w:after="40"/>
              <w:rPr>
                <w:rFonts w:ascii="Arial" w:eastAsia="Times New Roman" w:hAnsi="Arial" w:cs="Arial"/>
                <w:spacing w:val="-2"/>
                <w:sz w:val="14"/>
                <w:szCs w:val="14"/>
                <w:lang w:eastAsia="pt-BR"/>
              </w:rPr>
            </w:pPr>
          </w:p>
        </w:tc>
        <w:tc>
          <w:tcPr>
            <w:tcW w:w="993" w:type="dxa"/>
            <w:gridSpan w:val="2"/>
            <w:tcBorders>
              <w:top w:val="nil"/>
              <w:left w:val="nil"/>
              <w:bottom w:val="single" w:sz="2" w:space="0" w:color="1F3864" w:themeColor="accent1" w:themeShade="80"/>
              <w:right w:val="nil"/>
            </w:tcBorders>
            <w:shd w:val="clear" w:color="auto" w:fill="auto"/>
            <w:vAlign w:val="center"/>
            <w:hideMark/>
          </w:tcPr>
          <w:p w14:paraId="7D4095D2" w14:textId="77777777" w:rsidR="00C13E25" w:rsidRPr="00BF2AAF" w:rsidRDefault="00C13E2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BF2AAF">
              <w:rPr>
                <w:rFonts w:ascii="Arial" w:eastAsia="Times New Roman" w:hAnsi="Arial" w:cs="Arial"/>
                <w:b/>
                <w:spacing w:val="-2"/>
                <w:sz w:val="14"/>
                <w:szCs w:val="14"/>
                <w:lang w:eastAsia="pt-BR"/>
              </w:rPr>
              <w:t>Nota</w:t>
            </w:r>
          </w:p>
        </w:tc>
        <w:tc>
          <w:tcPr>
            <w:tcW w:w="1276" w:type="dxa"/>
            <w:tcBorders>
              <w:top w:val="single" w:sz="2" w:space="0" w:color="1F3864" w:themeColor="accent1" w:themeShade="80"/>
              <w:left w:val="nil"/>
              <w:bottom w:val="single" w:sz="2" w:space="0" w:color="1F3864" w:themeColor="accent1" w:themeShade="80"/>
              <w:right w:val="nil"/>
            </w:tcBorders>
            <w:shd w:val="clear" w:color="auto" w:fill="auto"/>
            <w:vAlign w:val="center"/>
            <w:hideMark/>
          </w:tcPr>
          <w:p w14:paraId="31C09D17" w14:textId="77777777" w:rsidR="00C13E25" w:rsidRPr="00BF2AAF" w:rsidRDefault="00C13E25">
            <w:pPr>
              <w:keepNext/>
              <w:keepLines/>
              <w:spacing w:before="40" w:after="40"/>
              <w:ind w:right="57"/>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BF2AAF">
              <w:rPr>
                <w:rFonts w:ascii="Arial" w:hAnsi="Arial" w:cs="Arial"/>
                <w:b/>
                <w:sz w:val="14"/>
                <w:szCs w:val="14"/>
              </w:rPr>
              <w:t>Exercício 202</w:t>
            </w:r>
            <w:r>
              <w:rPr>
                <w:rFonts w:ascii="Arial" w:hAnsi="Arial" w:cs="Arial"/>
                <w:b/>
                <w:sz w:val="14"/>
                <w:szCs w:val="14"/>
              </w:rPr>
              <w:t>4</w:t>
            </w:r>
          </w:p>
        </w:tc>
        <w:tc>
          <w:tcPr>
            <w:tcW w:w="1311" w:type="dxa"/>
            <w:tcBorders>
              <w:top w:val="single" w:sz="2" w:space="0" w:color="1F3864" w:themeColor="accent1" w:themeShade="80"/>
              <w:left w:val="nil"/>
              <w:bottom w:val="single" w:sz="2" w:space="0" w:color="1F3864" w:themeColor="accent1" w:themeShade="80"/>
              <w:right w:val="nil"/>
            </w:tcBorders>
            <w:shd w:val="clear" w:color="auto" w:fill="auto"/>
            <w:vAlign w:val="center"/>
            <w:hideMark/>
          </w:tcPr>
          <w:p w14:paraId="45574250" w14:textId="77777777" w:rsidR="00C13E25" w:rsidRPr="00BF2AAF" w:rsidRDefault="00C13E25">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BF2AAF">
              <w:rPr>
                <w:rFonts w:ascii="Arial" w:eastAsia="Times New Roman" w:hAnsi="Arial" w:cs="Arial"/>
                <w:b/>
                <w:spacing w:val="-2"/>
                <w:sz w:val="14"/>
                <w:szCs w:val="14"/>
                <w:lang w:eastAsia="pt-BR"/>
              </w:rPr>
              <w:t>Exercício 202</w:t>
            </w:r>
            <w:r>
              <w:rPr>
                <w:rFonts w:ascii="Arial" w:eastAsia="Times New Roman" w:hAnsi="Arial" w:cs="Arial"/>
                <w:b/>
                <w:spacing w:val="-2"/>
                <w:sz w:val="14"/>
                <w:szCs w:val="14"/>
                <w:lang w:eastAsia="pt-BR"/>
              </w:rPr>
              <w:t>3</w:t>
            </w:r>
          </w:p>
        </w:tc>
        <w:tc>
          <w:tcPr>
            <w:tcW w:w="291" w:type="dxa"/>
            <w:tcBorders>
              <w:top w:val="nil"/>
              <w:left w:val="nil"/>
              <w:bottom w:val="single" w:sz="2" w:space="0" w:color="1F3864" w:themeColor="accent1" w:themeShade="80"/>
              <w:right w:val="nil"/>
            </w:tcBorders>
            <w:shd w:val="clear" w:color="auto" w:fill="auto"/>
            <w:vAlign w:val="center"/>
          </w:tcPr>
          <w:p w14:paraId="3F97D16D" w14:textId="77777777" w:rsidR="00C13E25" w:rsidRPr="00BF2AAF" w:rsidRDefault="00C13E2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311" w:type="dxa"/>
            <w:gridSpan w:val="2"/>
            <w:tcBorders>
              <w:top w:val="single" w:sz="2" w:space="0" w:color="1F3864" w:themeColor="accent1" w:themeShade="80"/>
              <w:left w:val="nil"/>
              <w:bottom w:val="single" w:sz="2" w:space="0" w:color="1F3864" w:themeColor="accent1" w:themeShade="80"/>
              <w:right w:val="nil"/>
            </w:tcBorders>
            <w:shd w:val="clear" w:color="auto" w:fill="auto"/>
            <w:vAlign w:val="center"/>
            <w:hideMark/>
          </w:tcPr>
          <w:p w14:paraId="3E4A1EAF" w14:textId="77777777" w:rsidR="00C13E25" w:rsidRPr="00BF2AAF" w:rsidRDefault="00C13E25">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BF2AAF">
              <w:rPr>
                <w:rFonts w:ascii="Arial" w:eastAsia="Times New Roman" w:hAnsi="Arial" w:cs="Arial"/>
                <w:b/>
                <w:spacing w:val="-2"/>
                <w:sz w:val="14"/>
                <w:szCs w:val="14"/>
                <w:lang w:eastAsia="pt-BR"/>
              </w:rPr>
              <w:t>Exercício 202</w:t>
            </w:r>
            <w:r>
              <w:rPr>
                <w:rFonts w:ascii="Arial" w:eastAsia="Times New Roman" w:hAnsi="Arial" w:cs="Arial"/>
                <w:b/>
                <w:spacing w:val="-2"/>
                <w:sz w:val="14"/>
                <w:szCs w:val="14"/>
                <w:lang w:eastAsia="pt-BR"/>
              </w:rPr>
              <w:t>4</w:t>
            </w:r>
          </w:p>
        </w:tc>
        <w:tc>
          <w:tcPr>
            <w:tcW w:w="1432" w:type="dxa"/>
            <w:tcBorders>
              <w:top w:val="single" w:sz="2" w:space="0" w:color="1F3864" w:themeColor="accent1" w:themeShade="80"/>
              <w:left w:val="nil"/>
              <w:bottom w:val="single" w:sz="2" w:space="0" w:color="1F3864" w:themeColor="accent1" w:themeShade="80"/>
              <w:right w:val="nil"/>
            </w:tcBorders>
            <w:shd w:val="clear" w:color="auto" w:fill="auto"/>
            <w:vAlign w:val="center"/>
            <w:hideMark/>
          </w:tcPr>
          <w:p w14:paraId="3C88027B" w14:textId="77777777" w:rsidR="00C13E25" w:rsidRPr="00BF2AAF" w:rsidRDefault="00C13E25">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BF2AAF">
              <w:rPr>
                <w:rFonts w:ascii="Arial" w:eastAsia="Times New Roman" w:hAnsi="Arial" w:cs="Arial"/>
                <w:b/>
                <w:spacing w:val="-2"/>
                <w:sz w:val="14"/>
                <w:szCs w:val="14"/>
                <w:lang w:eastAsia="pt-BR"/>
              </w:rPr>
              <w:t>Exercício 202</w:t>
            </w:r>
            <w:r>
              <w:rPr>
                <w:rFonts w:ascii="Arial" w:eastAsia="Times New Roman" w:hAnsi="Arial" w:cs="Arial"/>
                <w:b/>
                <w:spacing w:val="-2"/>
                <w:sz w:val="14"/>
                <w:szCs w:val="14"/>
                <w:lang w:eastAsia="pt-BR"/>
              </w:rPr>
              <w:t>3</w:t>
            </w:r>
          </w:p>
        </w:tc>
      </w:tr>
      <w:tr w:rsidR="003B7372" w:rsidRPr="00BF2AAF" w14:paraId="291886E4" w14:textId="77777777" w:rsidTr="003B7372">
        <w:trPr>
          <w:gridAfter w:val="1"/>
          <w:cnfStyle w:val="000000010000" w:firstRow="0" w:lastRow="0" w:firstColumn="0" w:lastColumn="0" w:oddVBand="0" w:evenVBand="0" w:oddHBand="0" w:evenHBand="1" w:firstRowFirstColumn="0" w:firstRowLastColumn="0" w:lastRowFirstColumn="0" w:lastRowLastColumn="0"/>
          <w:wAfter w:w="52" w:type="dxa"/>
          <w:trHeight w:val="238"/>
          <w:jc w:val="center"/>
        </w:trPr>
        <w:tc>
          <w:tcPr>
            <w:cnfStyle w:val="001000000000" w:firstRow="0" w:lastRow="0" w:firstColumn="1" w:lastColumn="0" w:oddVBand="0" w:evenVBand="0" w:oddHBand="0" w:evenHBand="0" w:firstRowFirstColumn="0" w:firstRowLastColumn="0" w:lastRowFirstColumn="0" w:lastRowLastColumn="0"/>
            <w:tcW w:w="3260" w:type="dxa"/>
            <w:gridSpan w:val="2"/>
            <w:tcBorders>
              <w:top w:val="single" w:sz="2" w:space="0" w:color="1F3864" w:themeColor="accent1" w:themeShade="80"/>
              <w:left w:val="nil"/>
              <w:bottom w:val="nil"/>
              <w:right w:val="nil"/>
            </w:tcBorders>
            <w:shd w:val="clear" w:color="auto" w:fill="auto"/>
            <w:vAlign w:val="center"/>
            <w:hideMark/>
          </w:tcPr>
          <w:p w14:paraId="0718AFE0" w14:textId="77777777" w:rsidR="003B7372" w:rsidRPr="00BF2AAF" w:rsidRDefault="003B7372" w:rsidP="003B7372">
            <w:pPr>
              <w:keepNext/>
              <w:keepLines/>
              <w:spacing w:before="40" w:after="4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Lucro Líquido do Exercício</w:t>
            </w:r>
          </w:p>
        </w:tc>
        <w:tc>
          <w:tcPr>
            <w:tcW w:w="709" w:type="dxa"/>
            <w:tcBorders>
              <w:top w:val="single" w:sz="2" w:space="0" w:color="1F3864" w:themeColor="accent1" w:themeShade="80"/>
              <w:left w:val="nil"/>
              <w:bottom w:val="nil"/>
              <w:right w:val="nil"/>
            </w:tcBorders>
            <w:shd w:val="clear" w:color="auto" w:fill="auto"/>
            <w:vAlign w:val="center"/>
          </w:tcPr>
          <w:p w14:paraId="591FD334" w14:textId="77777777" w:rsidR="003B7372" w:rsidRPr="00BF2AAF" w:rsidRDefault="003B7372" w:rsidP="003B737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76" w:type="dxa"/>
            <w:tcBorders>
              <w:top w:val="single" w:sz="2" w:space="0" w:color="1F3864" w:themeColor="accent1" w:themeShade="80"/>
              <w:left w:val="nil"/>
              <w:bottom w:val="nil"/>
              <w:right w:val="nil"/>
            </w:tcBorders>
            <w:shd w:val="clear" w:color="auto" w:fill="auto"/>
            <w:vAlign w:val="center"/>
          </w:tcPr>
          <w:p w14:paraId="34F65FE3" w14:textId="6B079789" w:rsidR="003B7372" w:rsidRPr="00BF2AAF" w:rsidRDefault="003B7372" w:rsidP="003B7372">
            <w:pPr>
              <w:keepNext/>
              <w:keepLines/>
              <w:spacing w:before="40" w:after="40"/>
              <w:ind w:right="52"/>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Pr>
                <w:rFonts w:ascii="Arial" w:hAnsi="Arial" w:cs="Arial"/>
                <w:b/>
                <w:bCs/>
                <w:color w:val="000000"/>
                <w:sz w:val="14"/>
                <w:szCs w:val="14"/>
              </w:rPr>
              <w:t>8.703.353</w:t>
            </w:r>
          </w:p>
        </w:tc>
        <w:tc>
          <w:tcPr>
            <w:tcW w:w="1311" w:type="dxa"/>
            <w:tcBorders>
              <w:top w:val="single" w:sz="2" w:space="0" w:color="1F3864" w:themeColor="accent1" w:themeShade="80"/>
              <w:left w:val="nil"/>
              <w:bottom w:val="nil"/>
              <w:right w:val="nil"/>
            </w:tcBorders>
            <w:shd w:val="clear" w:color="auto" w:fill="auto"/>
            <w:vAlign w:val="center"/>
          </w:tcPr>
          <w:p w14:paraId="6AC953D1" w14:textId="77777777" w:rsidR="003B7372" w:rsidRPr="00BF2AAF" w:rsidRDefault="003B7372" w:rsidP="003B737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r w:rsidRPr="00BF2AAF">
              <w:rPr>
                <w:rFonts w:ascii="Arial" w:eastAsia="Times New Roman" w:hAnsi="Arial" w:cs="Arial"/>
                <w:b/>
                <w:bCs/>
                <w:spacing w:val="-2"/>
                <w:sz w:val="14"/>
                <w:szCs w:val="14"/>
                <w:lang w:eastAsia="pt-BR"/>
              </w:rPr>
              <w:t>7.947.203</w:t>
            </w:r>
          </w:p>
        </w:tc>
        <w:tc>
          <w:tcPr>
            <w:tcW w:w="291" w:type="dxa"/>
            <w:tcBorders>
              <w:top w:val="single" w:sz="2" w:space="0" w:color="1F3864" w:themeColor="accent1" w:themeShade="80"/>
              <w:left w:val="nil"/>
              <w:bottom w:val="nil"/>
              <w:right w:val="nil"/>
            </w:tcBorders>
            <w:shd w:val="clear" w:color="auto" w:fill="auto"/>
            <w:vAlign w:val="center"/>
          </w:tcPr>
          <w:p w14:paraId="48A15649" w14:textId="77777777" w:rsidR="003B7372" w:rsidRPr="00BF2AAF" w:rsidRDefault="003B7372" w:rsidP="003B737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p>
        </w:tc>
        <w:tc>
          <w:tcPr>
            <w:tcW w:w="1311" w:type="dxa"/>
            <w:gridSpan w:val="2"/>
            <w:tcBorders>
              <w:top w:val="single" w:sz="2" w:space="0" w:color="1F3864" w:themeColor="accent1" w:themeShade="80"/>
              <w:left w:val="nil"/>
              <w:bottom w:val="nil"/>
              <w:right w:val="nil"/>
            </w:tcBorders>
            <w:shd w:val="clear" w:color="auto" w:fill="auto"/>
            <w:vAlign w:val="center"/>
          </w:tcPr>
          <w:p w14:paraId="707814F2" w14:textId="121E40EA" w:rsidR="003B7372" w:rsidRPr="00BF2AAF" w:rsidRDefault="003B7372" w:rsidP="003B737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Pr>
                <w:rFonts w:ascii="Arial" w:hAnsi="Arial" w:cs="Arial"/>
                <w:b/>
                <w:bCs/>
                <w:color w:val="000000"/>
                <w:sz w:val="14"/>
                <w:szCs w:val="14"/>
              </w:rPr>
              <w:t>8.703.353</w:t>
            </w:r>
          </w:p>
        </w:tc>
        <w:tc>
          <w:tcPr>
            <w:tcW w:w="1432" w:type="dxa"/>
            <w:tcBorders>
              <w:top w:val="single" w:sz="2" w:space="0" w:color="1F3864" w:themeColor="accent1" w:themeShade="80"/>
              <w:left w:val="nil"/>
              <w:bottom w:val="nil"/>
              <w:right w:val="nil"/>
            </w:tcBorders>
            <w:shd w:val="clear" w:color="auto" w:fill="auto"/>
            <w:vAlign w:val="center"/>
          </w:tcPr>
          <w:p w14:paraId="49C86D5E" w14:textId="77777777" w:rsidR="003B7372" w:rsidRPr="00BF2AAF" w:rsidRDefault="003B7372" w:rsidP="003B737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r w:rsidRPr="00BF2AAF">
              <w:rPr>
                <w:rFonts w:ascii="Arial" w:eastAsia="Times New Roman" w:hAnsi="Arial" w:cs="Arial"/>
                <w:b/>
                <w:spacing w:val="-2"/>
                <w:sz w:val="14"/>
                <w:szCs w:val="14"/>
                <w:lang w:eastAsia="pt-BR"/>
              </w:rPr>
              <w:t>7.947.203</w:t>
            </w:r>
          </w:p>
        </w:tc>
      </w:tr>
      <w:tr w:rsidR="003B7372" w:rsidRPr="00BF2AAF" w14:paraId="12DA4134" w14:textId="77777777" w:rsidTr="003B7372">
        <w:trPr>
          <w:gridAfter w:val="1"/>
          <w:cnfStyle w:val="000000100000" w:firstRow="0" w:lastRow="0" w:firstColumn="0" w:lastColumn="0" w:oddVBand="0" w:evenVBand="0" w:oddHBand="1" w:evenHBand="0" w:firstRowFirstColumn="0" w:firstRowLastColumn="0" w:lastRowFirstColumn="0" w:lastRowLastColumn="0"/>
          <w:wAfter w:w="52" w:type="dxa"/>
          <w:trHeight w:val="238"/>
          <w:jc w:val="center"/>
        </w:trPr>
        <w:tc>
          <w:tcPr>
            <w:cnfStyle w:val="001000000000" w:firstRow="0" w:lastRow="0" w:firstColumn="1" w:lastColumn="0" w:oddVBand="0" w:evenVBand="0" w:oddHBand="0" w:evenHBand="0" w:firstRowFirstColumn="0" w:firstRowLastColumn="0" w:lastRowFirstColumn="0" w:lastRowLastColumn="0"/>
            <w:tcW w:w="3260" w:type="dxa"/>
            <w:gridSpan w:val="2"/>
            <w:tcBorders>
              <w:top w:val="nil"/>
              <w:left w:val="nil"/>
              <w:bottom w:val="nil"/>
              <w:right w:val="nil"/>
            </w:tcBorders>
            <w:shd w:val="clear" w:color="auto" w:fill="auto"/>
            <w:vAlign w:val="center"/>
            <w:hideMark/>
          </w:tcPr>
          <w:p w14:paraId="2CFBA734" w14:textId="77777777" w:rsidR="003B7372" w:rsidRPr="00BF2AAF" w:rsidRDefault="003B7372" w:rsidP="003B7372">
            <w:pPr>
              <w:keepNext/>
              <w:keepLines/>
              <w:spacing w:before="40" w:after="4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Participação no Resultado Abrangente de Investimentos em Participações Societárias</w:t>
            </w:r>
          </w:p>
        </w:tc>
        <w:tc>
          <w:tcPr>
            <w:tcW w:w="709" w:type="dxa"/>
            <w:tcBorders>
              <w:top w:val="nil"/>
              <w:left w:val="nil"/>
              <w:bottom w:val="nil"/>
              <w:right w:val="nil"/>
            </w:tcBorders>
            <w:shd w:val="clear" w:color="auto" w:fill="auto"/>
            <w:vAlign w:val="center"/>
          </w:tcPr>
          <w:p w14:paraId="4D4A4F94" w14:textId="77777777" w:rsidR="003B7372" w:rsidRPr="00BF2AAF" w:rsidRDefault="003B7372" w:rsidP="003B7372">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276" w:type="dxa"/>
            <w:tcBorders>
              <w:top w:val="nil"/>
              <w:left w:val="nil"/>
              <w:bottom w:val="nil"/>
              <w:right w:val="nil"/>
            </w:tcBorders>
            <w:shd w:val="clear" w:color="auto" w:fill="auto"/>
            <w:vAlign w:val="center"/>
          </w:tcPr>
          <w:p w14:paraId="36DBCADD" w14:textId="2B5EFD5C" w:rsidR="003B7372" w:rsidRPr="00BF2AAF" w:rsidRDefault="003B7372" w:rsidP="003B7372">
            <w:pPr>
              <w:keepNext/>
              <w:keepLines/>
              <w:spacing w:before="40" w:after="40"/>
              <w:ind w:right="52"/>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hAnsi="Arial" w:cs="Arial"/>
                <w:b/>
                <w:bCs/>
                <w:color w:val="000000"/>
                <w:sz w:val="14"/>
                <w:szCs w:val="14"/>
              </w:rPr>
              <w:t>(546.784)</w:t>
            </w:r>
          </w:p>
        </w:tc>
        <w:tc>
          <w:tcPr>
            <w:tcW w:w="1311" w:type="dxa"/>
            <w:tcBorders>
              <w:top w:val="nil"/>
              <w:left w:val="nil"/>
              <w:bottom w:val="nil"/>
              <w:right w:val="nil"/>
            </w:tcBorders>
            <w:shd w:val="clear" w:color="auto" w:fill="auto"/>
            <w:vAlign w:val="center"/>
          </w:tcPr>
          <w:p w14:paraId="290261EB" w14:textId="77777777" w:rsidR="003B7372" w:rsidRPr="00BF2AAF" w:rsidRDefault="003B7372" w:rsidP="003B737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highlight w:val="yellow"/>
                <w:lang w:eastAsia="pt-BR"/>
              </w:rPr>
            </w:pPr>
            <w:r w:rsidRPr="00BF2AAF">
              <w:rPr>
                <w:rFonts w:ascii="Arial" w:eastAsia="Times New Roman" w:hAnsi="Arial" w:cs="Arial"/>
                <w:b/>
                <w:spacing w:val="-2"/>
                <w:sz w:val="14"/>
                <w:szCs w:val="14"/>
                <w:lang w:eastAsia="pt-BR"/>
              </w:rPr>
              <w:t>144.171</w:t>
            </w:r>
          </w:p>
        </w:tc>
        <w:tc>
          <w:tcPr>
            <w:tcW w:w="291" w:type="dxa"/>
            <w:tcBorders>
              <w:top w:val="nil"/>
              <w:left w:val="nil"/>
              <w:bottom w:val="nil"/>
              <w:right w:val="nil"/>
            </w:tcBorders>
            <w:shd w:val="clear" w:color="auto" w:fill="auto"/>
            <w:vAlign w:val="center"/>
          </w:tcPr>
          <w:p w14:paraId="5B7341D8" w14:textId="77777777" w:rsidR="003B7372" w:rsidRPr="00BF2AAF" w:rsidRDefault="003B7372" w:rsidP="003B737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311" w:type="dxa"/>
            <w:gridSpan w:val="2"/>
            <w:tcBorders>
              <w:top w:val="nil"/>
              <w:left w:val="nil"/>
              <w:bottom w:val="nil"/>
              <w:right w:val="nil"/>
            </w:tcBorders>
            <w:shd w:val="clear" w:color="auto" w:fill="auto"/>
            <w:vAlign w:val="center"/>
          </w:tcPr>
          <w:p w14:paraId="6FB1F4A0" w14:textId="2DACFF04" w:rsidR="003B7372" w:rsidRPr="00BF2AAF" w:rsidRDefault="003B7372" w:rsidP="003B737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hAnsi="Arial" w:cs="Arial"/>
                <w:b/>
                <w:bCs/>
                <w:color w:val="000000"/>
                <w:sz w:val="14"/>
                <w:szCs w:val="14"/>
              </w:rPr>
              <w:t>(546.784)</w:t>
            </w:r>
          </w:p>
        </w:tc>
        <w:tc>
          <w:tcPr>
            <w:tcW w:w="1432" w:type="dxa"/>
            <w:tcBorders>
              <w:top w:val="nil"/>
              <w:left w:val="nil"/>
              <w:bottom w:val="nil"/>
              <w:right w:val="nil"/>
            </w:tcBorders>
            <w:shd w:val="clear" w:color="auto" w:fill="auto"/>
            <w:vAlign w:val="center"/>
          </w:tcPr>
          <w:p w14:paraId="19029351" w14:textId="77777777" w:rsidR="003B7372" w:rsidRPr="00BF2AAF" w:rsidRDefault="003B7372" w:rsidP="003B737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highlight w:val="yellow"/>
                <w:lang w:eastAsia="pt-BR"/>
              </w:rPr>
            </w:pPr>
            <w:r w:rsidRPr="00BF2AAF">
              <w:rPr>
                <w:rFonts w:ascii="Arial" w:eastAsia="Times New Roman" w:hAnsi="Arial" w:cs="Arial"/>
                <w:b/>
                <w:spacing w:val="-2"/>
                <w:sz w:val="14"/>
                <w:szCs w:val="14"/>
                <w:lang w:eastAsia="pt-BR"/>
              </w:rPr>
              <w:t>144.171</w:t>
            </w:r>
          </w:p>
        </w:tc>
      </w:tr>
      <w:tr w:rsidR="003B7372" w:rsidRPr="00BF2AAF" w14:paraId="1BCD19CF" w14:textId="77777777" w:rsidTr="003B7372">
        <w:trPr>
          <w:gridAfter w:val="1"/>
          <w:cnfStyle w:val="000000010000" w:firstRow="0" w:lastRow="0" w:firstColumn="0" w:lastColumn="0" w:oddVBand="0" w:evenVBand="0" w:oddHBand="0" w:evenHBand="1" w:firstRowFirstColumn="0" w:firstRowLastColumn="0" w:lastRowFirstColumn="0" w:lastRowLastColumn="0"/>
          <w:wAfter w:w="52" w:type="dxa"/>
          <w:trHeight w:val="238"/>
          <w:jc w:val="center"/>
        </w:trPr>
        <w:tc>
          <w:tcPr>
            <w:cnfStyle w:val="001000000000" w:firstRow="0" w:lastRow="0" w:firstColumn="1" w:lastColumn="0" w:oddVBand="0" w:evenVBand="0" w:oddHBand="0" w:evenHBand="0" w:firstRowFirstColumn="0" w:firstRowLastColumn="0" w:lastRowFirstColumn="0" w:lastRowLastColumn="0"/>
            <w:tcW w:w="3260" w:type="dxa"/>
            <w:gridSpan w:val="2"/>
            <w:tcBorders>
              <w:top w:val="nil"/>
              <w:bottom w:val="nil"/>
            </w:tcBorders>
            <w:shd w:val="clear" w:color="auto" w:fill="auto"/>
            <w:vAlign w:val="center"/>
          </w:tcPr>
          <w:p w14:paraId="5A0412E6" w14:textId="77777777" w:rsidR="003B7372" w:rsidRPr="00BF2AAF" w:rsidRDefault="003B7372" w:rsidP="003B7372">
            <w:pPr>
              <w:keepNext/>
              <w:keepLines/>
              <w:spacing w:before="40" w:after="40"/>
              <w:rPr>
                <w:rFonts w:ascii="Arial" w:eastAsia="Times New Roman" w:hAnsi="Arial" w:cs="Arial"/>
                <w:b w:val="0"/>
                <w:bCs w:val="0"/>
                <w:spacing w:val="-2"/>
                <w:sz w:val="14"/>
                <w:szCs w:val="14"/>
                <w:lang w:eastAsia="pt-BR"/>
              </w:rPr>
            </w:pPr>
            <w:r w:rsidRPr="00AC5C8C">
              <w:rPr>
                <w:rFonts w:ascii="Arial" w:hAnsi="Arial" w:cs="Arial"/>
                <w:b w:val="0"/>
                <w:sz w:val="14"/>
                <w:szCs w:val="14"/>
              </w:rPr>
              <w:t xml:space="preserve">Ganhos/(perdas) sobre </w:t>
            </w:r>
            <w:r>
              <w:rPr>
                <w:rFonts w:ascii="Arial" w:hAnsi="Arial" w:cs="Arial"/>
                <w:b w:val="0"/>
                <w:sz w:val="14"/>
                <w:szCs w:val="14"/>
              </w:rPr>
              <w:t>i</w:t>
            </w:r>
            <w:r w:rsidRPr="0025255E">
              <w:rPr>
                <w:rFonts w:ascii="Arial" w:hAnsi="Arial" w:cs="Arial"/>
                <w:b w:val="0"/>
                <w:sz w:val="14"/>
                <w:szCs w:val="14"/>
              </w:rPr>
              <w:t>nstrumentos</w:t>
            </w:r>
            <w:r w:rsidRPr="00AC5C8C">
              <w:rPr>
                <w:rFonts w:ascii="Arial" w:hAnsi="Arial" w:cs="Arial"/>
                <w:b w:val="0"/>
                <w:sz w:val="14"/>
                <w:szCs w:val="14"/>
              </w:rPr>
              <w:t xml:space="preserve"> financeiros</w:t>
            </w:r>
          </w:p>
        </w:tc>
        <w:tc>
          <w:tcPr>
            <w:tcW w:w="709" w:type="dxa"/>
            <w:tcBorders>
              <w:top w:val="nil"/>
              <w:left w:val="nil"/>
              <w:bottom w:val="nil"/>
              <w:right w:val="nil"/>
            </w:tcBorders>
            <w:shd w:val="clear" w:color="auto" w:fill="auto"/>
            <w:vAlign w:val="center"/>
          </w:tcPr>
          <w:p w14:paraId="6955E56F" w14:textId="77777777" w:rsidR="003B7372" w:rsidRPr="00BF2AAF" w:rsidRDefault="003B7372" w:rsidP="003B7372">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AC5C8C">
              <w:rPr>
                <w:rFonts w:ascii="Arial" w:eastAsia="Times New Roman" w:hAnsi="Arial" w:cs="Arial"/>
                <w:spacing w:val="-2"/>
                <w:sz w:val="14"/>
                <w:szCs w:val="14"/>
                <w:lang w:eastAsia="pt-BR"/>
              </w:rPr>
              <w:t>[25.g]</w:t>
            </w:r>
          </w:p>
        </w:tc>
        <w:tc>
          <w:tcPr>
            <w:tcW w:w="1276" w:type="dxa"/>
            <w:tcBorders>
              <w:top w:val="nil"/>
              <w:left w:val="nil"/>
              <w:bottom w:val="nil"/>
              <w:right w:val="nil"/>
            </w:tcBorders>
            <w:shd w:val="clear" w:color="auto" w:fill="auto"/>
            <w:vAlign w:val="center"/>
          </w:tcPr>
          <w:p w14:paraId="1F4FB209" w14:textId="762A866A" w:rsidR="003B7372" w:rsidRPr="00BF2AAF" w:rsidRDefault="003B7372" w:rsidP="003B7372">
            <w:pPr>
              <w:keepNext/>
              <w:keepLines/>
              <w:spacing w:before="40" w:after="40"/>
              <w:ind w:right="52"/>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(466.610)</w:t>
            </w:r>
          </w:p>
        </w:tc>
        <w:tc>
          <w:tcPr>
            <w:tcW w:w="1311" w:type="dxa"/>
            <w:tcBorders>
              <w:top w:val="nil"/>
              <w:left w:val="nil"/>
              <w:bottom w:val="nil"/>
              <w:right w:val="nil"/>
            </w:tcBorders>
            <w:shd w:val="clear" w:color="auto" w:fill="auto"/>
            <w:vAlign w:val="center"/>
          </w:tcPr>
          <w:p w14:paraId="4F6DCD86" w14:textId="77777777" w:rsidR="003B7372" w:rsidRPr="00BF2AAF" w:rsidRDefault="003B7372" w:rsidP="003B737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sidRPr="00BF2AAF">
              <w:rPr>
                <w:rFonts w:ascii="Arial" w:eastAsia="Times New Roman" w:hAnsi="Arial" w:cs="Arial"/>
                <w:spacing w:val="-2"/>
                <w:sz w:val="14"/>
                <w:szCs w:val="14"/>
                <w:lang w:eastAsia="pt-BR"/>
              </w:rPr>
              <w:t>154.606</w:t>
            </w:r>
          </w:p>
        </w:tc>
        <w:tc>
          <w:tcPr>
            <w:tcW w:w="291" w:type="dxa"/>
            <w:tcBorders>
              <w:top w:val="nil"/>
              <w:left w:val="nil"/>
              <w:bottom w:val="nil"/>
              <w:right w:val="nil"/>
            </w:tcBorders>
            <w:shd w:val="clear" w:color="auto" w:fill="auto"/>
            <w:vAlign w:val="center"/>
          </w:tcPr>
          <w:p w14:paraId="427267BE" w14:textId="77777777" w:rsidR="003B7372" w:rsidRPr="00BF2AAF" w:rsidRDefault="003B7372" w:rsidP="003B737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311" w:type="dxa"/>
            <w:gridSpan w:val="2"/>
            <w:tcBorders>
              <w:top w:val="nil"/>
              <w:left w:val="nil"/>
              <w:bottom w:val="nil"/>
              <w:right w:val="nil"/>
            </w:tcBorders>
            <w:shd w:val="clear" w:color="auto" w:fill="auto"/>
            <w:vAlign w:val="center"/>
          </w:tcPr>
          <w:p w14:paraId="3A02CA9A" w14:textId="60C00428" w:rsidR="003B7372" w:rsidRPr="00BF2AAF" w:rsidRDefault="003B7372" w:rsidP="003B737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(466.610)</w:t>
            </w:r>
          </w:p>
        </w:tc>
        <w:tc>
          <w:tcPr>
            <w:tcW w:w="1432" w:type="dxa"/>
            <w:tcBorders>
              <w:top w:val="nil"/>
              <w:left w:val="nil"/>
              <w:bottom w:val="nil"/>
              <w:right w:val="nil"/>
            </w:tcBorders>
            <w:shd w:val="clear" w:color="auto" w:fill="auto"/>
            <w:vAlign w:val="center"/>
          </w:tcPr>
          <w:p w14:paraId="182342F9" w14:textId="77777777" w:rsidR="003B7372" w:rsidRPr="00BF2AAF" w:rsidRDefault="003B7372" w:rsidP="003B737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sidRPr="00BF2AAF">
              <w:rPr>
                <w:rFonts w:ascii="Arial" w:eastAsia="Times New Roman" w:hAnsi="Arial" w:cs="Arial"/>
                <w:spacing w:val="-2"/>
                <w:sz w:val="14"/>
                <w:szCs w:val="14"/>
                <w:lang w:eastAsia="pt-BR"/>
              </w:rPr>
              <w:t>154.606</w:t>
            </w:r>
          </w:p>
        </w:tc>
      </w:tr>
      <w:tr w:rsidR="003B7372" w:rsidRPr="00BF2AAF" w14:paraId="004D0C88" w14:textId="77777777" w:rsidTr="003B7372">
        <w:trPr>
          <w:gridAfter w:val="1"/>
          <w:cnfStyle w:val="000000100000" w:firstRow="0" w:lastRow="0" w:firstColumn="0" w:lastColumn="0" w:oddVBand="0" w:evenVBand="0" w:oddHBand="1" w:evenHBand="0" w:firstRowFirstColumn="0" w:firstRowLastColumn="0" w:lastRowFirstColumn="0" w:lastRowLastColumn="0"/>
          <w:wAfter w:w="52" w:type="dxa"/>
          <w:trHeight w:val="238"/>
          <w:jc w:val="center"/>
        </w:trPr>
        <w:tc>
          <w:tcPr>
            <w:cnfStyle w:val="001000000000" w:firstRow="0" w:lastRow="0" w:firstColumn="1" w:lastColumn="0" w:oddVBand="0" w:evenVBand="0" w:oddHBand="0" w:evenHBand="0" w:firstRowFirstColumn="0" w:firstRowLastColumn="0" w:lastRowFirstColumn="0" w:lastRowLastColumn="0"/>
            <w:tcW w:w="3260" w:type="dxa"/>
            <w:gridSpan w:val="2"/>
            <w:shd w:val="clear" w:color="auto" w:fill="auto"/>
            <w:vAlign w:val="center"/>
          </w:tcPr>
          <w:p w14:paraId="2663DB64" w14:textId="77777777" w:rsidR="003B7372" w:rsidRPr="00BF2AAF" w:rsidRDefault="003B7372" w:rsidP="003B7372">
            <w:pPr>
              <w:keepNext/>
              <w:keepLines/>
              <w:spacing w:before="40" w:after="40"/>
              <w:rPr>
                <w:rFonts w:ascii="Arial" w:eastAsia="Times New Roman" w:hAnsi="Arial" w:cs="Arial"/>
                <w:b w:val="0"/>
                <w:bCs w:val="0"/>
                <w:spacing w:val="-2"/>
                <w:sz w:val="14"/>
                <w:szCs w:val="14"/>
                <w:lang w:eastAsia="pt-BR"/>
              </w:rPr>
            </w:pPr>
            <w:r w:rsidRPr="00AC5C8C">
              <w:rPr>
                <w:rFonts w:ascii="Arial" w:hAnsi="Arial" w:cs="Arial"/>
                <w:b w:val="0"/>
                <w:sz w:val="14"/>
                <w:szCs w:val="14"/>
              </w:rPr>
              <w:t xml:space="preserve">Outros resultados abrangentes </w:t>
            </w:r>
            <w:r>
              <w:rPr>
                <w:rFonts w:ascii="Arial" w:hAnsi="Arial" w:cs="Arial"/>
                <w:b w:val="0"/>
                <w:sz w:val="14"/>
                <w:szCs w:val="14"/>
              </w:rPr>
              <w:t>- e</w:t>
            </w:r>
            <w:r w:rsidRPr="00F872D1">
              <w:rPr>
                <w:rFonts w:ascii="Arial" w:hAnsi="Arial" w:cs="Arial"/>
                <w:b w:val="0"/>
                <w:sz w:val="14"/>
                <w:szCs w:val="14"/>
              </w:rPr>
              <w:t>feitos</w:t>
            </w:r>
            <w:r w:rsidRPr="00AC5C8C">
              <w:rPr>
                <w:rFonts w:ascii="Arial" w:hAnsi="Arial" w:cs="Arial"/>
                <w:b w:val="0"/>
                <w:sz w:val="14"/>
                <w:szCs w:val="14"/>
              </w:rPr>
              <w:t xml:space="preserve"> CPC 50</w:t>
            </w:r>
          </w:p>
        </w:tc>
        <w:tc>
          <w:tcPr>
            <w:tcW w:w="709" w:type="dxa"/>
            <w:tcBorders>
              <w:top w:val="nil"/>
              <w:left w:val="nil"/>
              <w:bottom w:val="nil"/>
              <w:right w:val="nil"/>
            </w:tcBorders>
            <w:shd w:val="clear" w:color="auto" w:fill="auto"/>
            <w:vAlign w:val="center"/>
          </w:tcPr>
          <w:p w14:paraId="5FE43FDA" w14:textId="77777777" w:rsidR="003B7372" w:rsidRPr="00BF2AAF" w:rsidRDefault="003B7372" w:rsidP="003B7372">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AC5C8C">
              <w:rPr>
                <w:rFonts w:ascii="Arial" w:eastAsia="Times New Roman" w:hAnsi="Arial" w:cs="Arial"/>
                <w:spacing w:val="-2"/>
                <w:sz w:val="14"/>
                <w:szCs w:val="14"/>
                <w:lang w:eastAsia="pt-BR"/>
              </w:rPr>
              <w:t>[25.g]</w:t>
            </w:r>
          </w:p>
        </w:tc>
        <w:tc>
          <w:tcPr>
            <w:tcW w:w="1276" w:type="dxa"/>
            <w:tcBorders>
              <w:top w:val="nil"/>
              <w:left w:val="nil"/>
              <w:bottom w:val="nil"/>
              <w:right w:val="nil"/>
            </w:tcBorders>
            <w:shd w:val="clear" w:color="auto" w:fill="auto"/>
            <w:vAlign w:val="center"/>
          </w:tcPr>
          <w:p w14:paraId="527274B2" w14:textId="58738219" w:rsidR="003B7372" w:rsidRPr="000356A5" w:rsidRDefault="003B7372" w:rsidP="003B7372">
            <w:pPr>
              <w:keepNext/>
              <w:keepLines/>
              <w:spacing w:before="40" w:after="40"/>
              <w:ind w:right="52"/>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(445.107)</w:t>
            </w:r>
          </w:p>
        </w:tc>
        <w:tc>
          <w:tcPr>
            <w:tcW w:w="1311" w:type="dxa"/>
            <w:tcBorders>
              <w:top w:val="nil"/>
              <w:left w:val="nil"/>
              <w:bottom w:val="nil"/>
              <w:right w:val="nil"/>
            </w:tcBorders>
            <w:shd w:val="clear" w:color="auto" w:fill="auto"/>
            <w:vAlign w:val="center"/>
          </w:tcPr>
          <w:p w14:paraId="0BF3BD17" w14:textId="77777777" w:rsidR="003B7372" w:rsidRPr="00BF2AAF" w:rsidRDefault="003B7372" w:rsidP="003B737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BF2AAF">
              <w:rPr>
                <w:rFonts w:ascii="Arial" w:hAnsi="Arial" w:cs="Arial"/>
                <w:sz w:val="14"/>
                <w:szCs w:val="14"/>
              </w:rPr>
              <w:t>47.840</w:t>
            </w:r>
          </w:p>
        </w:tc>
        <w:tc>
          <w:tcPr>
            <w:tcW w:w="291" w:type="dxa"/>
            <w:tcBorders>
              <w:top w:val="nil"/>
              <w:left w:val="nil"/>
              <w:bottom w:val="nil"/>
              <w:right w:val="nil"/>
            </w:tcBorders>
            <w:shd w:val="clear" w:color="auto" w:fill="auto"/>
            <w:vAlign w:val="center"/>
          </w:tcPr>
          <w:p w14:paraId="20A9C877" w14:textId="77777777" w:rsidR="003B7372" w:rsidRPr="00BF2AAF" w:rsidRDefault="003B7372" w:rsidP="003B737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311" w:type="dxa"/>
            <w:gridSpan w:val="2"/>
            <w:tcBorders>
              <w:top w:val="nil"/>
              <w:left w:val="nil"/>
              <w:bottom w:val="nil"/>
              <w:right w:val="nil"/>
            </w:tcBorders>
            <w:shd w:val="clear" w:color="auto" w:fill="auto"/>
            <w:vAlign w:val="center"/>
          </w:tcPr>
          <w:p w14:paraId="2C7C3E0C" w14:textId="416C6C37" w:rsidR="003B7372" w:rsidRPr="00BF2AAF" w:rsidRDefault="003B7372" w:rsidP="003B737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(445.107)</w:t>
            </w:r>
          </w:p>
        </w:tc>
        <w:tc>
          <w:tcPr>
            <w:tcW w:w="1432" w:type="dxa"/>
            <w:tcBorders>
              <w:top w:val="nil"/>
              <w:left w:val="nil"/>
              <w:bottom w:val="nil"/>
              <w:right w:val="nil"/>
            </w:tcBorders>
            <w:shd w:val="clear" w:color="auto" w:fill="auto"/>
            <w:vAlign w:val="center"/>
          </w:tcPr>
          <w:p w14:paraId="35650A68" w14:textId="77777777" w:rsidR="003B7372" w:rsidRPr="00BF2AAF" w:rsidRDefault="003B7372" w:rsidP="003B737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BF2AAF">
              <w:rPr>
                <w:rFonts w:ascii="Arial" w:hAnsi="Arial" w:cs="Arial"/>
                <w:color w:val="000000"/>
                <w:sz w:val="14"/>
                <w:szCs w:val="14"/>
              </w:rPr>
              <w:t>47.840</w:t>
            </w:r>
          </w:p>
        </w:tc>
      </w:tr>
      <w:tr w:rsidR="003B7372" w:rsidRPr="00BF2AAF" w14:paraId="5AAD2534" w14:textId="77777777" w:rsidTr="003B7372">
        <w:trPr>
          <w:gridAfter w:val="1"/>
          <w:cnfStyle w:val="000000010000" w:firstRow="0" w:lastRow="0" w:firstColumn="0" w:lastColumn="0" w:oddVBand="0" w:evenVBand="0" w:oddHBand="0" w:evenHBand="1" w:firstRowFirstColumn="0" w:firstRowLastColumn="0" w:lastRowFirstColumn="0" w:lastRowLastColumn="0"/>
          <w:wAfter w:w="52" w:type="dxa"/>
          <w:trHeight w:val="238"/>
          <w:jc w:val="center"/>
        </w:trPr>
        <w:tc>
          <w:tcPr>
            <w:cnfStyle w:val="001000000000" w:firstRow="0" w:lastRow="0" w:firstColumn="1" w:lastColumn="0" w:oddVBand="0" w:evenVBand="0" w:oddHBand="0" w:evenHBand="0" w:firstRowFirstColumn="0" w:firstRowLastColumn="0" w:lastRowFirstColumn="0" w:lastRowLastColumn="0"/>
            <w:tcW w:w="3260" w:type="dxa"/>
            <w:gridSpan w:val="2"/>
            <w:tcBorders>
              <w:top w:val="nil"/>
              <w:bottom w:val="nil"/>
            </w:tcBorders>
            <w:shd w:val="clear" w:color="auto" w:fill="auto"/>
            <w:vAlign w:val="center"/>
          </w:tcPr>
          <w:p w14:paraId="26E65B3B" w14:textId="003A3613" w:rsidR="003B7372" w:rsidRPr="00BF2AAF" w:rsidRDefault="0096078D" w:rsidP="003B7372">
            <w:pPr>
              <w:keepNext/>
              <w:keepLines/>
              <w:spacing w:before="40" w:after="40"/>
              <w:rPr>
                <w:rFonts w:ascii="Arial" w:eastAsia="Times New Roman" w:hAnsi="Arial" w:cs="Arial"/>
                <w:b w:val="0"/>
                <w:bCs w:val="0"/>
                <w:spacing w:val="-2"/>
                <w:sz w:val="14"/>
                <w:szCs w:val="14"/>
                <w:lang w:eastAsia="pt-BR"/>
              </w:rPr>
            </w:pPr>
            <w:r w:rsidRPr="0096078D">
              <w:rPr>
                <w:rFonts w:ascii="Arial" w:hAnsi="Arial" w:cs="Arial"/>
                <w:b w:val="0"/>
                <w:sz w:val="14"/>
                <w:szCs w:val="14"/>
              </w:rPr>
              <w:t>Outros resultados abrangentes - ajuste</w:t>
            </w:r>
            <w:r w:rsidR="003B7372" w:rsidRPr="00BF2AAF">
              <w:rPr>
                <w:rFonts w:ascii="Arial" w:hAnsi="Arial" w:cs="Arial"/>
                <w:b w:val="0"/>
                <w:sz w:val="14"/>
                <w:szCs w:val="14"/>
              </w:rPr>
              <w:t xml:space="preserve"> de práticas contábeis CPC 06 (R2)</w:t>
            </w:r>
            <w:r w:rsidR="00AE1C0F">
              <w:rPr>
                <w:rFonts w:ascii="Arial" w:hAnsi="Arial" w:cs="Arial"/>
                <w:b w:val="0"/>
                <w:sz w:val="14"/>
                <w:szCs w:val="14"/>
              </w:rPr>
              <w:t xml:space="preserve"> </w:t>
            </w:r>
            <w:r w:rsidR="00AE1C0F" w:rsidRPr="00AE1C0F">
              <w:rPr>
                <w:rFonts w:ascii="Arial" w:hAnsi="Arial" w:cs="Arial"/>
                <w:b w:val="0"/>
                <w:sz w:val="14"/>
                <w:szCs w:val="14"/>
                <w:vertAlign w:val="superscript"/>
              </w:rPr>
              <w:t>(1)</w:t>
            </w:r>
          </w:p>
        </w:tc>
        <w:tc>
          <w:tcPr>
            <w:tcW w:w="709" w:type="dxa"/>
            <w:tcBorders>
              <w:top w:val="nil"/>
              <w:left w:val="nil"/>
              <w:bottom w:val="nil"/>
              <w:right w:val="nil"/>
            </w:tcBorders>
            <w:shd w:val="clear" w:color="auto" w:fill="auto"/>
            <w:vAlign w:val="center"/>
          </w:tcPr>
          <w:p w14:paraId="6E46A526" w14:textId="77777777" w:rsidR="003B7372" w:rsidRPr="00BF2AAF" w:rsidRDefault="003B7372" w:rsidP="003B7372">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76" w:type="dxa"/>
            <w:tcBorders>
              <w:top w:val="nil"/>
              <w:left w:val="nil"/>
              <w:bottom w:val="nil"/>
              <w:right w:val="nil"/>
            </w:tcBorders>
            <w:shd w:val="clear" w:color="auto" w:fill="auto"/>
            <w:vAlign w:val="center"/>
          </w:tcPr>
          <w:p w14:paraId="273A8C4E" w14:textId="5A5182CD" w:rsidR="003B7372" w:rsidRPr="00BF2AAF" w:rsidRDefault="003B7372" w:rsidP="003B7372">
            <w:pPr>
              <w:keepNext/>
              <w:keepLines/>
              <w:spacing w:before="40" w:after="40"/>
              <w:ind w:right="52"/>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311" w:type="dxa"/>
            <w:tcBorders>
              <w:top w:val="nil"/>
              <w:left w:val="nil"/>
              <w:bottom w:val="nil"/>
              <w:right w:val="nil"/>
            </w:tcBorders>
            <w:shd w:val="clear" w:color="auto" w:fill="auto"/>
            <w:vAlign w:val="center"/>
          </w:tcPr>
          <w:p w14:paraId="0C255C96" w14:textId="77777777" w:rsidR="003B7372" w:rsidRPr="00BF2AAF" w:rsidRDefault="003B7372" w:rsidP="003B737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BF2AAF">
              <w:rPr>
                <w:rFonts w:ascii="Arial" w:hAnsi="Arial" w:cs="Arial"/>
                <w:sz w:val="14"/>
                <w:szCs w:val="14"/>
              </w:rPr>
              <w:t>38.616</w:t>
            </w:r>
          </w:p>
        </w:tc>
        <w:tc>
          <w:tcPr>
            <w:tcW w:w="291" w:type="dxa"/>
            <w:tcBorders>
              <w:top w:val="nil"/>
              <w:left w:val="nil"/>
              <w:bottom w:val="nil"/>
              <w:right w:val="nil"/>
            </w:tcBorders>
            <w:shd w:val="clear" w:color="auto" w:fill="auto"/>
            <w:vAlign w:val="center"/>
          </w:tcPr>
          <w:p w14:paraId="105DAE94" w14:textId="77777777" w:rsidR="003B7372" w:rsidRPr="00BF2AAF" w:rsidRDefault="003B7372" w:rsidP="003B737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311" w:type="dxa"/>
            <w:gridSpan w:val="2"/>
            <w:tcBorders>
              <w:top w:val="nil"/>
              <w:left w:val="nil"/>
              <w:bottom w:val="nil"/>
              <w:right w:val="nil"/>
            </w:tcBorders>
            <w:shd w:val="clear" w:color="auto" w:fill="auto"/>
            <w:vAlign w:val="center"/>
          </w:tcPr>
          <w:p w14:paraId="74FF0D33" w14:textId="77805338" w:rsidR="003B7372" w:rsidRPr="00BF2AAF" w:rsidRDefault="003B7372" w:rsidP="003B737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eastAsia="Times New Roman" w:hAnsi="Arial" w:cs="Arial"/>
                <w:spacing w:val="-2"/>
                <w:sz w:val="14"/>
                <w:szCs w:val="14"/>
                <w:lang w:eastAsia="pt-BR"/>
              </w:rPr>
              <w:t>--</w:t>
            </w:r>
          </w:p>
        </w:tc>
        <w:tc>
          <w:tcPr>
            <w:tcW w:w="1432" w:type="dxa"/>
            <w:tcBorders>
              <w:top w:val="nil"/>
              <w:left w:val="nil"/>
              <w:bottom w:val="nil"/>
              <w:right w:val="nil"/>
            </w:tcBorders>
            <w:shd w:val="clear" w:color="auto" w:fill="auto"/>
            <w:vAlign w:val="center"/>
          </w:tcPr>
          <w:p w14:paraId="77AA4886" w14:textId="77777777" w:rsidR="003B7372" w:rsidRPr="00BF2AAF" w:rsidRDefault="003B7372" w:rsidP="003B737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BF2AAF">
              <w:rPr>
                <w:rFonts w:ascii="Arial" w:hAnsi="Arial" w:cs="Arial"/>
                <w:color w:val="000000"/>
                <w:sz w:val="14"/>
                <w:szCs w:val="14"/>
              </w:rPr>
              <w:t>38.616</w:t>
            </w:r>
          </w:p>
        </w:tc>
      </w:tr>
      <w:tr w:rsidR="003B7372" w:rsidRPr="00BF2AAF" w14:paraId="4F9C0D21" w14:textId="77777777" w:rsidTr="003B7372">
        <w:trPr>
          <w:gridAfter w:val="1"/>
          <w:cnfStyle w:val="000000100000" w:firstRow="0" w:lastRow="0" w:firstColumn="0" w:lastColumn="0" w:oddVBand="0" w:evenVBand="0" w:oddHBand="1" w:evenHBand="0" w:firstRowFirstColumn="0" w:firstRowLastColumn="0" w:lastRowFirstColumn="0" w:lastRowLastColumn="0"/>
          <w:wAfter w:w="52" w:type="dxa"/>
          <w:trHeight w:val="238"/>
          <w:jc w:val="center"/>
        </w:trPr>
        <w:tc>
          <w:tcPr>
            <w:cnfStyle w:val="001000000000" w:firstRow="0" w:lastRow="0" w:firstColumn="1" w:lastColumn="0" w:oddVBand="0" w:evenVBand="0" w:oddHBand="0" w:evenHBand="0" w:firstRowFirstColumn="0" w:firstRowLastColumn="0" w:lastRowFirstColumn="0" w:lastRowLastColumn="0"/>
            <w:tcW w:w="3260" w:type="dxa"/>
            <w:gridSpan w:val="2"/>
            <w:tcBorders>
              <w:top w:val="nil"/>
              <w:bottom w:val="nil"/>
            </w:tcBorders>
            <w:shd w:val="clear" w:color="auto" w:fill="auto"/>
            <w:vAlign w:val="center"/>
          </w:tcPr>
          <w:p w14:paraId="3F7924B7" w14:textId="77777777" w:rsidR="003B7372" w:rsidRPr="00BF2AAF" w:rsidRDefault="003B7372" w:rsidP="003B7372">
            <w:pPr>
              <w:keepNext/>
              <w:keepLines/>
              <w:spacing w:before="40" w:after="40"/>
              <w:rPr>
                <w:rFonts w:ascii="Arial" w:eastAsia="Times New Roman" w:hAnsi="Arial" w:cs="Arial"/>
                <w:b w:val="0"/>
                <w:bCs w:val="0"/>
                <w:spacing w:val="-2"/>
                <w:sz w:val="14"/>
                <w:szCs w:val="14"/>
                <w:lang w:eastAsia="pt-BR"/>
              </w:rPr>
            </w:pPr>
            <w:r w:rsidRPr="00BF2AAF">
              <w:rPr>
                <w:rFonts w:ascii="Arial" w:hAnsi="Arial" w:cs="Arial"/>
                <w:b w:val="0"/>
                <w:sz w:val="14"/>
                <w:szCs w:val="14"/>
              </w:rPr>
              <w:t>Demais</w:t>
            </w:r>
          </w:p>
        </w:tc>
        <w:tc>
          <w:tcPr>
            <w:tcW w:w="709" w:type="dxa"/>
            <w:tcBorders>
              <w:top w:val="nil"/>
              <w:left w:val="nil"/>
              <w:bottom w:val="nil"/>
              <w:right w:val="nil"/>
            </w:tcBorders>
            <w:shd w:val="clear" w:color="auto" w:fill="auto"/>
            <w:vAlign w:val="center"/>
          </w:tcPr>
          <w:p w14:paraId="25825EBE" w14:textId="77777777" w:rsidR="003B7372" w:rsidRPr="00BF2AAF" w:rsidRDefault="003B7372" w:rsidP="003B7372">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76" w:type="dxa"/>
            <w:tcBorders>
              <w:top w:val="nil"/>
              <w:left w:val="nil"/>
              <w:bottom w:val="nil"/>
              <w:right w:val="nil"/>
            </w:tcBorders>
            <w:shd w:val="clear" w:color="auto" w:fill="auto"/>
            <w:vAlign w:val="center"/>
          </w:tcPr>
          <w:p w14:paraId="157965D5" w14:textId="1BB167B3" w:rsidR="003B7372" w:rsidRPr="000356A5" w:rsidRDefault="003B7372" w:rsidP="003B7372">
            <w:pPr>
              <w:keepNext/>
              <w:keepLines/>
              <w:spacing w:before="40" w:after="40"/>
              <w:ind w:right="52"/>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37</w:t>
            </w:r>
            <w:r w:rsidR="00E25A02">
              <w:rPr>
                <w:rFonts w:ascii="Arial" w:hAnsi="Arial" w:cs="Arial"/>
                <w:color w:val="000000"/>
                <w:sz w:val="14"/>
                <w:szCs w:val="14"/>
              </w:rPr>
              <w:t>2</w:t>
            </w:r>
          </w:p>
        </w:tc>
        <w:tc>
          <w:tcPr>
            <w:tcW w:w="1311" w:type="dxa"/>
            <w:tcBorders>
              <w:top w:val="nil"/>
              <w:left w:val="nil"/>
              <w:bottom w:val="nil"/>
              <w:right w:val="nil"/>
            </w:tcBorders>
            <w:shd w:val="clear" w:color="auto" w:fill="auto"/>
            <w:vAlign w:val="center"/>
          </w:tcPr>
          <w:p w14:paraId="6D4468CE" w14:textId="77777777" w:rsidR="003B7372" w:rsidRPr="00BF2AAF" w:rsidRDefault="003B7372" w:rsidP="003B737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BF2AAF">
              <w:rPr>
                <w:rFonts w:ascii="Arial" w:hAnsi="Arial" w:cs="Arial"/>
                <w:sz w:val="14"/>
                <w:szCs w:val="14"/>
              </w:rPr>
              <w:t>(707)</w:t>
            </w:r>
          </w:p>
        </w:tc>
        <w:tc>
          <w:tcPr>
            <w:tcW w:w="291" w:type="dxa"/>
            <w:tcBorders>
              <w:top w:val="nil"/>
              <w:left w:val="nil"/>
              <w:bottom w:val="nil"/>
              <w:right w:val="nil"/>
            </w:tcBorders>
            <w:shd w:val="clear" w:color="auto" w:fill="auto"/>
            <w:vAlign w:val="center"/>
          </w:tcPr>
          <w:p w14:paraId="74758B29" w14:textId="77777777" w:rsidR="003B7372" w:rsidRPr="00BF2AAF" w:rsidRDefault="003B7372" w:rsidP="003B737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311" w:type="dxa"/>
            <w:gridSpan w:val="2"/>
            <w:tcBorders>
              <w:top w:val="nil"/>
              <w:left w:val="nil"/>
              <w:bottom w:val="nil"/>
              <w:right w:val="nil"/>
            </w:tcBorders>
            <w:shd w:val="clear" w:color="auto" w:fill="auto"/>
            <w:vAlign w:val="center"/>
          </w:tcPr>
          <w:p w14:paraId="5C68AC7D" w14:textId="3F763DE3" w:rsidR="003B7372" w:rsidRPr="00BF2AAF" w:rsidRDefault="003B7372" w:rsidP="003B737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37</w:t>
            </w:r>
            <w:r w:rsidR="00E25A02">
              <w:rPr>
                <w:rFonts w:ascii="Arial" w:hAnsi="Arial" w:cs="Arial"/>
                <w:color w:val="000000"/>
                <w:sz w:val="14"/>
                <w:szCs w:val="14"/>
              </w:rPr>
              <w:t>2</w:t>
            </w:r>
          </w:p>
        </w:tc>
        <w:tc>
          <w:tcPr>
            <w:tcW w:w="1432" w:type="dxa"/>
            <w:tcBorders>
              <w:top w:val="nil"/>
              <w:left w:val="nil"/>
              <w:bottom w:val="nil"/>
              <w:right w:val="nil"/>
            </w:tcBorders>
            <w:shd w:val="clear" w:color="auto" w:fill="auto"/>
            <w:vAlign w:val="center"/>
          </w:tcPr>
          <w:p w14:paraId="36AE1658" w14:textId="77777777" w:rsidR="003B7372" w:rsidRPr="00BF2AAF" w:rsidRDefault="003B7372" w:rsidP="003B737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BF2AAF">
              <w:rPr>
                <w:rFonts w:ascii="Arial" w:hAnsi="Arial" w:cs="Arial"/>
                <w:color w:val="000000"/>
                <w:sz w:val="14"/>
                <w:szCs w:val="14"/>
              </w:rPr>
              <w:t>(707)</w:t>
            </w:r>
          </w:p>
        </w:tc>
      </w:tr>
      <w:tr w:rsidR="003B7372" w:rsidRPr="00BF2AAF" w14:paraId="361DE8A0" w14:textId="77777777" w:rsidTr="003B7372">
        <w:trPr>
          <w:gridAfter w:val="1"/>
          <w:cnfStyle w:val="000000010000" w:firstRow="0" w:lastRow="0" w:firstColumn="0" w:lastColumn="0" w:oddVBand="0" w:evenVBand="0" w:oddHBand="0" w:evenHBand="1" w:firstRowFirstColumn="0" w:firstRowLastColumn="0" w:lastRowFirstColumn="0" w:lastRowLastColumn="0"/>
          <w:wAfter w:w="52" w:type="dxa"/>
          <w:trHeight w:val="238"/>
          <w:jc w:val="center"/>
        </w:trPr>
        <w:tc>
          <w:tcPr>
            <w:cnfStyle w:val="001000000000" w:firstRow="0" w:lastRow="0" w:firstColumn="1" w:lastColumn="0" w:oddVBand="0" w:evenVBand="0" w:oddHBand="0" w:evenHBand="0" w:firstRowFirstColumn="0" w:firstRowLastColumn="0" w:lastRowFirstColumn="0" w:lastRowLastColumn="0"/>
            <w:tcW w:w="3260" w:type="dxa"/>
            <w:gridSpan w:val="2"/>
            <w:tcBorders>
              <w:top w:val="nil"/>
              <w:bottom w:val="nil"/>
            </w:tcBorders>
            <w:shd w:val="clear" w:color="auto" w:fill="auto"/>
            <w:vAlign w:val="center"/>
          </w:tcPr>
          <w:p w14:paraId="30B078B1" w14:textId="5E83F768" w:rsidR="003B7372" w:rsidRPr="00BF2AAF" w:rsidRDefault="003B7372" w:rsidP="003B7372">
            <w:pPr>
              <w:keepNext/>
              <w:keepLines/>
              <w:spacing w:before="40" w:after="40"/>
              <w:rPr>
                <w:rFonts w:ascii="Arial" w:hAnsi="Arial" w:cs="Arial"/>
                <w:b w:val="0"/>
                <w:sz w:val="14"/>
                <w:szCs w:val="14"/>
              </w:rPr>
            </w:pPr>
            <w:r w:rsidRPr="00F872D1">
              <w:rPr>
                <w:rFonts w:ascii="Arial" w:hAnsi="Arial" w:cs="Arial"/>
                <w:b w:val="0"/>
                <w:sz w:val="14"/>
                <w:szCs w:val="14"/>
              </w:rPr>
              <w:t xml:space="preserve">Efeito </w:t>
            </w:r>
            <w:r>
              <w:rPr>
                <w:rFonts w:ascii="Arial" w:hAnsi="Arial" w:cs="Arial"/>
                <w:b w:val="0"/>
                <w:sz w:val="14"/>
                <w:szCs w:val="14"/>
              </w:rPr>
              <w:t>tributário</w:t>
            </w:r>
            <w:r w:rsidRPr="0032305E">
              <w:rPr>
                <w:rFonts w:ascii="Arial" w:hAnsi="Arial" w:cs="Arial"/>
                <w:b w:val="0"/>
                <w:sz w:val="14"/>
                <w:szCs w:val="14"/>
                <w:vertAlign w:val="superscript"/>
              </w:rPr>
              <w:t xml:space="preserve"> (</w:t>
            </w:r>
            <w:r w:rsidR="00AE1C0F">
              <w:rPr>
                <w:rFonts w:ascii="Arial" w:hAnsi="Arial" w:cs="Arial"/>
                <w:b w:val="0"/>
                <w:sz w:val="14"/>
                <w:szCs w:val="14"/>
                <w:vertAlign w:val="superscript"/>
              </w:rPr>
              <w:t>2</w:t>
            </w:r>
            <w:r w:rsidRPr="0032305E">
              <w:rPr>
                <w:rFonts w:ascii="Arial" w:hAnsi="Arial" w:cs="Arial"/>
                <w:b w:val="0"/>
                <w:sz w:val="14"/>
                <w:szCs w:val="14"/>
                <w:vertAlign w:val="superscript"/>
              </w:rPr>
              <w:t>)</w:t>
            </w:r>
          </w:p>
        </w:tc>
        <w:tc>
          <w:tcPr>
            <w:tcW w:w="709" w:type="dxa"/>
            <w:tcBorders>
              <w:top w:val="nil"/>
              <w:left w:val="nil"/>
              <w:bottom w:val="nil"/>
              <w:right w:val="nil"/>
            </w:tcBorders>
            <w:shd w:val="clear" w:color="auto" w:fill="auto"/>
            <w:vAlign w:val="center"/>
          </w:tcPr>
          <w:p w14:paraId="7D12DFA3" w14:textId="77777777" w:rsidR="003B7372" w:rsidRPr="00BF2AAF" w:rsidRDefault="003B7372" w:rsidP="003B7372">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76" w:type="dxa"/>
            <w:tcBorders>
              <w:top w:val="nil"/>
              <w:left w:val="nil"/>
              <w:bottom w:val="nil"/>
              <w:right w:val="nil"/>
            </w:tcBorders>
            <w:shd w:val="clear" w:color="auto" w:fill="auto"/>
            <w:vAlign w:val="center"/>
          </w:tcPr>
          <w:p w14:paraId="581A590A" w14:textId="69863312" w:rsidR="003B7372" w:rsidRPr="00BF2AAF" w:rsidRDefault="003B7372" w:rsidP="003B7372">
            <w:pPr>
              <w:keepNext/>
              <w:keepLines/>
              <w:spacing w:before="40" w:after="40"/>
              <w:ind w:right="52"/>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364.56</w:t>
            </w:r>
            <w:r w:rsidR="00E25A02">
              <w:rPr>
                <w:rFonts w:ascii="Arial" w:hAnsi="Arial" w:cs="Arial"/>
                <w:color w:val="000000"/>
                <w:sz w:val="14"/>
                <w:szCs w:val="14"/>
              </w:rPr>
              <w:t>1</w:t>
            </w:r>
          </w:p>
        </w:tc>
        <w:tc>
          <w:tcPr>
            <w:tcW w:w="1311" w:type="dxa"/>
            <w:tcBorders>
              <w:top w:val="nil"/>
              <w:left w:val="nil"/>
              <w:bottom w:val="nil"/>
              <w:right w:val="nil"/>
            </w:tcBorders>
            <w:shd w:val="clear" w:color="auto" w:fill="auto"/>
            <w:vAlign w:val="center"/>
          </w:tcPr>
          <w:p w14:paraId="05D6B2F9" w14:textId="77777777" w:rsidR="003B7372" w:rsidRPr="00BF2AAF" w:rsidRDefault="003B7372" w:rsidP="003B737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BF2AAF">
              <w:rPr>
                <w:rFonts w:ascii="Arial" w:hAnsi="Arial" w:cs="Arial"/>
                <w:sz w:val="14"/>
                <w:szCs w:val="14"/>
              </w:rPr>
              <w:t>(96.184)</w:t>
            </w:r>
          </w:p>
        </w:tc>
        <w:tc>
          <w:tcPr>
            <w:tcW w:w="291" w:type="dxa"/>
            <w:tcBorders>
              <w:top w:val="nil"/>
              <w:left w:val="nil"/>
              <w:bottom w:val="nil"/>
              <w:right w:val="nil"/>
            </w:tcBorders>
            <w:shd w:val="clear" w:color="auto" w:fill="auto"/>
            <w:vAlign w:val="center"/>
          </w:tcPr>
          <w:p w14:paraId="189CA1DF" w14:textId="77777777" w:rsidR="003B7372" w:rsidRPr="00BF2AAF" w:rsidRDefault="003B7372" w:rsidP="003B737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311" w:type="dxa"/>
            <w:gridSpan w:val="2"/>
            <w:tcBorders>
              <w:top w:val="nil"/>
              <w:left w:val="nil"/>
              <w:bottom w:val="nil"/>
              <w:right w:val="nil"/>
            </w:tcBorders>
            <w:shd w:val="clear" w:color="auto" w:fill="auto"/>
            <w:vAlign w:val="center"/>
          </w:tcPr>
          <w:p w14:paraId="4BFAB051" w14:textId="0EFB2F27" w:rsidR="003B7372" w:rsidRPr="00BF2AAF" w:rsidRDefault="003B7372" w:rsidP="003B737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364.56</w:t>
            </w:r>
            <w:r w:rsidR="00E25A02">
              <w:rPr>
                <w:rFonts w:ascii="Arial" w:hAnsi="Arial" w:cs="Arial"/>
                <w:color w:val="000000"/>
                <w:sz w:val="14"/>
                <w:szCs w:val="14"/>
              </w:rPr>
              <w:t>1</w:t>
            </w:r>
          </w:p>
        </w:tc>
        <w:tc>
          <w:tcPr>
            <w:tcW w:w="1432" w:type="dxa"/>
            <w:tcBorders>
              <w:top w:val="nil"/>
              <w:left w:val="nil"/>
              <w:bottom w:val="nil"/>
              <w:right w:val="nil"/>
            </w:tcBorders>
            <w:shd w:val="clear" w:color="auto" w:fill="auto"/>
            <w:vAlign w:val="center"/>
          </w:tcPr>
          <w:p w14:paraId="6B4AF821" w14:textId="77777777" w:rsidR="003B7372" w:rsidRPr="00BF2AAF" w:rsidRDefault="003B7372" w:rsidP="003B7372">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BF2AAF">
              <w:rPr>
                <w:rFonts w:ascii="Arial" w:hAnsi="Arial" w:cs="Arial"/>
                <w:color w:val="000000"/>
                <w:sz w:val="14"/>
                <w:szCs w:val="14"/>
              </w:rPr>
              <w:t>(96.184)</w:t>
            </w:r>
          </w:p>
        </w:tc>
      </w:tr>
      <w:tr w:rsidR="003B7372" w:rsidRPr="00BF2AAF" w14:paraId="720F0CBC" w14:textId="77777777" w:rsidTr="003B7372">
        <w:trPr>
          <w:gridAfter w:val="1"/>
          <w:cnfStyle w:val="000000100000" w:firstRow="0" w:lastRow="0" w:firstColumn="0" w:lastColumn="0" w:oddVBand="0" w:evenVBand="0" w:oddHBand="1" w:evenHBand="0" w:firstRowFirstColumn="0" w:firstRowLastColumn="0" w:lastRowFirstColumn="0" w:lastRowLastColumn="0"/>
          <w:wAfter w:w="52" w:type="dxa"/>
          <w:trHeight w:val="238"/>
          <w:jc w:val="center"/>
        </w:trPr>
        <w:tc>
          <w:tcPr>
            <w:cnfStyle w:val="001000000000" w:firstRow="0" w:lastRow="0" w:firstColumn="1" w:lastColumn="0" w:oddVBand="0" w:evenVBand="0" w:oddHBand="0" w:evenHBand="0" w:firstRowFirstColumn="0" w:firstRowLastColumn="0" w:lastRowFirstColumn="0" w:lastRowLastColumn="0"/>
            <w:tcW w:w="3260" w:type="dxa"/>
            <w:gridSpan w:val="2"/>
            <w:tcBorders>
              <w:top w:val="nil"/>
              <w:bottom w:val="single" w:sz="4" w:space="0" w:color="1F3864" w:themeColor="accent1" w:themeShade="80"/>
            </w:tcBorders>
            <w:shd w:val="clear" w:color="auto" w:fill="auto"/>
            <w:vAlign w:val="center"/>
          </w:tcPr>
          <w:p w14:paraId="3472057D" w14:textId="77777777" w:rsidR="003B7372" w:rsidRPr="00BF2AAF" w:rsidRDefault="003B7372" w:rsidP="003B7372">
            <w:pPr>
              <w:keepNext/>
              <w:keepLines/>
              <w:spacing w:before="40" w:after="40"/>
              <w:rPr>
                <w:rFonts w:ascii="Arial" w:hAnsi="Arial" w:cs="Arial"/>
                <w:sz w:val="14"/>
                <w:szCs w:val="14"/>
              </w:rPr>
            </w:pPr>
            <w:r w:rsidRPr="00BF2AAF">
              <w:rPr>
                <w:rFonts w:ascii="Arial" w:hAnsi="Arial" w:cs="Arial"/>
                <w:sz w:val="14"/>
                <w:szCs w:val="14"/>
              </w:rPr>
              <w:t>Resultado Abrangente do Exercício</w:t>
            </w:r>
          </w:p>
        </w:tc>
        <w:tc>
          <w:tcPr>
            <w:tcW w:w="709" w:type="dxa"/>
            <w:tcBorders>
              <w:top w:val="nil"/>
              <w:left w:val="nil"/>
              <w:bottom w:val="single" w:sz="4" w:space="0" w:color="1F3864" w:themeColor="accent1" w:themeShade="80"/>
              <w:right w:val="nil"/>
            </w:tcBorders>
            <w:shd w:val="clear" w:color="auto" w:fill="auto"/>
            <w:vAlign w:val="center"/>
          </w:tcPr>
          <w:p w14:paraId="15494B34" w14:textId="77777777" w:rsidR="003B7372" w:rsidRPr="00BF2AAF" w:rsidRDefault="003B7372" w:rsidP="003B7372">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276" w:type="dxa"/>
            <w:tcBorders>
              <w:top w:val="nil"/>
              <w:left w:val="nil"/>
              <w:bottom w:val="single" w:sz="4" w:space="0" w:color="1F3864" w:themeColor="accent1" w:themeShade="80"/>
              <w:right w:val="nil"/>
            </w:tcBorders>
            <w:shd w:val="clear" w:color="auto" w:fill="auto"/>
            <w:vAlign w:val="center"/>
          </w:tcPr>
          <w:p w14:paraId="37D6C59C" w14:textId="16CD6F25" w:rsidR="003B7372" w:rsidRPr="00BF2AAF" w:rsidRDefault="003B7372" w:rsidP="003B7372">
            <w:pPr>
              <w:keepNext/>
              <w:keepLines/>
              <w:spacing w:before="40" w:after="40"/>
              <w:ind w:right="52"/>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hAnsi="Arial" w:cs="Arial"/>
                <w:b/>
                <w:bCs/>
                <w:color w:val="000000"/>
                <w:sz w:val="14"/>
                <w:szCs w:val="14"/>
              </w:rPr>
              <w:t>8.156.569</w:t>
            </w:r>
          </w:p>
        </w:tc>
        <w:tc>
          <w:tcPr>
            <w:tcW w:w="1311" w:type="dxa"/>
            <w:tcBorders>
              <w:top w:val="nil"/>
              <w:left w:val="nil"/>
              <w:bottom w:val="single" w:sz="4" w:space="0" w:color="1F3864" w:themeColor="accent1" w:themeShade="80"/>
              <w:right w:val="nil"/>
            </w:tcBorders>
            <w:shd w:val="clear" w:color="auto" w:fill="auto"/>
            <w:vAlign w:val="center"/>
          </w:tcPr>
          <w:p w14:paraId="4567C298" w14:textId="77777777" w:rsidR="003B7372" w:rsidRPr="00BF2AAF" w:rsidRDefault="003B7372" w:rsidP="003B737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BF2AAF">
              <w:rPr>
                <w:rFonts w:ascii="Arial" w:hAnsi="Arial" w:cs="Arial"/>
                <w:b/>
                <w:bCs/>
                <w:sz w:val="14"/>
                <w:szCs w:val="14"/>
              </w:rPr>
              <w:t>8.091.374</w:t>
            </w:r>
          </w:p>
        </w:tc>
        <w:tc>
          <w:tcPr>
            <w:tcW w:w="291" w:type="dxa"/>
            <w:tcBorders>
              <w:top w:val="nil"/>
              <w:left w:val="nil"/>
              <w:bottom w:val="single" w:sz="4" w:space="0" w:color="1F3864" w:themeColor="accent1" w:themeShade="80"/>
              <w:right w:val="nil"/>
            </w:tcBorders>
            <w:shd w:val="clear" w:color="auto" w:fill="auto"/>
            <w:vAlign w:val="center"/>
          </w:tcPr>
          <w:p w14:paraId="38A121A7" w14:textId="77777777" w:rsidR="003B7372" w:rsidRPr="00BF2AAF" w:rsidRDefault="003B7372" w:rsidP="003B737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311" w:type="dxa"/>
            <w:gridSpan w:val="2"/>
            <w:tcBorders>
              <w:top w:val="nil"/>
              <w:left w:val="nil"/>
              <w:bottom w:val="single" w:sz="4" w:space="0" w:color="1F3864" w:themeColor="accent1" w:themeShade="80"/>
              <w:right w:val="nil"/>
            </w:tcBorders>
            <w:shd w:val="clear" w:color="auto" w:fill="auto"/>
            <w:vAlign w:val="center"/>
          </w:tcPr>
          <w:p w14:paraId="1894D4BE" w14:textId="40E42CD2" w:rsidR="003B7372" w:rsidRPr="00BF2AAF" w:rsidRDefault="003B7372" w:rsidP="003B737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4"/>
                <w:szCs w:val="14"/>
              </w:rPr>
            </w:pPr>
            <w:r>
              <w:rPr>
                <w:rFonts w:ascii="Arial" w:hAnsi="Arial" w:cs="Arial"/>
                <w:b/>
                <w:bCs/>
                <w:color w:val="000000"/>
                <w:sz w:val="14"/>
                <w:szCs w:val="14"/>
              </w:rPr>
              <w:t>8.156.569</w:t>
            </w:r>
          </w:p>
        </w:tc>
        <w:tc>
          <w:tcPr>
            <w:tcW w:w="1432" w:type="dxa"/>
            <w:tcBorders>
              <w:top w:val="nil"/>
              <w:left w:val="nil"/>
              <w:bottom w:val="single" w:sz="4" w:space="0" w:color="1F3864" w:themeColor="accent1" w:themeShade="80"/>
              <w:right w:val="nil"/>
            </w:tcBorders>
            <w:shd w:val="clear" w:color="auto" w:fill="auto"/>
            <w:vAlign w:val="center"/>
          </w:tcPr>
          <w:p w14:paraId="20B24508" w14:textId="77777777" w:rsidR="003B7372" w:rsidRPr="00BF2AAF" w:rsidRDefault="003B7372" w:rsidP="003B737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BF2AAF">
              <w:rPr>
                <w:rFonts w:ascii="Arial" w:hAnsi="Arial" w:cs="Arial"/>
                <w:b/>
                <w:color w:val="000000"/>
                <w:sz w:val="14"/>
                <w:szCs w:val="14"/>
              </w:rPr>
              <w:t>8.091.374</w:t>
            </w:r>
          </w:p>
        </w:tc>
      </w:tr>
    </w:tbl>
    <w:p w14:paraId="2F1EA84B" w14:textId="0107D657" w:rsidR="00AE1C0F" w:rsidRDefault="00AE1C0F" w:rsidP="00AE1C0F">
      <w:pPr>
        <w:pStyle w:val="PargrafodaLista"/>
        <w:widowControl w:val="0"/>
        <w:numPr>
          <w:ilvl w:val="0"/>
          <w:numId w:val="49"/>
        </w:numPr>
        <w:spacing w:before="40" w:after="0" w:line="240" w:lineRule="auto"/>
        <w:ind w:left="284" w:hanging="284"/>
        <w:jc w:val="both"/>
        <w:rPr>
          <w:rFonts w:ascii="Arial" w:hAnsi="Arial" w:cs="Arial"/>
          <w:sz w:val="14"/>
          <w:szCs w:val="14"/>
        </w:rPr>
      </w:pPr>
      <w:r w:rsidRPr="00AE1C0F">
        <w:rPr>
          <w:rFonts w:ascii="Arial" w:hAnsi="Arial" w:cs="Arial"/>
          <w:sz w:val="14"/>
          <w:szCs w:val="14"/>
        </w:rPr>
        <w:t>Em dezembro de 2023, o saldo referente à efeitos de harmonização de práticas contábeis com as empresas investidas, reconhecidos no Patrimônio Líquido, foram absorvidas por Reservas de Lucros</w:t>
      </w:r>
      <w:r>
        <w:rPr>
          <w:rFonts w:ascii="Arial" w:hAnsi="Arial" w:cs="Arial"/>
          <w:sz w:val="14"/>
          <w:szCs w:val="14"/>
        </w:rPr>
        <w:t>.</w:t>
      </w:r>
    </w:p>
    <w:p w14:paraId="48424964" w14:textId="543923C9" w:rsidR="00074DB7" w:rsidRPr="00744F89" w:rsidRDefault="00074DB7" w:rsidP="00AE1C0F">
      <w:pPr>
        <w:pStyle w:val="PargrafodaLista"/>
        <w:widowControl w:val="0"/>
        <w:numPr>
          <w:ilvl w:val="0"/>
          <w:numId w:val="49"/>
        </w:numPr>
        <w:spacing w:before="40" w:after="0" w:line="240" w:lineRule="auto"/>
        <w:ind w:left="284" w:hanging="284"/>
        <w:jc w:val="both"/>
        <w:rPr>
          <w:rFonts w:ascii="Arial" w:hAnsi="Arial" w:cs="Arial"/>
          <w:sz w:val="14"/>
          <w:szCs w:val="14"/>
        </w:rPr>
      </w:pPr>
      <w:r w:rsidRPr="00744F89">
        <w:rPr>
          <w:rFonts w:ascii="Arial" w:hAnsi="Arial" w:cs="Arial"/>
          <w:sz w:val="14"/>
          <w:szCs w:val="14"/>
        </w:rPr>
        <w:t>Imposto de Renda (IR) e Contribuição Social sobre o Lucro Líquido (CSLL) incidente sobre a movimentação dos resultados abrangentes das investidas Brasilprev, BB M</w:t>
      </w:r>
      <w:r w:rsidR="009E643D" w:rsidRPr="00744F89">
        <w:rPr>
          <w:rFonts w:ascii="Arial" w:hAnsi="Arial" w:cs="Arial"/>
          <w:sz w:val="14"/>
          <w:szCs w:val="14"/>
        </w:rPr>
        <w:t>AP</w:t>
      </w:r>
      <w:r w:rsidR="00443022" w:rsidRPr="00744F89">
        <w:rPr>
          <w:rFonts w:ascii="Arial" w:hAnsi="Arial" w:cs="Arial"/>
          <w:sz w:val="14"/>
          <w:szCs w:val="14"/>
        </w:rPr>
        <w:t>FRE</w:t>
      </w:r>
      <w:r w:rsidRPr="00744F89">
        <w:rPr>
          <w:rFonts w:ascii="Arial" w:hAnsi="Arial" w:cs="Arial"/>
          <w:sz w:val="14"/>
          <w:szCs w:val="14"/>
        </w:rPr>
        <w:t xml:space="preserve">, </w:t>
      </w:r>
      <w:proofErr w:type="spellStart"/>
      <w:r w:rsidRPr="00744F89">
        <w:rPr>
          <w:rFonts w:ascii="Arial" w:hAnsi="Arial" w:cs="Arial"/>
          <w:sz w:val="14"/>
          <w:szCs w:val="14"/>
        </w:rPr>
        <w:t>Brasildental</w:t>
      </w:r>
      <w:proofErr w:type="spellEnd"/>
      <w:r w:rsidRPr="00744F89">
        <w:rPr>
          <w:rFonts w:ascii="Arial" w:hAnsi="Arial" w:cs="Arial"/>
          <w:sz w:val="14"/>
          <w:szCs w:val="14"/>
        </w:rPr>
        <w:t xml:space="preserve">, </w:t>
      </w:r>
      <w:proofErr w:type="spellStart"/>
      <w:r w:rsidRPr="00744F89">
        <w:rPr>
          <w:rFonts w:ascii="Arial" w:hAnsi="Arial" w:cs="Arial"/>
          <w:sz w:val="14"/>
          <w:szCs w:val="14"/>
        </w:rPr>
        <w:t>Brasilcap</w:t>
      </w:r>
      <w:proofErr w:type="spellEnd"/>
      <w:r w:rsidRPr="00744F89">
        <w:rPr>
          <w:rFonts w:ascii="Arial" w:hAnsi="Arial" w:cs="Arial"/>
          <w:sz w:val="14"/>
          <w:szCs w:val="14"/>
        </w:rPr>
        <w:t xml:space="preserve"> (IR: 25% e CSLL: 15%) e </w:t>
      </w:r>
      <w:proofErr w:type="spellStart"/>
      <w:r w:rsidRPr="00744F89">
        <w:rPr>
          <w:rFonts w:ascii="Arial" w:hAnsi="Arial" w:cs="Arial"/>
          <w:sz w:val="14"/>
          <w:szCs w:val="14"/>
        </w:rPr>
        <w:t>Ciclic</w:t>
      </w:r>
      <w:proofErr w:type="spellEnd"/>
      <w:r w:rsidRPr="00744F89">
        <w:rPr>
          <w:rFonts w:ascii="Arial" w:hAnsi="Arial" w:cs="Arial"/>
          <w:sz w:val="14"/>
          <w:szCs w:val="14"/>
        </w:rPr>
        <w:t xml:space="preserve"> (IR: 25% e CSLL: 9%). A movimentação individual de cada empresa está detalhada na nota 7.b.3.</w:t>
      </w:r>
    </w:p>
    <w:p w14:paraId="580877C5" w14:textId="612660CE" w:rsidR="00056E56" w:rsidRPr="00BF2AAF" w:rsidRDefault="00074DB7" w:rsidP="005A75AA">
      <w:pPr>
        <w:spacing w:after="0" w:line="26" w:lineRule="atLeast"/>
        <w:ind w:right="-1"/>
        <w:jc w:val="both"/>
        <w:rPr>
          <w:rFonts w:ascii="Arial" w:eastAsia="Times New Roman" w:hAnsi="Arial" w:cs="Arial"/>
          <w:b/>
          <w:spacing w:val="-2"/>
          <w:sz w:val="14"/>
          <w:szCs w:val="14"/>
          <w:lang w:eastAsia="pt-BR"/>
        </w:rPr>
      </w:pPr>
      <w:r w:rsidRPr="00AC5C8C">
        <w:rPr>
          <w:rFonts w:ascii="Arial" w:eastAsiaTheme="minorHAnsi" w:hAnsi="Arial" w:cs="Arial"/>
          <w:sz w:val="14"/>
          <w:szCs w:val="14"/>
        </w:rPr>
        <w:t>As notas explicativas são parte integrante das demonstrações contábeis</w:t>
      </w:r>
      <w:r w:rsidRPr="007A6EF4">
        <w:rPr>
          <w:rFonts w:ascii="Arial" w:eastAsiaTheme="minorHAnsi" w:hAnsi="Arial" w:cs="Arial"/>
          <w:sz w:val="14"/>
          <w:szCs w:val="14"/>
        </w:rPr>
        <w:t>.</w:t>
      </w:r>
    </w:p>
    <w:p w14:paraId="0FE991C2" w14:textId="05CE515D" w:rsidR="00056E56" w:rsidRPr="00BF2AAF" w:rsidRDefault="00056E56" w:rsidP="00B05A0E">
      <w:pPr>
        <w:spacing w:after="160" w:line="26" w:lineRule="atLeast"/>
        <w:ind w:firstLine="284"/>
        <w:jc w:val="both"/>
        <w:rPr>
          <w:rFonts w:ascii="Arial" w:hAnsi="Arial" w:cs="Arial"/>
          <w:sz w:val="20"/>
          <w:szCs w:val="20"/>
        </w:rPr>
      </w:pPr>
    </w:p>
    <w:bookmarkEnd w:id="10"/>
    <w:p w14:paraId="4181E1D2" w14:textId="77777777" w:rsidR="008D7118" w:rsidRPr="00BF2AAF" w:rsidRDefault="008D7118" w:rsidP="00B05A0E">
      <w:pPr>
        <w:spacing w:line="26" w:lineRule="atLeast"/>
        <w:jc w:val="both"/>
        <w:rPr>
          <w:rFonts w:ascii="Arial" w:hAnsi="Arial" w:cs="Arial"/>
          <w:sz w:val="20"/>
          <w:szCs w:val="20"/>
        </w:rPr>
        <w:sectPr w:rsidR="008D7118" w:rsidRPr="00BF2AAF" w:rsidSect="00DF4AC5">
          <w:pgSz w:w="11906" w:h="16838" w:code="9"/>
          <w:pgMar w:top="1134" w:right="1134" w:bottom="851" w:left="1134" w:header="851" w:footer="284" w:gutter="0"/>
          <w:cols w:space="708"/>
          <w:titlePg/>
          <w:docGrid w:linePitch="360"/>
        </w:sectPr>
      </w:pPr>
    </w:p>
    <w:p w14:paraId="4417D38E" w14:textId="77777777" w:rsidR="009F687E" w:rsidRPr="00BF2AAF" w:rsidRDefault="009F687E" w:rsidP="009F687E">
      <w:pPr>
        <w:keepNext/>
        <w:keepLines/>
        <w:pageBreakBefore/>
        <w:spacing w:before="120" w:after="120"/>
        <w:outlineLvl w:val="0"/>
        <w:rPr>
          <w:rFonts w:ascii="Arial" w:eastAsia="Times New Roman" w:hAnsi="Arial" w:cs="Arial"/>
          <w:color w:val="1F3864" w:themeColor="accent1" w:themeShade="80"/>
          <w:sz w:val="20"/>
          <w:szCs w:val="20"/>
          <w:lang w:eastAsia="pt-BR"/>
        </w:rPr>
      </w:pPr>
      <w:bookmarkStart w:id="11" w:name="_Toc134648204"/>
      <w:bookmarkStart w:id="12" w:name="_Toc189757060"/>
      <w:bookmarkStart w:id="13" w:name="_Hlk154483370"/>
      <w:r w:rsidRPr="00BF2AAF">
        <w:rPr>
          <w:rFonts w:ascii="Arial" w:eastAsia="Times New Roman" w:hAnsi="Arial" w:cs="Arial"/>
          <w:b/>
          <w:color w:val="1F3864" w:themeColor="accent1" w:themeShade="80"/>
          <w:sz w:val="20"/>
          <w:szCs w:val="20"/>
          <w:lang w:eastAsia="pt-BR"/>
        </w:rPr>
        <w:lastRenderedPageBreak/>
        <w:t>BALANÇO PATRIMONIAL</w:t>
      </w:r>
      <w:bookmarkEnd w:id="11"/>
      <w:bookmarkEnd w:id="12"/>
    </w:p>
    <w:p w14:paraId="29450ED0" w14:textId="77777777" w:rsidR="00263EF9" w:rsidRPr="00FA07E8" w:rsidRDefault="00263EF9" w:rsidP="00263EF9">
      <w:pPr>
        <w:spacing w:after="0" w:line="240" w:lineRule="auto"/>
        <w:ind w:right="-1"/>
        <w:jc w:val="right"/>
        <w:rPr>
          <w:rFonts w:ascii="Arial" w:eastAsia="Times New Roman" w:hAnsi="Arial" w:cs="Arial"/>
          <w:b/>
          <w:spacing w:val="-2"/>
          <w:sz w:val="14"/>
          <w:szCs w:val="14"/>
          <w:lang w:eastAsia="pt-BR"/>
        </w:rPr>
      </w:pPr>
      <w:bookmarkStart w:id="14" w:name="_Hlk131513429"/>
      <w:r w:rsidRPr="00FA07E8">
        <w:rPr>
          <w:rFonts w:ascii="Arial" w:eastAsia="Times New Roman" w:hAnsi="Arial" w:cs="Arial"/>
          <w:b/>
          <w:spacing w:val="-2"/>
          <w:sz w:val="14"/>
          <w:szCs w:val="14"/>
          <w:lang w:eastAsia="pt-BR"/>
        </w:rPr>
        <w:t>R$ mil</w:t>
      </w:r>
    </w:p>
    <w:tbl>
      <w:tblPr>
        <w:tblStyle w:val="TabeladeLista6Colorida-nfase5"/>
        <w:tblW w:w="9639" w:type="dxa"/>
        <w:jc w:val="center"/>
        <w:tblLayout w:type="fixed"/>
        <w:tblLook w:val="04A0" w:firstRow="1" w:lastRow="0" w:firstColumn="1" w:lastColumn="0" w:noHBand="0" w:noVBand="1"/>
      </w:tblPr>
      <w:tblGrid>
        <w:gridCol w:w="2950"/>
        <w:gridCol w:w="868"/>
        <w:gridCol w:w="1460"/>
        <w:gridCol w:w="1267"/>
        <w:gridCol w:w="138"/>
        <w:gridCol w:w="265"/>
        <w:gridCol w:w="24"/>
        <w:gridCol w:w="1592"/>
        <w:gridCol w:w="1075"/>
      </w:tblGrid>
      <w:tr w:rsidR="00263EF9" w:rsidRPr="00281428" w14:paraId="19657E1C"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single" w:sz="2" w:space="0" w:color="1F3864" w:themeColor="accent1" w:themeShade="80"/>
              <w:bottom w:val="nil"/>
            </w:tcBorders>
            <w:shd w:val="clear" w:color="auto" w:fill="auto"/>
            <w:vAlign w:val="center"/>
          </w:tcPr>
          <w:p w14:paraId="5956012D" w14:textId="77777777" w:rsidR="00263EF9" w:rsidRPr="00281428" w:rsidRDefault="00263EF9">
            <w:pPr>
              <w:jc w:val="center"/>
              <w:rPr>
                <w:rFonts w:ascii="Arial" w:eastAsiaTheme="minorHAnsi" w:hAnsi="Arial" w:cs="Arial"/>
                <w:sz w:val="18"/>
                <w:szCs w:val="18"/>
              </w:rPr>
            </w:pPr>
          </w:p>
        </w:tc>
        <w:tc>
          <w:tcPr>
            <w:tcW w:w="868" w:type="dxa"/>
            <w:tcBorders>
              <w:top w:val="single" w:sz="2" w:space="0" w:color="1F3864" w:themeColor="accent1" w:themeShade="80"/>
              <w:bottom w:val="nil"/>
            </w:tcBorders>
            <w:shd w:val="clear" w:color="auto" w:fill="auto"/>
            <w:vAlign w:val="center"/>
          </w:tcPr>
          <w:p w14:paraId="5377FD5A" w14:textId="77777777" w:rsidR="00263EF9" w:rsidRPr="00281428" w:rsidRDefault="00263EF9">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8"/>
                <w:szCs w:val="18"/>
              </w:rPr>
            </w:pPr>
          </w:p>
        </w:tc>
        <w:tc>
          <w:tcPr>
            <w:tcW w:w="2727" w:type="dxa"/>
            <w:gridSpan w:val="2"/>
            <w:tcBorders>
              <w:top w:val="single" w:sz="2" w:space="0" w:color="1F3864" w:themeColor="accent1" w:themeShade="80"/>
              <w:bottom w:val="single" w:sz="2" w:space="0" w:color="1F3864" w:themeColor="accent1" w:themeShade="80"/>
            </w:tcBorders>
            <w:shd w:val="clear" w:color="auto" w:fill="auto"/>
            <w:vAlign w:val="center"/>
          </w:tcPr>
          <w:p w14:paraId="3D3F5603" w14:textId="77777777" w:rsidR="00263EF9" w:rsidRPr="00281428" w:rsidRDefault="00263EF9">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8"/>
              </w:rPr>
            </w:pPr>
            <w:r w:rsidRPr="0049029D">
              <w:rPr>
                <w:rFonts w:ascii="Arial" w:eastAsiaTheme="minorHAnsi" w:hAnsi="Arial" w:cs="Arial"/>
                <w:sz w:val="14"/>
                <w:szCs w:val="18"/>
              </w:rPr>
              <w:t>Controlador</w:t>
            </w:r>
          </w:p>
        </w:tc>
        <w:tc>
          <w:tcPr>
            <w:tcW w:w="427" w:type="dxa"/>
            <w:gridSpan w:val="3"/>
            <w:tcBorders>
              <w:top w:val="single" w:sz="2" w:space="0" w:color="1F3864" w:themeColor="accent1" w:themeShade="80"/>
              <w:bottom w:val="nil"/>
            </w:tcBorders>
            <w:shd w:val="clear" w:color="auto" w:fill="auto"/>
            <w:vAlign w:val="center"/>
          </w:tcPr>
          <w:p w14:paraId="41D395A5" w14:textId="77777777" w:rsidR="00263EF9" w:rsidRPr="00281428" w:rsidRDefault="00263EF9">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8"/>
                <w:szCs w:val="18"/>
              </w:rPr>
            </w:pPr>
          </w:p>
        </w:tc>
        <w:tc>
          <w:tcPr>
            <w:tcW w:w="2667" w:type="dxa"/>
            <w:gridSpan w:val="2"/>
            <w:tcBorders>
              <w:top w:val="single" w:sz="2" w:space="0" w:color="1F3864" w:themeColor="accent1" w:themeShade="80"/>
              <w:bottom w:val="single" w:sz="2" w:space="0" w:color="1F3864" w:themeColor="accent1" w:themeShade="80"/>
            </w:tcBorders>
            <w:shd w:val="clear" w:color="auto" w:fill="auto"/>
            <w:vAlign w:val="center"/>
          </w:tcPr>
          <w:p w14:paraId="6D20ABA3" w14:textId="77777777" w:rsidR="00263EF9" w:rsidRPr="00281428" w:rsidRDefault="00263EF9">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281428">
              <w:rPr>
                <w:rFonts w:ascii="Arial" w:eastAsiaTheme="minorHAnsi" w:hAnsi="Arial" w:cs="Arial"/>
                <w:sz w:val="14"/>
                <w:szCs w:val="18"/>
              </w:rPr>
              <w:t>Consolidado</w:t>
            </w:r>
          </w:p>
        </w:tc>
      </w:tr>
      <w:tr w:rsidR="00263EF9" w:rsidRPr="00281428" w14:paraId="2E45E855" w14:textId="77777777">
        <w:trPr>
          <w:cnfStyle w:val="000000100000" w:firstRow="0" w:lastRow="0" w:firstColumn="0" w:lastColumn="0" w:oddVBand="0" w:evenVBand="0" w:oddHBand="1" w:evenHBand="0" w:firstRowFirstColumn="0" w:firstRowLastColumn="0" w:lastRowFirstColumn="0" w:lastRowLastColumn="0"/>
          <w:trHeight w:val="346"/>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single" w:sz="2" w:space="0" w:color="1F3864" w:themeColor="accent1" w:themeShade="80"/>
            </w:tcBorders>
            <w:shd w:val="clear" w:color="auto" w:fill="auto"/>
            <w:vAlign w:val="center"/>
          </w:tcPr>
          <w:p w14:paraId="65A3AF3E" w14:textId="77777777" w:rsidR="00263EF9" w:rsidRPr="00281428" w:rsidRDefault="00263EF9">
            <w:pPr>
              <w:keepNext/>
              <w:keepLines/>
              <w:spacing w:before="40" w:after="40"/>
              <w:rPr>
                <w:rFonts w:ascii="Arial" w:eastAsia="Times New Roman" w:hAnsi="Arial" w:cs="Arial"/>
                <w:spacing w:val="-2"/>
                <w:sz w:val="14"/>
                <w:szCs w:val="18"/>
                <w:lang w:eastAsia="pt-BR"/>
              </w:rPr>
            </w:pPr>
          </w:p>
        </w:tc>
        <w:tc>
          <w:tcPr>
            <w:tcW w:w="868" w:type="dxa"/>
            <w:tcBorders>
              <w:top w:val="nil"/>
              <w:bottom w:val="single" w:sz="2" w:space="0" w:color="1F3864" w:themeColor="accent1" w:themeShade="80"/>
            </w:tcBorders>
            <w:shd w:val="clear" w:color="auto" w:fill="auto"/>
            <w:vAlign w:val="center"/>
          </w:tcPr>
          <w:p w14:paraId="5386CAC5" w14:textId="77777777" w:rsidR="00263EF9" w:rsidRPr="00281428"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r w:rsidRPr="00281428">
              <w:rPr>
                <w:rFonts w:ascii="Arial" w:eastAsia="Times New Roman" w:hAnsi="Arial" w:cs="Arial"/>
                <w:b/>
                <w:spacing w:val="-2"/>
                <w:sz w:val="14"/>
                <w:szCs w:val="18"/>
                <w:lang w:eastAsia="pt-BR"/>
              </w:rPr>
              <w:t>Nota</w:t>
            </w:r>
          </w:p>
        </w:tc>
        <w:tc>
          <w:tcPr>
            <w:tcW w:w="1460" w:type="dxa"/>
            <w:tcBorders>
              <w:top w:val="single" w:sz="2" w:space="0" w:color="1F3864" w:themeColor="accent1" w:themeShade="80"/>
              <w:bottom w:val="single" w:sz="2" w:space="0" w:color="1F3864" w:themeColor="accent1" w:themeShade="80"/>
            </w:tcBorders>
            <w:shd w:val="clear" w:color="auto" w:fill="auto"/>
            <w:vAlign w:val="center"/>
          </w:tcPr>
          <w:p w14:paraId="751DBAF5" w14:textId="77777777" w:rsidR="00263EF9" w:rsidRPr="00281428"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r w:rsidRPr="00281428">
              <w:rPr>
                <w:rFonts w:ascii="Arial" w:eastAsia="Times New Roman" w:hAnsi="Arial" w:cs="Arial"/>
                <w:b/>
                <w:spacing w:val="-2"/>
                <w:sz w:val="14"/>
                <w:szCs w:val="18"/>
                <w:lang w:eastAsia="pt-BR"/>
              </w:rPr>
              <w:t>3</w:t>
            </w:r>
            <w:r>
              <w:rPr>
                <w:rFonts w:ascii="Arial" w:eastAsia="Times New Roman" w:hAnsi="Arial" w:cs="Arial"/>
                <w:b/>
                <w:spacing w:val="-2"/>
                <w:sz w:val="14"/>
                <w:szCs w:val="18"/>
                <w:lang w:eastAsia="pt-BR"/>
              </w:rPr>
              <w:t>1.12</w:t>
            </w:r>
            <w:r w:rsidRPr="00281428">
              <w:rPr>
                <w:rFonts w:ascii="Arial" w:eastAsia="Times New Roman" w:hAnsi="Arial" w:cs="Arial"/>
                <w:b/>
                <w:spacing w:val="-2"/>
                <w:sz w:val="14"/>
                <w:szCs w:val="18"/>
                <w:lang w:eastAsia="pt-BR"/>
              </w:rPr>
              <w:t>.202</w:t>
            </w:r>
            <w:r>
              <w:rPr>
                <w:rFonts w:ascii="Arial" w:eastAsia="Times New Roman" w:hAnsi="Arial" w:cs="Arial"/>
                <w:b/>
                <w:spacing w:val="-2"/>
                <w:sz w:val="14"/>
                <w:szCs w:val="18"/>
                <w:lang w:eastAsia="pt-BR"/>
              </w:rPr>
              <w:t>4</w:t>
            </w:r>
          </w:p>
        </w:tc>
        <w:tc>
          <w:tcPr>
            <w:tcW w:w="1405" w:type="dxa"/>
            <w:gridSpan w:val="2"/>
            <w:tcBorders>
              <w:top w:val="single" w:sz="2" w:space="0" w:color="1F3864" w:themeColor="accent1" w:themeShade="80"/>
              <w:bottom w:val="single" w:sz="2" w:space="0" w:color="1F3864" w:themeColor="accent1" w:themeShade="80"/>
            </w:tcBorders>
            <w:shd w:val="clear" w:color="auto" w:fill="auto"/>
            <w:vAlign w:val="center"/>
          </w:tcPr>
          <w:p w14:paraId="109A4F94" w14:textId="77777777" w:rsidR="00263EF9" w:rsidRPr="00281428"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r w:rsidRPr="0064696C">
              <w:rPr>
                <w:rFonts w:ascii="Arial" w:eastAsia="Times New Roman" w:hAnsi="Arial" w:cs="Arial"/>
                <w:b/>
                <w:spacing w:val="-2"/>
                <w:sz w:val="14"/>
                <w:szCs w:val="18"/>
                <w:lang w:eastAsia="pt-BR"/>
              </w:rPr>
              <w:t>31.12.202</w:t>
            </w:r>
            <w:r>
              <w:rPr>
                <w:rFonts w:ascii="Arial" w:eastAsia="Times New Roman" w:hAnsi="Arial" w:cs="Arial"/>
                <w:b/>
                <w:spacing w:val="-2"/>
                <w:sz w:val="14"/>
                <w:szCs w:val="18"/>
                <w:lang w:eastAsia="pt-BR"/>
              </w:rPr>
              <w:t>3</w:t>
            </w:r>
          </w:p>
        </w:tc>
        <w:tc>
          <w:tcPr>
            <w:tcW w:w="265" w:type="dxa"/>
            <w:tcBorders>
              <w:top w:val="nil"/>
              <w:bottom w:val="nil"/>
            </w:tcBorders>
            <w:shd w:val="clear" w:color="auto" w:fill="auto"/>
            <w:vAlign w:val="center"/>
          </w:tcPr>
          <w:p w14:paraId="0AEB9CF0" w14:textId="77777777" w:rsidR="00263EF9" w:rsidRPr="00281428"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p>
        </w:tc>
        <w:tc>
          <w:tcPr>
            <w:tcW w:w="1616" w:type="dxa"/>
            <w:gridSpan w:val="2"/>
            <w:tcBorders>
              <w:top w:val="single" w:sz="2" w:space="0" w:color="1F3864" w:themeColor="accent1" w:themeShade="80"/>
              <w:bottom w:val="single" w:sz="2" w:space="0" w:color="1F3864" w:themeColor="accent1" w:themeShade="80"/>
            </w:tcBorders>
            <w:shd w:val="clear" w:color="auto" w:fill="auto"/>
            <w:vAlign w:val="center"/>
          </w:tcPr>
          <w:p w14:paraId="0BF05132" w14:textId="77777777" w:rsidR="00263EF9" w:rsidRPr="00281428"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r w:rsidRPr="00281428">
              <w:rPr>
                <w:rFonts w:ascii="Arial" w:eastAsia="Times New Roman" w:hAnsi="Arial" w:cs="Arial"/>
                <w:b/>
                <w:spacing w:val="-2"/>
                <w:sz w:val="14"/>
                <w:szCs w:val="18"/>
                <w:lang w:eastAsia="pt-BR"/>
              </w:rPr>
              <w:t>3</w:t>
            </w:r>
            <w:r>
              <w:rPr>
                <w:rFonts w:ascii="Arial" w:eastAsia="Times New Roman" w:hAnsi="Arial" w:cs="Arial"/>
                <w:b/>
                <w:spacing w:val="-2"/>
                <w:sz w:val="14"/>
                <w:szCs w:val="18"/>
                <w:lang w:eastAsia="pt-BR"/>
              </w:rPr>
              <w:t>1.12</w:t>
            </w:r>
            <w:r w:rsidRPr="00281428">
              <w:rPr>
                <w:rFonts w:ascii="Arial" w:eastAsia="Times New Roman" w:hAnsi="Arial" w:cs="Arial"/>
                <w:b/>
                <w:spacing w:val="-2"/>
                <w:sz w:val="14"/>
                <w:szCs w:val="18"/>
                <w:lang w:eastAsia="pt-BR"/>
              </w:rPr>
              <w:t>.202</w:t>
            </w:r>
            <w:r>
              <w:rPr>
                <w:rFonts w:ascii="Arial" w:eastAsia="Times New Roman" w:hAnsi="Arial" w:cs="Arial"/>
                <w:b/>
                <w:spacing w:val="-2"/>
                <w:sz w:val="14"/>
                <w:szCs w:val="18"/>
                <w:lang w:eastAsia="pt-BR"/>
              </w:rPr>
              <w:t>4</w:t>
            </w:r>
          </w:p>
        </w:tc>
        <w:tc>
          <w:tcPr>
            <w:tcW w:w="1075" w:type="dxa"/>
            <w:tcBorders>
              <w:top w:val="single" w:sz="2" w:space="0" w:color="1F3864" w:themeColor="accent1" w:themeShade="80"/>
              <w:bottom w:val="single" w:sz="2" w:space="0" w:color="1F3864" w:themeColor="accent1" w:themeShade="80"/>
            </w:tcBorders>
            <w:shd w:val="clear" w:color="auto" w:fill="auto"/>
            <w:vAlign w:val="center"/>
          </w:tcPr>
          <w:p w14:paraId="1D67B2DF" w14:textId="77777777" w:rsidR="00263EF9" w:rsidRPr="0064696C"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r w:rsidRPr="0064696C">
              <w:rPr>
                <w:rFonts w:ascii="Arial" w:eastAsia="Times New Roman" w:hAnsi="Arial" w:cs="Arial"/>
                <w:b/>
                <w:spacing w:val="-2"/>
                <w:sz w:val="14"/>
                <w:szCs w:val="18"/>
                <w:lang w:eastAsia="pt-BR"/>
              </w:rPr>
              <w:t>31.12.202</w:t>
            </w:r>
            <w:r>
              <w:rPr>
                <w:rFonts w:ascii="Arial" w:eastAsia="Times New Roman" w:hAnsi="Arial" w:cs="Arial"/>
                <w:b/>
                <w:spacing w:val="-2"/>
                <w:sz w:val="14"/>
                <w:szCs w:val="18"/>
                <w:lang w:eastAsia="pt-BR"/>
              </w:rPr>
              <w:t>3</w:t>
            </w:r>
          </w:p>
        </w:tc>
      </w:tr>
      <w:tr w:rsidR="00263EF9" w:rsidRPr="00281428" w14:paraId="35384B6A"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single" w:sz="2" w:space="0" w:color="1F3864" w:themeColor="accent1" w:themeShade="80"/>
              <w:bottom w:val="nil"/>
            </w:tcBorders>
            <w:shd w:val="clear" w:color="auto" w:fill="auto"/>
            <w:vAlign w:val="center"/>
          </w:tcPr>
          <w:p w14:paraId="4AEEDE1E" w14:textId="77777777" w:rsidR="00263EF9" w:rsidRPr="00281428" w:rsidRDefault="00263EF9">
            <w:pPr>
              <w:keepNext/>
              <w:keepLines/>
              <w:spacing w:before="40" w:after="40"/>
              <w:rPr>
                <w:rFonts w:ascii="Arial" w:eastAsia="Times New Roman" w:hAnsi="Arial" w:cs="Arial"/>
                <w:spacing w:val="-2"/>
                <w:sz w:val="14"/>
                <w:szCs w:val="14"/>
                <w:lang w:eastAsia="pt-BR"/>
              </w:rPr>
            </w:pPr>
            <w:r w:rsidRPr="00281428">
              <w:rPr>
                <w:rFonts w:ascii="Arial" w:eastAsia="Times New Roman" w:hAnsi="Arial" w:cs="Arial"/>
                <w:spacing w:val="-2"/>
                <w:sz w:val="14"/>
                <w:szCs w:val="14"/>
                <w:lang w:eastAsia="pt-BR"/>
              </w:rPr>
              <w:t>Ativo Circulante</w:t>
            </w:r>
          </w:p>
        </w:tc>
        <w:tc>
          <w:tcPr>
            <w:tcW w:w="868" w:type="dxa"/>
            <w:tcBorders>
              <w:top w:val="single" w:sz="2" w:space="0" w:color="1F3864" w:themeColor="accent1" w:themeShade="80"/>
              <w:bottom w:val="nil"/>
            </w:tcBorders>
            <w:shd w:val="clear" w:color="auto" w:fill="auto"/>
            <w:vAlign w:val="center"/>
          </w:tcPr>
          <w:p w14:paraId="48CC0B8D" w14:textId="77777777" w:rsidR="00263EF9" w:rsidRPr="00281428"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8"/>
                <w:lang w:eastAsia="pt-BR"/>
              </w:rPr>
            </w:pPr>
          </w:p>
        </w:tc>
        <w:tc>
          <w:tcPr>
            <w:tcW w:w="1460" w:type="dxa"/>
            <w:tcBorders>
              <w:top w:val="nil"/>
              <w:left w:val="nil"/>
              <w:bottom w:val="nil"/>
              <w:right w:val="nil"/>
            </w:tcBorders>
            <w:shd w:val="clear" w:color="auto" w:fill="auto"/>
            <w:vAlign w:val="center"/>
          </w:tcPr>
          <w:p w14:paraId="56E3F437" w14:textId="77777777" w:rsidR="00263EF9" w:rsidRPr="006B0C43"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4.500.893</w:t>
            </w:r>
          </w:p>
        </w:tc>
        <w:tc>
          <w:tcPr>
            <w:tcW w:w="1405" w:type="dxa"/>
            <w:gridSpan w:val="2"/>
            <w:tcBorders>
              <w:top w:val="nil"/>
              <w:left w:val="nil"/>
              <w:bottom w:val="nil"/>
              <w:right w:val="nil"/>
            </w:tcBorders>
            <w:shd w:val="clear" w:color="auto" w:fill="auto"/>
            <w:vAlign w:val="center"/>
          </w:tcPr>
          <w:p w14:paraId="021CD393" w14:textId="77777777" w:rsidR="00263EF9" w:rsidRPr="0064696C"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8"/>
                <w:lang w:eastAsia="pt-BR"/>
              </w:rPr>
            </w:pPr>
            <w:r w:rsidRPr="00BF2AAF">
              <w:rPr>
                <w:rFonts w:ascii="Arial" w:eastAsia="Times New Roman" w:hAnsi="Arial" w:cs="Arial"/>
                <w:b/>
                <w:spacing w:val="-2"/>
                <w:sz w:val="14"/>
                <w:szCs w:val="14"/>
                <w:lang w:eastAsia="pt-BR"/>
              </w:rPr>
              <w:t>3.039.549</w:t>
            </w:r>
          </w:p>
        </w:tc>
        <w:tc>
          <w:tcPr>
            <w:tcW w:w="265" w:type="dxa"/>
            <w:tcBorders>
              <w:top w:val="nil"/>
              <w:bottom w:val="nil"/>
            </w:tcBorders>
            <w:shd w:val="clear" w:color="auto" w:fill="auto"/>
            <w:vAlign w:val="center"/>
          </w:tcPr>
          <w:p w14:paraId="26ED6FF7" w14:textId="77777777" w:rsidR="00263EF9" w:rsidRPr="006B0C43"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616" w:type="dxa"/>
            <w:gridSpan w:val="2"/>
            <w:tcBorders>
              <w:top w:val="nil"/>
              <w:left w:val="nil"/>
              <w:bottom w:val="nil"/>
              <w:right w:val="nil"/>
            </w:tcBorders>
            <w:shd w:val="clear" w:color="auto" w:fill="auto"/>
            <w:vAlign w:val="center"/>
          </w:tcPr>
          <w:p w14:paraId="7DED2E19" w14:textId="77777777" w:rsidR="00263EF9" w:rsidRPr="00D33434"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Pr>
                <w:rFonts w:ascii="Arial" w:eastAsia="Times New Roman" w:hAnsi="Arial" w:cs="Arial"/>
                <w:b/>
                <w:bCs/>
                <w:spacing w:val="-2"/>
                <w:sz w:val="14"/>
                <w:szCs w:val="14"/>
                <w:lang w:eastAsia="pt-BR"/>
              </w:rPr>
              <w:t>9.905.706</w:t>
            </w:r>
          </w:p>
        </w:tc>
        <w:tc>
          <w:tcPr>
            <w:tcW w:w="1075" w:type="dxa"/>
            <w:tcBorders>
              <w:top w:val="nil"/>
              <w:left w:val="nil"/>
              <w:bottom w:val="nil"/>
              <w:right w:val="nil"/>
            </w:tcBorders>
            <w:shd w:val="clear" w:color="auto" w:fill="auto"/>
            <w:vAlign w:val="center"/>
          </w:tcPr>
          <w:p w14:paraId="0F0E5DFC" w14:textId="77777777" w:rsidR="00263EF9" w:rsidRPr="0064696C"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pacing w:val="-2"/>
                <w:sz w:val="14"/>
                <w:szCs w:val="14"/>
                <w:lang w:eastAsia="pt-BR"/>
              </w:rPr>
            </w:pPr>
            <w:r w:rsidRPr="00BF2AAF">
              <w:rPr>
                <w:rFonts w:ascii="Arial" w:eastAsia="Times New Roman" w:hAnsi="Arial" w:cs="Arial"/>
                <w:b/>
                <w:bCs/>
                <w:spacing w:val="-2"/>
                <w:sz w:val="14"/>
                <w:szCs w:val="14"/>
                <w:lang w:eastAsia="pt-BR"/>
              </w:rPr>
              <w:t>5.933.758</w:t>
            </w:r>
          </w:p>
        </w:tc>
      </w:tr>
      <w:tr w:rsidR="00263EF9" w:rsidRPr="00281428" w14:paraId="4432B7B8"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4BB1E432" w14:textId="77777777" w:rsidR="00263EF9" w:rsidRPr="00281428" w:rsidRDefault="00263EF9">
            <w:pPr>
              <w:keepNext/>
              <w:keepLines/>
              <w:spacing w:before="40" w:after="40"/>
              <w:ind w:left="113"/>
              <w:rPr>
                <w:rFonts w:ascii="Arial" w:eastAsia="Times New Roman" w:hAnsi="Arial" w:cs="Arial"/>
                <w:b w:val="0"/>
                <w:bCs w:val="0"/>
                <w:spacing w:val="-2"/>
                <w:sz w:val="14"/>
                <w:szCs w:val="14"/>
                <w:lang w:eastAsia="pt-BR"/>
              </w:rPr>
            </w:pPr>
            <w:r w:rsidRPr="00281428">
              <w:rPr>
                <w:rFonts w:ascii="Arial" w:eastAsia="Times New Roman" w:hAnsi="Arial" w:cs="Arial"/>
                <w:b w:val="0"/>
                <w:bCs w:val="0"/>
                <w:spacing w:val="-2"/>
                <w:sz w:val="14"/>
                <w:szCs w:val="14"/>
                <w:lang w:eastAsia="pt-BR"/>
              </w:rPr>
              <w:t>Caixa e equivalentes de caixa</w:t>
            </w:r>
          </w:p>
        </w:tc>
        <w:tc>
          <w:tcPr>
            <w:tcW w:w="868" w:type="dxa"/>
            <w:tcBorders>
              <w:top w:val="nil"/>
              <w:bottom w:val="nil"/>
            </w:tcBorders>
            <w:shd w:val="clear" w:color="auto" w:fill="auto"/>
            <w:vAlign w:val="center"/>
          </w:tcPr>
          <w:p w14:paraId="028C1EF8" w14:textId="77777777" w:rsidR="00263EF9" w:rsidRPr="00281428"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281428">
              <w:rPr>
                <w:rFonts w:ascii="Arial" w:eastAsia="Times New Roman" w:hAnsi="Arial" w:cs="Times New Roman"/>
                <w:spacing w:val="-2"/>
                <w:sz w:val="14"/>
                <w:szCs w:val="18"/>
                <w:lang w:eastAsia="pt-BR"/>
              </w:rPr>
              <w:t>[15]</w:t>
            </w:r>
          </w:p>
        </w:tc>
        <w:tc>
          <w:tcPr>
            <w:tcW w:w="1460" w:type="dxa"/>
            <w:tcBorders>
              <w:top w:val="nil"/>
              <w:left w:val="nil"/>
              <w:bottom w:val="nil"/>
              <w:right w:val="nil"/>
            </w:tcBorders>
            <w:shd w:val="clear" w:color="auto" w:fill="auto"/>
            <w:vAlign w:val="center"/>
          </w:tcPr>
          <w:p w14:paraId="548CCA89" w14:textId="77777777" w:rsidR="00263EF9" w:rsidRPr="006B0C43"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144661">
              <w:rPr>
                <w:rFonts w:ascii="Arial" w:eastAsia="Times New Roman" w:hAnsi="Arial" w:cs="Arial"/>
                <w:spacing w:val="-2"/>
                <w:sz w:val="14"/>
                <w:szCs w:val="14"/>
                <w:lang w:eastAsia="pt-BR"/>
              </w:rPr>
              <w:t>33</w:t>
            </w:r>
            <w:r>
              <w:rPr>
                <w:rFonts w:ascii="Arial" w:eastAsia="Times New Roman" w:hAnsi="Arial" w:cs="Arial"/>
                <w:spacing w:val="-2"/>
                <w:sz w:val="14"/>
                <w:szCs w:val="14"/>
                <w:lang w:eastAsia="pt-BR"/>
              </w:rPr>
              <w:t>5.647</w:t>
            </w:r>
          </w:p>
        </w:tc>
        <w:tc>
          <w:tcPr>
            <w:tcW w:w="1405" w:type="dxa"/>
            <w:gridSpan w:val="2"/>
            <w:tcBorders>
              <w:top w:val="nil"/>
              <w:left w:val="nil"/>
              <w:bottom w:val="nil"/>
              <w:right w:val="nil"/>
            </w:tcBorders>
            <w:shd w:val="clear" w:color="auto" w:fill="auto"/>
            <w:vAlign w:val="center"/>
          </w:tcPr>
          <w:p w14:paraId="3842DDB0" w14:textId="77777777" w:rsidR="00263EF9" w:rsidRPr="0064696C"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4"/>
                <w:lang w:eastAsia="pt-BR"/>
              </w:rPr>
              <w:t>645.070</w:t>
            </w:r>
          </w:p>
        </w:tc>
        <w:tc>
          <w:tcPr>
            <w:tcW w:w="265" w:type="dxa"/>
            <w:tcBorders>
              <w:top w:val="nil"/>
              <w:bottom w:val="nil"/>
            </w:tcBorders>
            <w:shd w:val="clear" w:color="auto" w:fill="auto"/>
            <w:vAlign w:val="center"/>
          </w:tcPr>
          <w:p w14:paraId="783F7357" w14:textId="77777777" w:rsidR="00263EF9" w:rsidRPr="006B0C43" w:rsidRDefault="00263EF9">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left w:val="nil"/>
              <w:bottom w:val="nil"/>
              <w:right w:val="nil"/>
            </w:tcBorders>
            <w:shd w:val="clear" w:color="auto" w:fill="auto"/>
            <w:vAlign w:val="center"/>
          </w:tcPr>
          <w:p w14:paraId="3538B89B" w14:textId="77777777" w:rsidR="00263EF9" w:rsidRPr="00D33434" w:rsidRDefault="00263EF9">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7.789.875</w:t>
            </w:r>
          </w:p>
        </w:tc>
        <w:tc>
          <w:tcPr>
            <w:tcW w:w="1075" w:type="dxa"/>
            <w:tcBorders>
              <w:top w:val="nil"/>
              <w:left w:val="nil"/>
              <w:bottom w:val="nil"/>
              <w:right w:val="nil"/>
            </w:tcBorders>
            <w:shd w:val="clear" w:color="auto" w:fill="auto"/>
            <w:vAlign w:val="center"/>
          </w:tcPr>
          <w:p w14:paraId="5C0EF0A4" w14:textId="77777777" w:rsidR="00263EF9" w:rsidRPr="0064696C"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pacing w:val="-2"/>
                <w:sz w:val="14"/>
                <w:szCs w:val="14"/>
                <w:lang w:eastAsia="pt-BR"/>
              </w:rPr>
            </w:pPr>
            <w:r w:rsidRPr="00BF2AAF">
              <w:rPr>
                <w:rFonts w:ascii="Arial" w:eastAsia="Times New Roman" w:hAnsi="Arial" w:cs="Arial"/>
                <w:spacing w:val="-2"/>
                <w:sz w:val="14"/>
                <w:szCs w:val="14"/>
                <w:lang w:eastAsia="pt-BR"/>
              </w:rPr>
              <w:t>4.752.742</w:t>
            </w:r>
          </w:p>
        </w:tc>
      </w:tr>
      <w:tr w:rsidR="00263EF9" w:rsidRPr="00281428" w14:paraId="27314754" w14:textId="77777777" w:rsidTr="00784BBA">
        <w:trPr>
          <w:cnfStyle w:val="000000010000" w:firstRow="0" w:lastRow="0" w:firstColumn="0" w:lastColumn="0" w:oddVBand="0" w:evenVBand="0" w:oddHBand="0" w:evenHBand="1" w:firstRowFirstColumn="0" w:firstRowLastColumn="0" w:lastRowFirstColumn="0" w:lastRowLastColumn="0"/>
          <w:trHeight w:val="819"/>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68BED626" w14:textId="77777777" w:rsidR="00263EF9" w:rsidRPr="00281428" w:rsidRDefault="00263EF9">
            <w:pPr>
              <w:keepNext/>
              <w:keepLines/>
              <w:spacing w:before="40" w:after="40"/>
              <w:ind w:left="113"/>
              <w:rPr>
                <w:rFonts w:ascii="Arial" w:eastAsia="Times New Roman" w:hAnsi="Arial" w:cs="Arial"/>
                <w:spacing w:val="-2"/>
                <w:sz w:val="14"/>
                <w:szCs w:val="14"/>
                <w:lang w:eastAsia="pt-BR"/>
              </w:rPr>
            </w:pPr>
            <w:r w:rsidRPr="004B7503">
              <w:rPr>
                <w:rFonts w:ascii="Arial" w:eastAsia="Times New Roman" w:hAnsi="Arial" w:cs="Arial"/>
                <w:b w:val="0"/>
                <w:spacing w:val="-2"/>
                <w:sz w:val="14"/>
                <w:szCs w:val="14"/>
                <w:lang w:eastAsia="pt-BR"/>
              </w:rPr>
              <w:t>Ativos financeiros mensurados pelo custo amortizado</w:t>
            </w:r>
          </w:p>
        </w:tc>
        <w:tc>
          <w:tcPr>
            <w:tcW w:w="868" w:type="dxa"/>
            <w:tcBorders>
              <w:top w:val="nil"/>
              <w:bottom w:val="nil"/>
            </w:tcBorders>
            <w:shd w:val="clear" w:color="auto" w:fill="auto"/>
            <w:vAlign w:val="center"/>
          </w:tcPr>
          <w:p w14:paraId="7C2A5481" w14:textId="77777777" w:rsidR="00263EF9" w:rsidRPr="00281428"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4B7503">
              <w:rPr>
                <w:rFonts w:ascii="Arial" w:eastAsia="Times New Roman" w:hAnsi="Arial" w:cs="Times New Roman"/>
                <w:spacing w:val="-2"/>
                <w:sz w:val="14"/>
                <w:szCs w:val="18"/>
                <w:lang w:eastAsia="pt-BR"/>
              </w:rPr>
              <w:t>[16.b]</w:t>
            </w:r>
          </w:p>
        </w:tc>
        <w:tc>
          <w:tcPr>
            <w:tcW w:w="1460" w:type="dxa"/>
            <w:tcBorders>
              <w:top w:val="nil"/>
              <w:left w:val="nil"/>
              <w:bottom w:val="nil"/>
              <w:right w:val="nil"/>
            </w:tcBorders>
            <w:shd w:val="clear" w:color="auto" w:fill="auto"/>
            <w:vAlign w:val="center"/>
          </w:tcPr>
          <w:p w14:paraId="7EF8DDDC" w14:textId="77777777" w:rsidR="00263EF9"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405" w:type="dxa"/>
            <w:gridSpan w:val="2"/>
            <w:tcBorders>
              <w:top w:val="nil"/>
              <w:left w:val="nil"/>
              <w:bottom w:val="nil"/>
              <w:right w:val="nil"/>
            </w:tcBorders>
            <w:shd w:val="clear" w:color="auto" w:fill="auto"/>
            <w:vAlign w:val="center"/>
          </w:tcPr>
          <w:p w14:paraId="2C642AA6" w14:textId="77777777" w:rsidR="00263EF9" w:rsidRPr="00BF2AAF"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265" w:type="dxa"/>
            <w:tcBorders>
              <w:top w:val="nil"/>
              <w:bottom w:val="nil"/>
            </w:tcBorders>
            <w:shd w:val="clear" w:color="auto" w:fill="auto"/>
            <w:vAlign w:val="center"/>
          </w:tcPr>
          <w:p w14:paraId="19C4E12C" w14:textId="77777777" w:rsidR="00263EF9" w:rsidRPr="006B0C43" w:rsidRDefault="00263EF9">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left w:val="nil"/>
              <w:bottom w:val="nil"/>
              <w:right w:val="nil"/>
            </w:tcBorders>
            <w:shd w:val="clear" w:color="auto" w:fill="auto"/>
            <w:vAlign w:val="center"/>
          </w:tcPr>
          <w:p w14:paraId="30FF17AC" w14:textId="77777777" w:rsidR="00263EF9" w:rsidRDefault="00263EF9">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719.101</w:t>
            </w:r>
          </w:p>
        </w:tc>
        <w:tc>
          <w:tcPr>
            <w:tcW w:w="1075" w:type="dxa"/>
            <w:tcBorders>
              <w:top w:val="nil"/>
              <w:left w:val="nil"/>
              <w:bottom w:val="nil"/>
              <w:right w:val="nil"/>
            </w:tcBorders>
            <w:shd w:val="clear" w:color="auto" w:fill="auto"/>
            <w:vAlign w:val="center"/>
          </w:tcPr>
          <w:p w14:paraId="453BEE49" w14:textId="2CC1B5DC" w:rsidR="00263EF9" w:rsidRPr="00BF2AAF" w:rsidRDefault="0003434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r>
      <w:tr w:rsidR="00263EF9" w:rsidRPr="00281428" w14:paraId="000D5990"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288A2F11" w14:textId="46783DD7" w:rsidR="00263EF9" w:rsidRPr="00281428" w:rsidRDefault="00263EF9">
            <w:pPr>
              <w:keepNext/>
              <w:keepLines/>
              <w:spacing w:before="40" w:after="40"/>
              <w:ind w:left="113"/>
              <w:rPr>
                <w:rFonts w:ascii="Arial" w:eastAsia="Times New Roman" w:hAnsi="Arial" w:cs="Arial"/>
                <w:b w:val="0"/>
                <w:bCs w:val="0"/>
                <w:spacing w:val="-2"/>
                <w:sz w:val="14"/>
                <w:szCs w:val="14"/>
                <w:lang w:eastAsia="pt-BR"/>
              </w:rPr>
            </w:pPr>
            <w:r w:rsidRPr="00281428">
              <w:rPr>
                <w:rFonts w:ascii="Arial" w:eastAsia="Times New Roman" w:hAnsi="Arial" w:cs="Arial"/>
                <w:b w:val="0"/>
                <w:bCs w:val="0"/>
                <w:spacing w:val="-2"/>
                <w:sz w:val="14"/>
                <w:szCs w:val="14"/>
                <w:lang w:eastAsia="pt-BR"/>
              </w:rPr>
              <w:t>Dividendos a receber</w:t>
            </w:r>
          </w:p>
        </w:tc>
        <w:tc>
          <w:tcPr>
            <w:tcW w:w="868" w:type="dxa"/>
            <w:tcBorders>
              <w:top w:val="nil"/>
              <w:bottom w:val="nil"/>
            </w:tcBorders>
            <w:shd w:val="clear" w:color="auto" w:fill="auto"/>
            <w:vAlign w:val="center"/>
          </w:tcPr>
          <w:p w14:paraId="583C78F0" w14:textId="77777777" w:rsidR="00263EF9" w:rsidRPr="00281428"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281428">
              <w:rPr>
                <w:rFonts w:ascii="Arial" w:eastAsia="Times New Roman" w:hAnsi="Arial" w:cs="Times New Roman"/>
                <w:spacing w:val="-2"/>
                <w:sz w:val="14"/>
                <w:szCs w:val="18"/>
                <w:lang w:eastAsia="pt-BR"/>
              </w:rPr>
              <w:t>[17]</w:t>
            </w:r>
          </w:p>
        </w:tc>
        <w:tc>
          <w:tcPr>
            <w:tcW w:w="1460" w:type="dxa"/>
            <w:tcBorders>
              <w:top w:val="nil"/>
              <w:left w:val="nil"/>
              <w:bottom w:val="nil"/>
              <w:right w:val="nil"/>
            </w:tcBorders>
            <w:shd w:val="clear" w:color="auto" w:fill="auto"/>
            <w:vAlign w:val="center"/>
          </w:tcPr>
          <w:p w14:paraId="22F88042" w14:textId="79D01CEC" w:rsidR="00263EF9" w:rsidRPr="006B0C43"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4.145.</w:t>
            </w:r>
            <w:r w:rsidRPr="00A54701">
              <w:rPr>
                <w:rFonts w:ascii="Arial" w:eastAsia="Times New Roman" w:hAnsi="Arial" w:cs="Arial"/>
                <w:spacing w:val="-2"/>
                <w:sz w:val="14"/>
                <w:szCs w:val="14"/>
                <w:lang w:eastAsia="pt-BR"/>
              </w:rPr>
              <w:t>40</w:t>
            </w:r>
            <w:r w:rsidR="00F95633" w:rsidRPr="00A54701">
              <w:rPr>
                <w:rFonts w:ascii="Arial" w:eastAsia="Times New Roman" w:hAnsi="Arial" w:cs="Arial"/>
                <w:spacing w:val="-2"/>
                <w:sz w:val="14"/>
                <w:szCs w:val="14"/>
                <w:lang w:eastAsia="pt-BR"/>
              </w:rPr>
              <w:t>2</w:t>
            </w:r>
          </w:p>
        </w:tc>
        <w:tc>
          <w:tcPr>
            <w:tcW w:w="1405" w:type="dxa"/>
            <w:gridSpan w:val="2"/>
            <w:tcBorders>
              <w:top w:val="nil"/>
              <w:left w:val="nil"/>
              <w:bottom w:val="nil"/>
              <w:right w:val="nil"/>
            </w:tcBorders>
            <w:shd w:val="clear" w:color="auto" w:fill="auto"/>
            <w:vAlign w:val="center"/>
          </w:tcPr>
          <w:p w14:paraId="325D1B20" w14:textId="77777777" w:rsidR="00263EF9" w:rsidRPr="0064696C"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4"/>
                <w:lang w:eastAsia="pt-BR"/>
              </w:rPr>
              <w:t>2.362.126</w:t>
            </w:r>
          </w:p>
        </w:tc>
        <w:tc>
          <w:tcPr>
            <w:tcW w:w="265" w:type="dxa"/>
            <w:tcBorders>
              <w:top w:val="nil"/>
              <w:bottom w:val="nil"/>
            </w:tcBorders>
            <w:shd w:val="clear" w:color="auto" w:fill="auto"/>
            <w:vAlign w:val="center"/>
          </w:tcPr>
          <w:p w14:paraId="38E6687A" w14:textId="77777777" w:rsidR="00263EF9" w:rsidRPr="006B0C43"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left w:val="nil"/>
              <w:bottom w:val="nil"/>
              <w:right w:val="nil"/>
            </w:tcBorders>
            <w:shd w:val="clear" w:color="auto" w:fill="auto"/>
            <w:vAlign w:val="center"/>
          </w:tcPr>
          <w:p w14:paraId="7A42DF97" w14:textId="77777777" w:rsidR="00263EF9" w:rsidRPr="00D33434"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97.446</w:t>
            </w:r>
          </w:p>
        </w:tc>
        <w:tc>
          <w:tcPr>
            <w:tcW w:w="1075" w:type="dxa"/>
            <w:tcBorders>
              <w:top w:val="nil"/>
              <w:left w:val="nil"/>
              <w:bottom w:val="nil"/>
              <w:right w:val="nil"/>
            </w:tcBorders>
            <w:shd w:val="clear" w:color="auto" w:fill="auto"/>
            <w:vAlign w:val="center"/>
          </w:tcPr>
          <w:p w14:paraId="7288AACC" w14:textId="77777777" w:rsidR="00263EF9" w:rsidRPr="0064696C"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444</w:t>
            </w:r>
          </w:p>
        </w:tc>
      </w:tr>
      <w:tr w:rsidR="00263EF9" w:rsidRPr="00281428" w14:paraId="228A5E7B"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1B3189C2" w14:textId="77777777" w:rsidR="00263EF9" w:rsidRPr="00281428" w:rsidRDefault="00263EF9">
            <w:pPr>
              <w:keepNext/>
              <w:keepLines/>
              <w:spacing w:before="40" w:after="40"/>
              <w:ind w:left="113"/>
              <w:rPr>
                <w:rFonts w:ascii="Arial" w:eastAsia="Times New Roman" w:hAnsi="Arial" w:cs="Arial"/>
                <w:b w:val="0"/>
                <w:bCs w:val="0"/>
                <w:spacing w:val="-2"/>
                <w:sz w:val="14"/>
                <w:szCs w:val="14"/>
                <w:lang w:eastAsia="pt-BR"/>
              </w:rPr>
            </w:pPr>
            <w:r w:rsidRPr="00281428">
              <w:rPr>
                <w:rFonts w:ascii="Arial" w:eastAsia="Times New Roman" w:hAnsi="Arial" w:cs="Arial"/>
                <w:b w:val="0"/>
                <w:bCs w:val="0"/>
                <w:spacing w:val="-2"/>
                <w:sz w:val="14"/>
                <w:szCs w:val="14"/>
                <w:lang w:eastAsia="pt-BR"/>
              </w:rPr>
              <w:t xml:space="preserve">Ativos por </w:t>
            </w:r>
            <w:r>
              <w:rPr>
                <w:rFonts w:ascii="Arial" w:eastAsia="Times New Roman" w:hAnsi="Arial" w:cs="Arial"/>
                <w:b w:val="0"/>
                <w:bCs w:val="0"/>
                <w:spacing w:val="-2"/>
                <w:sz w:val="14"/>
                <w:szCs w:val="14"/>
                <w:lang w:eastAsia="pt-BR"/>
              </w:rPr>
              <w:t>tributos</w:t>
            </w:r>
            <w:r w:rsidRPr="00281428">
              <w:rPr>
                <w:rFonts w:ascii="Arial" w:eastAsia="Times New Roman" w:hAnsi="Arial" w:cs="Arial"/>
                <w:b w:val="0"/>
                <w:bCs w:val="0"/>
                <w:spacing w:val="-2"/>
                <w:sz w:val="14"/>
                <w:szCs w:val="14"/>
                <w:lang w:eastAsia="pt-BR"/>
              </w:rPr>
              <w:t xml:space="preserve"> </w:t>
            </w:r>
            <w:r>
              <w:rPr>
                <w:rFonts w:ascii="Arial" w:eastAsia="Times New Roman" w:hAnsi="Arial" w:cs="Arial"/>
                <w:b w:val="0"/>
                <w:bCs w:val="0"/>
                <w:spacing w:val="-2"/>
                <w:sz w:val="14"/>
                <w:szCs w:val="14"/>
                <w:lang w:eastAsia="pt-BR"/>
              </w:rPr>
              <w:t>c</w:t>
            </w:r>
            <w:r w:rsidRPr="00281428">
              <w:rPr>
                <w:rFonts w:ascii="Arial" w:eastAsia="Times New Roman" w:hAnsi="Arial" w:cs="Arial"/>
                <w:b w:val="0"/>
                <w:bCs w:val="0"/>
                <w:spacing w:val="-2"/>
                <w:sz w:val="14"/>
                <w:szCs w:val="14"/>
                <w:lang w:eastAsia="pt-BR"/>
              </w:rPr>
              <w:t>orrentes</w:t>
            </w:r>
          </w:p>
        </w:tc>
        <w:tc>
          <w:tcPr>
            <w:tcW w:w="868" w:type="dxa"/>
            <w:tcBorders>
              <w:top w:val="nil"/>
              <w:bottom w:val="nil"/>
            </w:tcBorders>
            <w:shd w:val="clear" w:color="auto" w:fill="auto"/>
            <w:vAlign w:val="center"/>
          </w:tcPr>
          <w:p w14:paraId="567EA3E7" w14:textId="77777777" w:rsidR="00263EF9" w:rsidRPr="00281428"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281428">
              <w:rPr>
                <w:rFonts w:ascii="Arial" w:eastAsia="Times New Roman" w:hAnsi="Arial" w:cs="Times New Roman"/>
                <w:spacing w:val="-2"/>
                <w:sz w:val="14"/>
                <w:szCs w:val="18"/>
                <w:lang w:eastAsia="pt-BR"/>
              </w:rPr>
              <w:t>[12.d]</w:t>
            </w:r>
          </w:p>
        </w:tc>
        <w:tc>
          <w:tcPr>
            <w:tcW w:w="1460" w:type="dxa"/>
            <w:tcBorders>
              <w:top w:val="nil"/>
              <w:left w:val="nil"/>
              <w:bottom w:val="nil"/>
              <w:right w:val="nil"/>
            </w:tcBorders>
            <w:shd w:val="clear" w:color="auto" w:fill="auto"/>
            <w:vAlign w:val="center"/>
          </w:tcPr>
          <w:p w14:paraId="5362C6E2" w14:textId="77777777" w:rsidR="00263EF9" w:rsidRPr="00281428"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144661">
              <w:rPr>
                <w:rFonts w:ascii="Arial" w:eastAsia="Times New Roman" w:hAnsi="Arial" w:cs="Arial"/>
                <w:spacing w:val="-2"/>
                <w:sz w:val="14"/>
                <w:szCs w:val="14"/>
                <w:lang w:eastAsia="pt-BR"/>
              </w:rPr>
              <w:t>8.</w:t>
            </w:r>
            <w:r>
              <w:rPr>
                <w:rFonts w:ascii="Arial" w:eastAsia="Times New Roman" w:hAnsi="Arial" w:cs="Arial"/>
                <w:spacing w:val="-2"/>
                <w:sz w:val="14"/>
                <w:szCs w:val="14"/>
                <w:lang w:eastAsia="pt-BR"/>
              </w:rPr>
              <w:t>909</w:t>
            </w:r>
          </w:p>
        </w:tc>
        <w:tc>
          <w:tcPr>
            <w:tcW w:w="1405" w:type="dxa"/>
            <w:gridSpan w:val="2"/>
            <w:tcBorders>
              <w:top w:val="nil"/>
              <w:left w:val="nil"/>
              <w:bottom w:val="nil"/>
              <w:right w:val="nil"/>
            </w:tcBorders>
            <w:shd w:val="clear" w:color="auto" w:fill="auto"/>
            <w:vAlign w:val="center"/>
          </w:tcPr>
          <w:p w14:paraId="0F74B082" w14:textId="77777777" w:rsidR="00263EF9" w:rsidRPr="0064696C"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4"/>
                <w:lang w:eastAsia="pt-BR"/>
              </w:rPr>
              <w:t>18.827</w:t>
            </w:r>
          </w:p>
        </w:tc>
        <w:tc>
          <w:tcPr>
            <w:tcW w:w="265" w:type="dxa"/>
            <w:tcBorders>
              <w:top w:val="nil"/>
              <w:bottom w:val="nil"/>
            </w:tcBorders>
            <w:shd w:val="clear" w:color="auto" w:fill="auto"/>
            <w:vAlign w:val="center"/>
          </w:tcPr>
          <w:p w14:paraId="0AA42DFE" w14:textId="77777777" w:rsidR="00263EF9" w:rsidRPr="00281428"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left w:val="nil"/>
              <w:bottom w:val="nil"/>
              <w:right w:val="nil"/>
            </w:tcBorders>
            <w:shd w:val="clear" w:color="auto" w:fill="auto"/>
            <w:vAlign w:val="center"/>
          </w:tcPr>
          <w:p w14:paraId="578516AE" w14:textId="77777777" w:rsidR="00263EF9" w:rsidRPr="00D33434"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8</w:t>
            </w:r>
            <w:r>
              <w:rPr>
                <w:rFonts w:ascii="Arial" w:eastAsia="Times New Roman" w:hAnsi="Arial" w:cs="Arial"/>
                <w:spacing w:val="-2"/>
                <w:sz w:val="14"/>
                <w:szCs w:val="14"/>
                <w:lang w:eastAsia="pt-BR"/>
              </w:rPr>
              <w:t>.909</w:t>
            </w:r>
          </w:p>
        </w:tc>
        <w:tc>
          <w:tcPr>
            <w:tcW w:w="1075" w:type="dxa"/>
            <w:tcBorders>
              <w:top w:val="nil"/>
              <w:left w:val="nil"/>
              <w:bottom w:val="nil"/>
              <w:right w:val="nil"/>
            </w:tcBorders>
            <w:shd w:val="clear" w:color="auto" w:fill="auto"/>
            <w:vAlign w:val="center"/>
          </w:tcPr>
          <w:p w14:paraId="27C3EDE6" w14:textId="77777777" w:rsidR="00263EF9" w:rsidRPr="0064696C"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42.584</w:t>
            </w:r>
          </w:p>
        </w:tc>
      </w:tr>
      <w:tr w:rsidR="00263EF9" w:rsidRPr="00281428" w14:paraId="020A487B"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31576AED" w14:textId="77777777" w:rsidR="00263EF9" w:rsidRPr="00281428" w:rsidRDefault="00263EF9">
            <w:pPr>
              <w:keepNext/>
              <w:keepLines/>
              <w:spacing w:before="40" w:after="40"/>
              <w:ind w:left="113"/>
              <w:rPr>
                <w:rFonts w:ascii="Arial" w:eastAsia="Times New Roman" w:hAnsi="Arial" w:cs="Arial"/>
                <w:b w:val="0"/>
                <w:bCs w:val="0"/>
                <w:spacing w:val="-2"/>
                <w:sz w:val="14"/>
                <w:szCs w:val="14"/>
                <w:lang w:eastAsia="pt-BR"/>
              </w:rPr>
            </w:pPr>
            <w:r w:rsidRPr="00281428">
              <w:rPr>
                <w:rFonts w:ascii="Arial" w:eastAsia="Times New Roman" w:hAnsi="Arial" w:cs="Arial"/>
                <w:b w:val="0"/>
                <w:bCs w:val="0"/>
                <w:spacing w:val="-2"/>
                <w:sz w:val="14"/>
                <w:szCs w:val="14"/>
                <w:lang w:eastAsia="pt-BR"/>
              </w:rPr>
              <w:t>Comissões a receber</w:t>
            </w:r>
          </w:p>
        </w:tc>
        <w:tc>
          <w:tcPr>
            <w:tcW w:w="868" w:type="dxa"/>
            <w:tcBorders>
              <w:top w:val="nil"/>
              <w:bottom w:val="nil"/>
            </w:tcBorders>
            <w:shd w:val="clear" w:color="auto" w:fill="auto"/>
            <w:vAlign w:val="center"/>
          </w:tcPr>
          <w:p w14:paraId="01ADE290" w14:textId="77777777" w:rsidR="00263EF9" w:rsidRPr="00281428"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281428">
              <w:rPr>
                <w:rFonts w:ascii="Arial" w:eastAsia="Times New Roman" w:hAnsi="Arial" w:cs="Times New Roman"/>
                <w:spacing w:val="-2"/>
                <w:sz w:val="14"/>
                <w:szCs w:val="18"/>
                <w:lang w:eastAsia="pt-BR"/>
              </w:rPr>
              <w:t>[18]</w:t>
            </w:r>
          </w:p>
        </w:tc>
        <w:tc>
          <w:tcPr>
            <w:tcW w:w="1460" w:type="dxa"/>
            <w:tcBorders>
              <w:top w:val="nil"/>
              <w:left w:val="nil"/>
              <w:bottom w:val="nil"/>
              <w:right w:val="nil"/>
            </w:tcBorders>
            <w:shd w:val="clear" w:color="auto" w:fill="auto"/>
            <w:vAlign w:val="center"/>
          </w:tcPr>
          <w:p w14:paraId="06D96756" w14:textId="77777777" w:rsidR="00263EF9" w:rsidRPr="00281428"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405" w:type="dxa"/>
            <w:gridSpan w:val="2"/>
            <w:tcBorders>
              <w:top w:val="nil"/>
              <w:left w:val="nil"/>
              <w:bottom w:val="nil"/>
              <w:right w:val="nil"/>
            </w:tcBorders>
            <w:shd w:val="clear" w:color="auto" w:fill="auto"/>
            <w:vAlign w:val="center"/>
          </w:tcPr>
          <w:p w14:paraId="5D5E0A7C" w14:textId="77777777" w:rsidR="00263EF9" w:rsidRPr="0064696C"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4"/>
                <w:lang w:eastAsia="pt-BR"/>
              </w:rPr>
              <w:t>--</w:t>
            </w:r>
          </w:p>
        </w:tc>
        <w:tc>
          <w:tcPr>
            <w:tcW w:w="265" w:type="dxa"/>
            <w:tcBorders>
              <w:top w:val="nil"/>
              <w:bottom w:val="nil"/>
            </w:tcBorders>
            <w:shd w:val="clear" w:color="auto" w:fill="auto"/>
            <w:vAlign w:val="center"/>
          </w:tcPr>
          <w:p w14:paraId="7BC52960" w14:textId="77777777" w:rsidR="00263EF9" w:rsidRPr="00281428"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left w:val="nil"/>
              <w:bottom w:val="nil"/>
              <w:right w:val="nil"/>
            </w:tcBorders>
            <w:shd w:val="clear" w:color="auto" w:fill="auto"/>
            <w:vAlign w:val="center"/>
          </w:tcPr>
          <w:p w14:paraId="55D13FD6" w14:textId="77777777" w:rsidR="00263EF9" w:rsidRPr="00D33434"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1.2</w:t>
            </w:r>
            <w:r>
              <w:rPr>
                <w:rFonts w:ascii="Arial" w:eastAsia="Times New Roman" w:hAnsi="Arial" w:cs="Arial"/>
                <w:spacing w:val="-2"/>
                <w:sz w:val="14"/>
                <w:szCs w:val="14"/>
                <w:lang w:eastAsia="pt-BR"/>
              </w:rPr>
              <w:t>87.117</w:t>
            </w:r>
          </w:p>
        </w:tc>
        <w:tc>
          <w:tcPr>
            <w:tcW w:w="1075" w:type="dxa"/>
            <w:tcBorders>
              <w:top w:val="nil"/>
              <w:left w:val="nil"/>
              <w:bottom w:val="nil"/>
              <w:right w:val="nil"/>
            </w:tcBorders>
            <w:shd w:val="clear" w:color="auto" w:fill="auto"/>
            <w:vAlign w:val="center"/>
          </w:tcPr>
          <w:p w14:paraId="578AC73D" w14:textId="77777777" w:rsidR="00263EF9" w:rsidRPr="0064696C"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1.128.077</w:t>
            </w:r>
          </w:p>
        </w:tc>
      </w:tr>
      <w:tr w:rsidR="00263EF9" w:rsidRPr="00281428" w14:paraId="707EF151"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5F8B3793" w14:textId="77777777" w:rsidR="00263EF9" w:rsidRPr="00281428" w:rsidRDefault="00263EF9">
            <w:pPr>
              <w:keepNext/>
              <w:keepLines/>
              <w:spacing w:before="40" w:after="40"/>
              <w:ind w:left="113"/>
              <w:rPr>
                <w:rFonts w:ascii="Arial" w:eastAsia="Times New Roman" w:hAnsi="Arial" w:cs="Arial"/>
                <w:b w:val="0"/>
                <w:bCs w:val="0"/>
                <w:spacing w:val="-2"/>
                <w:sz w:val="14"/>
                <w:szCs w:val="14"/>
                <w:lang w:eastAsia="pt-BR"/>
              </w:rPr>
            </w:pPr>
            <w:r w:rsidRPr="00281428">
              <w:rPr>
                <w:rFonts w:ascii="Arial" w:eastAsia="Times New Roman" w:hAnsi="Arial" w:cs="Arial"/>
                <w:b w:val="0"/>
                <w:bCs w:val="0"/>
                <w:spacing w:val="-2"/>
                <w:sz w:val="14"/>
                <w:szCs w:val="14"/>
                <w:lang w:eastAsia="pt-BR"/>
              </w:rPr>
              <w:t>Outros ativos</w:t>
            </w:r>
          </w:p>
        </w:tc>
        <w:tc>
          <w:tcPr>
            <w:tcW w:w="868" w:type="dxa"/>
            <w:tcBorders>
              <w:top w:val="nil"/>
              <w:bottom w:val="nil"/>
            </w:tcBorders>
            <w:shd w:val="clear" w:color="auto" w:fill="auto"/>
            <w:vAlign w:val="center"/>
          </w:tcPr>
          <w:p w14:paraId="7ADFF8A3" w14:textId="77777777" w:rsidR="00263EF9" w:rsidRPr="00281428"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281428">
              <w:rPr>
                <w:rFonts w:ascii="Arial" w:eastAsia="Times New Roman" w:hAnsi="Arial" w:cs="Times New Roman"/>
                <w:spacing w:val="-2"/>
                <w:sz w:val="14"/>
                <w:szCs w:val="18"/>
                <w:lang w:eastAsia="pt-BR"/>
              </w:rPr>
              <w:t>[20]</w:t>
            </w:r>
          </w:p>
        </w:tc>
        <w:tc>
          <w:tcPr>
            <w:tcW w:w="1460" w:type="dxa"/>
            <w:tcBorders>
              <w:top w:val="nil"/>
              <w:left w:val="nil"/>
              <w:bottom w:val="nil"/>
              <w:right w:val="nil"/>
            </w:tcBorders>
            <w:shd w:val="clear" w:color="auto" w:fill="auto"/>
            <w:vAlign w:val="center"/>
          </w:tcPr>
          <w:p w14:paraId="7D528E2E" w14:textId="4DAA5F11" w:rsidR="00263EF9" w:rsidRPr="00281428"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144661">
              <w:rPr>
                <w:rFonts w:ascii="Arial" w:eastAsia="Times New Roman" w:hAnsi="Arial" w:cs="Arial"/>
                <w:spacing w:val="-2"/>
                <w:sz w:val="14"/>
                <w:szCs w:val="14"/>
                <w:lang w:eastAsia="pt-BR"/>
              </w:rPr>
              <w:t>1</w:t>
            </w:r>
            <w:r>
              <w:rPr>
                <w:rFonts w:ascii="Arial" w:eastAsia="Times New Roman" w:hAnsi="Arial" w:cs="Arial"/>
                <w:spacing w:val="-2"/>
                <w:sz w:val="14"/>
                <w:szCs w:val="14"/>
                <w:lang w:eastAsia="pt-BR"/>
              </w:rPr>
              <w:t>0.</w:t>
            </w:r>
            <w:r w:rsidRPr="00A54701">
              <w:rPr>
                <w:rFonts w:ascii="Arial" w:eastAsia="Times New Roman" w:hAnsi="Arial" w:cs="Arial"/>
                <w:spacing w:val="-2"/>
                <w:sz w:val="14"/>
                <w:szCs w:val="14"/>
                <w:lang w:eastAsia="pt-BR"/>
              </w:rPr>
              <w:t>93</w:t>
            </w:r>
            <w:r w:rsidR="00D31F4F" w:rsidRPr="00A54701">
              <w:rPr>
                <w:rFonts w:ascii="Arial" w:eastAsia="Times New Roman" w:hAnsi="Arial" w:cs="Arial"/>
                <w:spacing w:val="-2"/>
                <w:sz w:val="14"/>
                <w:szCs w:val="14"/>
                <w:lang w:eastAsia="pt-BR"/>
              </w:rPr>
              <w:t>5</w:t>
            </w:r>
          </w:p>
        </w:tc>
        <w:tc>
          <w:tcPr>
            <w:tcW w:w="1405" w:type="dxa"/>
            <w:gridSpan w:val="2"/>
            <w:tcBorders>
              <w:top w:val="nil"/>
              <w:left w:val="nil"/>
              <w:bottom w:val="nil"/>
              <w:right w:val="nil"/>
            </w:tcBorders>
            <w:shd w:val="clear" w:color="auto" w:fill="auto"/>
            <w:vAlign w:val="center"/>
          </w:tcPr>
          <w:p w14:paraId="63257C69" w14:textId="77777777" w:rsidR="00263EF9" w:rsidRPr="0064696C"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4"/>
                <w:lang w:eastAsia="pt-BR"/>
              </w:rPr>
              <w:t>13.526</w:t>
            </w:r>
          </w:p>
        </w:tc>
        <w:tc>
          <w:tcPr>
            <w:tcW w:w="265" w:type="dxa"/>
            <w:tcBorders>
              <w:top w:val="nil"/>
              <w:bottom w:val="nil"/>
            </w:tcBorders>
            <w:shd w:val="clear" w:color="auto" w:fill="auto"/>
            <w:vAlign w:val="center"/>
          </w:tcPr>
          <w:p w14:paraId="3022B22B" w14:textId="77777777" w:rsidR="00263EF9" w:rsidRPr="00281428" w:rsidRDefault="00263EF9">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left w:val="nil"/>
              <w:bottom w:val="nil"/>
              <w:right w:val="nil"/>
            </w:tcBorders>
            <w:shd w:val="clear" w:color="auto" w:fill="auto"/>
            <w:vAlign w:val="center"/>
          </w:tcPr>
          <w:p w14:paraId="3E19F649" w14:textId="77777777" w:rsidR="00263EF9" w:rsidRPr="00D33434"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3.258</w:t>
            </w:r>
          </w:p>
        </w:tc>
        <w:tc>
          <w:tcPr>
            <w:tcW w:w="1075" w:type="dxa"/>
            <w:tcBorders>
              <w:top w:val="nil"/>
              <w:left w:val="nil"/>
              <w:bottom w:val="nil"/>
              <w:right w:val="nil"/>
            </w:tcBorders>
            <w:shd w:val="clear" w:color="auto" w:fill="auto"/>
            <w:vAlign w:val="center"/>
          </w:tcPr>
          <w:p w14:paraId="050A201F" w14:textId="77777777" w:rsidR="00263EF9" w:rsidRPr="0064696C"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9.911</w:t>
            </w:r>
          </w:p>
        </w:tc>
      </w:tr>
      <w:tr w:rsidR="00263EF9" w:rsidRPr="00281428" w14:paraId="3BA18D75" w14:textId="77777777">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50FCA922" w14:textId="77777777" w:rsidR="00263EF9" w:rsidRPr="00281428" w:rsidRDefault="00263EF9">
            <w:pPr>
              <w:keepNext/>
              <w:keepLines/>
              <w:spacing w:before="40" w:after="40"/>
              <w:rPr>
                <w:rFonts w:ascii="Arial" w:eastAsia="Times New Roman" w:hAnsi="Arial" w:cs="Arial"/>
                <w:spacing w:val="-2"/>
                <w:sz w:val="14"/>
                <w:szCs w:val="14"/>
                <w:lang w:eastAsia="pt-BR"/>
              </w:rPr>
            </w:pPr>
          </w:p>
        </w:tc>
        <w:tc>
          <w:tcPr>
            <w:tcW w:w="868" w:type="dxa"/>
            <w:tcBorders>
              <w:top w:val="nil"/>
              <w:bottom w:val="nil"/>
            </w:tcBorders>
            <w:shd w:val="clear" w:color="auto" w:fill="auto"/>
            <w:vAlign w:val="center"/>
          </w:tcPr>
          <w:p w14:paraId="07F16F2C" w14:textId="77777777" w:rsidR="00263EF9" w:rsidRPr="00281428"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p>
        </w:tc>
        <w:tc>
          <w:tcPr>
            <w:tcW w:w="1460" w:type="dxa"/>
            <w:tcBorders>
              <w:top w:val="nil"/>
              <w:bottom w:val="nil"/>
            </w:tcBorders>
            <w:shd w:val="clear" w:color="auto" w:fill="auto"/>
            <w:vAlign w:val="center"/>
          </w:tcPr>
          <w:p w14:paraId="54429B16" w14:textId="77777777" w:rsidR="00263EF9" w:rsidRPr="00281428"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p>
        </w:tc>
        <w:tc>
          <w:tcPr>
            <w:tcW w:w="1405" w:type="dxa"/>
            <w:gridSpan w:val="2"/>
            <w:tcBorders>
              <w:top w:val="nil"/>
              <w:bottom w:val="nil"/>
            </w:tcBorders>
            <w:shd w:val="clear" w:color="auto" w:fill="auto"/>
            <w:vAlign w:val="center"/>
          </w:tcPr>
          <w:p w14:paraId="1A448C5C" w14:textId="77777777" w:rsidR="00263EF9" w:rsidRPr="0064696C"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c>
          <w:tcPr>
            <w:tcW w:w="265" w:type="dxa"/>
            <w:tcBorders>
              <w:top w:val="nil"/>
              <w:bottom w:val="nil"/>
            </w:tcBorders>
            <w:shd w:val="clear" w:color="auto" w:fill="auto"/>
            <w:vAlign w:val="center"/>
          </w:tcPr>
          <w:p w14:paraId="52C97871" w14:textId="77777777" w:rsidR="00263EF9" w:rsidRPr="00281428" w:rsidRDefault="00263EF9">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bottom w:val="nil"/>
            </w:tcBorders>
            <w:shd w:val="clear" w:color="auto" w:fill="auto"/>
            <w:vAlign w:val="center"/>
          </w:tcPr>
          <w:p w14:paraId="161E6AC9" w14:textId="77777777" w:rsidR="00263EF9" w:rsidRPr="00D33434" w:rsidRDefault="00263EF9">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075" w:type="dxa"/>
            <w:tcBorders>
              <w:top w:val="nil"/>
              <w:bottom w:val="nil"/>
            </w:tcBorders>
            <w:shd w:val="clear" w:color="auto" w:fill="auto"/>
            <w:vAlign w:val="center"/>
          </w:tcPr>
          <w:p w14:paraId="27F34B6E" w14:textId="77777777" w:rsidR="00263EF9" w:rsidRPr="0064696C"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r>
      <w:tr w:rsidR="00263EF9" w:rsidRPr="00281428" w14:paraId="00A49547"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3FBC9AD2" w14:textId="77777777" w:rsidR="00263EF9" w:rsidRPr="00281428" w:rsidRDefault="00263EF9">
            <w:pPr>
              <w:keepNext/>
              <w:keepLines/>
              <w:spacing w:before="40" w:after="40"/>
              <w:rPr>
                <w:rFonts w:ascii="Arial" w:eastAsia="Times New Roman" w:hAnsi="Arial" w:cs="Arial"/>
                <w:spacing w:val="-2"/>
                <w:sz w:val="14"/>
                <w:szCs w:val="14"/>
                <w:lang w:eastAsia="pt-BR"/>
              </w:rPr>
            </w:pPr>
            <w:r w:rsidRPr="00281428">
              <w:rPr>
                <w:rFonts w:ascii="Arial" w:eastAsia="Times New Roman" w:hAnsi="Arial" w:cs="Arial"/>
                <w:spacing w:val="-2"/>
                <w:sz w:val="14"/>
                <w:szCs w:val="14"/>
                <w:lang w:eastAsia="pt-BR"/>
              </w:rPr>
              <w:t>Ativo Não Circulante</w:t>
            </w:r>
          </w:p>
        </w:tc>
        <w:tc>
          <w:tcPr>
            <w:tcW w:w="868" w:type="dxa"/>
            <w:tcBorders>
              <w:top w:val="nil"/>
              <w:bottom w:val="nil"/>
            </w:tcBorders>
            <w:shd w:val="clear" w:color="auto" w:fill="auto"/>
            <w:vAlign w:val="center"/>
          </w:tcPr>
          <w:p w14:paraId="418C318C" w14:textId="77777777" w:rsidR="00263EF9" w:rsidRPr="00281428"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8"/>
                <w:lang w:eastAsia="pt-BR"/>
              </w:rPr>
            </w:pPr>
          </w:p>
        </w:tc>
        <w:tc>
          <w:tcPr>
            <w:tcW w:w="1460" w:type="dxa"/>
            <w:tcBorders>
              <w:top w:val="nil"/>
              <w:left w:val="nil"/>
              <w:bottom w:val="nil"/>
              <w:right w:val="nil"/>
            </w:tcBorders>
            <w:shd w:val="clear" w:color="auto" w:fill="auto"/>
            <w:vAlign w:val="center"/>
          </w:tcPr>
          <w:p w14:paraId="3A5597BC" w14:textId="77777777" w:rsidR="00263EF9" w:rsidRPr="008C6E2E"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9.621.146</w:t>
            </w:r>
          </w:p>
        </w:tc>
        <w:tc>
          <w:tcPr>
            <w:tcW w:w="1405" w:type="dxa"/>
            <w:gridSpan w:val="2"/>
            <w:tcBorders>
              <w:top w:val="nil"/>
              <w:left w:val="nil"/>
              <w:bottom w:val="nil"/>
              <w:right w:val="nil"/>
            </w:tcBorders>
            <w:shd w:val="clear" w:color="auto" w:fill="auto"/>
            <w:vAlign w:val="center"/>
          </w:tcPr>
          <w:p w14:paraId="00AAD2E7" w14:textId="77777777" w:rsidR="00263EF9" w:rsidRPr="008C6E2E"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8"/>
                <w:lang w:eastAsia="pt-BR"/>
              </w:rPr>
            </w:pPr>
            <w:r w:rsidRPr="008C6E2E">
              <w:rPr>
                <w:rFonts w:ascii="Arial" w:eastAsia="Times New Roman" w:hAnsi="Arial" w:cs="Arial"/>
                <w:b/>
                <w:spacing w:val="-2"/>
                <w:sz w:val="14"/>
                <w:szCs w:val="14"/>
                <w:lang w:eastAsia="pt-BR"/>
              </w:rPr>
              <w:t>9.247.072</w:t>
            </w:r>
          </w:p>
        </w:tc>
        <w:tc>
          <w:tcPr>
            <w:tcW w:w="265" w:type="dxa"/>
            <w:tcBorders>
              <w:top w:val="nil"/>
              <w:bottom w:val="nil"/>
            </w:tcBorders>
            <w:shd w:val="clear" w:color="auto" w:fill="auto"/>
            <w:vAlign w:val="center"/>
          </w:tcPr>
          <w:p w14:paraId="3469A5F6" w14:textId="77777777" w:rsidR="00263EF9" w:rsidRPr="00281428" w:rsidRDefault="00263EF9">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p>
        </w:tc>
        <w:tc>
          <w:tcPr>
            <w:tcW w:w="1616" w:type="dxa"/>
            <w:gridSpan w:val="2"/>
            <w:tcBorders>
              <w:top w:val="nil"/>
              <w:left w:val="nil"/>
              <w:bottom w:val="nil"/>
              <w:right w:val="nil"/>
            </w:tcBorders>
            <w:shd w:val="clear" w:color="auto" w:fill="auto"/>
            <w:vAlign w:val="center"/>
          </w:tcPr>
          <w:p w14:paraId="54109121" w14:textId="77777777" w:rsidR="00263EF9" w:rsidRPr="00D33434" w:rsidRDefault="00263EF9">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C20A50">
              <w:rPr>
                <w:rFonts w:ascii="Arial" w:eastAsia="Times New Roman" w:hAnsi="Arial" w:cs="Arial"/>
                <w:b/>
                <w:bCs/>
                <w:spacing w:val="-2"/>
                <w:sz w:val="14"/>
                <w:szCs w:val="14"/>
                <w:lang w:eastAsia="pt-BR"/>
              </w:rPr>
              <w:t>11.</w:t>
            </w:r>
            <w:r>
              <w:rPr>
                <w:rFonts w:ascii="Arial" w:eastAsia="Times New Roman" w:hAnsi="Arial" w:cs="Arial"/>
                <w:b/>
                <w:bCs/>
                <w:spacing w:val="-2"/>
                <w:sz w:val="14"/>
                <w:szCs w:val="14"/>
                <w:lang w:eastAsia="pt-BR"/>
              </w:rPr>
              <w:t>709.881</w:t>
            </w:r>
          </w:p>
        </w:tc>
        <w:tc>
          <w:tcPr>
            <w:tcW w:w="1075" w:type="dxa"/>
            <w:tcBorders>
              <w:top w:val="nil"/>
              <w:left w:val="nil"/>
              <w:bottom w:val="nil"/>
              <w:right w:val="nil"/>
            </w:tcBorders>
            <w:shd w:val="clear" w:color="auto" w:fill="auto"/>
            <w:vAlign w:val="center"/>
          </w:tcPr>
          <w:p w14:paraId="1A9C7E43" w14:textId="77777777" w:rsidR="00263EF9" w:rsidRPr="0064696C"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r w:rsidRPr="00BF2AAF">
              <w:rPr>
                <w:rFonts w:ascii="Arial" w:eastAsia="Times New Roman" w:hAnsi="Arial" w:cs="Arial"/>
                <w:b/>
                <w:bCs/>
                <w:spacing w:val="-2"/>
                <w:sz w:val="14"/>
                <w:szCs w:val="14"/>
                <w:lang w:eastAsia="pt-BR"/>
              </w:rPr>
              <w:t>12.338.864</w:t>
            </w:r>
          </w:p>
        </w:tc>
      </w:tr>
      <w:tr w:rsidR="00263EF9" w:rsidRPr="00281428" w14:paraId="390E2699"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44FF7C77" w14:textId="77777777" w:rsidR="00263EF9" w:rsidRPr="004B7503" w:rsidRDefault="00263EF9">
            <w:pPr>
              <w:keepNext/>
              <w:keepLines/>
              <w:spacing w:before="40" w:after="40"/>
              <w:ind w:left="113"/>
              <w:rPr>
                <w:rFonts w:ascii="Arial" w:eastAsia="Times New Roman" w:hAnsi="Arial" w:cs="Arial"/>
                <w:b w:val="0"/>
                <w:spacing w:val="-2"/>
                <w:sz w:val="14"/>
                <w:szCs w:val="14"/>
                <w:lang w:eastAsia="pt-BR"/>
              </w:rPr>
            </w:pPr>
            <w:r w:rsidRPr="004B7503">
              <w:rPr>
                <w:rFonts w:ascii="Arial" w:eastAsia="Times New Roman" w:hAnsi="Arial" w:cs="Arial"/>
                <w:b w:val="0"/>
                <w:spacing w:val="-2"/>
                <w:sz w:val="14"/>
                <w:szCs w:val="14"/>
                <w:lang w:eastAsia="pt-BR"/>
              </w:rPr>
              <w:t>Ativos financeiros mensurados ao valor justo por meio do resultado</w:t>
            </w:r>
          </w:p>
        </w:tc>
        <w:tc>
          <w:tcPr>
            <w:tcW w:w="868" w:type="dxa"/>
            <w:tcBorders>
              <w:top w:val="nil"/>
              <w:bottom w:val="nil"/>
            </w:tcBorders>
            <w:shd w:val="clear" w:color="auto" w:fill="auto"/>
            <w:vAlign w:val="center"/>
          </w:tcPr>
          <w:p w14:paraId="1856B980" w14:textId="77777777" w:rsidR="00263EF9" w:rsidRPr="004B7503"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4B7503">
              <w:rPr>
                <w:rFonts w:ascii="Arial" w:eastAsia="Times New Roman" w:hAnsi="Arial" w:cs="Times New Roman"/>
                <w:spacing w:val="-2"/>
                <w:sz w:val="14"/>
                <w:szCs w:val="18"/>
                <w:lang w:eastAsia="pt-BR"/>
              </w:rPr>
              <w:t>[16.a]</w:t>
            </w:r>
          </w:p>
        </w:tc>
        <w:tc>
          <w:tcPr>
            <w:tcW w:w="1460" w:type="dxa"/>
            <w:tcBorders>
              <w:top w:val="nil"/>
              <w:left w:val="nil"/>
              <w:bottom w:val="nil"/>
              <w:right w:val="nil"/>
            </w:tcBorders>
            <w:shd w:val="clear" w:color="auto" w:fill="auto"/>
            <w:vAlign w:val="center"/>
          </w:tcPr>
          <w:p w14:paraId="52172164" w14:textId="77777777" w:rsidR="00263EF9" w:rsidRPr="004B7503"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144661">
              <w:rPr>
                <w:rFonts w:ascii="Arial" w:eastAsia="Times New Roman" w:hAnsi="Arial" w:cs="Arial"/>
                <w:spacing w:val="-2"/>
                <w:sz w:val="14"/>
                <w:szCs w:val="14"/>
                <w:lang w:eastAsia="pt-BR"/>
              </w:rPr>
              <w:t>2</w:t>
            </w:r>
            <w:r>
              <w:rPr>
                <w:rFonts w:ascii="Arial" w:eastAsia="Times New Roman" w:hAnsi="Arial" w:cs="Arial"/>
                <w:spacing w:val="-2"/>
                <w:sz w:val="14"/>
                <w:szCs w:val="14"/>
                <w:lang w:eastAsia="pt-BR"/>
              </w:rPr>
              <w:t>8.783</w:t>
            </w:r>
          </w:p>
        </w:tc>
        <w:tc>
          <w:tcPr>
            <w:tcW w:w="1405" w:type="dxa"/>
            <w:gridSpan w:val="2"/>
            <w:tcBorders>
              <w:top w:val="nil"/>
              <w:left w:val="nil"/>
              <w:bottom w:val="nil"/>
              <w:right w:val="nil"/>
            </w:tcBorders>
            <w:shd w:val="clear" w:color="auto" w:fill="auto"/>
            <w:vAlign w:val="center"/>
          </w:tcPr>
          <w:p w14:paraId="5C68D484" w14:textId="77777777" w:rsidR="00263EF9" w:rsidRPr="004B7503"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4B7503">
              <w:rPr>
                <w:rFonts w:ascii="Arial" w:eastAsia="Times New Roman" w:hAnsi="Arial" w:cs="Arial"/>
                <w:spacing w:val="-2"/>
                <w:sz w:val="14"/>
                <w:szCs w:val="14"/>
                <w:lang w:eastAsia="pt-BR"/>
              </w:rPr>
              <w:t>21.020</w:t>
            </w:r>
          </w:p>
        </w:tc>
        <w:tc>
          <w:tcPr>
            <w:tcW w:w="265" w:type="dxa"/>
            <w:tcBorders>
              <w:top w:val="nil"/>
              <w:bottom w:val="nil"/>
            </w:tcBorders>
            <w:shd w:val="clear" w:color="auto" w:fill="auto"/>
            <w:vAlign w:val="center"/>
          </w:tcPr>
          <w:p w14:paraId="3CADA7F7" w14:textId="77777777" w:rsidR="00263EF9" w:rsidRPr="004B7503" w:rsidRDefault="00263EF9">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left w:val="nil"/>
              <w:bottom w:val="nil"/>
              <w:right w:val="nil"/>
            </w:tcBorders>
            <w:shd w:val="clear" w:color="auto" w:fill="auto"/>
            <w:vAlign w:val="center"/>
          </w:tcPr>
          <w:p w14:paraId="6D118AAA" w14:textId="77777777" w:rsidR="00263EF9" w:rsidRPr="004B7503" w:rsidRDefault="00263EF9">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2</w:t>
            </w:r>
            <w:r>
              <w:rPr>
                <w:rFonts w:ascii="Arial" w:eastAsia="Times New Roman" w:hAnsi="Arial" w:cs="Arial"/>
                <w:spacing w:val="-2"/>
                <w:sz w:val="14"/>
                <w:szCs w:val="14"/>
                <w:lang w:eastAsia="pt-BR"/>
              </w:rPr>
              <w:t>8.783</w:t>
            </w:r>
          </w:p>
        </w:tc>
        <w:tc>
          <w:tcPr>
            <w:tcW w:w="1075" w:type="dxa"/>
            <w:tcBorders>
              <w:top w:val="nil"/>
              <w:left w:val="nil"/>
              <w:bottom w:val="nil"/>
              <w:right w:val="nil"/>
            </w:tcBorders>
            <w:shd w:val="clear" w:color="auto" w:fill="auto"/>
            <w:vAlign w:val="center"/>
          </w:tcPr>
          <w:p w14:paraId="55019717" w14:textId="77777777" w:rsidR="00263EF9" w:rsidRPr="004B7503"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4B7503">
              <w:rPr>
                <w:rFonts w:ascii="Arial" w:eastAsia="Times New Roman" w:hAnsi="Arial" w:cs="Arial"/>
                <w:spacing w:val="-2"/>
                <w:sz w:val="14"/>
                <w:szCs w:val="14"/>
                <w:lang w:eastAsia="pt-BR"/>
              </w:rPr>
              <w:t>1.607.391</w:t>
            </w:r>
          </w:p>
        </w:tc>
      </w:tr>
      <w:tr w:rsidR="00263EF9" w:rsidRPr="00281428" w14:paraId="74E4AF64"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6EEB7BDE" w14:textId="77777777" w:rsidR="00263EF9" w:rsidRPr="004B7503" w:rsidRDefault="00263EF9">
            <w:pPr>
              <w:keepNext/>
              <w:keepLines/>
              <w:spacing w:before="40" w:after="40"/>
              <w:ind w:left="113"/>
              <w:rPr>
                <w:rFonts w:ascii="Arial" w:eastAsia="Times New Roman" w:hAnsi="Arial" w:cs="Arial"/>
                <w:b w:val="0"/>
                <w:spacing w:val="-2"/>
                <w:sz w:val="14"/>
                <w:szCs w:val="14"/>
                <w:lang w:eastAsia="pt-BR"/>
              </w:rPr>
            </w:pPr>
            <w:r w:rsidRPr="004B7503">
              <w:rPr>
                <w:rFonts w:ascii="Arial" w:eastAsia="Times New Roman" w:hAnsi="Arial" w:cs="Arial"/>
                <w:b w:val="0"/>
                <w:spacing w:val="-2"/>
                <w:sz w:val="14"/>
                <w:szCs w:val="14"/>
                <w:lang w:eastAsia="pt-BR"/>
              </w:rPr>
              <w:t>Ativos financeiros mensurados pelo custo amortizado</w:t>
            </w:r>
          </w:p>
        </w:tc>
        <w:tc>
          <w:tcPr>
            <w:tcW w:w="868" w:type="dxa"/>
            <w:tcBorders>
              <w:top w:val="nil"/>
              <w:bottom w:val="nil"/>
            </w:tcBorders>
            <w:shd w:val="clear" w:color="auto" w:fill="auto"/>
            <w:vAlign w:val="center"/>
          </w:tcPr>
          <w:p w14:paraId="5AFBEE01" w14:textId="77777777" w:rsidR="00263EF9" w:rsidRPr="004B7503"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4B7503">
              <w:rPr>
                <w:rFonts w:ascii="Arial" w:eastAsia="Times New Roman" w:hAnsi="Arial" w:cs="Times New Roman"/>
                <w:spacing w:val="-2"/>
                <w:sz w:val="14"/>
                <w:szCs w:val="18"/>
                <w:lang w:eastAsia="pt-BR"/>
              </w:rPr>
              <w:t>[16.b]</w:t>
            </w:r>
          </w:p>
        </w:tc>
        <w:tc>
          <w:tcPr>
            <w:tcW w:w="1460" w:type="dxa"/>
            <w:tcBorders>
              <w:top w:val="nil"/>
              <w:left w:val="nil"/>
              <w:bottom w:val="nil"/>
              <w:right w:val="nil"/>
            </w:tcBorders>
            <w:shd w:val="clear" w:color="auto" w:fill="auto"/>
            <w:vAlign w:val="center"/>
          </w:tcPr>
          <w:p w14:paraId="0DE68E08" w14:textId="77777777" w:rsidR="00263EF9" w:rsidRPr="004B7503"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4B7503">
              <w:rPr>
                <w:rFonts w:ascii="Arial" w:eastAsia="Times New Roman" w:hAnsi="Arial" w:cs="Arial"/>
                <w:spacing w:val="-2"/>
                <w:sz w:val="14"/>
                <w:szCs w:val="14"/>
                <w:lang w:eastAsia="pt-BR"/>
              </w:rPr>
              <w:t>--</w:t>
            </w:r>
          </w:p>
        </w:tc>
        <w:tc>
          <w:tcPr>
            <w:tcW w:w="1405" w:type="dxa"/>
            <w:gridSpan w:val="2"/>
            <w:tcBorders>
              <w:top w:val="nil"/>
              <w:left w:val="nil"/>
              <w:bottom w:val="nil"/>
              <w:right w:val="nil"/>
            </w:tcBorders>
            <w:shd w:val="clear" w:color="auto" w:fill="auto"/>
            <w:vAlign w:val="center"/>
          </w:tcPr>
          <w:p w14:paraId="60E3916F" w14:textId="77777777" w:rsidR="00263EF9" w:rsidRPr="004B7503"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4B7503">
              <w:rPr>
                <w:rFonts w:ascii="Arial" w:eastAsia="Times New Roman" w:hAnsi="Arial" w:cs="Arial"/>
                <w:spacing w:val="-2"/>
                <w:sz w:val="14"/>
                <w:szCs w:val="14"/>
                <w:lang w:eastAsia="pt-BR"/>
              </w:rPr>
              <w:t>--</w:t>
            </w:r>
          </w:p>
        </w:tc>
        <w:tc>
          <w:tcPr>
            <w:tcW w:w="265" w:type="dxa"/>
            <w:tcBorders>
              <w:top w:val="nil"/>
              <w:bottom w:val="nil"/>
            </w:tcBorders>
            <w:shd w:val="clear" w:color="auto" w:fill="auto"/>
            <w:vAlign w:val="center"/>
          </w:tcPr>
          <w:p w14:paraId="154F48F0" w14:textId="77777777" w:rsidR="00263EF9" w:rsidRPr="004B7503" w:rsidRDefault="00263EF9">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left w:val="nil"/>
              <w:bottom w:val="nil"/>
              <w:right w:val="nil"/>
            </w:tcBorders>
            <w:shd w:val="clear" w:color="auto" w:fill="auto"/>
            <w:vAlign w:val="center"/>
          </w:tcPr>
          <w:p w14:paraId="1DADCB19" w14:textId="77777777" w:rsidR="00263EF9" w:rsidRPr="004B7503" w:rsidRDefault="00263EF9">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1.039.910</w:t>
            </w:r>
          </w:p>
        </w:tc>
        <w:tc>
          <w:tcPr>
            <w:tcW w:w="1075" w:type="dxa"/>
            <w:tcBorders>
              <w:top w:val="nil"/>
              <w:left w:val="nil"/>
              <w:bottom w:val="nil"/>
              <w:right w:val="nil"/>
            </w:tcBorders>
            <w:shd w:val="clear" w:color="auto" w:fill="auto"/>
            <w:vAlign w:val="center"/>
          </w:tcPr>
          <w:p w14:paraId="2F55427E" w14:textId="77777777" w:rsidR="00263EF9" w:rsidRPr="004B7503"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4B7503">
              <w:rPr>
                <w:rFonts w:ascii="Arial" w:eastAsia="Times New Roman" w:hAnsi="Arial" w:cs="Arial"/>
                <w:spacing w:val="-2"/>
                <w:sz w:val="14"/>
                <w:szCs w:val="14"/>
                <w:lang w:eastAsia="pt-BR"/>
              </w:rPr>
              <w:t>--</w:t>
            </w:r>
          </w:p>
        </w:tc>
      </w:tr>
      <w:tr w:rsidR="00263EF9" w:rsidRPr="00281428" w14:paraId="26A8B340"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04298472" w14:textId="77777777" w:rsidR="00263EF9" w:rsidRPr="00281428" w:rsidRDefault="00263EF9">
            <w:pPr>
              <w:keepNext/>
              <w:keepLines/>
              <w:spacing w:before="40" w:after="40"/>
              <w:ind w:left="113"/>
              <w:rPr>
                <w:rFonts w:ascii="Arial" w:eastAsia="Times New Roman" w:hAnsi="Arial" w:cs="Arial"/>
                <w:b w:val="0"/>
                <w:bCs w:val="0"/>
                <w:spacing w:val="-2"/>
                <w:sz w:val="14"/>
                <w:szCs w:val="14"/>
                <w:lang w:eastAsia="pt-BR"/>
              </w:rPr>
            </w:pPr>
            <w:r w:rsidRPr="00281428">
              <w:rPr>
                <w:rFonts w:ascii="Arial" w:eastAsia="Times New Roman" w:hAnsi="Arial" w:cs="Times New Roman"/>
                <w:b w:val="0"/>
                <w:bCs w:val="0"/>
                <w:spacing w:val="-2"/>
                <w:sz w:val="14"/>
                <w:szCs w:val="18"/>
                <w:lang w:eastAsia="pt-BR"/>
              </w:rPr>
              <w:t xml:space="preserve">Ativos por </w:t>
            </w:r>
            <w:r>
              <w:rPr>
                <w:rFonts w:ascii="Arial" w:eastAsia="Times New Roman" w:hAnsi="Arial" w:cs="Times New Roman"/>
                <w:b w:val="0"/>
                <w:bCs w:val="0"/>
                <w:spacing w:val="-2"/>
                <w:sz w:val="14"/>
                <w:szCs w:val="18"/>
                <w:lang w:eastAsia="pt-BR"/>
              </w:rPr>
              <w:t>tributos</w:t>
            </w:r>
            <w:r w:rsidRPr="00281428">
              <w:rPr>
                <w:rFonts w:ascii="Arial" w:eastAsia="Times New Roman" w:hAnsi="Arial" w:cs="Times New Roman"/>
                <w:b w:val="0"/>
                <w:bCs w:val="0"/>
                <w:spacing w:val="-2"/>
                <w:sz w:val="14"/>
                <w:szCs w:val="18"/>
                <w:lang w:eastAsia="pt-BR"/>
              </w:rPr>
              <w:t xml:space="preserve"> </w:t>
            </w:r>
            <w:r>
              <w:rPr>
                <w:rFonts w:ascii="Arial" w:eastAsia="Times New Roman" w:hAnsi="Arial" w:cs="Times New Roman"/>
                <w:b w:val="0"/>
                <w:bCs w:val="0"/>
                <w:spacing w:val="-2"/>
                <w:sz w:val="14"/>
                <w:szCs w:val="18"/>
                <w:lang w:eastAsia="pt-BR"/>
              </w:rPr>
              <w:t>não correntes</w:t>
            </w:r>
          </w:p>
        </w:tc>
        <w:tc>
          <w:tcPr>
            <w:tcW w:w="868" w:type="dxa"/>
            <w:tcBorders>
              <w:top w:val="nil"/>
              <w:bottom w:val="nil"/>
            </w:tcBorders>
            <w:shd w:val="clear" w:color="auto" w:fill="auto"/>
            <w:vAlign w:val="center"/>
          </w:tcPr>
          <w:p w14:paraId="47CAB94B" w14:textId="77777777" w:rsidR="00263EF9" w:rsidRPr="00281428"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281428">
              <w:rPr>
                <w:rFonts w:ascii="Arial" w:eastAsia="Times New Roman" w:hAnsi="Arial" w:cs="Times New Roman"/>
                <w:spacing w:val="-2"/>
                <w:sz w:val="14"/>
                <w:szCs w:val="18"/>
                <w:lang w:eastAsia="pt-BR"/>
              </w:rPr>
              <w:t>[12.d]</w:t>
            </w:r>
          </w:p>
        </w:tc>
        <w:tc>
          <w:tcPr>
            <w:tcW w:w="1460" w:type="dxa"/>
            <w:tcBorders>
              <w:top w:val="nil"/>
              <w:bottom w:val="nil"/>
            </w:tcBorders>
            <w:shd w:val="clear" w:color="auto" w:fill="auto"/>
            <w:vAlign w:val="center"/>
          </w:tcPr>
          <w:p w14:paraId="47334EB5" w14:textId="77777777" w:rsidR="00263EF9" w:rsidRPr="00281428"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144661">
              <w:rPr>
                <w:rFonts w:ascii="Arial" w:eastAsia="Times New Roman" w:hAnsi="Arial" w:cs="Times New Roman"/>
                <w:spacing w:val="-2"/>
                <w:sz w:val="14"/>
                <w:szCs w:val="18"/>
                <w:lang w:eastAsia="pt-BR"/>
              </w:rPr>
              <w:t>11</w:t>
            </w:r>
            <w:r>
              <w:rPr>
                <w:rFonts w:ascii="Arial" w:eastAsia="Times New Roman" w:hAnsi="Arial" w:cs="Times New Roman"/>
                <w:spacing w:val="-2"/>
                <w:sz w:val="14"/>
                <w:szCs w:val="18"/>
                <w:lang w:eastAsia="pt-BR"/>
              </w:rPr>
              <w:t>5.651</w:t>
            </w:r>
          </w:p>
        </w:tc>
        <w:tc>
          <w:tcPr>
            <w:tcW w:w="1405" w:type="dxa"/>
            <w:gridSpan w:val="2"/>
            <w:tcBorders>
              <w:top w:val="nil"/>
              <w:left w:val="nil"/>
              <w:bottom w:val="nil"/>
              <w:right w:val="nil"/>
            </w:tcBorders>
            <w:shd w:val="clear" w:color="auto" w:fill="auto"/>
            <w:vAlign w:val="center"/>
          </w:tcPr>
          <w:p w14:paraId="165F5524" w14:textId="77777777" w:rsidR="00263EF9" w:rsidRPr="0064696C"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8"/>
                <w:lang w:eastAsia="pt-BR"/>
              </w:rPr>
              <w:t>93.591</w:t>
            </w:r>
          </w:p>
        </w:tc>
        <w:tc>
          <w:tcPr>
            <w:tcW w:w="265" w:type="dxa"/>
            <w:tcBorders>
              <w:top w:val="nil"/>
              <w:bottom w:val="nil"/>
            </w:tcBorders>
            <w:shd w:val="clear" w:color="auto" w:fill="auto"/>
            <w:vAlign w:val="center"/>
          </w:tcPr>
          <w:p w14:paraId="62520252" w14:textId="77777777" w:rsidR="00263EF9" w:rsidRPr="00281428" w:rsidRDefault="00263EF9">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left w:val="nil"/>
              <w:bottom w:val="nil"/>
              <w:right w:val="nil"/>
            </w:tcBorders>
            <w:shd w:val="clear" w:color="auto" w:fill="auto"/>
            <w:vAlign w:val="center"/>
          </w:tcPr>
          <w:p w14:paraId="7F2FDF20" w14:textId="77777777" w:rsidR="00263EF9" w:rsidRPr="00281428" w:rsidRDefault="00263EF9">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Pr>
                <w:rFonts w:ascii="Arial" w:eastAsia="Times New Roman" w:hAnsi="Arial" w:cs="Times New Roman"/>
                <w:spacing w:val="-2"/>
                <w:sz w:val="14"/>
                <w:szCs w:val="18"/>
                <w:lang w:eastAsia="pt-BR"/>
              </w:rPr>
              <w:t>144.477</w:t>
            </w:r>
          </w:p>
        </w:tc>
        <w:tc>
          <w:tcPr>
            <w:tcW w:w="1075" w:type="dxa"/>
            <w:tcBorders>
              <w:top w:val="nil"/>
              <w:left w:val="nil"/>
              <w:bottom w:val="nil"/>
              <w:right w:val="nil"/>
            </w:tcBorders>
            <w:shd w:val="clear" w:color="auto" w:fill="auto"/>
            <w:vAlign w:val="center"/>
          </w:tcPr>
          <w:p w14:paraId="6A8FB892" w14:textId="77777777" w:rsidR="00263EF9" w:rsidRPr="0064696C"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8"/>
                <w:lang w:eastAsia="pt-BR"/>
              </w:rPr>
              <w:t>100.967</w:t>
            </w:r>
          </w:p>
        </w:tc>
      </w:tr>
      <w:tr w:rsidR="00263EF9" w:rsidRPr="00281428" w14:paraId="694614CA"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30F15B8B" w14:textId="77777777" w:rsidR="00263EF9" w:rsidRPr="00281428" w:rsidRDefault="00263EF9">
            <w:pPr>
              <w:keepNext/>
              <w:keepLines/>
              <w:spacing w:before="40" w:after="40"/>
              <w:ind w:left="113"/>
              <w:rPr>
                <w:rFonts w:ascii="Arial" w:eastAsia="Times New Roman" w:hAnsi="Arial" w:cs="Arial"/>
                <w:b w:val="0"/>
                <w:bCs w:val="0"/>
                <w:spacing w:val="-2"/>
                <w:sz w:val="14"/>
                <w:szCs w:val="14"/>
                <w:lang w:eastAsia="pt-BR"/>
              </w:rPr>
            </w:pPr>
            <w:r w:rsidRPr="00281428">
              <w:rPr>
                <w:rFonts w:ascii="Arial" w:eastAsia="Times New Roman" w:hAnsi="Arial" w:cs="Arial"/>
                <w:b w:val="0"/>
                <w:bCs w:val="0"/>
                <w:spacing w:val="-2"/>
                <w:sz w:val="14"/>
                <w:szCs w:val="14"/>
                <w:lang w:eastAsia="pt-BR"/>
              </w:rPr>
              <w:t xml:space="preserve">Ativos por </w:t>
            </w:r>
            <w:r>
              <w:rPr>
                <w:rFonts w:ascii="Arial" w:eastAsia="Times New Roman" w:hAnsi="Arial" w:cs="Arial"/>
                <w:b w:val="0"/>
                <w:bCs w:val="0"/>
                <w:spacing w:val="-2"/>
                <w:sz w:val="14"/>
                <w:szCs w:val="14"/>
                <w:lang w:eastAsia="pt-BR"/>
              </w:rPr>
              <w:t>tributos</w:t>
            </w:r>
            <w:r w:rsidRPr="00281428">
              <w:rPr>
                <w:rFonts w:ascii="Arial" w:eastAsia="Times New Roman" w:hAnsi="Arial" w:cs="Arial"/>
                <w:b w:val="0"/>
                <w:bCs w:val="0"/>
                <w:spacing w:val="-2"/>
                <w:sz w:val="14"/>
                <w:szCs w:val="14"/>
                <w:lang w:eastAsia="pt-BR"/>
              </w:rPr>
              <w:t xml:space="preserve"> diferidos</w:t>
            </w:r>
          </w:p>
        </w:tc>
        <w:tc>
          <w:tcPr>
            <w:tcW w:w="868" w:type="dxa"/>
            <w:tcBorders>
              <w:top w:val="nil"/>
              <w:bottom w:val="nil"/>
            </w:tcBorders>
            <w:shd w:val="clear" w:color="auto" w:fill="auto"/>
            <w:vAlign w:val="center"/>
          </w:tcPr>
          <w:p w14:paraId="3651AD4D" w14:textId="77777777" w:rsidR="00263EF9" w:rsidRPr="00281428"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281428">
              <w:rPr>
                <w:rFonts w:ascii="Arial" w:eastAsia="Times New Roman" w:hAnsi="Arial" w:cs="Times New Roman"/>
                <w:spacing w:val="-2"/>
                <w:sz w:val="14"/>
                <w:szCs w:val="18"/>
                <w:lang w:eastAsia="pt-BR"/>
              </w:rPr>
              <w:t>[12.e]</w:t>
            </w:r>
          </w:p>
        </w:tc>
        <w:tc>
          <w:tcPr>
            <w:tcW w:w="1460" w:type="dxa"/>
            <w:tcBorders>
              <w:top w:val="nil"/>
              <w:bottom w:val="nil"/>
            </w:tcBorders>
            <w:shd w:val="clear" w:color="auto" w:fill="auto"/>
            <w:vAlign w:val="center"/>
          </w:tcPr>
          <w:p w14:paraId="76723996" w14:textId="77777777" w:rsidR="00263EF9" w:rsidRPr="006E4E16"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626</w:t>
            </w:r>
          </w:p>
        </w:tc>
        <w:tc>
          <w:tcPr>
            <w:tcW w:w="1405" w:type="dxa"/>
            <w:gridSpan w:val="2"/>
            <w:tcBorders>
              <w:top w:val="nil"/>
              <w:left w:val="nil"/>
              <w:bottom w:val="nil"/>
              <w:right w:val="nil"/>
            </w:tcBorders>
            <w:shd w:val="clear" w:color="auto" w:fill="auto"/>
            <w:vAlign w:val="center"/>
          </w:tcPr>
          <w:p w14:paraId="17182ECC" w14:textId="77777777" w:rsidR="00263EF9" w:rsidRPr="0064696C"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4"/>
                <w:lang w:eastAsia="pt-BR"/>
              </w:rPr>
              <w:t>222</w:t>
            </w:r>
          </w:p>
        </w:tc>
        <w:tc>
          <w:tcPr>
            <w:tcW w:w="265" w:type="dxa"/>
            <w:tcBorders>
              <w:top w:val="nil"/>
              <w:bottom w:val="nil"/>
            </w:tcBorders>
            <w:shd w:val="clear" w:color="auto" w:fill="auto"/>
            <w:vAlign w:val="center"/>
          </w:tcPr>
          <w:p w14:paraId="15C812F7" w14:textId="77777777" w:rsidR="00263EF9" w:rsidRPr="006E4E16" w:rsidRDefault="00263EF9">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left w:val="nil"/>
              <w:bottom w:val="nil"/>
              <w:right w:val="nil"/>
            </w:tcBorders>
            <w:shd w:val="clear" w:color="auto" w:fill="auto"/>
            <w:vAlign w:val="center"/>
          </w:tcPr>
          <w:p w14:paraId="378C52D1" w14:textId="77777777" w:rsidR="00263EF9" w:rsidRPr="006E4E16" w:rsidRDefault="00263EF9">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28.951</w:t>
            </w:r>
          </w:p>
        </w:tc>
        <w:tc>
          <w:tcPr>
            <w:tcW w:w="1075" w:type="dxa"/>
            <w:tcBorders>
              <w:top w:val="nil"/>
              <w:left w:val="nil"/>
              <w:bottom w:val="nil"/>
              <w:right w:val="nil"/>
            </w:tcBorders>
            <w:shd w:val="clear" w:color="auto" w:fill="auto"/>
            <w:vAlign w:val="center"/>
          </w:tcPr>
          <w:p w14:paraId="1D51E189" w14:textId="77777777" w:rsidR="00263EF9" w:rsidRPr="0064696C"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13.244</w:t>
            </w:r>
          </w:p>
        </w:tc>
      </w:tr>
      <w:tr w:rsidR="00263EF9" w:rsidRPr="00281428" w14:paraId="5DAA0D04"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40988949" w14:textId="77777777" w:rsidR="00263EF9" w:rsidRPr="00281428" w:rsidRDefault="00263EF9">
            <w:pPr>
              <w:keepNext/>
              <w:keepLines/>
              <w:spacing w:before="40" w:after="40"/>
              <w:ind w:left="113"/>
              <w:rPr>
                <w:rFonts w:ascii="Arial" w:eastAsia="Times New Roman" w:hAnsi="Arial" w:cs="Arial"/>
                <w:b w:val="0"/>
                <w:bCs w:val="0"/>
                <w:spacing w:val="-2"/>
                <w:sz w:val="14"/>
                <w:szCs w:val="14"/>
                <w:lang w:eastAsia="pt-BR"/>
              </w:rPr>
            </w:pPr>
            <w:r w:rsidRPr="00281428">
              <w:rPr>
                <w:rFonts w:ascii="Arial" w:eastAsia="Times New Roman" w:hAnsi="Arial" w:cs="Arial"/>
                <w:b w:val="0"/>
                <w:bCs w:val="0"/>
                <w:spacing w:val="-2"/>
                <w:sz w:val="14"/>
                <w:szCs w:val="14"/>
                <w:lang w:eastAsia="pt-BR"/>
              </w:rPr>
              <w:t>Comissões a receber</w:t>
            </w:r>
          </w:p>
        </w:tc>
        <w:tc>
          <w:tcPr>
            <w:tcW w:w="868" w:type="dxa"/>
            <w:tcBorders>
              <w:top w:val="nil"/>
              <w:bottom w:val="nil"/>
            </w:tcBorders>
            <w:shd w:val="clear" w:color="auto" w:fill="auto"/>
            <w:vAlign w:val="center"/>
          </w:tcPr>
          <w:p w14:paraId="36D791AF" w14:textId="77777777" w:rsidR="00263EF9" w:rsidRPr="00281428"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281428">
              <w:rPr>
                <w:rFonts w:ascii="Arial" w:eastAsia="Times New Roman" w:hAnsi="Arial" w:cs="Times New Roman"/>
                <w:spacing w:val="-2"/>
                <w:sz w:val="14"/>
                <w:szCs w:val="18"/>
                <w:lang w:eastAsia="pt-BR"/>
              </w:rPr>
              <w:t>[18]</w:t>
            </w:r>
          </w:p>
        </w:tc>
        <w:tc>
          <w:tcPr>
            <w:tcW w:w="1460" w:type="dxa"/>
            <w:tcBorders>
              <w:top w:val="nil"/>
              <w:bottom w:val="nil"/>
            </w:tcBorders>
            <w:shd w:val="clear" w:color="auto" w:fill="auto"/>
            <w:vAlign w:val="center"/>
          </w:tcPr>
          <w:p w14:paraId="06FCAA17" w14:textId="77777777" w:rsidR="00263EF9" w:rsidRPr="00281428"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405" w:type="dxa"/>
            <w:gridSpan w:val="2"/>
            <w:tcBorders>
              <w:top w:val="nil"/>
              <w:left w:val="nil"/>
              <w:bottom w:val="nil"/>
              <w:right w:val="nil"/>
            </w:tcBorders>
            <w:shd w:val="clear" w:color="auto" w:fill="auto"/>
            <w:vAlign w:val="center"/>
          </w:tcPr>
          <w:p w14:paraId="2615DAB8" w14:textId="77777777" w:rsidR="00263EF9" w:rsidRPr="0064696C"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4"/>
                <w:lang w:eastAsia="pt-BR"/>
              </w:rPr>
              <w:t>--</w:t>
            </w:r>
          </w:p>
        </w:tc>
        <w:tc>
          <w:tcPr>
            <w:tcW w:w="265" w:type="dxa"/>
            <w:tcBorders>
              <w:top w:val="nil"/>
              <w:bottom w:val="nil"/>
            </w:tcBorders>
            <w:shd w:val="clear" w:color="auto" w:fill="auto"/>
            <w:vAlign w:val="center"/>
          </w:tcPr>
          <w:p w14:paraId="2F749EAF" w14:textId="77777777" w:rsidR="00263EF9" w:rsidRPr="00281428" w:rsidRDefault="00263EF9">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left w:val="nil"/>
              <w:bottom w:val="nil"/>
              <w:right w:val="nil"/>
            </w:tcBorders>
            <w:shd w:val="clear" w:color="auto" w:fill="auto"/>
            <w:vAlign w:val="center"/>
          </w:tcPr>
          <w:p w14:paraId="27F8713F" w14:textId="77777777" w:rsidR="00263EF9" w:rsidRPr="00C20A50"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1.3</w:t>
            </w:r>
            <w:r>
              <w:rPr>
                <w:rFonts w:ascii="Arial" w:eastAsia="Times New Roman" w:hAnsi="Arial" w:cs="Arial"/>
                <w:spacing w:val="-2"/>
                <w:sz w:val="14"/>
                <w:szCs w:val="14"/>
                <w:lang w:eastAsia="pt-BR"/>
              </w:rPr>
              <w:t>87.299</w:t>
            </w:r>
          </w:p>
        </w:tc>
        <w:tc>
          <w:tcPr>
            <w:tcW w:w="1075" w:type="dxa"/>
            <w:tcBorders>
              <w:top w:val="nil"/>
              <w:left w:val="nil"/>
              <w:bottom w:val="nil"/>
              <w:right w:val="nil"/>
            </w:tcBorders>
            <w:shd w:val="clear" w:color="auto" w:fill="auto"/>
            <w:vAlign w:val="center"/>
          </w:tcPr>
          <w:p w14:paraId="011D5748" w14:textId="77777777" w:rsidR="00263EF9" w:rsidRPr="0064696C"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BF2AAF">
              <w:rPr>
                <w:rFonts w:ascii="Arial" w:hAnsi="Arial" w:cs="Arial"/>
                <w:color w:val="000000"/>
                <w:sz w:val="14"/>
                <w:szCs w:val="14"/>
              </w:rPr>
              <w:t>1.046.897</w:t>
            </w:r>
          </w:p>
        </w:tc>
      </w:tr>
      <w:tr w:rsidR="00263EF9" w:rsidRPr="00281428" w14:paraId="5F05364E"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5FC24492" w14:textId="77777777" w:rsidR="00263EF9" w:rsidRPr="00281428" w:rsidRDefault="00263EF9">
            <w:pPr>
              <w:keepNext/>
              <w:keepLines/>
              <w:spacing w:before="40" w:after="40"/>
              <w:ind w:left="113"/>
              <w:rPr>
                <w:rFonts w:ascii="Arial" w:eastAsia="Times New Roman" w:hAnsi="Arial" w:cs="Arial"/>
                <w:b w:val="0"/>
                <w:bCs w:val="0"/>
                <w:spacing w:val="-2"/>
                <w:sz w:val="14"/>
                <w:szCs w:val="14"/>
                <w:lang w:eastAsia="pt-BR"/>
              </w:rPr>
            </w:pPr>
            <w:r w:rsidRPr="00281428">
              <w:rPr>
                <w:rFonts w:ascii="Arial" w:eastAsia="Times New Roman" w:hAnsi="Arial" w:cs="Arial"/>
                <w:b w:val="0"/>
                <w:bCs w:val="0"/>
                <w:spacing w:val="-2"/>
                <w:sz w:val="14"/>
                <w:szCs w:val="14"/>
                <w:lang w:eastAsia="pt-BR"/>
              </w:rPr>
              <w:t>Investimentos em participações societárias</w:t>
            </w:r>
          </w:p>
        </w:tc>
        <w:tc>
          <w:tcPr>
            <w:tcW w:w="868" w:type="dxa"/>
            <w:tcBorders>
              <w:top w:val="nil"/>
              <w:bottom w:val="nil"/>
            </w:tcBorders>
            <w:shd w:val="clear" w:color="auto" w:fill="auto"/>
            <w:vAlign w:val="center"/>
          </w:tcPr>
          <w:p w14:paraId="3ACD6C7B" w14:textId="77777777" w:rsidR="00263EF9" w:rsidRPr="00281428"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281428">
              <w:rPr>
                <w:rFonts w:ascii="Arial" w:eastAsia="Times New Roman" w:hAnsi="Arial" w:cs="Times New Roman"/>
                <w:spacing w:val="-2"/>
                <w:sz w:val="14"/>
                <w:szCs w:val="18"/>
                <w:lang w:eastAsia="pt-BR"/>
              </w:rPr>
              <w:t>[7.b]</w:t>
            </w:r>
          </w:p>
        </w:tc>
        <w:tc>
          <w:tcPr>
            <w:tcW w:w="1460" w:type="dxa"/>
            <w:tcBorders>
              <w:top w:val="nil"/>
              <w:left w:val="nil"/>
              <w:bottom w:val="nil"/>
              <w:right w:val="nil"/>
            </w:tcBorders>
            <w:shd w:val="clear" w:color="auto" w:fill="auto"/>
            <w:vAlign w:val="center"/>
          </w:tcPr>
          <w:p w14:paraId="75C7838C" w14:textId="77777777" w:rsidR="00263EF9" w:rsidRPr="008C6E2E"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9.473.239</w:t>
            </w:r>
          </w:p>
        </w:tc>
        <w:tc>
          <w:tcPr>
            <w:tcW w:w="1405" w:type="dxa"/>
            <w:gridSpan w:val="2"/>
            <w:tcBorders>
              <w:top w:val="nil"/>
              <w:left w:val="nil"/>
              <w:bottom w:val="nil"/>
              <w:right w:val="nil"/>
            </w:tcBorders>
            <w:shd w:val="clear" w:color="auto" w:fill="auto"/>
            <w:vAlign w:val="center"/>
          </w:tcPr>
          <w:p w14:paraId="020E7C09" w14:textId="77777777" w:rsidR="00263EF9" w:rsidRPr="008C6E2E"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8C6E2E">
              <w:rPr>
                <w:rFonts w:ascii="Arial" w:eastAsia="Times New Roman" w:hAnsi="Arial" w:cs="Arial"/>
                <w:spacing w:val="-2"/>
                <w:sz w:val="14"/>
                <w:szCs w:val="14"/>
                <w:lang w:eastAsia="pt-BR"/>
              </w:rPr>
              <w:t>9.128.605</w:t>
            </w:r>
          </w:p>
        </w:tc>
        <w:tc>
          <w:tcPr>
            <w:tcW w:w="265" w:type="dxa"/>
            <w:tcBorders>
              <w:top w:val="nil"/>
              <w:bottom w:val="nil"/>
            </w:tcBorders>
            <w:shd w:val="clear" w:color="auto" w:fill="auto"/>
            <w:vAlign w:val="center"/>
          </w:tcPr>
          <w:p w14:paraId="00B92796" w14:textId="77777777" w:rsidR="00263EF9" w:rsidRPr="00281428" w:rsidRDefault="00263EF9">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p>
        </w:tc>
        <w:tc>
          <w:tcPr>
            <w:tcW w:w="1616" w:type="dxa"/>
            <w:gridSpan w:val="2"/>
            <w:tcBorders>
              <w:top w:val="nil"/>
              <w:left w:val="nil"/>
              <w:bottom w:val="nil"/>
              <w:right w:val="nil"/>
            </w:tcBorders>
            <w:shd w:val="clear" w:color="auto" w:fill="auto"/>
            <w:vAlign w:val="center"/>
          </w:tcPr>
          <w:p w14:paraId="5A304F74" w14:textId="77777777" w:rsidR="00263EF9" w:rsidRPr="00D33434" w:rsidRDefault="00263EF9">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8.</w:t>
            </w:r>
            <w:r>
              <w:rPr>
                <w:rFonts w:ascii="Arial" w:eastAsia="Times New Roman" w:hAnsi="Arial" w:cs="Arial"/>
                <w:spacing w:val="-2"/>
                <w:sz w:val="14"/>
                <w:szCs w:val="14"/>
                <w:lang w:eastAsia="pt-BR"/>
              </w:rPr>
              <w:t>826.456</w:t>
            </w:r>
          </w:p>
        </w:tc>
        <w:tc>
          <w:tcPr>
            <w:tcW w:w="1075" w:type="dxa"/>
            <w:tcBorders>
              <w:top w:val="nil"/>
              <w:left w:val="nil"/>
              <w:bottom w:val="nil"/>
              <w:right w:val="nil"/>
            </w:tcBorders>
            <w:shd w:val="clear" w:color="auto" w:fill="auto"/>
            <w:vAlign w:val="center"/>
          </w:tcPr>
          <w:p w14:paraId="0A64FB31" w14:textId="77777777" w:rsidR="00263EF9" w:rsidRPr="0064696C"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sidRPr="00BF2AAF">
              <w:rPr>
                <w:rFonts w:ascii="Arial" w:eastAsia="Times New Roman" w:hAnsi="Arial" w:cs="Arial"/>
                <w:spacing w:val="-2"/>
                <w:sz w:val="14"/>
                <w:szCs w:val="14"/>
                <w:lang w:eastAsia="pt-BR"/>
              </w:rPr>
              <w:t>9.331.907</w:t>
            </w:r>
          </w:p>
        </w:tc>
      </w:tr>
      <w:tr w:rsidR="00263EF9" w:rsidRPr="00281428" w14:paraId="73FED87E"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66012E51" w14:textId="77777777" w:rsidR="00263EF9" w:rsidRPr="00281428" w:rsidRDefault="00263EF9">
            <w:pPr>
              <w:keepNext/>
              <w:keepLines/>
              <w:spacing w:before="40" w:after="40"/>
              <w:ind w:left="113"/>
              <w:rPr>
                <w:rFonts w:ascii="Arial" w:eastAsia="Times New Roman" w:hAnsi="Arial" w:cs="Arial"/>
                <w:b w:val="0"/>
                <w:bCs w:val="0"/>
                <w:spacing w:val="-2"/>
                <w:sz w:val="14"/>
                <w:szCs w:val="14"/>
                <w:lang w:eastAsia="pt-BR"/>
              </w:rPr>
            </w:pPr>
            <w:r w:rsidRPr="00281428">
              <w:rPr>
                <w:rFonts w:ascii="Arial" w:eastAsia="Times New Roman" w:hAnsi="Arial" w:cs="Arial"/>
                <w:b w:val="0"/>
                <w:bCs w:val="0"/>
                <w:spacing w:val="-2"/>
                <w:sz w:val="14"/>
                <w:szCs w:val="14"/>
                <w:lang w:eastAsia="pt-BR"/>
              </w:rPr>
              <w:t>Intangível</w:t>
            </w:r>
          </w:p>
        </w:tc>
        <w:tc>
          <w:tcPr>
            <w:tcW w:w="868" w:type="dxa"/>
            <w:tcBorders>
              <w:top w:val="nil"/>
              <w:bottom w:val="nil"/>
            </w:tcBorders>
            <w:shd w:val="clear" w:color="auto" w:fill="auto"/>
            <w:vAlign w:val="center"/>
          </w:tcPr>
          <w:p w14:paraId="565ACD6A" w14:textId="77777777" w:rsidR="00263EF9" w:rsidRPr="00281428"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281428">
              <w:rPr>
                <w:rFonts w:ascii="Arial" w:eastAsia="Times New Roman" w:hAnsi="Arial" w:cs="Times New Roman"/>
                <w:spacing w:val="-2"/>
                <w:sz w:val="14"/>
                <w:szCs w:val="18"/>
                <w:lang w:eastAsia="pt-BR"/>
              </w:rPr>
              <w:t>[19]</w:t>
            </w:r>
          </w:p>
        </w:tc>
        <w:tc>
          <w:tcPr>
            <w:tcW w:w="1460" w:type="dxa"/>
            <w:tcBorders>
              <w:top w:val="nil"/>
              <w:left w:val="nil"/>
              <w:bottom w:val="nil"/>
              <w:right w:val="nil"/>
            </w:tcBorders>
            <w:shd w:val="clear" w:color="auto" w:fill="auto"/>
            <w:vAlign w:val="center"/>
          </w:tcPr>
          <w:p w14:paraId="74873C3D" w14:textId="77777777" w:rsidR="00263EF9" w:rsidRPr="00281428"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144661">
              <w:rPr>
                <w:rFonts w:ascii="Arial" w:eastAsia="Times New Roman" w:hAnsi="Arial" w:cs="Arial"/>
                <w:spacing w:val="-2"/>
                <w:sz w:val="14"/>
                <w:szCs w:val="14"/>
                <w:lang w:eastAsia="pt-BR"/>
              </w:rPr>
              <w:t>2.</w:t>
            </w:r>
            <w:r>
              <w:rPr>
                <w:rFonts w:ascii="Arial" w:eastAsia="Times New Roman" w:hAnsi="Arial" w:cs="Arial"/>
                <w:spacing w:val="-2"/>
                <w:sz w:val="14"/>
                <w:szCs w:val="14"/>
                <w:lang w:eastAsia="pt-BR"/>
              </w:rPr>
              <w:t>790</w:t>
            </w:r>
          </w:p>
        </w:tc>
        <w:tc>
          <w:tcPr>
            <w:tcW w:w="1405" w:type="dxa"/>
            <w:gridSpan w:val="2"/>
            <w:tcBorders>
              <w:top w:val="nil"/>
              <w:left w:val="nil"/>
              <w:bottom w:val="nil"/>
              <w:right w:val="nil"/>
            </w:tcBorders>
            <w:shd w:val="clear" w:color="auto" w:fill="auto"/>
            <w:vAlign w:val="center"/>
          </w:tcPr>
          <w:p w14:paraId="031EDD1C" w14:textId="77777777" w:rsidR="00263EF9" w:rsidRPr="0064696C"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4"/>
                <w:lang w:eastAsia="pt-BR"/>
              </w:rPr>
              <w:t>3.585</w:t>
            </w:r>
          </w:p>
        </w:tc>
        <w:tc>
          <w:tcPr>
            <w:tcW w:w="265" w:type="dxa"/>
            <w:tcBorders>
              <w:top w:val="nil"/>
              <w:bottom w:val="nil"/>
            </w:tcBorders>
            <w:shd w:val="clear" w:color="auto" w:fill="auto"/>
            <w:vAlign w:val="center"/>
          </w:tcPr>
          <w:p w14:paraId="521532D8" w14:textId="77777777" w:rsidR="00263EF9" w:rsidRPr="00281428" w:rsidRDefault="00263EF9">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left w:val="nil"/>
              <w:bottom w:val="nil"/>
              <w:right w:val="nil"/>
            </w:tcBorders>
            <w:shd w:val="clear" w:color="auto" w:fill="auto"/>
            <w:vAlign w:val="center"/>
          </w:tcPr>
          <w:p w14:paraId="124C60BD" w14:textId="77777777" w:rsidR="00263EF9" w:rsidRPr="00D33434" w:rsidRDefault="00263EF9">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2.</w:t>
            </w:r>
            <w:r>
              <w:rPr>
                <w:rFonts w:ascii="Arial" w:eastAsia="Times New Roman" w:hAnsi="Arial" w:cs="Arial"/>
                <w:spacing w:val="-2"/>
                <w:sz w:val="14"/>
                <w:szCs w:val="14"/>
                <w:lang w:eastAsia="pt-BR"/>
              </w:rPr>
              <w:t>790</w:t>
            </w:r>
          </w:p>
        </w:tc>
        <w:tc>
          <w:tcPr>
            <w:tcW w:w="1075" w:type="dxa"/>
            <w:tcBorders>
              <w:top w:val="nil"/>
              <w:left w:val="nil"/>
              <w:bottom w:val="nil"/>
              <w:right w:val="nil"/>
            </w:tcBorders>
            <w:shd w:val="clear" w:color="auto" w:fill="auto"/>
            <w:vAlign w:val="center"/>
          </w:tcPr>
          <w:p w14:paraId="1727FC18" w14:textId="77777777" w:rsidR="00263EF9" w:rsidRPr="0064696C"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3.585</w:t>
            </w:r>
          </w:p>
        </w:tc>
      </w:tr>
      <w:tr w:rsidR="00263EF9" w:rsidRPr="00281428" w14:paraId="76BA035E"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12C44752" w14:textId="77777777" w:rsidR="00263EF9" w:rsidRPr="00281428" w:rsidRDefault="00263EF9">
            <w:pPr>
              <w:keepNext/>
              <w:keepLines/>
              <w:spacing w:before="40" w:after="40"/>
              <w:ind w:left="113"/>
              <w:rPr>
                <w:rFonts w:ascii="Arial" w:eastAsia="Times New Roman" w:hAnsi="Arial" w:cs="Arial"/>
                <w:b w:val="0"/>
                <w:bCs w:val="0"/>
                <w:spacing w:val="-2"/>
                <w:sz w:val="14"/>
                <w:szCs w:val="14"/>
                <w:lang w:eastAsia="pt-BR"/>
              </w:rPr>
            </w:pPr>
            <w:r w:rsidRPr="00281428">
              <w:rPr>
                <w:rFonts w:ascii="Arial" w:eastAsia="Times New Roman" w:hAnsi="Arial" w:cs="Arial"/>
                <w:b w:val="0"/>
                <w:bCs w:val="0"/>
                <w:spacing w:val="-2"/>
                <w:sz w:val="14"/>
                <w:szCs w:val="14"/>
                <w:lang w:eastAsia="pt-BR"/>
              </w:rPr>
              <w:t>Outros ativos</w:t>
            </w:r>
          </w:p>
        </w:tc>
        <w:tc>
          <w:tcPr>
            <w:tcW w:w="868" w:type="dxa"/>
            <w:tcBorders>
              <w:top w:val="nil"/>
              <w:bottom w:val="nil"/>
            </w:tcBorders>
            <w:shd w:val="clear" w:color="auto" w:fill="auto"/>
            <w:vAlign w:val="center"/>
          </w:tcPr>
          <w:p w14:paraId="0EF0DDD9" w14:textId="77777777" w:rsidR="00263EF9" w:rsidRPr="00281428"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281428">
              <w:rPr>
                <w:rFonts w:ascii="Arial" w:eastAsia="Times New Roman" w:hAnsi="Arial" w:cs="Times New Roman"/>
                <w:spacing w:val="-2"/>
                <w:sz w:val="14"/>
                <w:szCs w:val="18"/>
                <w:lang w:eastAsia="pt-BR"/>
              </w:rPr>
              <w:t>[20]</w:t>
            </w:r>
          </w:p>
        </w:tc>
        <w:tc>
          <w:tcPr>
            <w:tcW w:w="1460" w:type="dxa"/>
            <w:tcBorders>
              <w:top w:val="nil"/>
              <w:bottom w:val="nil"/>
            </w:tcBorders>
            <w:shd w:val="clear" w:color="auto" w:fill="auto"/>
            <w:vAlign w:val="center"/>
          </w:tcPr>
          <w:p w14:paraId="497B8521" w14:textId="77777777" w:rsidR="00263EF9" w:rsidRPr="00281428"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144661">
              <w:rPr>
                <w:rFonts w:ascii="Arial" w:eastAsia="Times New Roman" w:hAnsi="Arial" w:cs="Arial"/>
                <w:spacing w:val="-2"/>
                <w:sz w:val="14"/>
                <w:szCs w:val="14"/>
                <w:lang w:eastAsia="pt-BR"/>
              </w:rPr>
              <w:t>5</w:t>
            </w:r>
            <w:r>
              <w:rPr>
                <w:rFonts w:ascii="Arial" w:eastAsia="Times New Roman" w:hAnsi="Arial" w:cs="Arial"/>
                <w:spacing w:val="-2"/>
                <w:sz w:val="14"/>
                <w:szCs w:val="14"/>
                <w:lang w:eastAsia="pt-BR"/>
              </w:rPr>
              <w:t>7</w:t>
            </w:r>
          </w:p>
        </w:tc>
        <w:tc>
          <w:tcPr>
            <w:tcW w:w="1405" w:type="dxa"/>
            <w:gridSpan w:val="2"/>
            <w:tcBorders>
              <w:top w:val="nil"/>
              <w:bottom w:val="nil"/>
            </w:tcBorders>
            <w:shd w:val="clear" w:color="auto" w:fill="auto"/>
            <w:vAlign w:val="center"/>
          </w:tcPr>
          <w:p w14:paraId="22AF1EC7" w14:textId="77777777" w:rsidR="00263EF9" w:rsidRPr="0064696C"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4"/>
                <w:lang w:eastAsia="pt-BR"/>
              </w:rPr>
              <w:t>49</w:t>
            </w:r>
          </w:p>
        </w:tc>
        <w:tc>
          <w:tcPr>
            <w:tcW w:w="265" w:type="dxa"/>
            <w:tcBorders>
              <w:top w:val="nil"/>
              <w:bottom w:val="nil"/>
            </w:tcBorders>
            <w:shd w:val="clear" w:color="auto" w:fill="auto"/>
            <w:vAlign w:val="center"/>
          </w:tcPr>
          <w:p w14:paraId="333C7F53" w14:textId="77777777" w:rsidR="00263EF9" w:rsidRPr="00281428"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bottom w:val="nil"/>
            </w:tcBorders>
            <w:shd w:val="clear" w:color="auto" w:fill="auto"/>
            <w:vAlign w:val="center"/>
          </w:tcPr>
          <w:p w14:paraId="32ED747C" w14:textId="77777777" w:rsidR="00263EF9" w:rsidRPr="00D33434"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2</w:t>
            </w:r>
            <w:r>
              <w:rPr>
                <w:rFonts w:ascii="Arial" w:eastAsia="Times New Roman" w:hAnsi="Arial" w:cs="Arial"/>
                <w:spacing w:val="-2"/>
                <w:sz w:val="14"/>
                <w:szCs w:val="14"/>
                <w:lang w:eastAsia="pt-BR"/>
              </w:rPr>
              <w:t>51.215</w:t>
            </w:r>
          </w:p>
        </w:tc>
        <w:tc>
          <w:tcPr>
            <w:tcW w:w="1075" w:type="dxa"/>
            <w:tcBorders>
              <w:top w:val="nil"/>
              <w:bottom w:val="nil"/>
            </w:tcBorders>
            <w:shd w:val="clear" w:color="auto" w:fill="auto"/>
            <w:vAlign w:val="center"/>
          </w:tcPr>
          <w:p w14:paraId="5A9A9103" w14:textId="77777777" w:rsidR="00263EF9" w:rsidRPr="0064696C"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234.873</w:t>
            </w:r>
          </w:p>
        </w:tc>
      </w:tr>
      <w:tr w:rsidR="00263EF9" w:rsidRPr="00281428" w14:paraId="3758DDC8"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592020D6" w14:textId="77777777" w:rsidR="00263EF9" w:rsidRPr="00281428" w:rsidRDefault="00263EF9">
            <w:pPr>
              <w:keepNext/>
              <w:keepLines/>
              <w:spacing w:before="40" w:after="40"/>
              <w:rPr>
                <w:rFonts w:ascii="Arial" w:eastAsia="Times New Roman" w:hAnsi="Arial" w:cs="Arial"/>
                <w:spacing w:val="-2"/>
                <w:sz w:val="14"/>
                <w:szCs w:val="14"/>
                <w:lang w:eastAsia="pt-BR"/>
              </w:rPr>
            </w:pPr>
          </w:p>
        </w:tc>
        <w:tc>
          <w:tcPr>
            <w:tcW w:w="868" w:type="dxa"/>
            <w:tcBorders>
              <w:top w:val="nil"/>
              <w:bottom w:val="nil"/>
            </w:tcBorders>
            <w:shd w:val="clear" w:color="auto" w:fill="auto"/>
            <w:vAlign w:val="center"/>
          </w:tcPr>
          <w:p w14:paraId="40989CF7" w14:textId="77777777" w:rsidR="00263EF9" w:rsidRPr="00281428"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p>
        </w:tc>
        <w:tc>
          <w:tcPr>
            <w:tcW w:w="1460" w:type="dxa"/>
            <w:tcBorders>
              <w:top w:val="nil"/>
              <w:bottom w:val="nil"/>
            </w:tcBorders>
            <w:shd w:val="clear" w:color="auto" w:fill="auto"/>
            <w:vAlign w:val="center"/>
          </w:tcPr>
          <w:p w14:paraId="39CA86CC" w14:textId="77777777" w:rsidR="00263EF9" w:rsidRPr="00281428"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p>
        </w:tc>
        <w:tc>
          <w:tcPr>
            <w:tcW w:w="1405" w:type="dxa"/>
            <w:gridSpan w:val="2"/>
            <w:tcBorders>
              <w:top w:val="nil"/>
              <w:bottom w:val="nil"/>
            </w:tcBorders>
            <w:shd w:val="clear" w:color="auto" w:fill="auto"/>
            <w:vAlign w:val="center"/>
          </w:tcPr>
          <w:p w14:paraId="29A21C7F" w14:textId="77777777" w:rsidR="00263EF9" w:rsidRPr="0064696C"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c>
          <w:tcPr>
            <w:tcW w:w="265" w:type="dxa"/>
            <w:tcBorders>
              <w:top w:val="nil"/>
              <w:bottom w:val="nil"/>
            </w:tcBorders>
            <w:shd w:val="clear" w:color="auto" w:fill="auto"/>
            <w:vAlign w:val="center"/>
          </w:tcPr>
          <w:p w14:paraId="4B2C0C8D" w14:textId="77777777" w:rsidR="00263EF9" w:rsidRPr="00281428"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bottom w:val="nil"/>
            </w:tcBorders>
            <w:shd w:val="clear" w:color="auto" w:fill="auto"/>
            <w:vAlign w:val="center"/>
          </w:tcPr>
          <w:p w14:paraId="73EA63F2" w14:textId="77777777" w:rsidR="00263EF9" w:rsidRPr="00281428"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075" w:type="dxa"/>
            <w:tcBorders>
              <w:top w:val="nil"/>
              <w:bottom w:val="nil"/>
            </w:tcBorders>
            <w:shd w:val="clear" w:color="auto" w:fill="auto"/>
            <w:vAlign w:val="center"/>
          </w:tcPr>
          <w:p w14:paraId="02093C3F" w14:textId="77777777" w:rsidR="00263EF9" w:rsidRPr="0064696C"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r>
      <w:tr w:rsidR="00263EF9" w:rsidRPr="00281428" w14:paraId="1B013879"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67411188" w14:textId="77777777" w:rsidR="00263EF9" w:rsidRPr="00281428" w:rsidRDefault="00263EF9">
            <w:pPr>
              <w:keepNext/>
              <w:keepLines/>
              <w:spacing w:before="40" w:after="40"/>
              <w:rPr>
                <w:rFonts w:ascii="Arial" w:eastAsia="Times New Roman" w:hAnsi="Arial" w:cs="Arial"/>
                <w:spacing w:val="-2"/>
                <w:sz w:val="14"/>
                <w:szCs w:val="14"/>
                <w:lang w:eastAsia="pt-BR"/>
              </w:rPr>
            </w:pPr>
            <w:r w:rsidRPr="00281428">
              <w:rPr>
                <w:rFonts w:ascii="Arial" w:eastAsia="Times New Roman" w:hAnsi="Arial" w:cs="Arial"/>
                <w:spacing w:val="-2"/>
                <w:sz w:val="14"/>
                <w:szCs w:val="14"/>
                <w:lang w:eastAsia="pt-BR"/>
              </w:rPr>
              <w:t>Total do Ativo</w:t>
            </w:r>
          </w:p>
        </w:tc>
        <w:tc>
          <w:tcPr>
            <w:tcW w:w="868" w:type="dxa"/>
            <w:tcBorders>
              <w:top w:val="nil"/>
              <w:bottom w:val="nil"/>
            </w:tcBorders>
            <w:shd w:val="clear" w:color="auto" w:fill="auto"/>
            <w:vAlign w:val="center"/>
          </w:tcPr>
          <w:p w14:paraId="464A7103" w14:textId="77777777" w:rsidR="00263EF9" w:rsidRPr="00281428"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noProof/>
                <w:spacing w:val="-2"/>
                <w:sz w:val="14"/>
                <w:szCs w:val="18"/>
                <w:lang w:eastAsia="pt-BR"/>
              </w:rPr>
            </w:pPr>
          </w:p>
        </w:tc>
        <w:tc>
          <w:tcPr>
            <w:tcW w:w="1460" w:type="dxa"/>
            <w:tcBorders>
              <w:top w:val="nil"/>
              <w:bottom w:val="nil"/>
            </w:tcBorders>
            <w:shd w:val="clear" w:color="auto" w:fill="auto"/>
            <w:vAlign w:val="center"/>
          </w:tcPr>
          <w:p w14:paraId="30DE5B6E" w14:textId="77777777" w:rsidR="00263EF9" w:rsidRPr="008C6E2E"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144661">
              <w:rPr>
                <w:rFonts w:ascii="Arial" w:eastAsia="Times New Roman" w:hAnsi="Arial" w:cs="Arial"/>
                <w:b/>
                <w:spacing w:val="-2"/>
                <w:sz w:val="14"/>
                <w:szCs w:val="14"/>
                <w:lang w:eastAsia="pt-BR"/>
              </w:rPr>
              <w:t>1</w:t>
            </w:r>
            <w:r>
              <w:rPr>
                <w:rFonts w:ascii="Arial" w:eastAsia="Times New Roman" w:hAnsi="Arial" w:cs="Arial"/>
                <w:b/>
                <w:spacing w:val="-2"/>
                <w:sz w:val="14"/>
                <w:szCs w:val="14"/>
                <w:lang w:eastAsia="pt-BR"/>
              </w:rPr>
              <w:t>4.122.039</w:t>
            </w:r>
          </w:p>
        </w:tc>
        <w:tc>
          <w:tcPr>
            <w:tcW w:w="1405" w:type="dxa"/>
            <w:gridSpan w:val="2"/>
            <w:tcBorders>
              <w:top w:val="nil"/>
              <w:bottom w:val="nil"/>
            </w:tcBorders>
            <w:shd w:val="clear" w:color="auto" w:fill="auto"/>
            <w:vAlign w:val="center"/>
          </w:tcPr>
          <w:p w14:paraId="5D664E8B" w14:textId="77777777" w:rsidR="00263EF9" w:rsidRPr="0064696C"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8"/>
                <w:highlight w:val="yellow"/>
                <w:lang w:eastAsia="pt-BR"/>
              </w:rPr>
            </w:pPr>
            <w:r w:rsidRPr="00BF2AAF">
              <w:rPr>
                <w:rFonts w:ascii="Arial" w:eastAsia="Times New Roman" w:hAnsi="Arial" w:cs="Arial"/>
                <w:b/>
                <w:spacing w:val="-2"/>
                <w:sz w:val="14"/>
                <w:szCs w:val="14"/>
                <w:lang w:eastAsia="pt-BR"/>
              </w:rPr>
              <w:t>12.286.621</w:t>
            </w:r>
          </w:p>
        </w:tc>
        <w:tc>
          <w:tcPr>
            <w:tcW w:w="265" w:type="dxa"/>
            <w:tcBorders>
              <w:top w:val="nil"/>
              <w:bottom w:val="nil"/>
            </w:tcBorders>
            <w:shd w:val="clear" w:color="auto" w:fill="auto"/>
            <w:vAlign w:val="center"/>
          </w:tcPr>
          <w:p w14:paraId="38E0248E" w14:textId="77777777" w:rsidR="00263EF9" w:rsidRPr="00281428"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p>
        </w:tc>
        <w:tc>
          <w:tcPr>
            <w:tcW w:w="1616" w:type="dxa"/>
            <w:gridSpan w:val="2"/>
            <w:tcBorders>
              <w:top w:val="nil"/>
              <w:bottom w:val="nil"/>
            </w:tcBorders>
            <w:shd w:val="clear" w:color="auto" w:fill="auto"/>
            <w:vAlign w:val="center"/>
          </w:tcPr>
          <w:p w14:paraId="09E7314F" w14:textId="77777777" w:rsidR="00263EF9" w:rsidRPr="00281428"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r>
              <w:rPr>
                <w:rFonts w:ascii="Arial" w:eastAsia="Times New Roman" w:hAnsi="Arial" w:cs="Arial"/>
                <w:b/>
                <w:bCs/>
                <w:spacing w:val="-2"/>
                <w:sz w:val="14"/>
                <w:szCs w:val="14"/>
                <w:lang w:eastAsia="pt-BR"/>
              </w:rPr>
              <w:t>21.615.587</w:t>
            </w:r>
          </w:p>
        </w:tc>
        <w:tc>
          <w:tcPr>
            <w:tcW w:w="1075" w:type="dxa"/>
            <w:tcBorders>
              <w:top w:val="nil"/>
              <w:bottom w:val="nil"/>
            </w:tcBorders>
            <w:shd w:val="clear" w:color="auto" w:fill="auto"/>
            <w:vAlign w:val="center"/>
          </w:tcPr>
          <w:p w14:paraId="055B4F63" w14:textId="77777777" w:rsidR="00263EF9" w:rsidRPr="0064696C"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r w:rsidRPr="00BF2AAF">
              <w:rPr>
                <w:rFonts w:ascii="Arial" w:eastAsia="Times New Roman" w:hAnsi="Arial" w:cs="Arial"/>
                <w:b/>
                <w:bCs/>
                <w:spacing w:val="-2"/>
                <w:sz w:val="14"/>
                <w:szCs w:val="14"/>
                <w:lang w:eastAsia="pt-BR"/>
              </w:rPr>
              <w:t>18.272.622</w:t>
            </w:r>
          </w:p>
        </w:tc>
      </w:tr>
      <w:tr w:rsidR="00263EF9" w:rsidRPr="00281428" w14:paraId="227F6394" w14:textId="77777777">
        <w:trPr>
          <w:cnfStyle w:val="000000100000" w:firstRow="0" w:lastRow="0" w:firstColumn="0" w:lastColumn="0" w:oddVBand="0" w:evenVBand="0" w:oddHBand="1" w:evenHBand="0" w:firstRowFirstColumn="0" w:firstRowLastColumn="0" w:lastRowFirstColumn="0" w:lastRowLastColumn="0"/>
          <w:trHeight w:val="19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18E03394" w14:textId="77777777" w:rsidR="00263EF9" w:rsidRPr="00281428" w:rsidRDefault="00263EF9">
            <w:pPr>
              <w:keepNext/>
              <w:keepLines/>
              <w:spacing w:before="40" w:after="40"/>
              <w:rPr>
                <w:rFonts w:ascii="Arial" w:eastAsia="Times New Roman" w:hAnsi="Arial" w:cs="Arial"/>
                <w:color w:val="FF0000"/>
                <w:spacing w:val="-2"/>
                <w:sz w:val="14"/>
                <w:szCs w:val="14"/>
                <w:lang w:eastAsia="pt-BR"/>
              </w:rPr>
            </w:pPr>
          </w:p>
        </w:tc>
        <w:tc>
          <w:tcPr>
            <w:tcW w:w="868" w:type="dxa"/>
            <w:tcBorders>
              <w:top w:val="nil"/>
              <w:bottom w:val="nil"/>
            </w:tcBorders>
            <w:shd w:val="clear" w:color="auto" w:fill="auto"/>
            <w:vAlign w:val="center"/>
          </w:tcPr>
          <w:p w14:paraId="6C278264" w14:textId="77777777" w:rsidR="00263EF9" w:rsidRPr="00281428"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0000"/>
                <w:spacing w:val="-2"/>
                <w:sz w:val="14"/>
                <w:szCs w:val="14"/>
                <w:lang w:eastAsia="pt-BR"/>
              </w:rPr>
            </w:pPr>
          </w:p>
        </w:tc>
        <w:tc>
          <w:tcPr>
            <w:tcW w:w="1460" w:type="dxa"/>
            <w:tcBorders>
              <w:top w:val="nil"/>
              <w:bottom w:val="nil"/>
            </w:tcBorders>
            <w:shd w:val="clear" w:color="auto" w:fill="auto"/>
            <w:vAlign w:val="center"/>
          </w:tcPr>
          <w:p w14:paraId="42C21710" w14:textId="77777777" w:rsidR="00263EF9" w:rsidRPr="00281428"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p>
        </w:tc>
        <w:tc>
          <w:tcPr>
            <w:tcW w:w="1405" w:type="dxa"/>
            <w:gridSpan w:val="2"/>
            <w:tcBorders>
              <w:top w:val="nil"/>
              <w:bottom w:val="nil"/>
            </w:tcBorders>
            <w:shd w:val="clear" w:color="auto" w:fill="auto"/>
            <w:vAlign w:val="center"/>
          </w:tcPr>
          <w:p w14:paraId="2AFB8779" w14:textId="77777777" w:rsidR="00263EF9" w:rsidRPr="0064696C"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c>
          <w:tcPr>
            <w:tcW w:w="265" w:type="dxa"/>
            <w:tcBorders>
              <w:top w:val="nil"/>
              <w:bottom w:val="nil"/>
            </w:tcBorders>
            <w:shd w:val="clear" w:color="auto" w:fill="auto"/>
            <w:vAlign w:val="center"/>
          </w:tcPr>
          <w:p w14:paraId="0E88EB73" w14:textId="77777777" w:rsidR="00263EF9" w:rsidRPr="00281428"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bottom w:val="nil"/>
            </w:tcBorders>
            <w:shd w:val="clear" w:color="auto" w:fill="auto"/>
            <w:vAlign w:val="center"/>
          </w:tcPr>
          <w:p w14:paraId="35BD60FC" w14:textId="77777777" w:rsidR="00263EF9" w:rsidRPr="00281428"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075" w:type="dxa"/>
            <w:tcBorders>
              <w:top w:val="nil"/>
              <w:bottom w:val="nil"/>
            </w:tcBorders>
            <w:shd w:val="clear" w:color="auto" w:fill="auto"/>
            <w:vAlign w:val="center"/>
          </w:tcPr>
          <w:p w14:paraId="3D3E84F4" w14:textId="77777777" w:rsidR="00263EF9" w:rsidRPr="0064696C"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r>
      <w:tr w:rsidR="00263EF9" w:rsidRPr="00281428" w14:paraId="4E4D0208"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0C1BDD91" w14:textId="77777777" w:rsidR="00263EF9" w:rsidRPr="00281428" w:rsidRDefault="00263EF9">
            <w:pPr>
              <w:keepNext/>
              <w:keepLines/>
              <w:spacing w:before="40" w:after="40"/>
              <w:rPr>
                <w:rFonts w:ascii="Arial" w:eastAsia="Times New Roman" w:hAnsi="Arial" w:cs="Times New Roman"/>
                <w:spacing w:val="-2"/>
                <w:sz w:val="14"/>
                <w:szCs w:val="18"/>
                <w:lang w:eastAsia="pt-BR"/>
              </w:rPr>
            </w:pPr>
            <w:r w:rsidRPr="00281428">
              <w:rPr>
                <w:rFonts w:ascii="Arial" w:eastAsia="Times New Roman" w:hAnsi="Arial" w:cs="Times New Roman"/>
                <w:spacing w:val="-2"/>
                <w:sz w:val="14"/>
                <w:szCs w:val="18"/>
                <w:lang w:eastAsia="pt-BR"/>
              </w:rPr>
              <w:t>Passivo Circulante</w:t>
            </w:r>
          </w:p>
        </w:tc>
        <w:tc>
          <w:tcPr>
            <w:tcW w:w="868" w:type="dxa"/>
            <w:tcBorders>
              <w:top w:val="nil"/>
              <w:bottom w:val="nil"/>
            </w:tcBorders>
            <w:shd w:val="clear" w:color="auto" w:fill="auto"/>
            <w:vAlign w:val="center"/>
          </w:tcPr>
          <w:p w14:paraId="240FAB04" w14:textId="77777777" w:rsidR="00263EF9" w:rsidRPr="00281428"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8"/>
                <w:lang w:eastAsia="pt-BR"/>
              </w:rPr>
            </w:pPr>
          </w:p>
        </w:tc>
        <w:tc>
          <w:tcPr>
            <w:tcW w:w="1460" w:type="dxa"/>
            <w:tcBorders>
              <w:top w:val="nil"/>
              <w:left w:val="nil"/>
              <w:bottom w:val="nil"/>
              <w:right w:val="nil"/>
            </w:tcBorders>
            <w:shd w:val="clear" w:color="auto" w:fill="auto"/>
            <w:vAlign w:val="center"/>
          </w:tcPr>
          <w:p w14:paraId="082079CB" w14:textId="77777777" w:rsidR="00263EF9" w:rsidRPr="00281428"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Pr>
                <w:rFonts w:ascii="Arial" w:eastAsia="Times New Roman" w:hAnsi="Arial" w:cs="Arial"/>
                <w:b/>
                <w:bCs/>
                <w:spacing w:val="-2"/>
                <w:sz w:val="14"/>
                <w:szCs w:val="14"/>
                <w:lang w:eastAsia="pt-BR"/>
              </w:rPr>
              <w:t>4.426.026</w:t>
            </w:r>
          </w:p>
        </w:tc>
        <w:tc>
          <w:tcPr>
            <w:tcW w:w="1405" w:type="dxa"/>
            <w:gridSpan w:val="2"/>
            <w:tcBorders>
              <w:top w:val="nil"/>
              <w:left w:val="nil"/>
              <w:bottom w:val="nil"/>
              <w:right w:val="nil"/>
            </w:tcBorders>
            <w:shd w:val="clear" w:color="auto" w:fill="auto"/>
            <w:vAlign w:val="center"/>
          </w:tcPr>
          <w:p w14:paraId="60ED2335" w14:textId="77777777" w:rsidR="00263EF9" w:rsidRPr="0064696C"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8"/>
                <w:lang w:eastAsia="pt-BR"/>
              </w:rPr>
            </w:pPr>
            <w:r w:rsidRPr="00BF2AAF">
              <w:rPr>
                <w:rFonts w:ascii="Arial" w:eastAsia="Times New Roman" w:hAnsi="Arial" w:cs="Arial"/>
                <w:b/>
                <w:bCs/>
                <w:spacing w:val="-2"/>
                <w:sz w:val="14"/>
                <w:szCs w:val="14"/>
                <w:lang w:eastAsia="pt-BR"/>
              </w:rPr>
              <w:t>2.469.986</w:t>
            </w:r>
          </w:p>
        </w:tc>
        <w:tc>
          <w:tcPr>
            <w:tcW w:w="265" w:type="dxa"/>
            <w:tcBorders>
              <w:top w:val="nil"/>
              <w:bottom w:val="nil"/>
            </w:tcBorders>
            <w:shd w:val="clear" w:color="auto" w:fill="auto"/>
            <w:vAlign w:val="center"/>
          </w:tcPr>
          <w:p w14:paraId="046C8685" w14:textId="77777777" w:rsidR="00263EF9" w:rsidRPr="00281428"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616" w:type="dxa"/>
            <w:gridSpan w:val="2"/>
            <w:tcBorders>
              <w:top w:val="nil"/>
              <w:left w:val="nil"/>
              <w:bottom w:val="nil"/>
              <w:right w:val="nil"/>
            </w:tcBorders>
            <w:shd w:val="clear" w:color="auto" w:fill="auto"/>
            <w:vAlign w:val="center"/>
          </w:tcPr>
          <w:p w14:paraId="52713CC2" w14:textId="77777777" w:rsidR="00263EF9" w:rsidRPr="00281428"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Pr>
                <w:rFonts w:ascii="Arial" w:eastAsia="Times New Roman" w:hAnsi="Arial" w:cs="Arial"/>
                <w:b/>
                <w:bCs/>
                <w:spacing w:val="-2"/>
                <w:sz w:val="14"/>
                <w:szCs w:val="14"/>
                <w:lang w:eastAsia="pt-BR"/>
              </w:rPr>
              <w:t>8.277.884</w:t>
            </w:r>
          </w:p>
        </w:tc>
        <w:tc>
          <w:tcPr>
            <w:tcW w:w="1075" w:type="dxa"/>
            <w:tcBorders>
              <w:top w:val="nil"/>
              <w:left w:val="nil"/>
              <w:bottom w:val="nil"/>
              <w:right w:val="nil"/>
            </w:tcBorders>
            <w:shd w:val="clear" w:color="auto" w:fill="auto"/>
            <w:vAlign w:val="center"/>
          </w:tcPr>
          <w:p w14:paraId="5D34D144" w14:textId="77777777" w:rsidR="00263EF9" w:rsidRPr="0064696C"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BF2AAF">
              <w:rPr>
                <w:rFonts w:ascii="Arial" w:eastAsia="Times New Roman" w:hAnsi="Arial" w:cs="Arial"/>
                <w:b/>
                <w:bCs/>
                <w:spacing w:val="-2"/>
                <w:sz w:val="14"/>
                <w:szCs w:val="14"/>
                <w:lang w:eastAsia="pt-BR"/>
              </w:rPr>
              <w:t>5.478.106</w:t>
            </w:r>
          </w:p>
        </w:tc>
      </w:tr>
      <w:tr w:rsidR="00263EF9" w:rsidRPr="00281428" w14:paraId="1CDC6930"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7B53CF0F" w14:textId="77777777" w:rsidR="00263EF9" w:rsidRPr="00281428" w:rsidRDefault="00263EF9">
            <w:pPr>
              <w:keepNext/>
              <w:keepLines/>
              <w:spacing w:before="40" w:after="40"/>
              <w:ind w:left="113"/>
              <w:rPr>
                <w:rFonts w:ascii="Arial" w:eastAsia="Times New Roman" w:hAnsi="Arial" w:cs="Times New Roman"/>
                <w:b w:val="0"/>
                <w:bCs w:val="0"/>
                <w:spacing w:val="-2"/>
                <w:sz w:val="14"/>
                <w:szCs w:val="18"/>
                <w:lang w:eastAsia="pt-BR"/>
              </w:rPr>
            </w:pPr>
            <w:r w:rsidRPr="00281428">
              <w:rPr>
                <w:rFonts w:ascii="Arial" w:eastAsia="Times New Roman" w:hAnsi="Arial" w:cs="Times New Roman"/>
                <w:b w:val="0"/>
                <w:bCs w:val="0"/>
                <w:spacing w:val="-2"/>
                <w:sz w:val="14"/>
                <w:szCs w:val="18"/>
                <w:lang w:eastAsia="pt-BR"/>
              </w:rPr>
              <w:t>Obrigações Societárias e Estatutárias</w:t>
            </w:r>
          </w:p>
        </w:tc>
        <w:tc>
          <w:tcPr>
            <w:tcW w:w="868" w:type="dxa"/>
            <w:tcBorders>
              <w:top w:val="nil"/>
              <w:bottom w:val="nil"/>
            </w:tcBorders>
            <w:shd w:val="clear" w:color="auto" w:fill="auto"/>
            <w:vAlign w:val="center"/>
          </w:tcPr>
          <w:p w14:paraId="593B70B4" w14:textId="77777777" w:rsidR="00263EF9" w:rsidRPr="00281428"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r w:rsidRPr="00281428">
              <w:rPr>
                <w:rFonts w:ascii="Arial" w:eastAsia="Times New Roman" w:hAnsi="Arial" w:cs="Times New Roman"/>
                <w:spacing w:val="-2"/>
                <w:sz w:val="14"/>
                <w:szCs w:val="14"/>
                <w:lang w:eastAsia="pt-BR"/>
              </w:rPr>
              <w:t>[21]</w:t>
            </w:r>
          </w:p>
        </w:tc>
        <w:tc>
          <w:tcPr>
            <w:tcW w:w="1460" w:type="dxa"/>
            <w:tcBorders>
              <w:top w:val="nil"/>
              <w:left w:val="nil"/>
              <w:bottom w:val="nil"/>
              <w:right w:val="nil"/>
            </w:tcBorders>
            <w:shd w:val="clear" w:color="auto" w:fill="auto"/>
            <w:vAlign w:val="center"/>
          </w:tcPr>
          <w:p w14:paraId="585F85C7" w14:textId="77777777" w:rsidR="00263EF9" w:rsidRPr="00281428"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4.411.346</w:t>
            </w:r>
          </w:p>
        </w:tc>
        <w:tc>
          <w:tcPr>
            <w:tcW w:w="1405" w:type="dxa"/>
            <w:gridSpan w:val="2"/>
            <w:tcBorders>
              <w:top w:val="nil"/>
              <w:left w:val="nil"/>
              <w:bottom w:val="nil"/>
              <w:right w:val="nil"/>
            </w:tcBorders>
            <w:shd w:val="clear" w:color="auto" w:fill="auto"/>
            <w:vAlign w:val="center"/>
          </w:tcPr>
          <w:p w14:paraId="639BFBB5" w14:textId="77777777" w:rsidR="00263EF9" w:rsidRPr="0064696C"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4"/>
                <w:lang w:eastAsia="pt-BR"/>
              </w:rPr>
              <w:t>2.455.309</w:t>
            </w:r>
          </w:p>
        </w:tc>
        <w:tc>
          <w:tcPr>
            <w:tcW w:w="265" w:type="dxa"/>
            <w:tcBorders>
              <w:top w:val="nil"/>
              <w:bottom w:val="nil"/>
            </w:tcBorders>
            <w:shd w:val="clear" w:color="auto" w:fill="auto"/>
            <w:vAlign w:val="center"/>
          </w:tcPr>
          <w:p w14:paraId="7214357A" w14:textId="77777777" w:rsidR="00263EF9" w:rsidRPr="00281428"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left w:val="nil"/>
              <w:bottom w:val="nil"/>
              <w:right w:val="nil"/>
            </w:tcBorders>
            <w:shd w:val="clear" w:color="auto" w:fill="auto"/>
            <w:vAlign w:val="center"/>
          </w:tcPr>
          <w:p w14:paraId="0C548AA6" w14:textId="77777777" w:rsidR="00263EF9" w:rsidRPr="00281428"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4.411.346</w:t>
            </w:r>
          </w:p>
        </w:tc>
        <w:tc>
          <w:tcPr>
            <w:tcW w:w="1075" w:type="dxa"/>
            <w:tcBorders>
              <w:top w:val="nil"/>
              <w:left w:val="nil"/>
              <w:bottom w:val="nil"/>
              <w:right w:val="nil"/>
            </w:tcBorders>
            <w:shd w:val="clear" w:color="auto" w:fill="auto"/>
            <w:vAlign w:val="center"/>
          </w:tcPr>
          <w:p w14:paraId="2257C990" w14:textId="77777777" w:rsidR="00263EF9" w:rsidRPr="0064696C"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2.455.309</w:t>
            </w:r>
          </w:p>
        </w:tc>
      </w:tr>
      <w:tr w:rsidR="00263EF9" w:rsidRPr="00281428" w14:paraId="2F23B4D7"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4EBC220A" w14:textId="77777777" w:rsidR="00263EF9" w:rsidRPr="00281428" w:rsidRDefault="00263EF9">
            <w:pPr>
              <w:keepNext/>
              <w:keepLines/>
              <w:spacing w:before="40" w:after="40"/>
              <w:ind w:left="113"/>
              <w:rPr>
                <w:rFonts w:ascii="Arial" w:eastAsia="Times New Roman" w:hAnsi="Arial" w:cs="Times New Roman"/>
                <w:b w:val="0"/>
                <w:bCs w:val="0"/>
                <w:spacing w:val="-2"/>
                <w:sz w:val="14"/>
                <w:szCs w:val="18"/>
                <w:lang w:eastAsia="pt-BR"/>
              </w:rPr>
            </w:pPr>
            <w:r w:rsidRPr="00281428">
              <w:rPr>
                <w:rFonts w:ascii="Arial" w:eastAsia="Times New Roman" w:hAnsi="Arial" w:cs="Times New Roman"/>
                <w:b w:val="0"/>
                <w:bCs w:val="0"/>
                <w:spacing w:val="-2"/>
                <w:sz w:val="14"/>
                <w:szCs w:val="18"/>
                <w:lang w:eastAsia="pt-BR"/>
              </w:rPr>
              <w:t>Provisões trabalhistas, fiscais e cíveis</w:t>
            </w:r>
          </w:p>
        </w:tc>
        <w:tc>
          <w:tcPr>
            <w:tcW w:w="868" w:type="dxa"/>
            <w:tcBorders>
              <w:top w:val="nil"/>
              <w:bottom w:val="nil"/>
            </w:tcBorders>
            <w:shd w:val="clear" w:color="auto" w:fill="auto"/>
            <w:vAlign w:val="center"/>
          </w:tcPr>
          <w:p w14:paraId="2272BE0A" w14:textId="77777777" w:rsidR="00263EF9" w:rsidRPr="00281428"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r w:rsidRPr="00281428">
              <w:rPr>
                <w:rFonts w:ascii="Arial" w:eastAsia="Times New Roman" w:hAnsi="Arial" w:cs="Times New Roman"/>
                <w:spacing w:val="-2"/>
                <w:sz w:val="14"/>
                <w:szCs w:val="14"/>
                <w:lang w:eastAsia="pt-BR"/>
              </w:rPr>
              <w:t>[22]</w:t>
            </w:r>
          </w:p>
        </w:tc>
        <w:tc>
          <w:tcPr>
            <w:tcW w:w="1460" w:type="dxa"/>
            <w:tcBorders>
              <w:top w:val="nil"/>
              <w:left w:val="nil"/>
              <w:bottom w:val="nil"/>
              <w:right w:val="nil"/>
            </w:tcBorders>
            <w:shd w:val="clear" w:color="auto" w:fill="auto"/>
            <w:vAlign w:val="center"/>
          </w:tcPr>
          <w:p w14:paraId="26F14865" w14:textId="77777777" w:rsidR="00263EF9" w:rsidRPr="00281428"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1.249</w:t>
            </w:r>
          </w:p>
        </w:tc>
        <w:tc>
          <w:tcPr>
            <w:tcW w:w="1405" w:type="dxa"/>
            <w:gridSpan w:val="2"/>
            <w:tcBorders>
              <w:top w:val="nil"/>
              <w:left w:val="nil"/>
              <w:bottom w:val="nil"/>
              <w:right w:val="nil"/>
            </w:tcBorders>
            <w:shd w:val="clear" w:color="auto" w:fill="auto"/>
            <w:vAlign w:val="center"/>
          </w:tcPr>
          <w:p w14:paraId="11731E77" w14:textId="77777777" w:rsidR="00263EF9" w:rsidRPr="0064696C"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4"/>
                <w:lang w:eastAsia="pt-BR"/>
              </w:rPr>
              <w:t>500</w:t>
            </w:r>
          </w:p>
        </w:tc>
        <w:tc>
          <w:tcPr>
            <w:tcW w:w="265" w:type="dxa"/>
            <w:tcBorders>
              <w:top w:val="nil"/>
              <w:bottom w:val="nil"/>
            </w:tcBorders>
            <w:shd w:val="clear" w:color="auto" w:fill="auto"/>
            <w:vAlign w:val="center"/>
          </w:tcPr>
          <w:p w14:paraId="0864718F" w14:textId="77777777" w:rsidR="00263EF9" w:rsidRPr="00281428"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left w:val="nil"/>
              <w:bottom w:val="nil"/>
              <w:right w:val="nil"/>
            </w:tcBorders>
            <w:shd w:val="clear" w:color="auto" w:fill="auto"/>
            <w:vAlign w:val="center"/>
          </w:tcPr>
          <w:p w14:paraId="10652284" w14:textId="77777777" w:rsidR="00263EF9" w:rsidRPr="00281428"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28.038</w:t>
            </w:r>
          </w:p>
        </w:tc>
        <w:tc>
          <w:tcPr>
            <w:tcW w:w="1075" w:type="dxa"/>
            <w:tcBorders>
              <w:top w:val="nil"/>
              <w:left w:val="nil"/>
              <w:bottom w:val="nil"/>
              <w:right w:val="nil"/>
            </w:tcBorders>
            <w:shd w:val="clear" w:color="auto" w:fill="auto"/>
            <w:vAlign w:val="center"/>
          </w:tcPr>
          <w:p w14:paraId="12E9D1D6" w14:textId="77777777" w:rsidR="00263EF9" w:rsidRPr="0064696C"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15.889</w:t>
            </w:r>
          </w:p>
        </w:tc>
      </w:tr>
      <w:tr w:rsidR="00263EF9" w:rsidRPr="00281428" w14:paraId="44088491"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07DD7B7E" w14:textId="77777777" w:rsidR="00263EF9" w:rsidRPr="00281428" w:rsidRDefault="00263EF9">
            <w:pPr>
              <w:keepNext/>
              <w:keepLines/>
              <w:spacing w:before="40" w:after="40"/>
              <w:ind w:left="113"/>
              <w:rPr>
                <w:rFonts w:ascii="Arial" w:eastAsia="Times New Roman" w:hAnsi="Arial" w:cs="Times New Roman"/>
                <w:b w:val="0"/>
                <w:bCs w:val="0"/>
                <w:spacing w:val="-2"/>
                <w:sz w:val="14"/>
                <w:szCs w:val="18"/>
                <w:lang w:eastAsia="pt-BR"/>
              </w:rPr>
            </w:pPr>
            <w:r w:rsidRPr="00281428">
              <w:rPr>
                <w:rFonts w:ascii="Arial" w:eastAsia="Times New Roman" w:hAnsi="Arial" w:cs="Times New Roman"/>
                <w:b w:val="0"/>
                <w:bCs w:val="0"/>
                <w:spacing w:val="-2"/>
                <w:sz w:val="14"/>
                <w:szCs w:val="18"/>
                <w:lang w:eastAsia="pt-BR"/>
              </w:rPr>
              <w:t xml:space="preserve">Passivos por </w:t>
            </w:r>
            <w:r>
              <w:rPr>
                <w:rFonts w:ascii="Arial" w:eastAsia="Times New Roman" w:hAnsi="Arial" w:cs="Times New Roman"/>
                <w:b w:val="0"/>
                <w:bCs w:val="0"/>
                <w:spacing w:val="-2"/>
                <w:sz w:val="14"/>
                <w:szCs w:val="18"/>
                <w:lang w:eastAsia="pt-BR"/>
              </w:rPr>
              <w:t>tributos</w:t>
            </w:r>
            <w:r w:rsidRPr="00281428">
              <w:rPr>
                <w:rFonts w:ascii="Arial" w:eastAsia="Times New Roman" w:hAnsi="Arial" w:cs="Times New Roman"/>
                <w:b w:val="0"/>
                <w:bCs w:val="0"/>
                <w:spacing w:val="-2"/>
                <w:sz w:val="14"/>
                <w:szCs w:val="18"/>
                <w:lang w:eastAsia="pt-BR"/>
              </w:rPr>
              <w:t xml:space="preserve"> correntes</w:t>
            </w:r>
          </w:p>
        </w:tc>
        <w:tc>
          <w:tcPr>
            <w:tcW w:w="868" w:type="dxa"/>
            <w:tcBorders>
              <w:top w:val="nil"/>
              <w:bottom w:val="nil"/>
            </w:tcBorders>
            <w:shd w:val="clear" w:color="auto" w:fill="auto"/>
            <w:vAlign w:val="center"/>
          </w:tcPr>
          <w:p w14:paraId="56D74D04" w14:textId="36D6E6DF" w:rsidR="00263EF9" w:rsidRPr="00281428"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281428">
              <w:rPr>
                <w:rFonts w:ascii="Arial" w:eastAsia="Times New Roman" w:hAnsi="Arial" w:cs="Times New Roman"/>
                <w:spacing w:val="-2"/>
                <w:sz w:val="14"/>
                <w:szCs w:val="18"/>
                <w:lang w:eastAsia="pt-BR"/>
              </w:rPr>
              <w:t>[12.</w:t>
            </w:r>
            <w:r w:rsidR="00A765E1">
              <w:rPr>
                <w:rFonts w:ascii="Arial" w:eastAsia="Times New Roman" w:hAnsi="Arial" w:cs="Times New Roman"/>
                <w:spacing w:val="-2"/>
                <w:sz w:val="14"/>
                <w:szCs w:val="18"/>
                <w:lang w:eastAsia="pt-BR"/>
              </w:rPr>
              <w:t>f</w:t>
            </w:r>
            <w:r w:rsidRPr="00281428">
              <w:rPr>
                <w:rFonts w:ascii="Arial" w:eastAsia="Times New Roman" w:hAnsi="Arial" w:cs="Times New Roman"/>
                <w:spacing w:val="-2"/>
                <w:sz w:val="14"/>
                <w:szCs w:val="18"/>
                <w:lang w:eastAsia="pt-BR"/>
              </w:rPr>
              <w:t>]</w:t>
            </w:r>
          </w:p>
        </w:tc>
        <w:tc>
          <w:tcPr>
            <w:tcW w:w="1460" w:type="dxa"/>
            <w:tcBorders>
              <w:top w:val="nil"/>
              <w:left w:val="nil"/>
              <w:bottom w:val="nil"/>
              <w:right w:val="nil"/>
            </w:tcBorders>
            <w:shd w:val="clear" w:color="auto" w:fill="auto"/>
            <w:vAlign w:val="center"/>
          </w:tcPr>
          <w:p w14:paraId="1CB26DCB" w14:textId="77777777" w:rsidR="00263EF9" w:rsidRPr="00281428"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602</w:t>
            </w:r>
          </w:p>
        </w:tc>
        <w:tc>
          <w:tcPr>
            <w:tcW w:w="1405" w:type="dxa"/>
            <w:gridSpan w:val="2"/>
            <w:tcBorders>
              <w:top w:val="nil"/>
              <w:left w:val="nil"/>
              <w:bottom w:val="nil"/>
              <w:right w:val="nil"/>
            </w:tcBorders>
            <w:shd w:val="clear" w:color="auto" w:fill="auto"/>
            <w:vAlign w:val="center"/>
          </w:tcPr>
          <w:p w14:paraId="042AC856" w14:textId="77777777" w:rsidR="00263EF9" w:rsidRPr="0064696C"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4"/>
                <w:lang w:eastAsia="pt-BR"/>
              </w:rPr>
              <w:t>689</w:t>
            </w:r>
          </w:p>
        </w:tc>
        <w:tc>
          <w:tcPr>
            <w:tcW w:w="265" w:type="dxa"/>
            <w:tcBorders>
              <w:top w:val="nil"/>
              <w:bottom w:val="nil"/>
            </w:tcBorders>
            <w:shd w:val="clear" w:color="auto" w:fill="auto"/>
            <w:vAlign w:val="center"/>
          </w:tcPr>
          <w:p w14:paraId="78543892" w14:textId="77777777" w:rsidR="00263EF9" w:rsidRPr="00281428"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left w:val="nil"/>
              <w:bottom w:val="nil"/>
              <w:right w:val="nil"/>
            </w:tcBorders>
            <w:shd w:val="clear" w:color="auto" w:fill="auto"/>
            <w:vAlign w:val="center"/>
          </w:tcPr>
          <w:p w14:paraId="520B351F" w14:textId="77777777" w:rsidR="00263EF9" w:rsidRPr="00281428"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1.117.805</w:t>
            </w:r>
          </w:p>
        </w:tc>
        <w:tc>
          <w:tcPr>
            <w:tcW w:w="1075" w:type="dxa"/>
            <w:tcBorders>
              <w:top w:val="nil"/>
              <w:left w:val="nil"/>
              <w:bottom w:val="nil"/>
              <w:right w:val="nil"/>
            </w:tcBorders>
            <w:shd w:val="clear" w:color="auto" w:fill="auto"/>
            <w:vAlign w:val="center"/>
          </w:tcPr>
          <w:p w14:paraId="1301B850" w14:textId="77777777" w:rsidR="00263EF9" w:rsidRPr="0064696C"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950.663</w:t>
            </w:r>
          </w:p>
        </w:tc>
      </w:tr>
      <w:tr w:rsidR="00263EF9" w:rsidRPr="00281428" w14:paraId="0F162C04"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15D28EA9" w14:textId="77777777" w:rsidR="00263EF9" w:rsidRPr="00281428" w:rsidRDefault="00263EF9">
            <w:pPr>
              <w:keepNext/>
              <w:keepLines/>
              <w:spacing w:before="40" w:after="40"/>
              <w:ind w:left="113"/>
              <w:rPr>
                <w:rFonts w:ascii="Arial" w:eastAsia="Times New Roman" w:hAnsi="Arial" w:cs="Times New Roman"/>
                <w:b w:val="0"/>
                <w:bCs w:val="0"/>
                <w:spacing w:val="-2"/>
                <w:sz w:val="14"/>
                <w:szCs w:val="18"/>
                <w:lang w:eastAsia="pt-BR"/>
              </w:rPr>
            </w:pPr>
            <w:r w:rsidRPr="00281428">
              <w:rPr>
                <w:rFonts w:ascii="Arial" w:eastAsia="Times New Roman" w:hAnsi="Arial" w:cs="Times New Roman"/>
                <w:b w:val="0"/>
                <w:bCs w:val="0"/>
                <w:spacing w:val="-2"/>
                <w:sz w:val="14"/>
                <w:szCs w:val="18"/>
                <w:lang w:eastAsia="pt-BR"/>
              </w:rPr>
              <w:t>Comissões a apropriar</w:t>
            </w:r>
          </w:p>
        </w:tc>
        <w:tc>
          <w:tcPr>
            <w:tcW w:w="868" w:type="dxa"/>
            <w:tcBorders>
              <w:top w:val="nil"/>
              <w:bottom w:val="nil"/>
            </w:tcBorders>
            <w:shd w:val="clear" w:color="auto" w:fill="auto"/>
            <w:vAlign w:val="center"/>
          </w:tcPr>
          <w:p w14:paraId="49B7B705" w14:textId="77777777" w:rsidR="00263EF9" w:rsidRPr="00281428"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r w:rsidRPr="00281428">
              <w:rPr>
                <w:rFonts w:ascii="Arial" w:eastAsia="Times New Roman" w:hAnsi="Arial" w:cs="Times New Roman"/>
                <w:spacing w:val="-2"/>
                <w:sz w:val="14"/>
                <w:szCs w:val="14"/>
                <w:lang w:eastAsia="pt-BR"/>
              </w:rPr>
              <w:t>[23]</w:t>
            </w:r>
          </w:p>
        </w:tc>
        <w:tc>
          <w:tcPr>
            <w:tcW w:w="1460" w:type="dxa"/>
            <w:tcBorders>
              <w:top w:val="nil"/>
              <w:left w:val="nil"/>
              <w:bottom w:val="nil"/>
              <w:right w:val="nil"/>
            </w:tcBorders>
            <w:shd w:val="clear" w:color="auto" w:fill="auto"/>
            <w:vAlign w:val="center"/>
          </w:tcPr>
          <w:p w14:paraId="27F51B8D" w14:textId="77777777" w:rsidR="00263EF9" w:rsidRPr="00281428"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405" w:type="dxa"/>
            <w:gridSpan w:val="2"/>
            <w:tcBorders>
              <w:top w:val="nil"/>
              <w:left w:val="nil"/>
              <w:bottom w:val="nil"/>
              <w:right w:val="nil"/>
            </w:tcBorders>
            <w:shd w:val="clear" w:color="auto" w:fill="auto"/>
            <w:vAlign w:val="center"/>
          </w:tcPr>
          <w:p w14:paraId="012EB6CF" w14:textId="77777777" w:rsidR="00263EF9" w:rsidRPr="0064696C"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4"/>
                <w:lang w:eastAsia="pt-BR"/>
              </w:rPr>
              <w:t>--</w:t>
            </w:r>
          </w:p>
        </w:tc>
        <w:tc>
          <w:tcPr>
            <w:tcW w:w="265" w:type="dxa"/>
            <w:tcBorders>
              <w:top w:val="nil"/>
              <w:bottom w:val="nil"/>
            </w:tcBorders>
            <w:shd w:val="clear" w:color="auto" w:fill="auto"/>
            <w:vAlign w:val="center"/>
          </w:tcPr>
          <w:p w14:paraId="7827DAB8" w14:textId="77777777" w:rsidR="00263EF9" w:rsidRPr="00281428"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left w:val="nil"/>
              <w:bottom w:val="nil"/>
              <w:right w:val="nil"/>
            </w:tcBorders>
            <w:shd w:val="clear" w:color="auto" w:fill="auto"/>
            <w:vAlign w:val="center"/>
          </w:tcPr>
          <w:p w14:paraId="2BFEB58A" w14:textId="77777777" w:rsidR="00263EF9" w:rsidRPr="00281428"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2.627.914</w:t>
            </w:r>
          </w:p>
        </w:tc>
        <w:tc>
          <w:tcPr>
            <w:tcW w:w="1075" w:type="dxa"/>
            <w:tcBorders>
              <w:top w:val="nil"/>
              <w:left w:val="nil"/>
              <w:bottom w:val="nil"/>
              <w:right w:val="nil"/>
            </w:tcBorders>
            <w:shd w:val="clear" w:color="auto" w:fill="auto"/>
            <w:vAlign w:val="center"/>
          </w:tcPr>
          <w:p w14:paraId="65873557" w14:textId="77777777" w:rsidR="00263EF9" w:rsidRPr="0064696C"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1.952.798</w:t>
            </w:r>
          </w:p>
        </w:tc>
      </w:tr>
      <w:tr w:rsidR="00263EF9" w:rsidRPr="00281428" w14:paraId="36A16112"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60A34E06" w14:textId="77777777" w:rsidR="00263EF9" w:rsidRPr="00281428" w:rsidRDefault="00263EF9">
            <w:pPr>
              <w:keepNext/>
              <w:keepLines/>
              <w:spacing w:before="40" w:after="40"/>
              <w:ind w:left="113"/>
              <w:rPr>
                <w:rFonts w:ascii="Arial" w:eastAsia="Times New Roman" w:hAnsi="Arial" w:cs="Times New Roman"/>
                <w:b w:val="0"/>
                <w:bCs w:val="0"/>
                <w:spacing w:val="-2"/>
                <w:sz w:val="14"/>
                <w:szCs w:val="18"/>
                <w:lang w:eastAsia="pt-BR"/>
              </w:rPr>
            </w:pPr>
            <w:r w:rsidRPr="00281428">
              <w:rPr>
                <w:rFonts w:ascii="Arial" w:eastAsia="Times New Roman" w:hAnsi="Arial" w:cs="Times New Roman"/>
                <w:b w:val="0"/>
                <w:bCs w:val="0"/>
                <w:spacing w:val="-2"/>
                <w:sz w:val="14"/>
                <w:szCs w:val="18"/>
                <w:lang w:eastAsia="pt-BR"/>
              </w:rPr>
              <w:t>Outros passivos</w:t>
            </w:r>
          </w:p>
        </w:tc>
        <w:tc>
          <w:tcPr>
            <w:tcW w:w="868" w:type="dxa"/>
            <w:tcBorders>
              <w:top w:val="nil"/>
              <w:bottom w:val="nil"/>
            </w:tcBorders>
            <w:shd w:val="clear" w:color="auto" w:fill="auto"/>
            <w:vAlign w:val="center"/>
          </w:tcPr>
          <w:p w14:paraId="73F51B56" w14:textId="77777777" w:rsidR="00263EF9" w:rsidRPr="00281428"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r w:rsidRPr="00281428">
              <w:rPr>
                <w:rFonts w:ascii="Arial" w:eastAsia="Times New Roman" w:hAnsi="Arial" w:cs="Times New Roman"/>
                <w:spacing w:val="-2"/>
                <w:sz w:val="14"/>
                <w:szCs w:val="14"/>
                <w:lang w:eastAsia="pt-BR"/>
              </w:rPr>
              <w:t>[24]</w:t>
            </w:r>
          </w:p>
        </w:tc>
        <w:tc>
          <w:tcPr>
            <w:tcW w:w="1460" w:type="dxa"/>
            <w:tcBorders>
              <w:top w:val="nil"/>
              <w:left w:val="nil"/>
              <w:bottom w:val="nil"/>
              <w:right w:val="nil"/>
            </w:tcBorders>
            <w:shd w:val="clear" w:color="auto" w:fill="auto"/>
            <w:vAlign w:val="center"/>
          </w:tcPr>
          <w:p w14:paraId="1D26A64F" w14:textId="77777777" w:rsidR="00263EF9" w:rsidRPr="00281428"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144661">
              <w:rPr>
                <w:rFonts w:ascii="Arial" w:eastAsia="Times New Roman" w:hAnsi="Arial" w:cs="Arial"/>
                <w:spacing w:val="-2"/>
                <w:sz w:val="14"/>
                <w:szCs w:val="14"/>
                <w:lang w:eastAsia="pt-BR"/>
              </w:rPr>
              <w:t>1</w:t>
            </w:r>
            <w:r>
              <w:rPr>
                <w:rFonts w:ascii="Arial" w:eastAsia="Times New Roman" w:hAnsi="Arial" w:cs="Arial"/>
                <w:spacing w:val="-2"/>
                <w:sz w:val="14"/>
                <w:szCs w:val="14"/>
                <w:lang w:eastAsia="pt-BR"/>
              </w:rPr>
              <w:t>2.829</w:t>
            </w:r>
          </w:p>
        </w:tc>
        <w:tc>
          <w:tcPr>
            <w:tcW w:w="1405" w:type="dxa"/>
            <w:gridSpan w:val="2"/>
            <w:tcBorders>
              <w:top w:val="nil"/>
              <w:left w:val="nil"/>
              <w:bottom w:val="nil"/>
              <w:right w:val="nil"/>
            </w:tcBorders>
            <w:shd w:val="clear" w:color="auto" w:fill="auto"/>
            <w:vAlign w:val="center"/>
          </w:tcPr>
          <w:p w14:paraId="6EC6E61C" w14:textId="77777777" w:rsidR="00263EF9" w:rsidRPr="0064696C"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4"/>
                <w:lang w:eastAsia="pt-BR"/>
              </w:rPr>
              <w:t>13.488</w:t>
            </w:r>
          </w:p>
        </w:tc>
        <w:tc>
          <w:tcPr>
            <w:tcW w:w="265" w:type="dxa"/>
            <w:tcBorders>
              <w:top w:val="nil"/>
              <w:bottom w:val="nil"/>
            </w:tcBorders>
            <w:shd w:val="clear" w:color="auto" w:fill="auto"/>
            <w:vAlign w:val="center"/>
          </w:tcPr>
          <w:p w14:paraId="5F76AFF7" w14:textId="77777777" w:rsidR="00263EF9" w:rsidRPr="00281428"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left w:val="nil"/>
              <w:bottom w:val="nil"/>
              <w:right w:val="nil"/>
            </w:tcBorders>
            <w:shd w:val="clear" w:color="auto" w:fill="auto"/>
            <w:vAlign w:val="center"/>
          </w:tcPr>
          <w:p w14:paraId="674970DE" w14:textId="77777777" w:rsidR="00263EF9" w:rsidRPr="00281428"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92.781</w:t>
            </w:r>
          </w:p>
        </w:tc>
        <w:tc>
          <w:tcPr>
            <w:tcW w:w="1075" w:type="dxa"/>
            <w:tcBorders>
              <w:top w:val="nil"/>
              <w:left w:val="nil"/>
              <w:bottom w:val="nil"/>
              <w:right w:val="nil"/>
            </w:tcBorders>
            <w:shd w:val="clear" w:color="auto" w:fill="auto"/>
            <w:vAlign w:val="center"/>
          </w:tcPr>
          <w:p w14:paraId="077BE233" w14:textId="77777777" w:rsidR="00263EF9" w:rsidRPr="0064696C"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103.447</w:t>
            </w:r>
          </w:p>
        </w:tc>
      </w:tr>
      <w:tr w:rsidR="00263EF9" w:rsidRPr="00281428" w14:paraId="411A70BF" w14:textId="77777777">
        <w:trPr>
          <w:cnfStyle w:val="000000010000" w:firstRow="0" w:lastRow="0" w:firstColumn="0" w:lastColumn="0" w:oddVBand="0" w:evenVBand="0" w:oddHBand="0" w:evenHBand="1" w:firstRowFirstColumn="0" w:firstRowLastColumn="0" w:lastRowFirstColumn="0" w:lastRowLastColumn="0"/>
          <w:trHeight w:val="19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6815BF43" w14:textId="77777777" w:rsidR="00263EF9" w:rsidRPr="00281428" w:rsidRDefault="00263EF9">
            <w:pPr>
              <w:keepNext/>
              <w:keepLines/>
              <w:spacing w:before="40" w:after="40"/>
              <w:rPr>
                <w:rFonts w:ascii="Arial" w:eastAsia="Times New Roman" w:hAnsi="Arial" w:cs="Times New Roman"/>
                <w:spacing w:val="-2"/>
                <w:sz w:val="14"/>
                <w:szCs w:val="18"/>
                <w:lang w:eastAsia="pt-BR"/>
              </w:rPr>
            </w:pPr>
          </w:p>
        </w:tc>
        <w:tc>
          <w:tcPr>
            <w:tcW w:w="868" w:type="dxa"/>
            <w:tcBorders>
              <w:top w:val="nil"/>
              <w:bottom w:val="nil"/>
            </w:tcBorders>
            <w:shd w:val="clear" w:color="auto" w:fill="auto"/>
            <w:vAlign w:val="center"/>
          </w:tcPr>
          <w:p w14:paraId="2557515F" w14:textId="77777777" w:rsidR="00263EF9" w:rsidRPr="00281428"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p>
        </w:tc>
        <w:tc>
          <w:tcPr>
            <w:tcW w:w="1460" w:type="dxa"/>
            <w:tcBorders>
              <w:top w:val="nil"/>
              <w:bottom w:val="nil"/>
            </w:tcBorders>
            <w:shd w:val="clear" w:color="auto" w:fill="auto"/>
            <w:vAlign w:val="center"/>
          </w:tcPr>
          <w:p w14:paraId="21D96FCC" w14:textId="77777777" w:rsidR="00263EF9" w:rsidRPr="00281428"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p>
        </w:tc>
        <w:tc>
          <w:tcPr>
            <w:tcW w:w="1405" w:type="dxa"/>
            <w:gridSpan w:val="2"/>
            <w:tcBorders>
              <w:top w:val="nil"/>
              <w:bottom w:val="nil"/>
            </w:tcBorders>
            <w:shd w:val="clear" w:color="auto" w:fill="auto"/>
            <w:vAlign w:val="center"/>
          </w:tcPr>
          <w:p w14:paraId="2DA2A71F" w14:textId="77777777" w:rsidR="00263EF9" w:rsidRPr="0064696C"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c>
          <w:tcPr>
            <w:tcW w:w="265" w:type="dxa"/>
            <w:tcBorders>
              <w:top w:val="nil"/>
              <w:bottom w:val="nil"/>
            </w:tcBorders>
            <w:shd w:val="clear" w:color="auto" w:fill="auto"/>
            <w:vAlign w:val="center"/>
          </w:tcPr>
          <w:p w14:paraId="53F22B13" w14:textId="77777777" w:rsidR="00263EF9" w:rsidRPr="00281428"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bottom w:val="nil"/>
            </w:tcBorders>
            <w:shd w:val="clear" w:color="auto" w:fill="auto"/>
            <w:vAlign w:val="center"/>
          </w:tcPr>
          <w:p w14:paraId="0C6B5770" w14:textId="77777777" w:rsidR="00263EF9" w:rsidRPr="00281428"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075" w:type="dxa"/>
            <w:tcBorders>
              <w:top w:val="nil"/>
              <w:bottom w:val="nil"/>
            </w:tcBorders>
            <w:shd w:val="clear" w:color="auto" w:fill="auto"/>
            <w:vAlign w:val="center"/>
          </w:tcPr>
          <w:p w14:paraId="0D062DDF" w14:textId="77777777" w:rsidR="00263EF9" w:rsidRPr="0064696C"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r>
      <w:tr w:rsidR="00263EF9" w:rsidRPr="00281428" w14:paraId="42E05254"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2E6413B9" w14:textId="77777777" w:rsidR="00263EF9" w:rsidRPr="00281428" w:rsidRDefault="00263EF9">
            <w:pPr>
              <w:keepNext/>
              <w:keepLines/>
              <w:spacing w:before="40" w:after="40"/>
              <w:rPr>
                <w:rFonts w:ascii="Arial" w:eastAsia="Times New Roman" w:hAnsi="Arial" w:cs="Times New Roman"/>
                <w:spacing w:val="-2"/>
                <w:sz w:val="14"/>
                <w:szCs w:val="18"/>
                <w:lang w:eastAsia="pt-BR"/>
              </w:rPr>
            </w:pPr>
            <w:r w:rsidRPr="00281428">
              <w:rPr>
                <w:rFonts w:ascii="Arial" w:eastAsia="Times New Roman" w:hAnsi="Arial" w:cs="Times New Roman"/>
                <w:spacing w:val="-2"/>
                <w:sz w:val="14"/>
                <w:szCs w:val="18"/>
                <w:lang w:eastAsia="pt-BR"/>
              </w:rPr>
              <w:t>Passivo Não Circulante</w:t>
            </w:r>
          </w:p>
        </w:tc>
        <w:tc>
          <w:tcPr>
            <w:tcW w:w="868" w:type="dxa"/>
            <w:tcBorders>
              <w:top w:val="nil"/>
              <w:bottom w:val="nil"/>
            </w:tcBorders>
            <w:shd w:val="clear" w:color="auto" w:fill="auto"/>
            <w:vAlign w:val="center"/>
          </w:tcPr>
          <w:p w14:paraId="50556CDC" w14:textId="77777777" w:rsidR="00263EF9" w:rsidRPr="00281428"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4"/>
                <w:lang w:eastAsia="pt-BR"/>
              </w:rPr>
            </w:pPr>
          </w:p>
        </w:tc>
        <w:tc>
          <w:tcPr>
            <w:tcW w:w="1460" w:type="dxa"/>
            <w:tcBorders>
              <w:top w:val="nil"/>
              <w:bottom w:val="nil"/>
            </w:tcBorders>
            <w:shd w:val="clear" w:color="auto" w:fill="auto"/>
            <w:vAlign w:val="center"/>
          </w:tcPr>
          <w:p w14:paraId="783E06CA" w14:textId="77777777" w:rsidR="00263EF9" w:rsidRPr="00281428"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592</w:t>
            </w:r>
          </w:p>
        </w:tc>
        <w:tc>
          <w:tcPr>
            <w:tcW w:w="1405" w:type="dxa"/>
            <w:gridSpan w:val="2"/>
            <w:tcBorders>
              <w:top w:val="nil"/>
              <w:bottom w:val="nil"/>
            </w:tcBorders>
            <w:shd w:val="clear" w:color="auto" w:fill="auto"/>
            <w:vAlign w:val="center"/>
          </w:tcPr>
          <w:p w14:paraId="7E976F89" w14:textId="77777777" w:rsidR="00263EF9" w:rsidRPr="0064696C"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lang w:eastAsia="pt-BR"/>
              </w:rPr>
            </w:pPr>
            <w:r w:rsidRPr="00BF2AAF">
              <w:rPr>
                <w:rFonts w:ascii="Arial" w:eastAsia="Times New Roman" w:hAnsi="Arial" w:cs="Arial"/>
                <w:b/>
                <w:spacing w:val="-2"/>
                <w:sz w:val="14"/>
                <w:szCs w:val="14"/>
                <w:lang w:eastAsia="pt-BR"/>
              </w:rPr>
              <w:t>153</w:t>
            </w:r>
          </w:p>
        </w:tc>
        <w:tc>
          <w:tcPr>
            <w:tcW w:w="265" w:type="dxa"/>
            <w:tcBorders>
              <w:top w:val="nil"/>
              <w:bottom w:val="nil"/>
            </w:tcBorders>
            <w:shd w:val="clear" w:color="auto" w:fill="auto"/>
            <w:vAlign w:val="center"/>
          </w:tcPr>
          <w:p w14:paraId="129EDA3A" w14:textId="77777777" w:rsidR="00263EF9" w:rsidRPr="00281428"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c>
          <w:tcPr>
            <w:tcW w:w="1616" w:type="dxa"/>
            <w:gridSpan w:val="2"/>
            <w:tcBorders>
              <w:top w:val="nil"/>
              <w:bottom w:val="nil"/>
            </w:tcBorders>
            <w:shd w:val="clear" w:color="auto" w:fill="auto"/>
            <w:vAlign w:val="center"/>
          </w:tcPr>
          <w:p w14:paraId="7326957F" w14:textId="77777777" w:rsidR="00263EF9" w:rsidRPr="00281428"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Pr>
                <w:rFonts w:ascii="Arial" w:eastAsia="Times New Roman" w:hAnsi="Arial" w:cs="Arial"/>
                <w:b/>
                <w:bCs/>
                <w:spacing w:val="-2"/>
                <w:sz w:val="14"/>
                <w:szCs w:val="14"/>
                <w:lang w:eastAsia="pt-BR"/>
              </w:rPr>
              <w:t>3.642.282</w:t>
            </w:r>
          </w:p>
        </w:tc>
        <w:tc>
          <w:tcPr>
            <w:tcW w:w="1075" w:type="dxa"/>
            <w:tcBorders>
              <w:top w:val="nil"/>
              <w:bottom w:val="nil"/>
            </w:tcBorders>
            <w:shd w:val="clear" w:color="auto" w:fill="auto"/>
            <w:vAlign w:val="center"/>
          </w:tcPr>
          <w:p w14:paraId="2A420C58" w14:textId="77777777" w:rsidR="00263EF9" w:rsidRPr="0064696C"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BF2AAF">
              <w:rPr>
                <w:rFonts w:ascii="Arial" w:eastAsia="Times New Roman" w:hAnsi="Arial" w:cs="Arial"/>
                <w:b/>
                <w:bCs/>
                <w:spacing w:val="-2"/>
                <w:sz w:val="14"/>
                <w:szCs w:val="14"/>
                <w:lang w:eastAsia="pt-BR"/>
              </w:rPr>
              <w:t>2.978.034</w:t>
            </w:r>
          </w:p>
        </w:tc>
      </w:tr>
      <w:tr w:rsidR="00263EF9" w:rsidRPr="00281428" w14:paraId="0AAF102D"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32C3297F" w14:textId="77777777" w:rsidR="00263EF9" w:rsidRPr="00281428" w:rsidRDefault="00263EF9">
            <w:pPr>
              <w:keepNext/>
              <w:keepLines/>
              <w:spacing w:before="40" w:after="40"/>
              <w:ind w:left="113"/>
              <w:rPr>
                <w:rFonts w:ascii="Arial" w:eastAsia="Times New Roman" w:hAnsi="Arial" w:cs="Times New Roman"/>
                <w:b w:val="0"/>
                <w:bCs w:val="0"/>
                <w:spacing w:val="-2"/>
                <w:sz w:val="14"/>
                <w:szCs w:val="18"/>
                <w:lang w:eastAsia="pt-BR"/>
              </w:rPr>
            </w:pPr>
            <w:r w:rsidRPr="00281428">
              <w:rPr>
                <w:rFonts w:ascii="Arial" w:eastAsia="Times New Roman" w:hAnsi="Arial" w:cs="Times New Roman"/>
                <w:b w:val="0"/>
                <w:bCs w:val="0"/>
                <w:spacing w:val="-2"/>
                <w:sz w:val="14"/>
                <w:szCs w:val="18"/>
                <w:lang w:eastAsia="pt-BR"/>
              </w:rPr>
              <w:t>Provisões trabalhistas, fiscais e cíveis</w:t>
            </w:r>
          </w:p>
        </w:tc>
        <w:tc>
          <w:tcPr>
            <w:tcW w:w="868" w:type="dxa"/>
            <w:tcBorders>
              <w:top w:val="nil"/>
              <w:bottom w:val="nil"/>
            </w:tcBorders>
            <w:shd w:val="clear" w:color="auto" w:fill="auto"/>
            <w:vAlign w:val="center"/>
          </w:tcPr>
          <w:p w14:paraId="041BC3D5" w14:textId="77777777" w:rsidR="00263EF9" w:rsidRPr="00281428"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r w:rsidRPr="00281428">
              <w:rPr>
                <w:rFonts w:ascii="Arial" w:eastAsia="Times New Roman" w:hAnsi="Arial" w:cs="Times New Roman"/>
                <w:spacing w:val="-2"/>
                <w:sz w:val="14"/>
                <w:szCs w:val="14"/>
                <w:lang w:eastAsia="pt-BR"/>
              </w:rPr>
              <w:t>[22]</w:t>
            </w:r>
          </w:p>
        </w:tc>
        <w:tc>
          <w:tcPr>
            <w:tcW w:w="1460" w:type="dxa"/>
            <w:tcBorders>
              <w:top w:val="nil"/>
              <w:bottom w:val="nil"/>
            </w:tcBorders>
            <w:shd w:val="clear" w:color="auto" w:fill="auto"/>
            <w:vAlign w:val="center"/>
          </w:tcPr>
          <w:p w14:paraId="38347BED" w14:textId="77777777" w:rsidR="00263EF9" w:rsidRPr="00281428"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592</w:t>
            </w:r>
          </w:p>
        </w:tc>
        <w:tc>
          <w:tcPr>
            <w:tcW w:w="1405" w:type="dxa"/>
            <w:gridSpan w:val="2"/>
            <w:tcBorders>
              <w:top w:val="nil"/>
              <w:bottom w:val="nil"/>
            </w:tcBorders>
            <w:shd w:val="clear" w:color="auto" w:fill="auto"/>
            <w:vAlign w:val="center"/>
          </w:tcPr>
          <w:p w14:paraId="5082F9C1" w14:textId="77777777" w:rsidR="00263EF9" w:rsidRPr="0064696C"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4"/>
                <w:lang w:eastAsia="pt-BR"/>
              </w:rPr>
              <w:t>153</w:t>
            </w:r>
          </w:p>
        </w:tc>
        <w:tc>
          <w:tcPr>
            <w:tcW w:w="265" w:type="dxa"/>
            <w:tcBorders>
              <w:top w:val="nil"/>
              <w:bottom w:val="nil"/>
            </w:tcBorders>
            <w:shd w:val="clear" w:color="auto" w:fill="auto"/>
            <w:vAlign w:val="center"/>
          </w:tcPr>
          <w:p w14:paraId="4BB445F7" w14:textId="77777777" w:rsidR="00263EF9" w:rsidRPr="00281428"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left w:val="nil"/>
              <w:bottom w:val="nil"/>
              <w:right w:val="nil"/>
            </w:tcBorders>
            <w:shd w:val="clear" w:color="auto" w:fill="auto"/>
            <w:vAlign w:val="center"/>
          </w:tcPr>
          <w:p w14:paraId="5DED014D" w14:textId="77777777" w:rsidR="00263EF9" w:rsidRPr="00281428"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22.391</w:t>
            </w:r>
          </w:p>
        </w:tc>
        <w:tc>
          <w:tcPr>
            <w:tcW w:w="1075" w:type="dxa"/>
            <w:tcBorders>
              <w:top w:val="nil"/>
              <w:left w:val="nil"/>
              <w:bottom w:val="nil"/>
              <w:right w:val="nil"/>
            </w:tcBorders>
            <w:shd w:val="clear" w:color="auto" w:fill="auto"/>
            <w:vAlign w:val="center"/>
          </w:tcPr>
          <w:p w14:paraId="6857C861" w14:textId="77777777" w:rsidR="00263EF9" w:rsidRPr="0064696C"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14.110</w:t>
            </w:r>
          </w:p>
        </w:tc>
      </w:tr>
      <w:tr w:rsidR="00263EF9" w:rsidRPr="00281428" w14:paraId="5E80E929"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790C4724" w14:textId="77777777" w:rsidR="00263EF9" w:rsidRPr="00281428" w:rsidRDefault="00263EF9">
            <w:pPr>
              <w:keepNext/>
              <w:keepLines/>
              <w:spacing w:before="40" w:after="40"/>
              <w:ind w:left="113"/>
              <w:rPr>
                <w:rFonts w:ascii="Arial" w:eastAsia="Times New Roman" w:hAnsi="Arial" w:cs="Times New Roman"/>
                <w:b w:val="0"/>
                <w:bCs w:val="0"/>
                <w:spacing w:val="-2"/>
                <w:sz w:val="14"/>
                <w:szCs w:val="18"/>
                <w:lang w:eastAsia="pt-BR"/>
              </w:rPr>
            </w:pPr>
            <w:r w:rsidRPr="00281428">
              <w:rPr>
                <w:rFonts w:ascii="Arial" w:eastAsia="Times New Roman" w:hAnsi="Arial" w:cs="Times New Roman"/>
                <w:b w:val="0"/>
                <w:bCs w:val="0"/>
                <w:spacing w:val="-2"/>
                <w:sz w:val="14"/>
                <w:szCs w:val="18"/>
                <w:lang w:eastAsia="pt-BR"/>
              </w:rPr>
              <w:t xml:space="preserve">Passivos por </w:t>
            </w:r>
            <w:r>
              <w:rPr>
                <w:rFonts w:ascii="Arial" w:eastAsia="Times New Roman" w:hAnsi="Arial" w:cs="Times New Roman"/>
                <w:b w:val="0"/>
                <w:bCs w:val="0"/>
                <w:spacing w:val="-2"/>
                <w:sz w:val="14"/>
                <w:szCs w:val="18"/>
                <w:lang w:eastAsia="pt-BR"/>
              </w:rPr>
              <w:t>tributos</w:t>
            </w:r>
            <w:r w:rsidRPr="00281428">
              <w:rPr>
                <w:rFonts w:ascii="Arial" w:eastAsia="Times New Roman" w:hAnsi="Arial" w:cs="Times New Roman"/>
                <w:b w:val="0"/>
                <w:bCs w:val="0"/>
                <w:spacing w:val="-2"/>
                <w:sz w:val="14"/>
                <w:szCs w:val="18"/>
                <w:lang w:eastAsia="pt-BR"/>
              </w:rPr>
              <w:t xml:space="preserve"> diferidos</w:t>
            </w:r>
          </w:p>
        </w:tc>
        <w:tc>
          <w:tcPr>
            <w:tcW w:w="868" w:type="dxa"/>
            <w:tcBorders>
              <w:top w:val="nil"/>
              <w:bottom w:val="nil"/>
            </w:tcBorders>
            <w:shd w:val="clear" w:color="auto" w:fill="auto"/>
            <w:vAlign w:val="center"/>
          </w:tcPr>
          <w:p w14:paraId="67122424" w14:textId="537F40A7" w:rsidR="00263EF9" w:rsidRPr="00281428"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r w:rsidRPr="00281428">
              <w:rPr>
                <w:rFonts w:ascii="Arial" w:eastAsia="Times New Roman" w:hAnsi="Arial" w:cs="Times New Roman"/>
                <w:spacing w:val="-2"/>
                <w:sz w:val="14"/>
                <w:szCs w:val="14"/>
                <w:lang w:eastAsia="pt-BR"/>
              </w:rPr>
              <w:t>[12.</w:t>
            </w:r>
            <w:r w:rsidR="00443366">
              <w:rPr>
                <w:rFonts w:ascii="Arial" w:eastAsia="Times New Roman" w:hAnsi="Arial" w:cs="Times New Roman"/>
                <w:spacing w:val="-2"/>
                <w:sz w:val="14"/>
                <w:szCs w:val="14"/>
                <w:lang w:eastAsia="pt-BR"/>
              </w:rPr>
              <w:t>g</w:t>
            </w:r>
            <w:r w:rsidRPr="00281428">
              <w:rPr>
                <w:rFonts w:ascii="Arial" w:eastAsia="Times New Roman" w:hAnsi="Arial" w:cs="Times New Roman"/>
                <w:spacing w:val="-2"/>
                <w:sz w:val="14"/>
                <w:szCs w:val="14"/>
                <w:lang w:eastAsia="pt-BR"/>
              </w:rPr>
              <w:t>]</w:t>
            </w:r>
          </w:p>
        </w:tc>
        <w:tc>
          <w:tcPr>
            <w:tcW w:w="1460" w:type="dxa"/>
            <w:tcBorders>
              <w:top w:val="nil"/>
              <w:bottom w:val="nil"/>
            </w:tcBorders>
            <w:shd w:val="clear" w:color="auto" w:fill="auto"/>
            <w:vAlign w:val="center"/>
          </w:tcPr>
          <w:p w14:paraId="3E0160DB" w14:textId="77777777" w:rsidR="00263EF9" w:rsidRPr="00281428"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405" w:type="dxa"/>
            <w:gridSpan w:val="2"/>
            <w:tcBorders>
              <w:top w:val="nil"/>
              <w:bottom w:val="nil"/>
            </w:tcBorders>
            <w:shd w:val="clear" w:color="auto" w:fill="auto"/>
            <w:vAlign w:val="center"/>
          </w:tcPr>
          <w:p w14:paraId="55ED7AFD" w14:textId="77777777" w:rsidR="00263EF9" w:rsidRPr="0064696C"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4"/>
                <w:lang w:eastAsia="pt-BR"/>
              </w:rPr>
              <w:t>--</w:t>
            </w:r>
          </w:p>
        </w:tc>
        <w:tc>
          <w:tcPr>
            <w:tcW w:w="265" w:type="dxa"/>
            <w:tcBorders>
              <w:top w:val="nil"/>
              <w:bottom w:val="nil"/>
            </w:tcBorders>
            <w:shd w:val="clear" w:color="auto" w:fill="auto"/>
            <w:vAlign w:val="center"/>
          </w:tcPr>
          <w:p w14:paraId="1294160D" w14:textId="77777777" w:rsidR="00263EF9" w:rsidRPr="00281428"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left w:val="nil"/>
              <w:bottom w:val="nil"/>
              <w:right w:val="nil"/>
            </w:tcBorders>
            <w:shd w:val="clear" w:color="auto" w:fill="auto"/>
            <w:vAlign w:val="center"/>
          </w:tcPr>
          <w:p w14:paraId="561EB7E7" w14:textId="77777777" w:rsidR="00263EF9" w:rsidRPr="00281428"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228.565</w:t>
            </w:r>
          </w:p>
        </w:tc>
        <w:tc>
          <w:tcPr>
            <w:tcW w:w="1075" w:type="dxa"/>
            <w:tcBorders>
              <w:top w:val="nil"/>
              <w:left w:val="nil"/>
              <w:bottom w:val="nil"/>
              <w:right w:val="nil"/>
            </w:tcBorders>
            <w:shd w:val="clear" w:color="auto" w:fill="auto"/>
            <w:vAlign w:val="center"/>
          </w:tcPr>
          <w:p w14:paraId="7382082F" w14:textId="77777777" w:rsidR="00263EF9" w:rsidRPr="0064696C"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228.565</w:t>
            </w:r>
          </w:p>
        </w:tc>
      </w:tr>
      <w:tr w:rsidR="00263EF9" w:rsidRPr="00281428" w14:paraId="04BA54BE"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127DADED" w14:textId="77777777" w:rsidR="00263EF9" w:rsidRPr="00281428" w:rsidRDefault="00263EF9">
            <w:pPr>
              <w:keepNext/>
              <w:keepLines/>
              <w:spacing w:before="40" w:after="40"/>
              <w:ind w:left="113"/>
              <w:rPr>
                <w:rFonts w:ascii="Arial" w:eastAsia="Times New Roman" w:hAnsi="Arial" w:cs="Times New Roman"/>
                <w:b w:val="0"/>
                <w:bCs w:val="0"/>
                <w:spacing w:val="-2"/>
                <w:sz w:val="14"/>
                <w:szCs w:val="18"/>
                <w:lang w:eastAsia="pt-BR"/>
              </w:rPr>
            </w:pPr>
            <w:r w:rsidRPr="00281428">
              <w:rPr>
                <w:rFonts w:ascii="Arial" w:eastAsia="Times New Roman" w:hAnsi="Arial" w:cs="Times New Roman"/>
                <w:b w:val="0"/>
                <w:bCs w:val="0"/>
                <w:spacing w:val="-2"/>
                <w:sz w:val="14"/>
                <w:szCs w:val="18"/>
                <w:lang w:eastAsia="pt-BR"/>
              </w:rPr>
              <w:t>Comissões a apropriar</w:t>
            </w:r>
          </w:p>
        </w:tc>
        <w:tc>
          <w:tcPr>
            <w:tcW w:w="868" w:type="dxa"/>
            <w:tcBorders>
              <w:top w:val="nil"/>
              <w:bottom w:val="nil"/>
            </w:tcBorders>
            <w:shd w:val="clear" w:color="auto" w:fill="auto"/>
            <w:vAlign w:val="center"/>
          </w:tcPr>
          <w:p w14:paraId="7A862361" w14:textId="77777777" w:rsidR="00263EF9" w:rsidRPr="00281428"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r w:rsidRPr="00281428">
              <w:rPr>
                <w:rFonts w:ascii="Arial" w:eastAsia="Times New Roman" w:hAnsi="Arial" w:cs="Times New Roman"/>
                <w:spacing w:val="-2"/>
                <w:sz w:val="14"/>
                <w:szCs w:val="14"/>
                <w:lang w:eastAsia="pt-BR"/>
              </w:rPr>
              <w:t>[23]</w:t>
            </w:r>
          </w:p>
        </w:tc>
        <w:tc>
          <w:tcPr>
            <w:tcW w:w="1460" w:type="dxa"/>
            <w:tcBorders>
              <w:top w:val="nil"/>
              <w:bottom w:val="nil"/>
            </w:tcBorders>
            <w:shd w:val="clear" w:color="auto" w:fill="auto"/>
            <w:vAlign w:val="center"/>
          </w:tcPr>
          <w:p w14:paraId="0708289E" w14:textId="77777777" w:rsidR="00263EF9" w:rsidRPr="00281428"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405" w:type="dxa"/>
            <w:gridSpan w:val="2"/>
            <w:tcBorders>
              <w:top w:val="nil"/>
              <w:bottom w:val="nil"/>
            </w:tcBorders>
            <w:shd w:val="clear" w:color="auto" w:fill="auto"/>
            <w:vAlign w:val="center"/>
          </w:tcPr>
          <w:p w14:paraId="5F0AE9EC" w14:textId="77777777" w:rsidR="00263EF9" w:rsidRPr="0064696C"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4"/>
                <w:lang w:eastAsia="pt-BR"/>
              </w:rPr>
              <w:t>--</w:t>
            </w:r>
          </w:p>
        </w:tc>
        <w:tc>
          <w:tcPr>
            <w:tcW w:w="265" w:type="dxa"/>
            <w:tcBorders>
              <w:top w:val="nil"/>
              <w:bottom w:val="nil"/>
            </w:tcBorders>
            <w:shd w:val="clear" w:color="auto" w:fill="auto"/>
            <w:vAlign w:val="center"/>
          </w:tcPr>
          <w:p w14:paraId="40BCE93D" w14:textId="77777777" w:rsidR="00263EF9" w:rsidRPr="00281428"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left w:val="nil"/>
              <w:bottom w:val="nil"/>
              <w:right w:val="nil"/>
            </w:tcBorders>
            <w:shd w:val="clear" w:color="auto" w:fill="auto"/>
            <w:vAlign w:val="center"/>
          </w:tcPr>
          <w:p w14:paraId="2A4C8F38" w14:textId="77777777" w:rsidR="00263EF9" w:rsidRPr="00281428"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3</w:t>
            </w:r>
            <w:r>
              <w:rPr>
                <w:rFonts w:ascii="Arial" w:eastAsia="Times New Roman" w:hAnsi="Arial" w:cs="Arial"/>
                <w:spacing w:val="-2"/>
                <w:sz w:val="14"/>
                <w:szCs w:val="14"/>
                <w:lang w:eastAsia="pt-BR"/>
              </w:rPr>
              <w:t>.391.326</w:t>
            </w:r>
          </w:p>
        </w:tc>
        <w:tc>
          <w:tcPr>
            <w:tcW w:w="1075" w:type="dxa"/>
            <w:tcBorders>
              <w:top w:val="nil"/>
              <w:left w:val="nil"/>
              <w:bottom w:val="nil"/>
              <w:right w:val="nil"/>
            </w:tcBorders>
            <w:shd w:val="clear" w:color="auto" w:fill="auto"/>
            <w:vAlign w:val="center"/>
          </w:tcPr>
          <w:p w14:paraId="561F2AD0" w14:textId="77777777" w:rsidR="00263EF9" w:rsidRPr="0064696C"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2.735.359</w:t>
            </w:r>
          </w:p>
        </w:tc>
      </w:tr>
      <w:tr w:rsidR="00263EF9" w:rsidRPr="00281428" w14:paraId="1EDBFF45" w14:textId="77777777">
        <w:trPr>
          <w:cnfStyle w:val="000000100000" w:firstRow="0" w:lastRow="0" w:firstColumn="0" w:lastColumn="0" w:oddVBand="0" w:evenVBand="0" w:oddHBand="1" w:evenHBand="0" w:firstRowFirstColumn="0" w:firstRowLastColumn="0" w:lastRowFirstColumn="0" w:lastRowLastColumn="0"/>
          <w:trHeight w:val="19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7B51B511" w14:textId="77777777" w:rsidR="00263EF9" w:rsidRPr="00281428" w:rsidRDefault="00263EF9">
            <w:pPr>
              <w:keepNext/>
              <w:keepLines/>
              <w:spacing w:before="40" w:after="40"/>
              <w:rPr>
                <w:rFonts w:ascii="Arial" w:eastAsia="Times New Roman" w:hAnsi="Arial" w:cs="Times New Roman"/>
                <w:spacing w:val="-2"/>
                <w:sz w:val="14"/>
                <w:szCs w:val="18"/>
                <w:lang w:eastAsia="pt-BR"/>
              </w:rPr>
            </w:pPr>
          </w:p>
        </w:tc>
        <w:tc>
          <w:tcPr>
            <w:tcW w:w="868" w:type="dxa"/>
            <w:tcBorders>
              <w:top w:val="nil"/>
              <w:bottom w:val="nil"/>
            </w:tcBorders>
            <w:shd w:val="clear" w:color="auto" w:fill="auto"/>
            <w:vAlign w:val="center"/>
          </w:tcPr>
          <w:p w14:paraId="089C4849" w14:textId="77777777" w:rsidR="00263EF9" w:rsidRPr="00281428"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p>
        </w:tc>
        <w:tc>
          <w:tcPr>
            <w:tcW w:w="1460" w:type="dxa"/>
            <w:tcBorders>
              <w:top w:val="nil"/>
              <w:bottom w:val="nil"/>
            </w:tcBorders>
            <w:shd w:val="clear" w:color="auto" w:fill="auto"/>
            <w:vAlign w:val="center"/>
          </w:tcPr>
          <w:p w14:paraId="6E8DDCC7" w14:textId="77777777" w:rsidR="00263EF9" w:rsidRPr="00281428"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p>
        </w:tc>
        <w:tc>
          <w:tcPr>
            <w:tcW w:w="1405" w:type="dxa"/>
            <w:gridSpan w:val="2"/>
            <w:tcBorders>
              <w:top w:val="nil"/>
              <w:bottom w:val="nil"/>
            </w:tcBorders>
            <w:shd w:val="clear" w:color="auto" w:fill="auto"/>
            <w:vAlign w:val="center"/>
          </w:tcPr>
          <w:p w14:paraId="535BAA57" w14:textId="77777777" w:rsidR="00263EF9" w:rsidRPr="0064696C"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c>
          <w:tcPr>
            <w:tcW w:w="265" w:type="dxa"/>
            <w:tcBorders>
              <w:top w:val="nil"/>
              <w:bottom w:val="nil"/>
            </w:tcBorders>
            <w:shd w:val="clear" w:color="auto" w:fill="auto"/>
            <w:vAlign w:val="center"/>
          </w:tcPr>
          <w:p w14:paraId="7EA2A2BE" w14:textId="77777777" w:rsidR="00263EF9" w:rsidRPr="00281428"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bottom w:val="nil"/>
            </w:tcBorders>
            <w:shd w:val="clear" w:color="auto" w:fill="auto"/>
            <w:vAlign w:val="center"/>
          </w:tcPr>
          <w:p w14:paraId="404A5CBE" w14:textId="77777777" w:rsidR="00263EF9" w:rsidRPr="00281428"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075" w:type="dxa"/>
            <w:tcBorders>
              <w:top w:val="nil"/>
              <w:bottom w:val="nil"/>
            </w:tcBorders>
            <w:shd w:val="clear" w:color="auto" w:fill="auto"/>
            <w:vAlign w:val="center"/>
          </w:tcPr>
          <w:p w14:paraId="7FD4B977" w14:textId="77777777" w:rsidR="00263EF9" w:rsidRPr="0064696C"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r>
      <w:tr w:rsidR="00263EF9" w:rsidRPr="00281428" w14:paraId="77F285E7"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78DCC96A" w14:textId="77777777" w:rsidR="00263EF9" w:rsidRPr="00281428" w:rsidRDefault="00263EF9">
            <w:pPr>
              <w:keepNext/>
              <w:keepLines/>
              <w:spacing w:before="40" w:after="40"/>
              <w:rPr>
                <w:rFonts w:ascii="Arial" w:eastAsia="Times New Roman" w:hAnsi="Arial" w:cs="Times New Roman"/>
                <w:spacing w:val="-2"/>
                <w:sz w:val="14"/>
                <w:szCs w:val="18"/>
                <w:lang w:eastAsia="pt-BR"/>
              </w:rPr>
            </w:pPr>
            <w:r w:rsidRPr="00281428">
              <w:rPr>
                <w:rFonts w:ascii="Arial" w:eastAsia="Times New Roman" w:hAnsi="Arial" w:cs="Times New Roman"/>
                <w:spacing w:val="-2"/>
                <w:sz w:val="14"/>
                <w:szCs w:val="18"/>
                <w:lang w:eastAsia="pt-BR"/>
              </w:rPr>
              <w:t>Total do Passivo</w:t>
            </w:r>
          </w:p>
        </w:tc>
        <w:tc>
          <w:tcPr>
            <w:tcW w:w="868" w:type="dxa"/>
            <w:tcBorders>
              <w:top w:val="nil"/>
              <w:bottom w:val="nil"/>
            </w:tcBorders>
            <w:shd w:val="clear" w:color="auto" w:fill="auto"/>
            <w:vAlign w:val="center"/>
          </w:tcPr>
          <w:p w14:paraId="4927CF0F" w14:textId="77777777" w:rsidR="00263EF9" w:rsidRPr="00281428"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4"/>
                <w:lang w:eastAsia="pt-BR"/>
              </w:rPr>
            </w:pPr>
          </w:p>
        </w:tc>
        <w:tc>
          <w:tcPr>
            <w:tcW w:w="1460" w:type="dxa"/>
            <w:tcBorders>
              <w:top w:val="nil"/>
              <w:bottom w:val="nil"/>
            </w:tcBorders>
            <w:shd w:val="clear" w:color="auto" w:fill="auto"/>
            <w:vAlign w:val="center"/>
          </w:tcPr>
          <w:p w14:paraId="173F4D7D" w14:textId="77777777" w:rsidR="00263EF9" w:rsidRPr="005327A4"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5327A4">
              <w:rPr>
                <w:rFonts w:ascii="Arial" w:eastAsia="Times New Roman" w:hAnsi="Arial" w:cs="Arial"/>
                <w:b/>
                <w:bCs/>
                <w:spacing w:val="-2"/>
                <w:sz w:val="14"/>
                <w:szCs w:val="14"/>
                <w:lang w:eastAsia="pt-BR"/>
              </w:rPr>
              <w:t>4.426.618</w:t>
            </w:r>
          </w:p>
        </w:tc>
        <w:tc>
          <w:tcPr>
            <w:tcW w:w="1405" w:type="dxa"/>
            <w:gridSpan w:val="2"/>
            <w:tcBorders>
              <w:top w:val="nil"/>
              <w:bottom w:val="nil"/>
            </w:tcBorders>
            <w:shd w:val="clear" w:color="auto" w:fill="auto"/>
            <w:vAlign w:val="center"/>
          </w:tcPr>
          <w:p w14:paraId="728C827C" w14:textId="77777777" w:rsidR="00263EF9" w:rsidRPr="005327A4"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5327A4">
              <w:rPr>
                <w:rFonts w:ascii="Arial" w:eastAsia="Times New Roman" w:hAnsi="Arial" w:cs="Arial"/>
                <w:b/>
                <w:bCs/>
                <w:spacing w:val="-2"/>
                <w:sz w:val="14"/>
                <w:szCs w:val="14"/>
                <w:lang w:eastAsia="pt-BR"/>
              </w:rPr>
              <w:t>2.470.139</w:t>
            </w:r>
          </w:p>
        </w:tc>
        <w:tc>
          <w:tcPr>
            <w:tcW w:w="265" w:type="dxa"/>
            <w:tcBorders>
              <w:top w:val="nil"/>
              <w:bottom w:val="nil"/>
            </w:tcBorders>
            <w:shd w:val="clear" w:color="auto" w:fill="auto"/>
            <w:vAlign w:val="center"/>
          </w:tcPr>
          <w:p w14:paraId="1376B33B" w14:textId="77777777" w:rsidR="00263EF9" w:rsidRPr="00281428"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616" w:type="dxa"/>
            <w:gridSpan w:val="2"/>
            <w:tcBorders>
              <w:top w:val="nil"/>
              <w:bottom w:val="nil"/>
            </w:tcBorders>
            <w:shd w:val="clear" w:color="auto" w:fill="auto"/>
            <w:vAlign w:val="center"/>
          </w:tcPr>
          <w:p w14:paraId="4BC68C5D" w14:textId="77777777" w:rsidR="00263EF9" w:rsidRPr="00281428"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Pr>
                <w:rFonts w:ascii="Arial" w:eastAsia="Times New Roman" w:hAnsi="Arial" w:cs="Arial"/>
                <w:b/>
                <w:bCs/>
                <w:spacing w:val="-2"/>
                <w:sz w:val="14"/>
                <w:szCs w:val="14"/>
                <w:lang w:eastAsia="pt-BR"/>
              </w:rPr>
              <w:t>11.920.166</w:t>
            </w:r>
          </w:p>
        </w:tc>
        <w:tc>
          <w:tcPr>
            <w:tcW w:w="1075" w:type="dxa"/>
            <w:tcBorders>
              <w:top w:val="nil"/>
              <w:bottom w:val="nil"/>
            </w:tcBorders>
            <w:shd w:val="clear" w:color="auto" w:fill="auto"/>
            <w:vAlign w:val="center"/>
          </w:tcPr>
          <w:p w14:paraId="1B03B2E4" w14:textId="77777777" w:rsidR="00263EF9" w:rsidRPr="0064696C"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BF2AAF">
              <w:rPr>
                <w:rFonts w:ascii="Arial" w:eastAsia="Times New Roman" w:hAnsi="Arial" w:cs="Arial"/>
                <w:b/>
                <w:bCs/>
                <w:spacing w:val="-2"/>
                <w:sz w:val="14"/>
                <w:szCs w:val="14"/>
                <w:lang w:eastAsia="pt-BR"/>
              </w:rPr>
              <w:t>8.456.140</w:t>
            </w:r>
          </w:p>
        </w:tc>
      </w:tr>
      <w:tr w:rsidR="00263EF9" w:rsidRPr="00281428" w14:paraId="38DB0348" w14:textId="77777777">
        <w:trPr>
          <w:cnfStyle w:val="000000100000" w:firstRow="0" w:lastRow="0" w:firstColumn="0" w:lastColumn="0" w:oddVBand="0" w:evenVBand="0" w:oddHBand="1" w:evenHBand="0"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2E07EE26" w14:textId="77777777" w:rsidR="00263EF9" w:rsidRPr="00281428" w:rsidRDefault="00263EF9">
            <w:pPr>
              <w:keepNext/>
              <w:keepLines/>
              <w:spacing w:before="40" w:after="40"/>
              <w:rPr>
                <w:rFonts w:ascii="Arial" w:eastAsia="Times New Roman" w:hAnsi="Arial" w:cs="Times New Roman"/>
                <w:spacing w:val="-2"/>
                <w:sz w:val="14"/>
                <w:szCs w:val="18"/>
                <w:lang w:eastAsia="pt-BR"/>
              </w:rPr>
            </w:pPr>
          </w:p>
        </w:tc>
        <w:tc>
          <w:tcPr>
            <w:tcW w:w="868" w:type="dxa"/>
            <w:tcBorders>
              <w:top w:val="nil"/>
              <w:bottom w:val="nil"/>
            </w:tcBorders>
            <w:shd w:val="clear" w:color="auto" w:fill="auto"/>
            <w:vAlign w:val="center"/>
          </w:tcPr>
          <w:p w14:paraId="0147EBC5" w14:textId="77777777" w:rsidR="00263EF9" w:rsidRPr="00281428"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p>
        </w:tc>
        <w:tc>
          <w:tcPr>
            <w:tcW w:w="1460" w:type="dxa"/>
            <w:tcBorders>
              <w:top w:val="nil"/>
              <w:bottom w:val="nil"/>
            </w:tcBorders>
            <w:shd w:val="clear" w:color="auto" w:fill="auto"/>
            <w:vAlign w:val="center"/>
          </w:tcPr>
          <w:p w14:paraId="3F2C8E60" w14:textId="77777777" w:rsidR="00263EF9" w:rsidRPr="00281428"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p>
        </w:tc>
        <w:tc>
          <w:tcPr>
            <w:tcW w:w="1405" w:type="dxa"/>
            <w:gridSpan w:val="2"/>
            <w:tcBorders>
              <w:top w:val="nil"/>
              <w:bottom w:val="nil"/>
            </w:tcBorders>
            <w:shd w:val="clear" w:color="auto" w:fill="auto"/>
            <w:vAlign w:val="center"/>
          </w:tcPr>
          <w:p w14:paraId="2B5EE05B" w14:textId="77777777" w:rsidR="00263EF9" w:rsidRPr="0064696C"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c>
          <w:tcPr>
            <w:tcW w:w="265" w:type="dxa"/>
            <w:tcBorders>
              <w:top w:val="nil"/>
              <w:bottom w:val="nil"/>
            </w:tcBorders>
            <w:shd w:val="clear" w:color="auto" w:fill="auto"/>
            <w:vAlign w:val="center"/>
          </w:tcPr>
          <w:p w14:paraId="71D1BC14" w14:textId="77777777" w:rsidR="00263EF9" w:rsidRPr="00281428"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bottom w:val="nil"/>
            </w:tcBorders>
            <w:shd w:val="clear" w:color="auto" w:fill="auto"/>
            <w:vAlign w:val="center"/>
          </w:tcPr>
          <w:p w14:paraId="16292DE0" w14:textId="77777777" w:rsidR="00263EF9" w:rsidRPr="00281428"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075" w:type="dxa"/>
            <w:tcBorders>
              <w:top w:val="nil"/>
              <w:bottom w:val="nil"/>
            </w:tcBorders>
            <w:shd w:val="clear" w:color="auto" w:fill="auto"/>
            <w:vAlign w:val="center"/>
          </w:tcPr>
          <w:p w14:paraId="44D19F59" w14:textId="77777777" w:rsidR="00263EF9" w:rsidRPr="0064696C"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r>
      <w:tr w:rsidR="00263EF9" w:rsidRPr="00281428" w14:paraId="413BD1A1"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4519B4DA" w14:textId="77777777" w:rsidR="00263EF9" w:rsidRPr="00281428" w:rsidRDefault="00263EF9">
            <w:pPr>
              <w:keepNext/>
              <w:keepLines/>
              <w:spacing w:before="40" w:after="40"/>
              <w:rPr>
                <w:rFonts w:ascii="Arial" w:eastAsia="Times New Roman" w:hAnsi="Arial" w:cs="Times New Roman"/>
                <w:spacing w:val="-2"/>
                <w:sz w:val="14"/>
                <w:szCs w:val="18"/>
                <w:lang w:eastAsia="pt-BR"/>
              </w:rPr>
            </w:pPr>
            <w:r w:rsidRPr="00281428">
              <w:rPr>
                <w:rFonts w:ascii="Arial" w:eastAsia="Times New Roman" w:hAnsi="Arial" w:cs="Times New Roman"/>
                <w:spacing w:val="-2"/>
                <w:sz w:val="14"/>
                <w:szCs w:val="18"/>
                <w:lang w:eastAsia="pt-BR"/>
              </w:rPr>
              <w:t>Patrimônio Líquido</w:t>
            </w:r>
          </w:p>
        </w:tc>
        <w:tc>
          <w:tcPr>
            <w:tcW w:w="868" w:type="dxa"/>
            <w:tcBorders>
              <w:top w:val="nil"/>
              <w:bottom w:val="nil"/>
            </w:tcBorders>
            <w:shd w:val="clear" w:color="auto" w:fill="auto"/>
            <w:vAlign w:val="center"/>
          </w:tcPr>
          <w:p w14:paraId="063BE4EB" w14:textId="77777777" w:rsidR="00263EF9" w:rsidRPr="00281428"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4"/>
                <w:lang w:eastAsia="pt-BR"/>
              </w:rPr>
            </w:pPr>
          </w:p>
        </w:tc>
        <w:tc>
          <w:tcPr>
            <w:tcW w:w="1460" w:type="dxa"/>
            <w:tcBorders>
              <w:top w:val="nil"/>
              <w:left w:val="nil"/>
              <w:bottom w:val="nil"/>
              <w:right w:val="nil"/>
            </w:tcBorders>
            <w:shd w:val="clear" w:color="auto" w:fill="auto"/>
            <w:vAlign w:val="center"/>
          </w:tcPr>
          <w:p w14:paraId="42C9B70E" w14:textId="77777777" w:rsidR="00263EF9" w:rsidRPr="001F164D"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Pr>
                <w:rFonts w:ascii="Arial" w:eastAsia="Times New Roman" w:hAnsi="Arial" w:cs="Arial"/>
                <w:b/>
                <w:bCs/>
                <w:spacing w:val="-2"/>
                <w:sz w:val="14"/>
                <w:szCs w:val="14"/>
                <w:lang w:eastAsia="pt-BR"/>
              </w:rPr>
              <w:t>9.695.421</w:t>
            </w:r>
          </w:p>
        </w:tc>
        <w:tc>
          <w:tcPr>
            <w:tcW w:w="1405" w:type="dxa"/>
            <w:gridSpan w:val="2"/>
            <w:tcBorders>
              <w:top w:val="nil"/>
              <w:left w:val="nil"/>
              <w:bottom w:val="nil"/>
              <w:right w:val="nil"/>
            </w:tcBorders>
            <w:shd w:val="clear" w:color="auto" w:fill="auto"/>
            <w:vAlign w:val="center"/>
          </w:tcPr>
          <w:p w14:paraId="4F8069F4" w14:textId="77777777" w:rsidR="00263EF9" w:rsidRPr="0064696C"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8"/>
                <w:highlight w:val="yellow"/>
                <w:lang w:eastAsia="pt-BR"/>
              </w:rPr>
            </w:pPr>
            <w:r w:rsidRPr="00BF2AAF">
              <w:rPr>
                <w:rFonts w:ascii="Arial" w:eastAsia="Times New Roman" w:hAnsi="Arial" w:cs="Arial"/>
                <w:b/>
                <w:bCs/>
                <w:spacing w:val="-2"/>
                <w:sz w:val="14"/>
                <w:szCs w:val="14"/>
                <w:lang w:eastAsia="pt-BR"/>
              </w:rPr>
              <w:t>9.816.482</w:t>
            </w:r>
          </w:p>
        </w:tc>
        <w:tc>
          <w:tcPr>
            <w:tcW w:w="265" w:type="dxa"/>
            <w:tcBorders>
              <w:top w:val="nil"/>
              <w:bottom w:val="nil"/>
            </w:tcBorders>
            <w:shd w:val="clear" w:color="auto" w:fill="auto"/>
            <w:vAlign w:val="center"/>
          </w:tcPr>
          <w:p w14:paraId="0C6D95A1" w14:textId="77777777" w:rsidR="00263EF9" w:rsidRPr="00281428"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p>
        </w:tc>
        <w:tc>
          <w:tcPr>
            <w:tcW w:w="1616" w:type="dxa"/>
            <w:gridSpan w:val="2"/>
            <w:tcBorders>
              <w:top w:val="nil"/>
              <w:left w:val="nil"/>
              <w:bottom w:val="nil"/>
              <w:right w:val="nil"/>
            </w:tcBorders>
            <w:shd w:val="clear" w:color="auto" w:fill="auto"/>
            <w:vAlign w:val="center"/>
          </w:tcPr>
          <w:p w14:paraId="6311E8C0" w14:textId="77777777" w:rsidR="00263EF9" w:rsidRPr="00D33434"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Pr>
                <w:rFonts w:ascii="Arial" w:eastAsia="Times New Roman" w:hAnsi="Arial" w:cs="Arial"/>
                <w:b/>
                <w:bCs/>
                <w:spacing w:val="-2"/>
                <w:sz w:val="14"/>
                <w:szCs w:val="14"/>
                <w:lang w:eastAsia="pt-BR"/>
              </w:rPr>
              <w:t>9.695.421</w:t>
            </w:r>
          </w:p>
        </w:tc>
        <w:tc>
          <w:tcPr>
            <w:tcW w:w="1075" w:type="dxa"/>
            <w:tcBorders>
              <w:top w:val="nil"/>
              <w:left w:val="nil"/>
              <w:bottom w:val="nil"/>
              <w:right w:val="nil"/>
            </w:tcBorders>
            <w:shd w:val="clear" w:color="auto" w:fill="auto"/>
            <w:vAlign w:val="center"/>
          </w:tcPr>
          <w:p w14:paraId="411AEE7C" w14:textId="77777777" w:rsidR="00263EF9" w:rsidRPr="0064696C"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r w:rsidRPr="00BF2AAF">
              <w:rPr>
                <w:rFonts w:ascii="Arial" w:eastAsia="Times New Roman" w:hAnsi="Arial" w:cs="Arial"/>
                <w:b/>
                <w:bCs/>
                <w:spacing w:val="-2"/>
                <w:sz w:val="14"/>
                <w:szCs w:val="14"/>
                <w:lang w:eastAsia="pt-BR"/>
              </w:rPr>
              <w:t>9.816.482</w:t>
            </w:r>
          </w:p>
        </w:tc>
      </w:tr>
      <w:tr w:rsidR="00263EF9" w:rsidRPr="00281428" w14:paraId="187D8D39"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2EE5EB60" w14:textId="77777777" w:rsidR="00263EF9" w:rsidRPr="00281428" w:rsidRDefault="00263EF9">
            <w:pPr>
              <w:keepNext/>
              <w:keepLines/>
              <w:spacing w:before="40" w:after="40"/>
              <w:ind w:left="113"/>
              <w:rPr>
                <w:rFonts w:ascii="Arial" w:eastAsia="Times New Roman" w:hAnsi="Arial" w:cs="Times New Roman"/>
                <w:b w:val="0"/>
                <w:bCs w:val="0"/>
                <w:spacing w:val="-2"/>
                <w:sz w:val="14"/>
                <w:szCs w:val="18"/>
                <w:lang w:eastAsia="pt-BR"/>
              </w:rPr>
            </w:pPr>
            <w:r w:rsidRPr="00281428">
              <w:rPr>
                <w:rFonts w:ascii="Arial" w:eastAsia="Times New Roman" w:hAnsi="Arial" w:cs="Times New Roman"/>
                <w:b w:val="0"/>
                <w:bCs w:val="0"/>
                <w:spacing w:val="-2"/>
                <w:sz w:val="14"/>
                <w:szCs w:val="18"/>
                <w:lang w:eastAsia="pt-BR"/>
              </w:rPr>
              <w:t>Capital social</w:t>
            </w:r>
          </w:p>
        </w:tc>
        <w:tc>
          <w:tcPr>
            <w:tcW w:w="868" w:type="dxa"/>
            <w:tcBorders>
              <w:top w:val="nil"/>
              <w:bottom w:val="nil"/>
            </w:tcBorders>
            <w:shd w:val="clear" w:color="auto" w:fill="auto"/>
            <w:vAlign w:val="center"/>
          </w:tcPr>
          <w:p w14:paraId="45838C34" w14:textId="77777777" w:rsidR="00263EF9" w:rsidRPr="00281428"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r w:rsidRPr="00281428">
              <w:rPr>
                <w:rFonts w:ascii="Arial" w:eastAsia="Times New Roman" w:hAnsi="Arial" w:cs="Times New Roman"/>
                <w:spacing w:val="-2"/>
                <w:sz w:val="14"/>
                <w:szCs w:val="14"/>
                <w:lang w:eastAsia="pt-BR"/>
              </w:rPr>
              <w:t>[25.</w:t>
            </w:r>
            <w:r>
              <w:rPr>
                <w:rFonts w:ascii="Arial" w:eastAsia="Times New Roman" w:hAnsi="Arial" w:cs="Times New Roman"/>
                <w:spacing w:val="-2"/>
                <w:sz w:val="14"/>
                <w:szCs w:val="14"/>
                <w:lang w:eastAsia="pt-BR"/>
              </w:rPr>
              <w:t>d</w:t>
            </w:r>
            <w:r w:rsidRPr="00281428">
              <w:rPr>
                <w:rFonts w:ascii="Arial" w:eastAsia="Times New Roman" w:hAnsi="Arial" w:cs="Times New Roman"/>
                <w:spacing w:val="-2"/>
                <w:sz w:val="14"/>
                <w:szCs w:val="14"/>
                <w:lang w:eastAsia="pt-BR"/>
              </w:rPr>
              <w:t>]</w:t>
            </w:r>
          </w:p>
        </w:tc>
        <w:tc>
          <w:tcPr>
            <w:tcW w:w="1460" w:type="dxa"/>
            <w:tcBorders>
              <w:top w:val="nil"/>
              <w:left w:val="nil"/>
              <w:bottom w:val="nil"/>
              <w:right w:val="nil"/>
            </w:tcBorders>
            <w:shd w:val="clear" w:color="auto" w:fill="auto"/>
            <w:vAlign w:val="center"/>
          </w:tcPr>
          <w:p w14:paraId="62A687EC" w14:textId="77777777" w:rsidR="00263EF9" w:rsidRPr="00281428"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6.269.692</w:t>
            </w:r>
          </w:p>
        </w:tc>
        <w:tc>
          <w:tcPr>
            <w:tcW w:w="1405" w:type="dxa"/>
            <w:gridSpan w:val="2"/>
            <w:tcBorders>
              <w:top w:val="nil"/>
              <w:left w:val="nil"/>
              <w:bottom w:val="nil"/>
              <w:right w:val="nil"/>
            </w:tcBorders>
            <w:shd w:val="clear" w:color="auto" w:fill="auto"/>
            <w:vAlign w:val="center"/>
          </w:tcPr>
          <w:p w14:paraId="29B94B31" w14:textId="77777777" w:rsidR="00263EF9" w:rsidRPr="0064696C"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4"/>
                <w:lang w:eastAsia="pt-BR"/>
              </w:rPr>
              <w:t>6.269.692</w:t>
            </w:r>
          </w:p>
        </w:tc>
        <w:tc>
          <w:tcPr>
            <w:tcW w:w="265" w:type="dxa"/>
            <w:tcBorders>
              <w:top w:val="nil"/>
              <w:bottom w:val="nil"/>
            </w:tcBorders>
            <w:shd w:val="clear" w:color="auto" w:fill="auto"/>
            <w:vAlign w:val="center"/>
          </w:tcPr>
          <w:p w14:paraId="44866434" w14:textId="77777777" w:rsidR="00263EF9" w:rsidRPr="00281428"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left w:val="nil"/>
              <w:bottom w:val="nil"/>
              <w:right w:val="nil"/>
            </w:tcBorders>
            <w:shd w:val="clear" w:color="auto" w:fill="auto"/>
            <w:vAlign w:val="center"/>
          </w:tcPr>
          <w:p w14:paraId="72BEEAB7" w14:textId="77777777" w:rsidR="00263EF9" w:rsidRPr="00D33434"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6.269.692</w:t>
            </w:r>
          </w:p>
        </w:tc>
        <w:tc>
          <w:tcPr>
            <w:tcW w:w="1075" w:type="dxa"/>
            <w:tcBorders>
              <w:top w:val="nil"/>
              <w:left w:val="nil"/>
              <w:bottom w:val="nil"/>
              <w:right w:val="nil"/>
            </w:tcBorders>
            <w:shd w:val="clear" w:color="auto" w:fill="auto"/>
            <w:vAlign w:val="center"/>
          </w:tcPr>
          <w:p w14:paraId="213F67CB" w14:textId="77777777" w:rsidR="00263EF9" w:rsidRPr="0064696C"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6.269.692</w:t>
            </w:r>
          </w:p>
        </w:tc>
      </w:tr>
      <w:tr w:rsidR="00263EF9" w:rsidRPr="00281428" w14:paraId="6D0EBB32"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239F7935" w14:textId="77777777" w:rsidR="00263EF9" w:rsidRPr="00281428" w:rsidRDefault="00263EF9">
            <w:pPr>
              <w:keepNext/>
              <w:keepLines/>
              <w:spacing w:before="40" w:after="40"/>
              <w:ind w:left="113"/>
              <w:rPr>
                <w:rFonts w:ascii="Arial" w:eastAsia="Times New Roman" w:hAnsi="Arial" w:cs="Times New Roman"/>
                <w:b w:val="0"/>
                <w:bCs w:val="0"/>
                <w:spacing w:val="-2"/>
                <w:sz w:val="14"/>
                <w:szCs w:val="18"/>
                <w:lang w:eastAsia="pt-BR"/>
              </w:rPr>
            </w:pPr>
            <w:r w:rsidRPr="00281428">
              <w:rPr>
                <w:rFonts w:ascii="Arial" w:eastAsia="Times New Roman" w:hAnsi="Arial" w:cs="Times New Roman"/>
                <w:b w:val="0"/>
                <w:bCs w:val="0"/>
                <w:spacing w:val="-2"/>
                <w:sz w:val="14"/>
                <w:szCs w:val="18"/>
                <w:lang w:eastAsia="pt-BR"/>
              </w:rPr>
              <w:t>Reservas de capital</w:t>
            </w:r>
          </w:p>
        </w:tc>
        <w:tc>
          <w:tcPr>
            <w:tcW w:w="868" w:type="dxa"/>
            <w:tcBorders>
              <w:top w:val="nil"/>
              <w:bottom w:val="nil"/>
            </w:tcBorders>
            <w:shd w:val="clear" w:color="auto" w:fill="auto"/>
            <w:vAlign w:val="center"/>
          </w:tcPr>
          <w:p w14:paraId="37F9B441" w14:textId="77777777" w:rsidR="00263EF9" w:rsidRPr="00281428"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r w:rsidRPr="00281428">
              <w:rPr>
                <w:rFonts w:ascii="Arial" w:eastAsia="Times New Roman" w:hAnsi="Arial" w:cs="Times New Roman"/>
                <w:spacing w:val="-2"/>
                <w:sz w:val="14"/>
                <w:szCs w:val="14"/>
                <w:lang w:eastAsia="pt-BR"/>
              </w:rPr>
              <w:t>[25.</w:t>
            </w:r>
            <w:r>
              <w:rPr>
                <w:rFonts w:ascii="Arial" w:eastAsia="Times New Roman" w:hAnsi="Arial" w:cs="Times New Roman"/>
                <w:spacing w:val="-2"/>
                <w:sz w:val="14"/>
                <w:szCs w:val="14"/>
                <w:lang w:eastAsia="pt-BR"/>
              </w:rPr>
              <w:t>e</w:t>
            </w:r>
            <w:r w:rsidRPr="00281428">
              <w:rPr>
                <w:rFonts w:ascii="Arial" w:eastAsia="Times New Roman" w:hAnsi="Arial" w:cs="Times New Roman"/>
                <w:spacing w:val="-2"/>
                <w:sz w:val="14"/>
                <w:szCs w:val="14"/>
                <w:lang w:eastAsia="pt-BR"/>
              </w:rPr>
              <w:t>]</w:t>
            </w:r>
          </w:p>
        </w:tc>
        <w:tc>
          <w:tcPr>
            <w:tcW w:w="1460" w:type="dxa"/>
            <w:tcBorders>
              <w:top w:val="nil"/>
              <w:left w:val="nil"/>
              <w:bottom w:val="nil"/>
              <w:right w:val="nil"/>
            </w:tcBorders>
            <w:shd w:val="clear" w:color="auto" w:fill="auto"/>
            <w:vAlign w:val="center"/>
          </w:tcPr>
          <w:p w14:paraId="0184FED4" w14:textId="77777777" w:rsidR="00263EF9" w:rsidRPr="00281428"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978</w:t>
            </w:r>
          </w:p>
        </w:tc>
        <w:tc>
          <w:tcPr>
            <w:tcW w:w="1405" w:type="dxa"/>
            <w:gridSpan w:val="2"/>
            <w:tcBorders>
              <w:top w:val="nil"/>
              <w:left w:val="nil"/>
              <w:bottom w:val="nil"/>
              <w:right w:val="nil"/>
            </w:tcBorders>
            <w:shd w:val="clear" w:color="auto" w:fill="auto"/>
            <w:vAlign w:val="center"/>
          </w:tcPr>
          <w:p w14:paraId="6630BCFE" w14:textId="77777777" w:rsidR="00263EF9" w:rsidRPr="0064696C"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4"/>
                <w:lang w:eastAsia="pt-BR"/>
              </w:rPr>
              <w:t>1.805</w:t>
            </w:r>
          </w:p>
        </w:tc>
        <w:tc>
          <w:tcPr>
            <w:tcW w:w="265" w:type="dxa"/>
            <w:tcBorders>
              <w:top w:val="nil"/>
              <w:bottom w:val="nil"/>
            </w:tcBorders>
            <w:shd w:val="clear" w:color="auto" w:fill="auto"/>
            <w:vAlign w:val="center"/>
          </w:tcPr>
          <w:p w14:paraId="76CF3C08" w14:textId="77777777" w:rsidR="00263EF9" w:rsidRPr="00281428"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left w:val="nil"/>
              <w:bottom w:val="nil"/>
              <w:right w:val="nil"/>
            </w:tcBorders>
            <w:shd w:val="clear" w:color="auto" w:fill="auto"/>
            <w:vAlign w:val="center"/>
          </w:tcPr>
          <w:p w14:paraId="073EE975" w14:textId="77777777" w:rsidR="00263EF9" w:rsidRPr="00D33434"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978</w:t>
            </w:r>
          </w:p>
        </w:tc>
        <w:tc>
          <w:tcPr>
            <w:tcW w:w="1075" w:type="dxa"/>
            <w:tcBorders>
              <w:top w:val="nil"/>
              <w:left w:val="nil"/>
              <w:bottom w:val="nil"/>
              <w:right w:val="nil"/>
            </w:tcBorders>
            <w:shd w:val="clear" w:color="auto" w:fill="auto"/>
            <w:vAlign w:val="center"/>
          </w:tcPr>
          <w:p w14:paraId="138EEC5F" w14:textId="77777777" w:rsidR="00263EF9" w:rsidRPr="0064696C"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1.805</w:t>
            </w:r>
          </w:p>
        </w:tc>
      </w:tr>
      <w:tr w:rsidR="00263EF9" w:rsidRPr="00281428" w14:paraId="7CA3336E"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69306054" w14:textId="77777777" w:rsidR="00263EF9" w:rsidRPr="00281428" w:rsidRDefault="00263EF9">
            <w:pPr>
              <w:keepNext/>
              <w:keepLines/>
              <w:spacing w:before="40" w:after="40"/>
              <w:ind w:left="113"/>
              <w:rPr>
                <w:rFonts w:ascii="Arial" w:eastAsia="Times New Roman" w:hAnsi="Arial" w:cs="Times New Roman"/>
                <w:b w:val="0"/>
                <w:bCs w:val="0"/>
                <w:spacing w:val="-2"/>
                <w:sz w:val="14"/>
                <w:szCs w:val="18"/>
                <w:lang w:eastAsia="pt-BR"/>
              </w:rPr>
            </w:pPr>
            <w:r w:rsidRPr="00281428">
              <w:rPr>
                <w:rFonts w:ascii="Arial" w:eastAsia="Times New Roman" w:hAnsi="Arial" w:cs="Times New Roman"/>
                <w:b w:val="0"/>
                <w:bCs w:val="0"/>
                <w:spacing w:val="-2"/>
                <w:sz w:val="14"/>
                <w:szCs w:val="18"/>
                <w:lang w:eastAsia="pt-BR"/>
              </w:rPr>
              <w:t>Reservas de lucros</w:t>
            </w:r>
          </w:p>
        </w:tc>
        <w:tc>
          <w:tcPr>
            <w:tcW w:w="868" w:type="dxa"/>
            <w:tcBorders>
              <w:top w:val="nil"/>
              <w:bottom w:val="nil"/>
            </w:tcBorders>
            <w:shd w:val="clear" w:color="auto" w:fill="auto"/>
            <w:vAlign w:val="center"/>
          </w:tcPr>
          <w:p w14:paraId="7FEC5765" w14:textId="77777777" w:rsidR="00263EF9" w:rsidRPr="00281428"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r w:rsidRPr="00281428">
              <w:rPr>
                <w:rFonts w:ascii="Arial" w:eastAsia="Times New Roman" w:hAnsi="Arial" w:cs="Times New Roman"/>
                <w:spacing w:val="-2"/>
                <w:sz w:val="14"/>
                <w:szCs w:val="14"/>
                <w:lang w:eastAsia="pt-BR"/>
              </w:rPr>
              <w:t>[25.</w:t>
            </w:r>
            <w:r>
              <w:rPr>
                <w:rFonts w:ascii="Arial" w:eastAsia="Times New Roman" w:hAnsi="Arial" w:cs="Times New Roman"/>
                <w:spacing w:val="-2"/>
                <w:sz w:val="14"/>
                <w:szCs w:val="14"/>
                <w:lang w:eastAsia="pt-BR"/>
              </w:rPr>
              <w:t>e</w:t>
            </w:r>
            <w:r w:rsidRPr="00281428">
              <w:rPr>
                <w:rFonts w:ascii="Arial" w:eastAsia="Times New Roman" w:hAnsi="Arial" w:cs="Times New Roman"/>
                <w:spacing w:val="-2"/>
                <w:sz w:val="14"/>
                <w:szCs w:val="14"/>
                <w:lang w:eastAsia="pt-BR"/>
              </w:rPr>
              <w:t>]</w:t>
            </w:r>
          </w:p>
        </w:tc>
        <w:tc>
          <w:tcPr>
            <w:tcW w:w="1460" w:type="dxa"/>
            <w:tcBorders>
              <w:top w:val="nil"/>
              <w:left w:val="nil"/>
              <w:bottom w:val="nil"/>
              <w:right w:val="nil"/>
            </w:tcBorders>
            <w:shd w:val="clear" w:color="auto" w:fill="auto"/>
            <w:vAlign w:val="center"/>
          </w:tcPr>
          <w:p w14:paraId="28E1B893" w14:textId="77777777" w:rsidR="00263EF9" w:rsidRPr="00281428"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6.039.189</w:t>
            </w:r>
          </w:p>
        </w:tc>
        <w:tc>
          <w:tcPr>
            <w:tcW w:w="1405" w:type="dxa"/>
            <w:gridSpan w:val="2"/>
            <w:tcBorders>
              <w:top w:val="nil"/>
              <w:left w:val="nil"/>
              <w:bottom w:val="nil"/>
              <w:right w:val="nil"/>
            </w:tcBorders>
            <w:shd w:val="clear" w:color="auto" w:fill="auto"/>
            <w:vAlign w:val="center"/>
          </w:tcPr>
          <w:p w14:paraId="7672B50B" w14:textId="77777777" w:rsidR="00263EF9" w:rsidRPr="0064696C"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4"/>
                <w:lang w:eastAsia="pt-BR"/>
              </w:rPr>
              <w:t>4.446.836</w:t>
            </w:r>
          </w:p>
        </w:tc>
        <w:tc>
          <w:tcPr>
            <w:tcW w:w="265" w:type="dxa"/>
            <w:tcBorders>
              <w:top w:val="nil"/>
              <w:bottom w:val="nil"/>
            </w:tcBorders>
            <w:shd w:val="clear" w:color="auto" w:fill="auto"/>
            <w:vAlign w:val="center"/>
          </w:tcPr>
          <w:p w14:paraId="29985870" w14:textId="77777777" w:rsidR="00263EF9" w:rsidRPr="00281428"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left w:val="nil"/>
              <w:bottom w:val="nil"/>
              <w:right w:val="nil"/>
            </w:tcBorders>
            <w:shd w:val="clear" w:color="auto" w:fill="auto"/>
            <w:vAlign w:val="center"/>
          </w:tcPr>
          <w:p w14:paraId="54859AD3" w14:textId="77777777" w:rsidR="00263EF9" w:rsidRPr="00D33434"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6.039.189</w:t>
            </w:r>
          </w:p>
        </w:tc>
        <w:tc>
          <w:tcPr>
            <w:tcW w:w="1075" w:type="dxa"/>
            <w:tcBorders>
              <w:top w:val="nil"/>
              <w:left w:val="nil"/>
              <w:bottom w:val="nil"/>
              <w:right w:val="nil"/>
            </w:tcBorders>
            <w:shd w:val="clear" w:color="auto" w:fill="auto"/>
            <w:vAlign w:val="center"/>
          </w:tcPr>
          <w:p w14:paraId="24917E33" w14:textId="77777777" w:rsidR="00263EF9" w:rsidRPr="0064696C"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4.446.836</w:t>
            </w:r>
          </w:p>
        </w:tc>
      </w:tr>
      <w:tr w:rsidR="00263EF9" w:rsidRPr="00281428" w14:paraId="3713353C"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1BF8F90D" w14:textId="77777777" w:rsidR="00263EF9" w:rsidRPr="00281428" w:rsidRDefault="00263EF9">
            <w:pPr>
              <w:keepNext/>
              <w:keepLines/>
              <w:spacing w:before="40" w:after="40"/>
              <w:ind w:left="113"/>
              <w:rPr>
                <w:rFonts w:ascii="Arial" w:eastAsia="Times New Roman" w:hAnsi="Arial" w:cs="Times New Roman"/>
                <w:b w:val="0"/>
                <w:bCs w:val="0"/>
                <w:spacing w:val="-2"/>
                <w:sz w:val="14"/>
                <w:szCs w:val="18"/>
                <w:lang w:eastAsia="pt-BR"/>
              </w:rPr>
            </w:pPr>
            <w:r w:rsidRPr="00281428">
              <w:rPr>
                <w:rFonts w:ascii="Arial" w:eastAsia="Times New Roman" w:hAnsi="Arial" w:cs="Times New Roman"/>
                <w:b w:val="0"/>
                <w:bCs w:val="0"/>
                <w:spacing w:val="-2"/>
                <w:sz w:val="14"/>
                <w:szCs w:val="18"/>
                <w:lang w:eastAsia="pt-BR"/>
              </w:rPr>
              <w:t>Ações em tesouraria</w:t>
            </w:r>
          </w:p>
        </w:tc>
        <w:tc>
          <w:tcPr>
            <w:tcW w:w="868" w:type="dxa"/>
            <w:tcBorders>
              <w:top w:val="nil"/>
              <w:bottom w:val="nil"/>
            </w:tcBorders>
            <w:shd w:val="clear" w:color="auto" w:fill="auto"/>
            <w:vAlign w:val="center"/>
          </w:tcPr>
          <w:p w14:paraId="39772564" w14:textId="77777777" w:rsidR="00263EF9" w:rsidRPr="00281428"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r w:rsidRPr="00281428">
              <w:rPr>
                <w:rFonts w:ascii="Arial" w:eastAsia="Times New Roman" w:hAnsi="Arial" w:cs="Times New Roman"/>
                <w:spacing w:val="-2"/>
                <w:sz w:val="14"/>
                <w:szCs w:val="14"/>
                <w:lang w:eastAsia="pt-BR"/>
              </w:rPr>
              <w:t>[25.</w:t>
            </w:r>
            <w:r>
              <w:rPr>
                <w:rFonts w:ascii="Arial" w:eastAsia="Times New Roman" w:hAnsi="Arial" w:cs="Times New Roman"/>
                <w:spacing w:val="-2"/>
                <w:sz w:val="14"/>
                <w:szCs w:val="14"/>
                <w:lang w:eastAsia="pt-BR"/>
              </w:rPr>
              <w:t>f.1</w:t>
            </w:r>
            <w:r w:rsidRPr="00281428">
              <w:rPr>
                <w:rFonts w:ascii="Arial" w:eastAsia="Times New Roman" w:hAnsi="Arial" w:cs="Times New Roman"/>
                <w:spacing w:val="-2"/>
                <w:sz w:val="14"/>
                <w:szCs w:val="14"/>
                <w:lang w:eastAsia="pt-BR"/>
              </w:rPr>
              <w:t>]</w:t>
            </w:r>
          </w:p>
        </w:tc>
        <w:tc>
          <w:tcPr>
            <w:tcW w:w="1460" w:type="dxa"/>
            <w:tcBorders>
              <w:top w:val="nil"/>
              <w:left w:val="nil"/>
              <w:bottom w:val="nil"/>
              <w:right w:val="nil"/>
            </w:tcBorders>
            <w:shd w:val="clear" w:color="auto" w:fill="auto"/>
            <w:vAlign w:val="center"/>
          </w:tcPr>
          <w:p w14:paraId="2AE2339D" w14:textId="77777777" w:rsidR="00263EF9" w:rsidRPr="00281428"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(1.869.833)</w:t>
            </w:r>
          </w:p>
        </w:tc>
        <w:tc>
          <w:tcPr>
            <w:tcW w:w="1405" w:type="dxa"/>
            <w:gridSpan w:val="2"/>
            <w:tcBorders>
              <w:top w:val="nil"/>
              <w:left w:val="nil"/>
              <w:bottom w:val="nil"/>
              <w:right w:val="nil"/>
            </w:tcBorders>
            <w:shd w:val="clear" w:color="auto" w:fill="auto"/>
            <w:vAlign w:val="center"/>
          </w:tcPr>
          <w:p w14:paraId="42E2D00C" w14:textId="77777777" w:rsidR="00263EF9" w:rsidRPr="0064696C"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4"/>
                <w:lang w:eastAsia="pt-BR"/>
              </w:rPr>
              <w:t>(704.030)</w:t>
            </w:r>
          </w:p>
        </w:tc>
        <w:tc>
          <w:tcPr>
            <w:tcW w:w="265" w:type="dxa"/>
            <w:tcBorders>
              <w:top w:val="nil"/>
              <w:bottom w:val="nil"/>
            </w:tcBorders>
            <w:shd w:val="clear" w:color="auto" w:fill="auto"/>
            <w:vAlign w:val="center"/>
          </w:tcPr>
          <w:p w14:paraId="1254372D" w14:textId="77777777" w:rsidR="00263EF9" w:rsidRPr="00281428"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left w:val="nil"/>
              <w:bottom w:val="nil"/>
              <w:right w:val="nil"/>
            </w:tcBorders>
            <w:shd w:val="clear" w:color="auto" w:fill="auto"/>
            <w:vAlign w:val="center"/>
          </w:tcPr>
          <w:p w14:paraId="43D57285" w14:textId="77777777" w:rsidR="00263EF9" w:rsidRPr="00D33434"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(1.869.833)</w:t>
            </w:r>
          </w:p>
        </w:tc>
        <w:tc>
          <w:tcPr>
            <w:tcW w:w="1075" w:type="dxa"/>
            <w:tcBorders>
              <w:top w:val="nil"/>
              <w:left w:val="nil"/>
              <w:bottom w:val="nil"/>
              <w:right w:val="nil"/>
            </w:tcBorders>
            <w:shd w:val="clear" w:color="auto" w:fill="auto"/>
            <w:vAlign w:val="center"/>
          </w:tcPr>
          <w:p w14:paraId="6E97227E" w14:textId="77777777" w:rsidR="00263EF9" w:rsidRPr="0064696C"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(704.030)</w:t>
            </w:r>
          </w:p>
        </w:tc>
      </w:tr>
      <w:tr w:rsidR="00263EF9" w:rsidRPr="00281428" w14:paraId="1455B9AA"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76EE0334" w14:textId="77777777" w:rsidR="00263EF9" w:rsidRPr="00281428" w:rsidRDefault="00263EF9">
            <w:pPr>
              <w:keepNext/>
              <w:keepLines/>
              <w:spacing w:before="40" w:after="40"/>
              <w:ind w:left="113"/>
              <w:rPr>
                <w:rFonts w:ascii="Arial" w:eastAsia="Times New Roman" w:hAnsi="Arial" w:cs="Times New Roman"/>
                <w:b w:val="0"/>
                <w:bCs w:val="0"/>
                <w:spacing w:val="-2"/>
                <w:sz w:val="14"/>
                <w:szCs w:val="18"/>
                <w:lang w:eastAsia="pt-BR"/>
              </w:rPr>
            </w:pPr>
            <w:r w:rsidRPr="00281428">
              <w:rPr>
                <w:rFonts w:ascii="Arial" w:eastAsia="Times New Roman" w:hAnsi="Arial" w:cs="Times New Roman"/>
                <w:b w:val="0"/>
                <w:bCs w:val="0"/>
                <w:spacing w:val="-2"/>
                <w:sz w:val="14"/>
                <w:szCs w:val="18"/>
                <w:lang w:eastAsia="pt-BR"/>
              </w:rPr>
              <w:t>Outros resultados abrangentes acumulados</w:t>
            </w:r>
          </w:p>
        </w:tc>
        <w:tc>
          <w:tcPr>
            <w:tcW w:w="868" w:type="dxa"/>
            <w:tcBorders>
              <w:top w:val="nil"/>
              <w:bottom w:val="nil"/>
            </w:tcBorders>
            <w:shd w:val="clear" w:color="auto" w:fill="auto"/>
            <w:vAlign w:val="center"/>
          </w:tcPr>
          <w:p w14:paraId="23FDDBE0" w14:textId="77777777" w:rsidR="00263EF9" w:rsidRPr="00281428"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8"/>
                <w:lang w:eastAsia="pt-BR"/>
              </w:rPr>
            </w:pPr>
            <w:r w:rsidRPr="00281428">
              <w:rPr>
                <w:rFonts w:ascii="Arial" w:eastAsia="Times New Roman" w:hAnsi="Arial" w:cs="Times New Roman"/>
                <w:spacing w:val="-2"/>
                <w:sz w:val="14"/>
                <w:szCs w:val="14"/>
                <w:lang w:eastAsia="pt-BR"/>
              </w:rPr>
              <w:t>[25.</w:t>
            </w:r>
            <w:r>
              <w:rPr>
                <w:rFonts w:ascii="Arial" w:eastAsia="Times New Roman" w:hAnsi="Arial" w:cs="Times New Roman"/>
                <w:spacing w:val="-2"/>
                <w:sz w:val="14"/>
                <w:szCs w:val="14"/>
                <w:lang w:eastAsia="pt-BR"/>
              </w:rPr>
              <w:t>g</w:t>
            </w:r>
            <w:r w:rsidRPr="00281428">
              <w:rPr>
                <w:rFonts w:ascii="Arial" w:eastAsia="Times New Roman" w:hAnsi="Arial" w:cs="Times New Roman"/>
                <w:spacing w:val="-2"/>
                <w:sz w:val="14"/>
                <w:szCs w:val="14"/>
                <w:lang w:eastAsia="pt-BR"/>
              </w:rPr>
              <w:t>]</w:t>
            </w:r>
          </w:p>
        </w:tc>
        <w:tc>
          <w:tcPr>
            <w:tcW w:w="1460" w:type="dxa"/>
            <w:tcBorders>
              <w:top w:val="nil"/>
              <w:left w:val="nil"/>
              <w:bottom w:val="nil"/>
              <w:right w:val="nil"/>
            </w:tcBorders>
            <w:shd w:val="clear" w:color="auto" w:fill="auto"/>
            <w:vAlign w:val="center"/>
          </w:tcPr>
          <w:p w14:paraId="5CE8EF20" w14:textId="77777777" w:rsidR="00263EF9" w:rsidRPr="001F164D" w:rsidRDefault="00263EF9">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144661">
              <w:rPr>
                <w:rFonts w:ascii="Arial" w:eastAsia="Times New Roman" w:hAnsi="Arial" w:cs="Times New Roman"/>
                <w:spacing w:val="-2"/>
                <w:sz w:val="14"/>
                <w:szCs w:val="18"/>
                <w:lang w:eastAsia="pt-BR"/>
              </w:rPr>
              <w:t>(</w:t>
            </w:r>
            <w:r>
              <w:rPr>
                <w:rFonts w:ascii="Arial" w:eastAsia="Times New Roman" w:hAnsi="Arial" w:cs="Times New Roman"/>
                <w:spacing w:val="-2"/>
                <w:sz w:val="14"/>
                <w:szCs w:val="18"/>
                <w:lang w:eastAsia="pt-BR"/>
              </w:rPr>
              <w:t>744.605</w:t>
            </w:r>
            <w:r w:rsidRPr="00144661">
              <w:rPr>
                <w:rFonts w:ascii="Arial" w:eastAsia="Times New Roman" w:hAnsi="Arial" w:cs="Times New Roman"/>
                <w:spacing w:val="-2"/>
                <w:sz w:val="14"/>
                <w:szCs w:val="18"/>
                <w:lang w:eastAsia="pt-BR"/>
              </w:rPr>
              <w:t>)</w:t>
            </w:r>
          </w:p>
        </w:tc>
        <w:tc>
          <w:tcPr>
            <w:tcW w:w="1405" w:type="dxa"/>
            <w:gridSpan w:val="2"/>
            <w:tcBorders>
              <w:top w:val="nil"/>
              <w:left w:val="nil"/>
              <w:bottom w:val="nil"/>
              <w:right w:val="nil"/>
            </w:tcBorders>
            <w:shd w:val="clear" w:color="auto" w:fill="auto"/>
            <w:vAlign w:val="center"/>
          </w:tcPr>
          <w:p w14:paraId="6F2A74CA" w14:textId="77777777" w:rsidR="00263EF9" w:rsidRPr="0064696C" w:rsidRDefault="00263EF9">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spacing w:val="-2"/>
                <w:sz w:val="14"/>
                <w:szCs w:val="18"/>
                <w:lang w:eastAsia="pt-BR"/>
              </w:rPr>
              <w:t>(197.821)</w:t>
            </w:r>
          </w:p>
        </w:tc>
        <w:tc>
          <w:tcPr>
            <w:tcW w:w="265" w:type="dxa"/>
            <w:tcBorders>
              <w:top w:val="nil"/>
              <w:bottom w:val="nil"/>
            </w:tcBorders>
            <w:shd w:val="clear" w:color="auto" w:fill="auto"/>
            <w:vAlign w:val="center"/>
          </w:tcPr>
          <w:p w14:paraId="4ACF653D" w14:textId="77777777" w:rsidR="00263EF9" w:rsidRPr="001F164D" w:rsidRDefault="00263EF9">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p>
        </w:tc>
        <w:tc>
          <w:tcPr>
            <w:tcW w:w="1616" w:type="dxa"/>
            <w:gridSpan w:val="2"/>
            <w:tcBorders>
              <w:top w:val="nil"/>
              <w:left w:val="nil"/>
              <w:bottom w:val="nil"/>
              <w:right w:val="nil"/>
            </w:tcBorders>
            <w:shd w:val="clear" w:color="auto" w:fill="auto"/>
            <w:vAlign w:val="center"/>
          </w:tcPr>
          <w:p w14:paraId="116BB8BE" w14:textId="77777777" w:rsidR="00263EF9" w:rsidRPr="00D33434" w:rsidRDefault="00263EF9">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144661">
              <w:rPr>
                <w:rFonts w:ascii="Arial" w:eastAsia="Times New Roman" w:hAnsi="Arial" w:cs="Times New Roman"/>
                <w:spacing w:val="-2"/>
                <w:sz w:val="14"/>
                <w:szCs w:val="18"/>
                <w:lang w:eastAsia="pt-BR"/>
              </w:rPr>
              <w:t>(</w:t>
            </w:r>
            <w:r>
              <w:rPr>
                <w:rFonts w:ascii="Arial" w:eastAsia="Times New Roman" w:hAnsi="Arial" w:cs="Times New Roman"/>
                <w:spacing w:val="-2"/>
                <w:sz w:val="14"/>
                <w:szCs w:val="18"/>
                <w:lang w:eastAsia="pt-BR"/>
              </w:rPr>
              <w:t>744.605</w:t>
            </w:r>
            <w:r w:rsidRPr="00144661">
              <w:rPr>
                <w:rFonts w:ascii="Arial" w:eastAsia="Times New Roman" w:hAnsi="Arial" w:cs="Times New Roman"/>
                <w:spacing w:val="-2"/>
                <w:sz w:val="14"/>
                <w:szCs w:val="18"/>
                <w:lang w:eastAsia="pt-BR"/>
              </w:rPr>
              <w:t>)</w:t>
            </w:r>
          </w:p>
        </w:tc>
        <w:tc>
          <w:tcPr>
            <w:tcW w:w="1075" w:type="dxa"/>
            <w:tcBorders>
              <w:top w:val="nil"/>
              <w:left w:val="nil"/>
              <w:bottom w:val="nil"/>
              <w:right w:val="nil"/>
            </w:tcBorders>
            <w:shd w:val="clear" w:color="auto" w:fill="auto"/>
            <w:vAlign w:val="center"/>
          </w:tcPr>
          <w:p w14:paraId="6C9B13DB" w14:textId="77777777" w:rsidR="00263EF9" w:rsidRPr="0064696C" w:rsidRDefault="00263EF9">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highlight w:val="yellow"/>
                <w:lang w:eastAsia="pt-BR"/>
              </w:rPr>
            </w:pPr>
            <w:r w:rsidRPr="00BF2AAF">
              <w:rPr>
                <w:rFonts w:ascii="Arial" w:eastAsia="Times New Roman" w:hAnsi="Arial" w:cs="Arial"/>
                <w:spacing w:val="-2"/>
                <w:sz w:val="14"/>
                <w:szCs w:val="18"/>
                <w:lang w:eastAsia="pt-BR"/>
              </w:rPr>
              <w:t>(197.821)</w:t>
            </w:r>
          </w:p>
        </w:tc>
      </w:tr>
      <w:tr w:rsidR="00263EF9" w:rsidRPr="00281428" w14:paraId="540DF18F"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37C06109" w14:textId="77777777" w:rsidR="00263EF9" w:rsidRPr="00281428" w:rsidRDefault="00263EF9">
            <w:pPr>
              <w:keepNext/>
              <w:keepLines/>
              <w:spacing w:before="40" w:after="40"/>
              <w:ind w:left="113"/>
              <w:rPr>
                <w:rFonts w:ascii="Arial" w:eastAsia="Times New Roman" w:hAnsi="Arial" w:cs="Times New Roman"/>
                <w:b w:val="0"/>
                <w:bCs w:val="0"/>
                <w:spacing w:val="-2"/>
                <w:sz w:val="14"/>
                <w:szCs w:val="18"/>
                <w:lang w:eastAsia="pt-BR"/>
              </w:rPr>
            </w:pPr>
            <w:r w:rsidRPr="00281428">
              <w:rPr>
                <w:rFonts w:ascii="Arial" w:eastAsia="Times New Roman" w:hAnsi="Arial" w:cs="Times New Roman"/>
                <w:spacing w:val="-2"/>
                <w:sz w:val="14"/>
                <w:szCs w:val="18"/>
                <w:lang w:eastAsia="pt-BR"/>
              </w:rPr>
              <w:t>Total do Patrimônio Líquido</w:t>
            </w:r>
          </w:p>
        </w:tc>
        <w:tc>
          <w:tcPr>
            <w:tcW w:w="868" w:type="dxa"/>
            <w:tcBorders>
              <w:top w:val="nil"/>
              <w:bottom w:val="nil"/>
            </w:tcBorders>
            <w:shd w:val="clear" w:color="auto" w:fill="auto"/>
            <w:vAlign w:val="center"/>
          </w:tcPr>
          <w:p w14:paraId="6A576B89" w14:textId="77777777" w:rsidR="00263EF9" w:rsidRPr="00281428"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p>
        </w:tc>
        <w:tc>
          <w:tcPr>
            <w:tcW w:w="1460" w:type="dxa"/>
            <w:tcBorders>
              <w:top w:val="nil"/>
              <w:left w:val="nil"/>
              <w:bottom w:val="nil"/>
              <w:right w:val="nil"/>
            </w:tcBorders>
            <w:shd w:val="clear" w:color="auto" w:fill="auto"/>
            <w:vAlign w:val="center"/>
          </w:tcPr>
          <w:p w14:paraId="36C55BBC" w14:textId="77777777" w:rsidR="00263EF9" w:rsidRPr="00281428" w:rsidRDefault="00263EF9">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Pr>
                <w:rFonts w:ascii="Arial" w:eastAsia="Times New Roman" w:hAnsi="Arial" w:cs="Times New Roman"/>
                <w:b/>
                <w:bCs/>
                <w:spacing w:val="-2"/>
                <w:sz w:val="14"/>
                <w:szCs w:val="18"/>
                <w:lang w:eastAsia="pt-BR"/>
              </w:rPr>
              <w:t>9.695.421</w:t>
            </w:r>
          </w:p>
        </w:tc>
        <w:tc>
          <w:tcPr>
            <w:tcW w:w="1405" w:type="dxa"/>
            <w:gridSpan w:val="2"/>
            <w:tcBorders>
              <w:top w:val="nil"/>
              <w:left w:val="nil"/>
              <w:bottom w:val="nil"/>
              <w:right w:val="nil"/>
            </w:tcBorders>
            <w:shd w:val="clear" w:color="auto" w:fill="auto"/>
            <w:vAlign w:val="center"/>
          </w:tcPr>
          <w:p w14:paraId="4C5D0387" w14:textId="77777777" w:rsidR="00263EF9" w:rsidRPr="0064696C" w:rsidRDefault="00263EF9">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b/>
                <w:spacing w:val="-2"/>
                <w:sz w:val="14"/>
                <w:szCs w:val="18"/>
                <w:lang w:eastAsia="pt-BR"/>
              </w:rPr>
              <w:t>9.816.482</w:t>
            </w:r>
          </w:p>
        </w:tc>
        <w:tc>
          <w:tcPr>
            <w:tcW w:w="265" w:type="dxa"/>
            <w:tcBorders>
              <w:top w:val="nil"/>
              <w:bottom w:val="nil"/>
            </w:tcBorders>
            <w:shd w:val="clear" w:color="auto" w:fill="auto"/>
            <w:vAlign w:val="center"/>
          </w:tcPr>
          <w:p w14:paraId="275D2FC8" w14:textId="77777777" w:rsidR="00263EF9" w:rsidRPr="00281428" w:rsidRDefault="00263EF9">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p>
        </w:tc>
        <w:tc>
          <w:tcPr>
            <w:tcW w:w="1616" w:type="dxa"/>
            <w:gridSpan w:val="2"/>
            <w:tcBorders>
              <w:top w:val="nil"/>
              <w:left w:val="nil"/>
              <w:bottom w:val="nil"/>
              <w:right w:val="nil"/>
            </w:tcBorders>
            <w:shd w:val="clear" w:color="auto" w:fill="auto"/>
            <w:vAlign w:val="center"/>
          </w:tcPr>
          <w:p w14:paraId="3CFEC80D" w14:textId="77777777" w:rsidR="00263EF9" w:rsidRPr="00D33434" w:rsidRDefault="00263EF9">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Pr>
                <w:rFonts w:ascii="Arial" w:eastAsia="Times New Roman" w:hAnsi="Arial" w:cs="Arial"/>
                <w:b/>
                <w:bCs/>
                <w:spacing w:val="-2"/>
                <w:sz w:val="14"/>
                <w:szCs w:val="14"/>
                <w:lang w:eastAsia="pt-BR"/>
              </w:rPr>
              <w:t>9.695.421</w:t>
            </w:r>
          </w:p>
        </w:tc>
        <w:tc>
          <w:tcPr>
            <w:tcW w:w="1075" w:type="dxa"/>
            <w:tcBorders>
              <w:top w:val="nil"/>
              <w:left w:val="nil"/>
              <w:bottom w:val="nil"/>
              <w:right w:val="nil"/>
            </w:tcBorders>
            <w:shd w:val="clear" w:color="auto" w:fill="auto"/>
            <w:vAlign w:val="center"/>
          </w:tcPr>
          <w:p w14:paraId="154D5DA3" w14:textId="77777777" w:rsidR="00263EF9" w:rsidRPr="0064696C" w:rsidRDefault="00263EF9">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b/>
                <w:bCs/>
                <w:spacing w:val="-2"/>
                <w:sz w:val="14"/>
                <w:szCs w:val="18"/>
                <w:lang w:eastAsia="pt-BR"/>
              </w:rPr>
              <w:t>9.816.482</w:t>
            </w:r>
          </w:p>
        </w:tc>
      </w:tr>
      <w:tr w:rsidR="00263EF9" w:rsidRPr="00281428" w14:paraId="339B5584"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35F8CF65" w14:textId="77777777" w:rsidR="00263EF9" w:rsidRPr="00281428" w:rsidRDefault="00263EF9">
            <w:pPr>
              <w:keepNext/>
              <w:keepLines/>
              <w:spacing w:before="40" w:after="40"/>
              <w:rPr>
                <w:rFonts w:ascii="Arial" w:eastAsia="Times New Roman" w:hAnsi="Arial" w:cs="Times New Roman"/>
                <w:spacing w:val="-2"/>
                <w:sz w:val="14"/>
                <w:szCs w:val="18"/>
                <w:lang w:eastAsia="pt-BR"/>
              </w:rPr>
            </w:pPr>
          </w:p>
        </w:tc>
        <w:tc>
          <w:tcPr>
            <w:tcW w:w="868" w:type="dxa"/>
            <w:tcBorders>
              <w:top w:val="nil"/>
              <w:bottom w:val="nil"/>
            </w:tcBorders>
            <w:shd w:val="clear" w:color="auto" w:fill="auto"/>
            <w:vAlign w:val="center"/>
          </w:tcPr>
          <w:p w14:paraId="2539245E" w14:textId="77777777" w:rsidR="00263EF9" w:rsidRPr="00281428"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8"/>
                <w:lang w:eastAsia="pt-BR"/>
              </w:rPr>
            </w:pPr>
          </w:p>
        </w:tc>
        <w:tc>
          <w:tcPr>
            <w:tcW w:w="1460" w:type="dxa"/>
            <w:tcBorders>
              <w:top w:val="nil"/>
              <w:bottom w:val="nil"/>
            </w:tcBorders>
            <w:shd w:val="clear" w:color="auto" w:fill="auto"/>
            <w:vAlign w:val="center"/>
          </w:tcPr>
          <w:p w14:paraId="1C34F95A" w14:textId="77777777" w:rsidR="00263EF9" w:rsidRPr="008C6E2E"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bCs/>
                <w:spacing w:val="-2"/>
                <w:sz w:val="14"/>
                <w:szCs w:val="18"/>
                <w:lang w:eastAsia="pt-BR"/>
              </w:rPr>
            </w:pPr>
          </w:p>
        </w:tc>
        <w:tc>
          <w:tcPr>
            <w:tcW w:w="1405" w:type="dxa"/>
            <w:gridSpan w:val="2"/>
            <w:tcBorders>
              <w:top w:val="nil"/>
              <w:bottom w:val="nil"/>
            </w:tcBorders>
            <w:shd w:val="clear" w:color="auto" w:fill="auto"/>
            <w:vAlign w:val="center"/>
          </w:tcPr>
          <w:p w14:paraId="374EA4F2" w14:textId="77777777" w:rsidR="00263EF9" w:rsidRPr="0064696C"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highlight w:val="yellow"/>
                <w:lang w:eastAsia="pt-BR"/>
              </w:rPr>
            </w:pPr>
          </w:p>
        </w:tc>
        <w:tc>
          <w:tcPr>
            <w:tcW w:w="265" w:type="dxa"/>
            <w:tcBorders>
              <w:top w:val="nil"/>
              <w:bottom w:val="nil"/>
            </w:tcBorders>
            <w:shd w:val="clear" w:color="auto" w:fill="auto"/>
            <w:vAlign w:val="center"/>
          </w:tcPr>
          <w:p w14:paraId="5F1ABB0B" w14:textId="77777777" w:rsidR="00263EF9" w:rsidRPr="00281428"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bCs/>
                <w:spacing w:val="-2"/>
                <w:sz w:val="14"/>
                <w:szCs w:val="18"/>
                <w:highlight w:val="yellow"/>
                <w:lang w:eastAsia="pt-BR"/>
              </w:rPr>
            </w:pPr>
          </w:p>
        </w:tc>
        <w:tc>
          <w:tcPr>
            <w:tcW w:w="1616" w:type="dxa"/>
            <w:gridSpan w:val="2"/>
            <w:tcBorders>
              <w:top w:val="nil"/>
              <w:bottom w:val="nil"/>
            </w:tcBorders>
            <w:shd w:val="clear" w:color="auto" w:fill="auto"/>
            <w:vAlign w:val="center"/>
          </w:tcPr>
          <w:p w14:paraId="1F867AC0" w14:textId="77777777" w:rsidR="00263EF9" w:rsidRPr="00D33434"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bCs/>
                <w:spacing w:val="-2"/>
                <w:sz w:val="14"/>
                <w:szCs w:val="18"/>
                <w:lang w:eastAsia="pt-BR"/>
              </w:rPr>
            </w:pPr>
          </w:p>
        </w:tc>
        <w:tc>
          <w:tcPr>
            <w:tcW w:w="1075" w:type="dxa"/>
            <w:tcBorders>
              <w:top w:val="nil"/>
              <w:bottom w:val="nil"/>
            </w:tcBorders>
            <w:shd w:val="clear" w:color="auto" w:fill="auto"/>
            <w:vAlign w:val="center"/>
          </w:tcPr>
          <w:p w14:paraId="051FE4DB" w14:textId="77777777" w:rsidR="00263EF9" w:rsidRPr="0064696C" w:rsidRDefault="00263EF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highlight w:val="yellow"/>
                <w:lang w:eastAsia="pt-BR"/>
              </w:rPr>
            </w:pPr>
          </w:p>
        </w:tc>
      </w:tr>
      <w:tr w:rsidR="00263EF9" w:rsidRPr="00281428" w14:paraId="07F02A97" w14:textId="77777777">
        <w:trPr>
          <w:cnfStyle w:val="000000010000" w:firstRow="0" w:lastRow="0" w:firstColumn="0" w:lastColumn="0" w:oddVBand="0" w:evenVBand="0" w:oddHBand="0" w:evenHBand="1" w:firstRowFirstColumn="0" w:firstRowLastColumn="0" w:lastRowFirstColumn="0" w:lastRowLastColumn="0"/>
          <w:trHeight w:val="19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single" w:sz="2" w:space="0" w:color="1F3864" w:themeColor="accent1" w:themeShade="80"/>
            </w:tcBorders>
            <w:shd w:val="clear" w:color="auto" w:fill="auto"/>
            <w:vAlign w:val="center"/>
          </w:tcPr>
          <w:p w14:paraId="692C6604" w14:textId="77777777" w:rsidR="00263EF9" w:rsidRPr="00281428" w:rsidRDefault="00263EF9">
            <w:pPr>
              <w:keepNext/>
              <w:keepLines/>
              <w:spacing w:before="40" w:after="40"/>
              <w:ind w:left="113"/>
              <w:rPr>
                <w:rFonts w:ascii="Arial" w:eastAsia="Times New Roman" w:hAnsi="Arial" w:cs="Times New Roman"/>
                <w:spacing w:val="-2"/>
                <w:sz w:val="14"/>
                <w:szCs w:val="18"/>
                <w:lang w:eastAsia="pt-BR"/>
              </w:rPr>
            </w:pPr>
            <w:r w:rsidRPr="00281428">
              <w:rPr>
                <w:rFonts w:ascii="Arial" w:eastAsia="Times New Roman" w:hAnsi="Arial" w:cs="Times New Roman"/>
                <w:spacing w:val="-2"/>
                <w:sz w:val="14"/>
                <w:szCs w:val="18"/>
                <w:lang w:eastAsia="pt-BR"/>
              </w:rPr>
              <w:t>Total do Passivo e Patrimônio Líquido</w:t>
            </w:r>
          </w:p>
        </w:tc>
        <w:tc>
          <w:tcPr>
            <w:tcW w:w="868" w:type="dxa"/>
            <w:tcBorders>
              <w:top w:val="nil"/>
              <w:bottom w:val="single" w:sz="2" w:space="0" w:color="1F3864" w:themeColor="accent1" w:themeShade="80"/>
            </w:tcBorders>
            <w:shd w:val="clear" w:color="auto" w:fill="auto"/>
            <w:vAlign w:val="center"/>
          </w:tcPr>
          <w:p w14:paraId="6752A914" w14:textId="77777777" w:rsidR="00263EF9" w:rsidRPr="00281428"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p>
        </w:tc>
        <w:tc>
          <w:tcPr>
            <w:tcW w:w="1460" w:type="dxa"/>
            <w:tcBorders>
              <w:top w:val="nil"/>
              <w:bottom w:val="single" w:sz="2" w:space="0" w:color="1F3864" w:themeColor="accent1" w:themeShade="80"/>
            </w:tcBorders>
            <w:shd w:val="clear" w:color="auto" w:fill="auto"/>
            <w:vAlign w:val="center"/>
          </w:tcPr>
          <w:p w14:paraId="692D473E" w14:textId="77777777" w:rsidR="00263EF9" w:rsidRPr="008C6E2E"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Pr>
                <w:rFonts w:ascii="Arial" w:eastAsia="Times New Roman" w:hAnsi="Arial" w:cs="Arial"/>
                <w:b/>
                <w:bCs/>
                <w:spacing w:val="-2"/>
                <w:sz w:val="14"/>
                <w:szCs w:val="14"/>
                <w:lang w:eastAsia="pt-BR"/>
              </w:rPr>
              <w:t>14.122.039</w:t>
            </w:r>
          </w:p>
        </w:tc>
        <w:tc>
          <w:tcPr>
            <w:tcW w:w="1405" w:type="dxa"/>
            <w:gridSpan w:val="2"/>
            <w:tcBorders>
              <w:top w:val="nil"/>
              <w:bottom w:val="single" w:sz="2" w:space="0" w:color="1F3864" w:themeColor="accent1" w:themeShade="80"/>
            </w:tcBorders>
            <w:shd w:val="clear" w:color="auto" w:fill="auto"/>
            <w:vAlign w:val="center"/>
          </w:tcPr>
          <w:p w14:paraId="091313B5" w14:textId="77777777" w:rsidR="00263EF9" w:rsidRPr="0064696C"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BF2AAF">
              <w:rPr>
                <w:rFonts w:ascii="Arial" w:eastAsia="Times New Roman" w:hAnsi="Arial" w:cs="Arial"/>
                <w:b/>
                <w:spacing w:val="-2"/>
                <w:sz w:val="14"/>
                <w:szCs w:val="14"/>
                <w:lang w:eastAsia="pt-BR"/>
              </w:rPr>
              <w:t>12.286.621</w:t>
            </w:r>
          </w:p>
        </w:tc>
        <w:tc>
          <w:tcPr>
            <w:tcW w:w="265" w:type="dxa"/>
            <w:tcBorders>
              <w:top w:val="nil"/>
              <w:bottom w:val="single" w:sz="2" w:space="0" w:color="1F3864" w:themeColor="accent1" w:themeShade="80"/>
            </w:tcBorders>
            <w:shd w:val="clear" w:color="auto" w:fill="auto"/>
            <w:vAlign w:val="center"/>
          </w:tcPr>
          <w:p w14:paraId="3BE7B5BC" w14:textId="77777777" w:rsidR="00263EF9" w:rsidRPr="00281428"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bottom w:val="single" w:sz="2" w:space="0" w:color="1F3864" w:themeColor="accent1" w:themeShade="80"/>
            </w:tcBorders>
            <w:shd w:val="clear" w:color="auto" w:fill="auto"/>
            <w:vAlign w:val="center"/>
          </w:tcPr>
          <w:p w14:paraId="4333C2DD" w14:textId="77777777" w:rsidR="00263EF9" w:rsidRPr="00D33434"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b/>
                <w:spacing w:val="-2"/>
                <w:sz w:val="14"/>
                <w:szCs w:val="14"/>
                <w:lang w:eastAsia="pt-BR"/>
              </w:rPr>
              <w:t>21.615.587</w:t>
            </w:r>
          </w:p>
        </w:tc>
        <w:tc>
          <w:tcPr>
            <w:tcW w:w="1075" w:type="dxa"/>
            <w:tcBorders>
              <w:top w:val="nil"/>
              <w:bottom w:val="single" w:sz="2" w:space="0" w:color="1F3864" w:themeColor="accent1" w:themeShade="80"/>
            </w:tcBorders>
            <w:shd w:val="clear" w:color="auto" w:fill="auto"/>
            <w:vAlign w:val="center"/>
          </w:tcPr>
          <w:p w14:paraId="33C782C2" w14:textId="77777777" w:rsidR="00263EF9" w:rsidRPr="0064696C" w:rsidRDefault="00263EF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BF2AAF">
              <w:rPr>
                <w:rFonts w:ascii="Arial" w:hAnsi="Arial" w:cs="Arial"/>
                <w:b/>
                <w:bCs/>
                <w:color w:val="000000"/>
                <w:sz w:val="14"/>
                <w:szCs w:val="14"/>
              </w:rPr>
              <w:t>18.272.622</w:t>
            </w:r>
          </w:p>
        </w:tc>
      </w:tr>
    </w:tbl>
    <w:p w14:paraId="7C9DAF7C" w14:textId="24D70E0C" w:rsidR="009F687E" w:rsidRPr="00BF2AAF" w:rsidRDefault="00263EF9" w:rsidP="009F687E">
      <w:pPr>
        <w:spacing w:after="0" w:line="240" w:lineRule="auto"/>
        <w:jc w:val="both"/>
        <w:rPr>
          <w:rFonts w:ascii="Arial" w:hAnsi="Arial" w:cs="Arial"/>
          <w:sz w:val="14"/>
          <w:szCs w:val="14"/>
        </w:rPr>
      </w:pPr>
      <w:r w:rsidRPr="0064696C">
        <w:rPr>
          <w:rFonts w:ascii="Arial" w:hAnsi="Arial" w:cs="Arial"/>
          <w:sz w:val="14"/>
          <w:szCs w:val="14"/>
        </w:rPr>
        <w:t>As notas explicativas são parte integrante das demonstrações contábeis.</w:t>
      </w:r>
    </w:p>
    <w:bookmarkEnd w:id="13"/>
    <w:bookmarkEnd w:id="14"/>
    <w:p w14:paraId="2EA31F26" w14:textId="4D362CA5" w:rsidR="006E7795" w:rsidRPr="00722F1A" w:rsidRDefault="006E7795" w:rsidP="00722F1A">
      <w:pPr>
        <w:spacing w:after="0" w:line="240" w:lineRule="auto"/>
        <w:jc w:val="both"/>
        <w:rPr>
          <w:rFonts w:ascii="Arial" w:hAnsi="Arial" w:cs="Arial"/>
          <w:sz w:val="14"/>
          <w:szCs w:val="14"/>
        </w:rPr>
      </w:pPr>
      <w:r w:rsidRPr="00722F1A">
        <w:rPr>
          <w:rFonts w:ascii="Arial" w:hAnsi="Arial" w:cs="Arial"/>
          <w:sz w:val="20"/>
          <w:szCs w:val="20"/>
        </w:rPr>
        <w:br w:type="page"/>
      </w:r>
    </w:p>
    <w:p w14:paraId="7B181073" w14:textId="77777777" w:rsidR="007D4AB0" w:rsidRPr="00BF2AAF" w:rsidRDefault="007D4AB0" w:rsidP="007D4AB0">
      <w:pPr>
        <w:keepNext/>
        <w:keepLines/>
        <w:spacing w:before="360" w:after="40" w:line="259" w:lineRule="auto"/>
        <w:jc w:val="both"/>
        <w:outlineLvl w:val="0"/>
        <w:rPr>
          <w:rFonts w:ascii="Arial" w:eastAsiaTheme="majorEastAsia" w:hAnsi="Arial" w:cs="Arial"/>
          <w:b/>
          <w:color w:val="1F3864" w:themeColor="accent1" w:themeShade="80"/>
          <w:sz w:val="20"/>
          <w:szCs w:val="20"/>
        </w:rPr>
      </w:pPr>
      <w:bookmarkStart w:id="15" w:name="_Toc189757061"/>
      <w:r w:rsidRPr="00BF2AAF">
        <w:rPr>
          <w:rFonts w:ascii="Arial" w:eastAsiaTheme="majorEastAsia" w:hAnsi="Arial" w:cs="Arial"/>
          <w:b/>
          <w:color w:val="1F3864" w:themeColor="accent1" w:themeShade="80"/>
          <w:sz w:val="20"/>
          <w:szCs w:val="20"/>
        </w:rPr>
        <w:lastRenderedPageBreak/>
        <w:t>DEMONSTRAÇÃO DOS FLUXOS DE CAIXA</w:t>
      </w:r>
      <w:bookmarkEnd w:id="15"/>
    </w:p>
    <w:p w14:paraId="6D9766DF" w14:textId="77777777" w:rsidR="00722F1A" w:rsidRDefault="00722F1A" w:rsidP="00AD012B">
      <w:pPr>
        <w:spacing w:after="160" w:line="259" w:lineRule="auto"/>
        <w:rPr>
          <w:rFonts w:ascii="Arial" w:eastAsiaTheme="minorHAnsi" w:hAnsi="Arial" w:cs="Arial"/>
          <w:sz w:val="14"/>
          <w:szCs w:val="14"/>
        </w:rPr>
      </w:pPr>
    </w:p>
    <w:p w14:paraId="797A2BEE" w14:textId="77777777" w:rsidR="00612611" w:rsidRPr="00BF2AAF" w:rsidRDefault="00612611" w:rsidP="00612611">
      <w:pPr>
        <w:spacing w:after="0" w:line="240" w:lineRule="auto"/>
        <w:ind w:right="-1"/>
        <w:jc w:val="right"/>
        <w:rPr>
          <w:rFonts w:ascii="Arial" w:eastAsia="Times New Roman" w:hAnsi="Arial" w:cs="Arial"/>
          <w:b/>
          <w:spacing w:val="-2"/>
          <w:sz w:val="14"/>
          <w:szCs w:val="14"/>
          <w:lang w:eastAsia="pt-BR"/>
        </w:rPr>
      </w:pPr>
      <w:r w:rsidRPr="00BF2AAF">
        <w:rPr>
          <w:rFonts w:ascii="Arial" w:eastAsia="Times New Roman" w:hAnsi="Arial" w:cs="Arial"/>
          <w:b/>
          <w:spacing w:val="-2"/>
          <w:sz w:val="14"/>
          <w:szCs w:val="14"/>
          <w:lang w:eastAsia="pt-BR"/>
        </w:rPr>
        <w:t>R$ mil</w:t>
      </w:r>
    </w:p>
    <w:tbl>
      <w:tblPr>
        <w:tblStyle w:val="TabeladeLista6Colorida-nfase5"/>
        <w:tblW w:w="9781" w:type="dxa"/>
        <w:jc w:val="center"/>
        <w:tblLayout w:type="fixed"/>
        <w:tblLook w:val="04A0" w:firstRow="1" w:lastRow="0" w:firstColumn="1" w:lastColumn="0" w:noHBand="0" w:noVBand="1"/>
      </w:tblPr>
      <w:tblGrid>
        <w:gridCol w:w="3839"/>
        <w:gridCol w:w="556"/>
        <w:gridCol w:w="1240"/>
        <w:gridCol w:w="1311"/>
        <w:gridCol w:w="280"/>
        <w:gridCol w:w="1241"/>
        <w:gridCol w:w="1314"/>
      </w:tblGrid>
      <w:tr w:rsidR="00612611" w:rsidRPr="00BF2AAF" w14:paraId="6F6DF9DD" w14:textId="77777777">
        <w:trPr>
          <w:cnfStyle w:val="100000000000" w:firstRow="1" w:lastRow="0" w:firstColumn="0" w:lastColumn="0" w:oddVBand="0" w:evenVBand="0" w:oddHBand="0"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3839" w:type="dxa"/>
            <w:tcBorders>
              <w:top w:val="single" w:sz="2" w:space="0" w:color="1F3864" w:themeColor="accent1" w:themeShade="80"/>
              <w:bottom w:val="nil"/>
            </w:tcBorders>
            <w:shd w:val="clear" w:color="auto" w:fill="auto"/>
            <w:vAlign w:val="center"/>
          </w:tcPr>
          <w:p w14:paraId="5EF443F8" w14:textId="77777777" w:rsidR="00612611" w:rsidRPr="00BF2AAF" w:rsidRDefault="00612611">
            <w:pPr>
              <w:jc w:val="center"/>
              <w:rPr>
                <w:rFonts w:ascii="Arial" w:hAnsi="Arial" w:cs="Arial"/>
                <w:sz w:val="14"/>
                <w:szCs w:val="14"/>
              </w:rPr>
            </w:pPr>
            <w:bookmarkStart w:id="16" w:name="_Hlk59629491"/>
          </w:p>
        </w:tc>
        <w:tc>
          <w:tcPr>
            <w:tcW w:w="556" w:type="dxa"/>
            <w:tcBorders>
              <w:top w:val="single" w:sz="2" w:space="0" w:color="1F3864" w:themeColor="accent1" w:themeShade="80"/>
              <w:bottom w:val="nil"/>
            </w:tcBorders>
            <w:shd w:val="clear" w:color="auto" w:fill="auto"/>
            <w:vAlign w:val="center"/>
          </w:tcPr>
          <w:p w14:paraId="5BE05A55" w14:textId="77777777" w:rsidR="00612611" w:rsidRPr="00BF2AAF" w:rsidRDefault="00612611">
            <w:pP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2551" w:type="dxa"/>
            <w:gridSpan w:val="2"/>
            <w:tcBorders>
              <w:top w:val="single" w:sz="2" w:space="0" w:color="1F3864" w:themeColor="accent1" w:themeShade="80"/>
              <w:bottom w:val="single" w:sz="2" w:space="0" w:color="1F3864" w:themeColor="accent1" w:themeShade="80"/>
            </w:tcBorders>
            <w:shd w:val="clear" w:color="auto" w:fill="auto"/>
            <w:vAlign w:val="center"/>
          </w:tcPr>
          <w:p w14:paraId="48F65588" w14:textId="77777777" w:rsidR="00612611" w:rsidRPr="00BF2AAF" w:rsidRDefault="00612611">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BF2AAF">
              <w:rPr>
                <w:rFonts w:ascii="Arial" w:hAnsi="Arial" w:cs="Arial"/>
                <w:sz w:val="14"/>
                <w:szCs w:val="14"/>
              </w:rPr>
              <w:t>Controlador</w:t>
            </w:r>
          </w:p>
        </w:tc>
        <w:tc>
          <w:tcPr>
            <w:tcW w:w="280" w:type="dxa"/>
            <w:tcBorders>
              <w:top w:val="single" w:sz="2" w:space="0" w:color="1F3864" w:themeColor="accent1" w:themeShade="80"/>
              <w:bottom w:val="nil"/>
            </w:tcBorders>
            <w:shd w:val="clear" w:color="auto" w:fill="auto"/>
            <w:vAlign w:val="center"/>
          </w:tcPr>
          <w:p w14:paraId="2D3C1667" w14:textId="77777777" w:rsidR="00612611" w:rsidRPr="00BF2AAF" w:rsidRDefault="00612611">
            <w:pP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2555" w:type="dxa"/>
            <w:gridSpan w:val="2"/>
            <w:tcBorders>
              <w:top w:val="single" w:sz="2" w:space="0" w:color="1F3864" w:themeColor="accent1" w:themeShade="80"/>
              <w:bottom w:val="single" w:sz="2" w:space="0" w:color="1F3864" w:themeColor="accent1" w:themeShade="80"/>
            </w:tcBorders>
            <w:shd w:val="clear" w:color="auto" w:fill="auto"/>
            <w:vAlign w:val="center"/>
          </w:tcPr>
          <w:p w14:paraId="753438A5" w14:textId="77777777" w:rsidR="00612611" w:rsidRPr="00BF2AAF" w:rsidRDefault="00612611">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BF2AAF">
              <w:rPr>
                <w:rFonts w:ascii="Arial" w:hAnsi="Arial" w:cs="Arial"/>
                <w:sz w:val="14"/>
                <w:szCs w:val="14"/>
              </w:rPr>
              <w:t>Consolidado</w:t>
            </w:r>
          </w:p>
        </w:tc>
      </w:tr>
      <w:bookmarkEnd w:id="16"/>
      <w:tr w:rsidR="00612611" w:rsidRPr="00BF2AAF" w14:paraId="1F4E4C8E"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single" w:sz="2" w:space="0" w:color="1F3864" w:themeColor="accent1" w:themeShade="80"/>
            </w:tcBorders>
            <w:shd w:val="clear" w:color="auto" w:fill="auto"/>
            <w:vAlign w:val="center"/>
          </w:tcPr>
          <w:p w14:paraId="69179116" w14:textId="77777777" w:rsidR="00612611" w:rsidRPr="00BF2AAF" w:rsidRDefault="00612611">
            <w:pPr>
              <w:keepNext/>
              <w:keepLines/>
              <w:spacing w:before="40" w:after="40"/>
              <w:rPr>
                <w:rFonts w:ascii="Arial" w:eastAsia="Times New Roman" w:hAnsi="Arial" w:cs="Arial"/>
                <w:spacing w:val="-2"/>
                <w:sz w:val="14"/>
                <w:szCs w:val="14"/>
                <w:lang w:eastAsia="pt-BR"/>
              </w:rPr>
            </w:pPr>
          </w:p>
        </w:tc>
        <w:tc>
          <w:tcPr>
            <w:tcW w:w="556" w:type="dxa"/>
            <w:tcBorders>
              <w:top w:val="nil"/>
              <w:bottom w:val="single" w:sz="2" w:space="0" w:color="1F3864" w:themeColor="accent1" w:themeShade="80"/>
            </w:tcBorders>
            <w:shd w:val="clear" w:color="auto" w:fill="auto"/>
            <w:vAlign w:val="center"/>
          </w:tcPr>
          <w:p w14:paraId="4825F84C" w14:textId="77777777" w:rsidR="00612611" w:rsidRPr="00BF2AAF" w:rsidRDefault="00612611">
            <w:pPr>
              <w:keepNext/>
              <w:keepLines/>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BF2AAF">
              <w:rPr>
                <w:rFonts w:ascii="Arial" w:eastAsia="Times New Roman" w:hAnsi="Arial" w:cs="Arial"/>
                <w:b/>
                <w:spacing w:val="-2"/>
                <w:sz w:val="14"/>
                <w:szCs w:val="14"/>
                <w:lang w:eastAsia="pt-BR"/>
              </w:rPr>
              <w:t>Nota</w:t>
            </w:r>
          </w:p>
        </w:tc>
        <w:tc>
          <w:tcPr>
            <w:tcW w:w="1240" w:type="dxa"/>
            <w:tcBorders>
              <w:top w:val="single" w:sz="2" w:space="0" w:color="1F3864" w:themeColor="accent1" w:themeShade="80"/>
              <w:bottom w:val="single" w:sz="2" w:space="0" w:color="1F3864" w:themeColor="accent1" w:themeShade="80"/>
            </w:tcBorders>
            <w:shd w:val="clear" w:color="auto" w:fill="auto"/>
            <w:vAlign w:val="center"/>
          </w:tcPr>
          <w:p w14:paraId="73B34663" w14:textId="77777777" w:rsidR="00612611" w:rsidRPr="00BF2AAF" w:rsidRDefault="0061261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BF2AAF">
              <w:rPr>
                <w:rFonts w:ascii="Arial" w:eastAsia="Times New Roman" w:hAnsi="Arial" w:cs="Arial"/>
                <w:b/>
                <w:spacing w:val="-2"/>
                <w:sz w:val="14"/>
                <w:szCs w:val="14"/>
                <w:lang w:eastAsia="pt-BR"/>
              </w:rPr>
              <w:t>Exercício 202</w:t>
            </w:r>
            <w:r>
              <w:rPr>
                <w:rFonts w:ascii="Arial" w:eastAsia="Times New Roman" w:hAnsi="Arial" w:cs="Arial"/>
                <w:b/>
                <w:spacing w:val="-2"/>
                <w:sz w:val="14"/>
                <w:szCs w:val="14"/>
                <w:lang w:eastAsia="pt-BR"/>
              </w:rPr>
              <w:t>4</w:t>
            </w:r>
          </w:p>
        </w:tc>
        <w:tc>
          <w:tcPr>
            <w:tcW w:w="1311" w:type="dxa"/>
            <w:tcBorders>
              <w:top w:val="single" w:sz="2" w:space="0" w:color="1F3864" w:themeColor="accent1" w:themeShade="80"/>
              <w:bottom w:val="single" w:sz="2" w:space="0" w:color="1F3864" w:themeColor="accent1" w:themeShade="80"/>
            </w:tcBorders>
            <w:shd w:val="clear" w:color="auto" w:fill="auto"/>
            <w:vAlign w:val="center"/>
          </w:tcPr>
          <w:p w14:paraId="3FA02872" w14:textId="77777777" w:rsidR="00612611" w:rsidRPr="00BF2AAF" w:rsidRDefault="0061261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BF2AAF">
              <w:rPr>
                <w:rFonts w:ascii="Arial" w:eastAsia="Times New Roman" w:hAnsi="Arial" w:cs="Arial"/>
                <w:b/>
                <w:spacing w:val="-2"/>
                <w:sz w:val="14"/>
                <w:szCs w:val="14"/>
                <w:lang w:eastAsia="pt-BR"/>
              </w:rPr>
              <w:t>Exercício 202</w:t>
            </w:r>
            <w:r>
              <w:rPr>
                <w:rFonts w:ascii="Arial" w:eastAsia="Times New Roman" w:hAnsi="Arial" w:cs="Arial"/>
                <w:b/>
                <w:spacing w:val="-2"/>
                <w:sz w:val="14"/>
                <w:szCs w:val="14"/>
                <w:lang w:eastAsia="pt-BR"/>
              </w:rPr>
              <w:t>3</w:t>
            </w:r>
            <w:r w:rsidRPr="00BF2AAF">
              <w:rPr>
                <w:rFonts w:ascii="Arial" w:eastAsia="Times New Roman" w:hAnsi="Arial" w:cs="Arial"/>
                <w:b/>
                <w:spacing w:val="-2"/>
                <w:sz w:val="14"/>
                <w:szCs w:val="14"/>
                <w:lang w:eastAsia="pt-BR"/>
              </w:rPr>
              <w:t xml:space="preserve"> </w:t>
            </w:r>
          </w:p>
        </w:tc>
        <w:tc>
          <w:tcPr>
            <w:tcW w:w="280" w:type="dxa"/>
            <w:tcBorders>
              <w:top w:val="nil"/>
              <w:bottom w:val="single" w:sz="2" w:space="0" w:color="1F3864" w:themeColor="accent1" w:themeShade="80"/>
            </w:tcBorders>
            <w:shd w:val="clear" w:color="auto" w:fill="auto"/>
            <w:vAlign w:val="center"/>
          </w:tcPr>
          <w:p w14:paraId="7E3C6737" w14:textId="77777777" w:rsidR="00612611" w:rsidRPr="00BF2AAF" w:rsidRDefault="00612611">
            <w:pPr>
              <w:keepNext/>
              <w:keepLines/>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241" w:type="dxa"/>
            <w:tcBorders>
              <w:top w:val="single" w:sz="2" w:space="0" w:color="1F3864" w:themeColor="accent1" w:themeShade="80"/>
              <w:bottom w:val="single" w:sz="2" w:space="0" w:color="1F3864" w:themeColor="accent1" w:themeShade="80"/>
            </w:tcBorders>
            <w:shd w:val="clear" w:color="auto" w:fill="auto"/>
            <w:vAlign w:val="center"/>
          </w:tcPr>
          <w:p w14:paraId="6E50A5F5" w14:textId="77777777" w:rsidR="00612611" w:rsidRPr="00BF2AAF" w:rsidRDefault="0061261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BF2AAF">
              <w:rPr>
                <w:rFonts w:ascii="Arial" w:eastAsia="Times New Roman" w:hAnsi="Arial" w:cs="Arial"/>
                <w:b/>
                <w:spacing w:val="-2"/>
                <w:sz w:val="14"/>
                <w:szCs w:val="14"/>
                <w:lang w:eastAsia="pt-BR"/>
              </w:rPr>
              <w:t>Exercício 202</w:t>
            </w:r>
            <w:r>
              <w:rPr>
                <w:rFonts w:ascii="Arial" w:eastAsia="Times New Roman" w:hAnsi="Arial" w:cs="Arial"/>
                <w:b/>
                <w:spacing w:val="-2"/>
                <w:sz w:val="14"/>
                <w:szCs w:val="14"/>
                <w:lang w:eastAsia="pt-BR"/>
              </w:rPr>
              <w:t>4</w:t>
            </w:r>
          </w:p>
        </w:tc>
        <w:tc>
          <w:tcPr>
            <w:tcW w:w="1314" w:type="dxa"/>
            <w:tcBorders>
              <w:top w:val="single" w:sz="2" w:space="0" w:color="1F3864" w:themeColor="accent1" w:themeShade="80"/>
              <w:bottom w:val="single" w:sz="2" w:space="0" w:color="1F3864" w:themeColor="accent1" w:themeShade="80"/>
            </w:tcBorders>
            <w:shd w:val="clear" w:color="auto" w:fill="auto"/>
            <w:vAlign w:val="center"/>
          </w:tcPr>
          <w:p w14:paraId="26FBA74F" w14:textId="77777777" w:rsidR="00612611" w:rsidRPr="00BF2AAF" w:rsidRDefault="0061261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BF2AAF">
              <w:rPr>
                <w:rFonts w:ascii="Arial" w:eastAsia="Times New Roman" w:hAnsi="Arial" w:cs="Arial"/>
                <w:b/>
                <w:spacing w:val="-2"/>
                <w:sz w:val="14"/>
                <w:szCs w:val="14"/>
                <w:lang w:eastAsia="pt-BR"/>
              </w:rPr>
              <w:t>Exercício 202</w:t>
            </w:r>
            <w:r>
              <w:rPr>
                <w:rFonts w:ascii="Arial" w:eastAsia="Times New Roman" w:hAnsi="Arial" w:cs="Arial"/>
                <w:b/>
                <w:spacing w:val="-2"/>
                <w:sz w:val="14"/>
                <w:szCs w:val="14"/>
                <w:lang w:eastAsia="pt-BR"/>
              </w:rPr>
              <w:t>3</w:t>
            </w:r>
          </w:p>
        </w:tc>
      </w:tr>
      <w:tr w:rsidR="00612611" w:rsidRPr="00BF2AAF" w14:paraId="5B2DBCD3" w14:textId="77777777">
        <w:trPr>
          <w:cnfStyle w:val="000000010000" w:firstRow="0" w:lastRow="0" w:firstColumn="0" w:lastColumn="0" w:oddVBand="0" w:evenVBand="0" w:oddHBand="0" w:evenHBand="1" w:firstRowFirstColumn="0" w:firstRowLastColumn="0" w:lastRowFirstColumn="0" w:lastRowLastColumn="0"/>
          <w:trHeight w:val="464"/>
          <w:jc w:val="center"/>
        </w:trPr>
        <w:tc>
          <w:tcPr>
            <w:cnfStyle w:val="001000000000" w:firstRow="0" w:lastRow="0" w:firstColumn="1" w:lastColumn="0" w:oddVBand="0" w:evenVBand="0" w:oddHBand="0" w:evenHBand="0" w:firstRowFirstColumn="0" w:firstRowLastColumn="0" w:lastRowFirstColumn="0" w:lastRowLastColumn="0"/>
            <w:tcW w:w="3839" w:type="dxa"/>
            <w:tcBorders>
              <w:top w:val="single" w:sz="2" w:space="0" w:color="1F3864" w:themeColor="accent1" w:themeShade="80"/>
              <w:bottom w:val="nil"/>
            </w:tcBorders>
            <w:shd w:val="clear" w:color="auto" w:fill="auto"/>
            <w:vAlign w:val="center"/>
          </w:tcPr>
          <w:p w14:paraId="19DBA8AC" w14:textId="77777777" w:rsidR="00612611" w:rsidRPr="00BF2AAF" w:rsidRDefault="00612611">
            <w:pPr>
              <w:keepNext/>
              <w:keepLines/>
              <w:spacing w:before="40" w:after="4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Fluxos de Caixa Provenientes das Atividades Operacionais</w:t>
            </w:r>
          </w:p>
        </w:tc>
        <w:tc>
          <w:tcPr>
            <w:tcW w:w="556" w:type="dxa"/>
            <w:tcBorders>
              <w:top w:val="single" w:sz="2" w:space="0" w:color="1F3864" w:themeColor="accent1" w:themeShade="80"/>
              <w:bottom w:val="nil"/>
            </w:tcBorders>
            <w:shd w:val="clear" w:color="auto" w:fill="auto"/>
            <w:vAlign w:val="center"/>
          </w:tcPr>
          <w:p w14:paraId="1AE29418" w14:textId="77777777" w:rsidR="00612611" w:rsidRPr="00BF2AAF" w:rsidRDefault="0061261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single" w:sz="2" w:space="0" w:color="1F3864" w:themeColor="accent1" w:themeShade="80"/>
              <w:bottom w:val="nil"/>
            </w:tcBorders>
            <w:shd w:val="clear" w:color="auto" w:fill="auto"/>
            <w:vAlign w:val="center"/>
          </w:tcPr>
          <w:p w14:paraId="01582CBF" w14:textId="77777777" w:rsidR="00612611" w:rsidRPr="00BF2AAF" w:rsidRDefault="0061261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311" w:type="dxa"/>
            <w:tcBorders>
              <w:top w:val="single" w:sz="2" w:space="0" w:color="1F3864" w:themeColor="accent1" w:themeShade="80"/>
              <w:bottom w:val="nil"/>
            </w:tcBorders>
            <w:shd w:val="clear" w:color="auto" w:fill="auto"/>
            <w:vAlign w:val="center"/>
          </w:tcPr>
          <w:p w14:paraId="2EB94E90" w14:textId="77777777" w:rsidR="00612611" w:rsidRPr="00BF2AAF" w:rsidRDefault="0061261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280" w:type="dxa"/>
            <w:tcBorders>
              <w:top w:val="single" w:sz="2" w:space="0" w:color="1F3864" w:themeColor="accent1" w:themeShade="80"/>
              <w:bottom w:val="nil"/>
            </w:tcBorders>
            <w:shd w:val="clear" w:color="auto" w:fill="auto"/>
            <w:vAlign w:val="center"/>
          </w:tcPr>
          <w:p w14:paraId="1607C67A" w14:textId="77777777" w:rsidR="00612611" w:rsidRPr="00BF2AAF" w:rsidRDefault="0061261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single" w:sz="2" w:space="0" w:color="1F3864" w:themeColor="accent1" w:themeShade="80"/>
              <w:bottom w:val="nil"/>
            </w:tcBorders>
            <w:shd w:val="clear" w:color="auto" w:fill="auto"/>
            <w:vAlign w:val="center"/>
          </w:tcPr>
          <w:p w14:paraId="43560555" w14:textId="77777777" w:rsidR="00612611" w:rsidRPr="00BF2AAF" w:rsidRDefault="0061261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314" w:type="dxa"/>
            <w:tcBorders>
              <w:top w:val="single" w:sz="2" w:space="0" w:color="1F3864" w:themeColor="accent1" w:themeShade="80"/>
              <w:bottom w:val="nil"/>
            </w:tcBorders>
            <w:shd w:val="clear" w:color="auto" w:fill="auto"/>
            <w:vAlign w:val="center"/>
          </w:tcPr>
          <w:p w14:paraId="56176941" w14:textId="77777777" w:rsidR="00612611" w:rsidRPr="00BF2AAF" w:rsidRDefault="0061261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r>
      <w:tr w:rsidR="00612611" w:rsidRPr="00BF2AAF" w14:paraId="66F4A670"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04B1DF2B" w14:textId="77777777" w:rsidR="00612611" w:rsidRPr="00BF2AAF" w:rsidRDefault="00612611">
            <w:pPr>
              <w:keepNext/>
              <w:keepLines/>
              <w:spacing w:before="40" w:after="40"/>
              <w:ind w:left="113"/>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Lucro Líquido do Exercício</w:t>
            </w:r>
          </w:p>
        </w:tc>
        <w:tc>
          <w:tcPr>
            <w:tcW w:w="556" w:type="dxa"/>
            <w:tcBorders>
              <w:top w:val="nil"/>
              <w:bottom w:val="nil"/>
            </w:tcBorders>
            <w:shd w:val="clear" w:color="auto" w:fill="auto"/>
            <w:vAlign w:val="center"/>
          </w:tcPr>
          <w:p w14:paraId="36CB3968" w14:textId="77777777" w:rsidR="00612611" w:rsidRPr="00BF2AAF" w:rsidRDefault="0061261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240" w:type="dxa"/>
            <w:tcBorders>
              <w:top w:val="nil"/>
              <w:left w:val="nil"/>
              <w:bottom w:val="nil"/>
              <w:right w:val="nil"/>
            </w:tcBorders>
            <w:shd w:val="clear" w:color="auto" w:fill="auto"/>
            <w:vAlign w:val="center"/>
          </w:tcPr>
          <w:p w14:paraId="2D661AE2" w14:textId="77777777" w:rsidR="00612611" w:rsidRPr="00BF2AAF" w:rsidRDefault="0061261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C82AD0">
              <w:rPr>
                <w:rFonts w:ascii="Arial" w:eastAsia="Times New Roman" w:hAnsi="Arial" w:cs="Arial"/>
                <w:b/>
                <w:bCs/>
                <w:spacing w:val="-2"/>
                <w:sz w:val="14"/>
                <w:szCs w:val="14"/>
                <w:lang w:eastAsia="pt-BR"/>
              </w:rPr>
              <w:t>8.703.353</w:t>
            </w:r>
          </w:p>
        </w:tc>
        <w:tc>
          <w:tcPr>
            <w:tcW w:w="1311" w:type="dxa"/>
            <w:tcBorders>
              <w:top w:val="nil"/>
              <w:left w:val="nil"/>
              <w:bottom w:val="nil"/>
              <w:right w:val="nil"/>
            </w:tcBorders>
            <w:shd w:val="clear" w:color="auto" w:fill="auto"/>
            <w:vAlign w:val="center"/>
          </w:tcPr>
          <w:p w14:paraId="41220A3F" w14:textId="77777777" w:rsidR="00612611" w:rsidRPr="00BF2AAF" w:rsidRDefault="0061261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highlight w:val="yellow"/>
                <w:lang w:eastAsia="pt-BR"/>
              </w:rPr>
            </w:pPr>
            <w:r w:rsidRPr="00BF2AAF">
              <w:rPr>
                <w:rFonts w:ascii="Arial" w:eastAsia="Times New Roman" w:hAnsi="Arial" w:cs="Arial"/>
                <w:b/>
                <w:spacing w:val="-2"/>
                <w:sz w:val="14"/>
                <w:szCs w:val="14"/>
                <w:lang w:eastAsia="pt-BR"/>
              </w:rPr>
              <w:t>7.947.203</w:t>
            </w:r>
          </w:p>
        </w:tc>
        <w:tc>
          <w:tcPr>
            <w:tcW w:w="280" w:type="dxa"/>
            <w:tcBorders>
              <w:top w:val="nil"/>
              <w:bottom w:val="nil"/>
            </w:tcBorders>
            <w:shd w:val="clear" w:color="auto" w:fill="auto"/>
            <w:vAlign w:val="center"/>
          </w:tcPr>
          <w:p w14:paraId="51EFEAED" w14:textId="77777777" w:rsidR="00612611" w:rsidRPr="00BF2AAF" w:rsidRDefault="0061261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highlight w:val="yellow"/>
                <w:lang w:eastAsia="pt-BR"/>
              </w:rPr>
            </w:pPr>
          </w:p>
        </w:tc>
        <w:tc>
          <w:tcPr>
            <w:tcW w:w="1241" w:type="dxa"/>
            <w:tcBorders>
              <w:top w:val="nil"/>
              <w:left w:val="nil"/>
              <w:bottom w:val="nil"/>
              <w:right w:val="nil"/>
            </w:tcBorders>
            <w:shd w:val="clear" w:color="auto" w:fill="auto"/>
            <w:vAlign w:val="center"/>
          </w:tcPr>
          <w:p w14:paraId="7C147058" w14:textId="77777777" w:rsidR="00612611" w:rsidRPr="00BF2AAF" w:rsidRDefault="0061261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r w:rsidRPr="005A0324">
              <w:rPr>
                <w:rFonts w:ascii="Arial" w:eastAsia="Times New Roman" w:hAnsi="Arial" w:cs="Arial"/>
                <w:b/>
                <w:bCs/>
                <w:spacing w:val="-2"/>
                <w:sz w:val="14"/>
                <w:szCs w:val="14"/>
                <w:lang w:eastAsia="pt-BR"/>
              </w:rPr>
              <w:t>8.703.353</w:t>
            </w:r>
          </w:p>
        </w:tc>
        <w:tc>
          <w:tcPr>
            <w:tcW w:w="1314" w:type="dxa"/>
            <w:tcBorders>
              <w:top w:val="nil"/>
              <w:left w:val="nil"/>
              <w:bottom w:val="nil"/>
              <w:right w:val="nil"/>
            </w:tcBorders>
            <w:shd w:val="clear" w:color="auto" w:fill="auto"/>
            <w:vAlign w:val="center"/>
          </w:tcPr>
          <w:p w14:paraId="3726CF8A" w14:textId="77777777" w:rsidR="00612611" w:rsidRPr="00BF2AAF" w:rsidRDefault="0061261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r w:rsidRPr="00BF2AAF">
              <w:rPr>
                <w:rFonts w:ascii="Arial" w:eastAsia="Times New Roman" w:hAnsi="Arial" w:cs="Arial"/>
                <w:b/>
                <w:spacing w:val="-2"/>
                <w:sz w:val="14"/>
                <w:szCs w:val="14"/>
                <w:lang w:eastAsia="pt-BR"/>
              </w:rPr>
              <w:t>7.947.203</w:t>
            </w:r>
          </w:p>
        </w:tc>
      </w:tr>
      <w:tr w:rsidR="00612611" w:rsidRPr="00BF2AAF" w14:paraId="3FD97E6B"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52A21790" w14:textId="77777777" w:rsidR="00612611" w:rsidRPr="00BF2AAF" w:rsidRDefault="00612611">
            <w:pPr>
              <w:keepNext/>
              <w:keepLines/>
              <w:spacing w:before="40" w:after="40"/>
              <w:ind w:left="113"/>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Ajustes ao Lucro:</w:t>
            </w:r>
          </w:p>
        </w:tc>
        <w:tc>
          <w:tcPr>
            <w:tcW w:w="556" w:type="dxa"/>
            <w:tcBorders>
              <w:top w:val="nil"/>
              <w:bottom w:val="nil"/>
            </w:tcBorders>
            <w:shd w:val="clear" w:color="auto" w:fill="auto"/>
            <w:vAlign w:val="center"/>
          </w:tcPr>
          <w:p w14:paraId="2F6ED956" w14:textId="77777777" w:rsidR="00612611" w:rsidRPr="00BF2AAF" w:rsidRDefault="0061261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left w:val="nil"/>
              <w:bottom w:val="nil"/>
              <w:right w:val="nil"/>
            </w:tcBorders>
            <w:shd w:val="clear" w:color="auto" w:fill="auto"/>
            <w:vAlign w:val="center"/>
          </w:tcPr>
          <w:p w14:paraId="4A9492E8" w14:textId="77777777" w:rsidR="00612611" w:rsidRPr="00BF2AAF" w:rsidRDefault="0061261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311" w:type="dxa"/>
            <w:tcBorders>
              <w:top w:val="nil"/>
              <w:left w:val="nil"/>
              <w:bottom w:val="nil"/>
              <w:right w:val="nil"/>
            </w:tcBorders>
            <w:shd w:val="clear" w:color="auto" w:fill="auto"/>
            <w:vAlign w:val="center"/>
          </w:tcPr>
          <w:p w14:paraId="40D49FE1" w14:textId="77777777" w:rsidR="00612611" w:rsidRPr="00BF2AAF" w:rsidRDefault="0061261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p>
        </w:tc>
        <w:tc>
          <w:tcPr>
            <w:tcW w:w="280" w:type="dxa"/>
            <w:tcBorders>
              <w:top w:val="nil"/>
              <w:bottom w:val="nil"/>
            </w:tcBorders>
            <w:shd w:val="clear" w:color="auto" w:fill="auto"/>
            <w:vAlign w:val="center"/>
          </w:tcPr>
          <w:p w14:paraId="38064D29" w14:textId="77777777" w:rsidR="00612611" w:rsidRPr="00BF2AAF" w:rsidRDefault="0061261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p>
        </w:tc>
        <w:tc>
          <w:tcPr>
            <w:tcW w:w="1241" w:type="dxa"/>
            <w:tcBorders>
              <w:top w:val="nil"/>
              <w:left w:val="nil"/>
              <w:bottom w:val="nil"/>
              <w:right w:val="nil"/>
            </w:tcBorders>
            <w:shd w:val="clear" w:color="auto" w:fill="auto"/>
            <w:vAlign w:val="center"/>
          </w:tcPr>
          <w:p w14:paraId="64CAF03D" w14:textId="77777777" w:rsidR="00612611" w:rsidRPr="00BF2AAF" w:rsidRDefault="0061261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p>
        </w:tc>
        <w:tc>
          <w:tcPr>
            <w:tcW w:w="1314" w:type="dxa"/>
            <w:tcBorders>
              <w:top w:val="nil"/>
              <w:left w:val="nil"/>
              <w:bottom w:val="nil"/>
              <w:right w:val="nil"/>
            </w:tcBorders>
            <w:shd w:val="clear" w:color="auto" w:fill="auto"/>
            <w:vAlign w:val="center"/>
          </w:tcPr>
          <w:p w14:paraId="586F45E6" w14:textId="77777777" w:rsidR="00612611" w:rsidRPr="00BF2AAF" w:rsidRDefault="0061261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p>
        </w:tc>
      </w:tr>
      <w:tr w:rsidR="00612611" w:rsidRPr="00BF2AAF" w14:paraId="15DD4513"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15D39E00" w14:textId="77777777" w:rsidR="00612611" w:rsidRPr="00BF2AAF" w:rsidRDefault="00612611">
            <w:pPr>
              <w:keepNext/>
              <w:keepLines/>
              <w:spacing w:before="40" w:after="40"/>
              <w:ind w:left="113"/>
              <w:rPr>
                <w:rFonts w:ascii="Arial" w:eastAsia="Times New Roman" w:hAnsi="Arial" w:cs="Arial"/>
                <w:b w:val="0"/>
                <w:bCs w:val="0"/>
                <w:spacing w:val="-2"/>
                <w:sz w:val="14"/>
                <w:szCs w:val="14"/>
                <w:lang w:eastAsia="pt-BR"/>
              </w:rPr>
            </w:pPr>
            <w:r w:rsidRPr="00BF2AAF">
              <w:rPr>
                <w:rFonts w:ascii="Arial" w:eastAsia="Times New Roman" w:hAnsi="Arial" w:cs="Arial"/>
                <w:b w:val="0"/>
                <w:bCs w:val="0"/>
                <w:spacing w:val="-2"/>
                <w:sz w:val="14"/>
                <w:szCs w:val="14"/>
                <w:lang w:eastAsia="pt-BR"/>
              </w:rPr>
              <w:t>Resultado de investimentos em participações societárias</w:t>
            </w:r>
          </w:p>
        </w:tc>
        <w:tc>
          <w:tcPr>
            <w:tcW w:w="556" w:type="dxa"/>
            <w:tcBorders>
              <w:top w:val="nil"/>
              <w:bottom w:val="nil"/>
            </w:tcBorders>
            <w:shd w:val="clear" w:color="auto" w:fill="auto"/>
            <w:vAlign w:val="center"/>
          </w:tcPr>
          <w:p w14:paraId="72611248" w14:textId="77777777" w:rsidR="00612611" w:rsidRPr="00BF2AAF" w:rsidRDefault="0061261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[7.b]</w:t>
            </w:r>
          </w:p>
        </w:tc>
        <w:tc>
          <w:tcPr>
            <w:tcW w:w="1240" w:type="dxa"/>
            <w:tcBorders>
              <w:top w:val="nil"/>
              <w:left w:val="nil"/>
              <w:bottom w:val="nil"/>
              <w:right w:val="nil"/>
            </w:tcBorders>
            <w:shd w:val="clear" w:color="auto" w:fill="auto"/>
            <w:vAlign w:val="center"/>
          </w:tcPr>
          <w:p w14:paraId="11073B69" w14:textId="77777777" w:rsidR="00612611" w:rsidRPr="00BF2AAF" w:rsidRDefault="0061261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C82AD0">
              <w:rPr>
                <w:rFonts w:ascii="Arial" w:eastAsia="Times New Roman" w:hAnsi="Arial" w:cs="Arial"/>
                <w:spacing w:val="-2"/>
                <w:sz w:val="14"/>
                <w:szCs w:val="14"/>
                <w:lang w:eastAsia="pt-BR"/>
              </w:rPr>
              <w:t>(8.683.817)</w:t>
            </w:r>
          </w:p>
        </w:tc>
        <w:tc>
          <w:tcPr>
            <w:tcW w:w="1311" w:type="dxa"/>
            <w:tcBorders>
              <w:top w:val="nil"/>
              <w:left w:val="nil"/>
              <w:bottom w:val="nil"/>
              <w:right w:val="nil"/>
            </w:tcBorders>
            <w:shd w:val="clear" w:color="auto" w:fill="auto"/>
            <w:vAlign w:val="center"/>
          </w:tcPr>
          <w:p w14:paraId="5D7EEA4F" w14:textId="77777777" w:rsidR="00612611" w:rsidRPr="00BF2AAF" w:rsidRDefault="0061261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sidRPr="00BF2AAF">
              <w:rPr>
                <w:rFonts w:ascii="Arial" w:eastAsia="Times New Roman" w:hAnsi="Arial" w:cs="Arial"/>
                <w:spacing w:val="-2"/>
                <w:sz w:val="14"/>
                <w:szCs w:val="14"/>
                <w:lang w:eastAsia="pt-BR"/>
              </w:rPr>
              <w:t>(7.925.902)</w:t>
            </w:r>
          </w:p>
        </w:tc>
        <w:tc>
          <w:tcPr>
            <w:tcW w:w="280" w:type="dxa"/>
            <w:tcBorders>
              <w:top w:val="nil"/>
              <w:bottom w:val="nil"/>
            </w:tcBorders>
            <w:shd w:val="clear" w:color="auto" w:fill="auto"/>
            <w:vAlign w:val="center"/>
          </w:tcPr>
          <w:p w14:paraId="68EFB742" w14:textId="77777777" w:rsidR="00612611" w:rsidRPr="00BF2AAF" w:rsidRDefault="0061261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p>
        </w:tc>
        <w:tc>
          <w:tcPr>
            <w:tcW w:w="1241" w:type="dxa"/>
            <w:tcBorders>
              <w:top w:val="nil"/>
              <w:left w:val="nil"/>
              <w:bottom w:val="nil"/>
              <w:right w:val="nil"/>
            </w:tcBorders>
            <w:shd w:val="clear" w:color="auto" w:fill="auto"/>
            <w:vAlign w:val="center"/>
          </w:tcPr>
          <w:p w14:paraId="4F5641A8" w14:textId="77777777" w:rsidR="00612611" w:rsidRPr="00BF2AAF" w:rsidRDefault="0061261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sidRPr="005A0324">
              <w:rPr>
                <w:rFonts w:ascii="Arial" w:eastAsia="Times New Roman" w:hAnsi="Arial" w:cs="Arial"/>
                <w:spacing w:val="-2"/>
                <w:sz w:val="14"/>
                <w:szCs w:val="14"/>
                <w:lang w:eastAsia="pt-BR"/>
              </w:rPr>
              <w:t>(5.311.964)</w:t>
            </w:r>
          </w:p>
        </w:tc>
        <w:tc>
          <w:tcPr>
            <w:tcW w:w="1314" w:type="dxa"/>
            <w:tcBorders>
              <w:top w:val="nil"/>
              <w:left w:val="nil"/>
              <w:bottom w:val="nil"/>
              <w:right w:val="nil"/>
            </w:tcBorders>
            <w:shd w:val="clear" w:color="auto" w:fill="auto"/>
            <w:vAlign w:val="center"/>
          </w:tcPr>
          <w:p w14:paraId="3B21AC56" w14:textId="77777777" w:rsidR="00612611" w:rsidRPr="00BF2AAF" w:rsidRDefault="0061261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sidRPr="00BF2AAF">
              <w:rPr>
                <w:rFonts w:ascii="Arial" w:eastAsia="Times New Roman" w:hAnsi="Arial" w:cs="Arial"/>
                <w:spacing w:val="-2"/>
                <w:sz w:val="14"/>
                <w:szCs w:val="14"/>
                <w:lang w:eastAsia="pt-BR"/>
              </w:rPr>
              <w:t>(4.890.458)</w:t>
            </w:r>
          </w:p>
        </w:tc>
      </w:tr>
      <w:tr w:rsidR="00612611" w:rsidRPr="00896F67" w14:paraId="73B4E227"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64AF979B" w14:textId="77777777" w:rsidR="00612611" w:rsidRPr="00380D1D" w:rsidRDefault="00612611">
            <w:pPr>
              <w:keepNext/>
              <w:keepLines/>
              <w:spacing w:before="40" w:after="40"/>
              <w:ind w:left="113"/>
              <w:rPr>
                <w:rFonts w:ascii="Arial" w:eastAsia="Times New Roman" w:hAnsi="Arial" w:cs="Arial"/>
                <w:b w:val="0"/>
                <w:bCs w:val="0"/>
                <w:spacing w:val="-2"/>
                <w:sz w:val="14"/>
                <w:szCs w:val="14"/>
                <w:lang w:eastAsia="pt-BR"/>
              </w:rPr>
            </w:pPr>
            <w:r w:rsidRPr="00380D1D">
              <w:rPr>
                <w:rFonts w:ascii="Arial" w:eastAsia="Times New Roman" w:hAnsi="Arial" w:cs="Arial"/>
                <w:b w:val="0"/>
                <w:bCs w:val="0"/>
                <w:spacing w:val="-2"/>
                <w:sz w:val="14"/>
                <w:szCs w:val="14"/>
                <w:lang w:eastAsia="pt-BR"/>
              </w:rPr>
              <w:t>Receita financeira de atualização monetária de dividendos</w:t>
            </w:r>
          </w:p>
        </w:tc>
        <w:tc>
          <w:tcPr>
            <w:tcW w:w="556" w:type="dxa"/>
            <w:tcBorders>
              <w:top w:val="nil"/>
              <w:bottom w:val="nil"/>
            </w:tcBorders>
            <w:shd w:val="clear" w:color="auto" w:fill="auto"/>
            <w:vAlign w:val="center"/>
          </w:tcPr>
          <w:p w14:paraId="3F580DDE" w14:textId="56DD5134" w:rsidR="00612611" w:rsidRPr="00380D1D" w:rsidRDefault="005E2CC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[14]</w:t>
            </w:r>
          </w:p>
        </w:tc>
        <w:tc>
          <w:tcPr>
            <w:tcW w:w="1240" w:type="dxa"/>
            <w:tcBorders>
              <w:top w:val="nil"/>
              <w:left w:val="nil"/>
              <w:bottom w:val="nil"/>
              <w:right w:val="nil"/>
            </w:tcBorders>
            <w:shd w:val="clear" w:color="auto" w:fill="auto"/>
            <w:vAlign w:val="center"/>
          </w:tcPr>
          <w:p w14:paraId="3018E174" w14:textId="77777777" w:rsidR="00612611" w:rsidRPr="00380D1D" w:rsidRDefault="0061261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80D1D">
              <w:rPr>
                <w:rFonts w:ascii="Arial" w:eastAsia="Times New Roman" w:hAnsi="Arial" w:cs="Arial"/>
                <w:spacing w:val="-2"/>
                <w:sz w:val="14"/>
                <w:szCs w:val="14"/>
                <w:lang w:eastAsia="pt-BR"/>
              </w:rPr>
              <w:t>(33.904)</w:t>
            </w:r>
          </w:p>
        </w:tc>
        <w:tc>
          <w:tcPr>
            <w:tcW w:w="1311" w:type="dxa"/>
            <w:tcBorders>
              <w:top w:val="nil"/>
              <w:left w:val="nil"/>
              <w:bottom w:val="nil"/>
              <w:right w:val="nil"/>
            </w:tcBorders>
            <w:shd w:val="clear" w:color="auto" w:fill="auto"/>
            <w:vAlign w:val="center"/>
          </w:tcPr>
          <w:p w14:paraId="458DF6E2" w14:textId="77777777" w:rsidR="00612611" w:rsidRPr="00380D1D" w:rsidRDefault="0061261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80D1D">
              <w:rPr>
                <w:rFonts w:ascii="Arial" w:eastAsia="Times New Roman" w:hAnsi="Arial" w:cs="Arial"/>
                <w:spacing w:val="-2"/>
                <w:sz w:val="14"/>
                <w:szCs w:val="14"/>
                <w:lang w:eastAsia="pt-BR"/>
              </w:rPr>
              <w:t>(203)</w:t>
            </w:r>
          </w:p>
        </w:tc>
        <w:tc>
          <w:tcPr>
            <w:tcW w:w="280" w:type="dxa"/>
            <w:tcBorders>
              <w:top w:val="nil"/>
              <w:bottom w:val="nil"/>
            </w:tcBorders>
            <w:shd w:val="clear" w:color="auto" w:fill="auto"/>
            <w:vAlign w:val="center"/>
          </w:tcPr>
          <w:p w14:paraId="72450A79" w14:textId="77777777" w:rsidR="00612611" w:rsidRPr="00380D1D" w:rsidRDefault="0061261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shd w:val="clear" w:color="auto" w:fill="auto"/>
            <w:vAlign w:val="center"/>
          </w:tcPr>
          <w:p w14:paraId="5DAFC402" w14:textId="77777777" w:rsidR="00612611" w:rsidRPr="00380D1D" w:rsidRDefault="0061261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80D1D">
              <w:rPr>
                <w:rFonts w:ascii="Arial" w:eastAsia="Times New Roman" w:hAnsi="Arial" w:cs="Arial"/>
                <w:spacing w:val="-2"/>
                <w:sz w:val="14"/>
                <w:szCs w:val="14"/>
                <w:lang w:eastAsia="pt-BR"/>
              </w:rPr>
              <w:t>--</w:t>
            </w:r>
          </w:p>
        </w:tc>
        <w:tc>
          <w:tcPr>
            <w:tcW w:w="1314" w:type="dxa"/>
            <w:tcBorders>
              <w:top w:val="nil"/>
              <w:left w:val="nil"/>
              <w:bottom w:val="nil"/>
              <w:right w:val="nil"/>
            </w:tcBorders>
            <w:shd w:val="clear" w:color="auto" w:fill="auto"/>
            <w:vAlign w:val="center"/>
          </w:tcPr>
          <w:p w14:paraId="3AFF6AE7" w14:textId="77777777" w:rsidR="00612611" w:rsidRPr="00380D1D" w:rsidRDefault="0061261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80D1D">
              <w:rPr>
                <w:rFonts w:ascii="Arial" w:eastAsia="Times New Roman" w:hAnsi="Arial" w:cs="Arial"/>
                <w:spacing w:val="-2"/>
                <w:sz w:val="14"/>
                <w:szCs w:val="14"/>
                <w:lang w:eastAsia="pt-BR"/>
              </w:rPr>
              <w:t>--</w:t>
            </w:r>
          </w:p>
        </w:tc>
      </w:tr>
      <w:tr w:rsidR="00612611" w:rsidRPr="00BF2AAF" w14:paraId="6F7C3211"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7D54E1E2" w14:textId="77777777" w:rsidR="00612611" w:rsidRPr="00380D1D" w:rsidRDefault="00612611">
            <w:pPr>
              <w:keepNext/>
              <w:keepLines/>
              <w:spacing w:before="40" w:after="40"/>
              <w:ind w:left="113"/>
              <w:rPr>
                <w:rFonts w:ascii="Arial" w:eastAsia="Times New Roman" w:hAnsi="Arial" w:cs="Arial"/>
                <w:b w:val="0"/>
                <w:bCs w:val="0"/>
                <w:spacing w:val="-2"/>
                <w:sz w:val="14"/>
                <w:szCs w:val="14"/>
                <w:lang w:eastAsia="pt-BR"/>
              </w:rPr>
            </w:pPr>
            <w:r w:rsidRPr="00380D1D">
              <w:rPr>
                <w:rFonts w:ascii="Arial" w:eastAsia="Times New Roman" w:hAnsi="Arial" w:cs="Arial"/>
                <w:b w:val="0"/>
                <w:bCs w:val="0"/>
                <w:spacing w:val="-2"/>
                <w:sz w:val="14"/>
                <w:szCs w:val="14"/>
                <w:lang w:eastAsia="pt-BR"/>
              </w:rPr>
              <w:t>Despesa financeira de atualização monetária de dividendos</w:t>
            </w:r>
          </w:p>
        </w:tc>
        <w:tc>
          <w:tcPr>
            <w:tcW w:w="556" w:type="dxa"/>
            <w:tcBorders>
              <w:top w:val="nil"/>
              <w:bottom w:val="nil"/>
            </w:tcBorders>
            <w:shd w:val="clear" w:color="auto" w:fill="auto"/>
            <w:vAlign w:val="center"/>
          </w:tcPr>
          <w:p w14:paraId="3C6A94B6" w14:textId="03811747" w:rsidR="00612611" w:rsidRPr="00380D1D" w:rsidRDefault="005E2CC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[14]</w:t>
            </w:r>
          </w:p>
        </w:tc>
        <w:tc>
          <w:tcPr>
            <w:tcW w:w="1240" w:type="dxa"/>
            <w:tcBorders>
              <w:top w:val="nil"/>
              <w:left w:val="nil"/>
              <w:bottom w:val="nil"/>
              <w:right w:val="nil"/>
            </w:tcBorders>
            <w:shd w:val="clear" w:color="auto" w:fill="auto"/>
            <w:vAlign w:val="center"/>
          </w:tcPr>
          <w:p w14:paraId="5FD7DC76" w14:textId="77777777" w:rsidR="00612611" w:rsidRPr="00380D1D" w:rsidRDefault="0061261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380D1D">
              <w:rPr>
                <w:rFonts w:ascii="Arial" w:eastAsia="Times New Roman" w:hAnsi="Arial" w:cs="Arial"/>
                <w:spacing w:val="-2"/>
                <w:sz w:val="14"/>
                <w:szCs w:val="14"/>
                <w:lang w:eastAsia="pt-BR"/>
              </w:rPr>
              <w:t>38.377</w:t>
            </w:r>
          </w:p>
        </w:tc>
        <w:tc>
          <w:tcPr>
            <w:tcW w:w="1311" w:type="dxa"/>
            <w:tcBorders>
              <w:top w:val="nil"/>
              <w:left w:val="nil"/>
              <w:bottom w:val="nil"/>
              <w:right w:val="nil"/>
            </w:tcBorders>
            <w:shd w:val="clear" w:color="auto" w:fill="auto"/>
            <w:vAlign w:val="center"/>
          </w:tcPr>
          <w:p w14:paraId="77318C9B" w14:textId="77777777" w:rsidR="00612611" w:rsidRPr="00380D1D" w:rsidRDefault="0061261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380D1D">
              <w:rPr>
                <w:rFonts w:ascii="Arial" w:eastAsia="Times New Roman" w:hAnsi="Arial" w:cs="Arial"/>
                <w:spacing w:val="-2"/>
                <w:sz w:val="14"/>
                <w:szCs w:val="14"/>
                <w:lang w:eastAsia="pt-BR"/>
              </w:rPr>
              <w:t>--</w:t>
            </w:r>
          </w:p>
        </w:tc>
        <w:tc>
          <w:tcPr>
            <w:tcW w:w="280" w:type="dxa"/>
            <w:tcBorders>
              <w:top w:val="nil"/>
              <w:bottom w:val="nil"/>
            </w:tcBorders>
            <w:shd w:val="clear" w:color="auto" w:fill="auto"/>
            <w:vAlign w:val="center"/>
          </w:tcPr>
          <w:p w14:paraId="42EC0C2C" w14:textId="77777777" w:rsidR="00612611" w:rsidRPr="00380D1D" w:rsidRDefault="0061261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shd w:val="clear" w:color="auto" w:fill="auto"/>
            <w:vAlign w:val="center"/>
          </w:tcPr>
          <w:p w14:paraId="749BC32E" w14:textId="77777777" w:rsidR="00612611" w:rsidRPr="00380D1D" w:rsidRDefault="0061261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380D1D">
              <w:rPr>
                <w:rFonts w:ascii="Arial" w:eastAsia="Times New Roman" w:hAnsi="Arial" w:cs="Arial"/>
                <w:spacing w:val="-2"/>
                <w:sz w:val="14"/>
                <w:szCs w:val="14"/>
                <w:lang w:eastAsia="pt-BR"/>
              </w:rPr>
              <w:t>38.377</w:t>
            </w:r>
          </w:p>
        </w:tc>
        <w:tc>
          <w:tcPr>
            <w:tcW w:w="1314" w:type="dxa"/>
            <w:tcBorders>
              <w:top w:val="nil"/>
              <w:left w:val="nil"/>
              <w:bottom w:val="nil"/>
              <w:right w:val="nil"/>
            </w:tcBorders>
            <w:shd w:val="clear" w:color="auto" w:fill="auto"/>
            <w:vAlign w:val="center"/>
          </w:tcPr>
          <w:p w14:paraId="169BBBB1" w14:textId="77777777" w:rsidR="00612611" w:rsidRPr="00380D1D" w:rsidRDefault="0061261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380D1D">
              <w:rPr>
                <w:rFonts w:ascii="Arial" w:eastAsia="Times New Roman" w:hAnsi="Arial" w:cs="Arial"/>
                <w:spacing w:val="-2"/>
                <w:sz w:val="14"/>
                <w:szCs w:val="14"/>
                <w:lang w:eastAsia="pt-BR"/>
              </w:rPr>
              <w:t>77.280</w:t>
            </w:r>
          </w:p>
        </w:tc>
      </w:tr>
      <w:tr w:rsidR="00060A4A" w:rsidRPr="00BF2AAF" w14:paraId="1154C4F1"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596DD0C7" w14:textId="7DC1590A" w:rsidR="00060A4A" w:rsidRPr="00380D1D" w:rsidRDefault="006F5145">
            <w:pPr>
              <w:keepNext/>
              <w:keepLines/>
              <w:spacing w:before="40" w:after="40"/>
              <w:ind w:left="113"/>
              <w:rPr>
                <w:rFonts w:ascii="Arial" w:eastAsia="Times New Roman" w:hAnsi="Arial" w:cs="Arial"/>
                <w:b w:val="0"/>
                <w:bCs w:val="0"/>
                <w:spacing w:val="-2"/>
                <w:sz w:val="14"/>
                <w:szCs w:val="14"/>
                <w:lang w:eastAsia="pt-BR"/>
              </w:rPr>
            </w:pPr>
            <w:r w:rsidRPr="006F5145">
              <w:rPr>
                <w:rFonts w:ascii="Arial" w:eastAsia="Times New Roman" w:hAnsi="Arial" w:cs="Arial"/>
                <w:b w:val="0"/>
                <w:bCs w:val="0"/>
                <w:spacing w:val="-2"/>
                <w:sz w:val="14"/>
                <w:szCs w:val="14"/>
                <w:lang w:eastAsia="pt-BR"/>
              </w:rPr>
              <w:t>Atualização dos ativos financeiros a valor justo por meio do resultado</w:t>
            </w:r>
          </w:p>
        </w:tc>
        <w:tc>
          <w:tcPr>
            <w:tcW w:w="556" w:type="dxa"/>
            <w:tcBorders>
              <w:top w:val="nil"/>
              <w:bottom w:val="nil"/>
            </w:tcBorders>
            <w:shd w:val="clear" w:color="auto" w:fill="auto"/>
            <w:vAlign w:val="center"/>
          </w:tcPr>
          <w:p w14:paraId="64EF3ADB" w14:textId="21426716" w:rsidR="00060A4A" w:rsidRDefault="006F514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[16.a]</w:t>
            </w:r>
          </w:p>
        </w:tc>
        <w:tc>
          <w:tcPr>
            <w:tcW w:w="1240" w:type="dxa"/>
            <w:tcBorders>
              <w:top w:val="nil"/>
              <w:left w:val="nil"/>
              <w:bottom w:val="nil"/>
              <w:right w:val="nil"/>
            </w:tcBorders>
            <w:shd w:val="clear" w:color="auto" w:fill="auto"/>
            <w:vAlign w:val="center"/>
          </w:tcPr>
          <w:p w14:paraId="48B1D839" w14:textId="65F9B958" w:rsidR="00060A4A" w:rsidRPr="00380D1D" w:rsidRDefault="006F5145">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311" w:type="dxa"/>
            <w:tcBorders>
              <w:top w:val="nil"/>
              <w:left w:val="nil"/>
              <w:bottom w:val="nil"/>
              <w:right w:val="nil"/>
            </w:tcBorders>
            <w:shd w:val="clear" w:color="auto" w:fill="auto"/>
            <w:vAlign w:val="center"/>
          </w:tcPr>
          <w:p w14:paraId="69C0D56D" w14:textId="384861E0" w:rsidR="00060A4A" w:rsidRPr="00380D1D" w:rsidRDefault="006F514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w:t>
            </w:r>
          </w:p>
        </w:tc>
        <w:tc>
          <w:tcPr>
            <w:tcW w:w="280" w:type="dxa"/>
            <w:tcBorders>
              <w:top w:val="nil"/>
              <w:bottom w:val="nil"/>
            </w:tcBorders>
            <w:shd w:val="clear" w:color="auto" w:fill="auto"/>
            <w:vAlign w:val="center"/>
          </w:tcPr>
          <w:p w14:paraId="25C8A4D2" w14:textId="77777777" w:rsidR="00060A4A" w:rsidRPr="00380D1D" w:rsidRDefault="00060A4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shd w:val="clear" w:color="auto" w:fill="auto"/>
            <w:vAlign w:val="center"/>
          </w:tcPr>
          <w:p w14:paraId="1D67C72F" w14:textId="7DD79AA8" w:rsidR="00060A4A" w:rsidRPr="00380D1D" w:rsidRDefault="006F5145">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314" w:type="dxa"/>
            <w:tcBorders>
              <w:top w:val="nil"/>
              <w:left w:val="nil"/>
              <w:bottom w:val="nil"/>
              <w:right w:val="nil"/>
            </w:tcBorders>
            <w:shd w:val="clear" w:color="auto" w:fill="auto"/>
            <w:vAlign w:val="center"/>
          </w:tcPr>
          <w:p w14:paraId="31512713" w14:textId="5D17453B" w:rsidR="00060A4A" w:rsidRPr="00380D1D" w:rsidRDefault="006F514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(150.063)</w:t>
            </w:r>
          </w:p>
        </w:tc>
      </w:tr>
      <w:tr w:rsidR="00612611" w:rsidRPr="00BF2AAF" w14:paraId="56E020D1"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0A999BEF" w14:textId="06D08453" w:rsidR="00612611" w:rsidRPr="00BF2AAF" w:rsidRDefault="00612611">
            <w:pPr>
              <w:keepNext/>
              <w:keepLines/>
              <w:spacing w:before="40" w:after="40"/>
              <w:ind w:left="113"/>
              <w:rPr>
                <w:rFonts w:ascii="Arial" w:eastAsia="Times New Roman" w:hAnsi="Arial" w:cs="Arial"/>
                <w:b w:val="0"/>
                <w:bCs w:val="0"/>
                <w:spacing w:val="-2"/>
                <w:sz w:val="14"/>
                <w:szCs w:val="14"/>
                <w:lang w:eastAsia="pt-BR"/>
              </w:rPr>
            </w:pPr>
            <w:r w:rsidRPr="00BF2AAF">
              <w:rPr>
                <w:rFonts w:ascii="Arial" w:eastAsia="Times New Roman" w:hAnsi="Arial" w:cs="Arial"/>
                <w:b w:val="0"/>
                <w:bCs w:val="0"/>
                <w:spacing w:val="-2"/>
                <w:sz w:val="14"/>
                <w:szCs w:val="14"/>
                <w:lang w:eastAsia="pt-BR"/>
              </w:rPr>
              <w:t xml:space="preserve">Atualização dos ativos financeiros </w:t>
            </w:r>
            <w:r w:rsidR="00C23602" w:rsidRPr="002C3286">
              <w:rPr>
                <w:rFonts w:ascii="Arial" w:eastAsia="Times New Roman" w:hAnsi="Arial" w:cs="Arial"/>
                <w:b w:val="0"/>
                <w:bCs w:val="0"/>
                <w:spacing w:val="-2"/>
                <w:sz w:val="14"/>
                <w:szCs w:val="14"/>
                <w:lang w:eastAsia="pt-BR"/>
              </w:rPr>
              <w:t>ao custo amortizado</w:t>
            </w:r>
          </w:p>
        </w:tc>
        <w:tc>
          <w:tcPr>
            <w:tcW w:w="556" w:type="dxa"/>
            <w:tcBorders>
              <w:top w:val="nil"/>
              <w:bottom w:val="nil"/>
            </w:tcBorders>
            <w:shd w:val="clear" w:color="auto" w:fill="auto"/>
            <w:vAlign w:val="center"/>
          </w:tcPr>
          <w:p w14:paraId="41FFC6B6" w14:textId="0871178F" w:rsidR="00612611" w:rsidRPr="00BF2AAF" w:rsidRDefault="00C2360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[16.b]</w:t>
            </w:r>
          </w:p>
        </w:tc>
        <w:tc>
          <w:tcPr>
            <w:tcW w:w="1240" w:type="dxa"/>
            <w:tcBorders>
              <w:top w:val="nil"/>
              <w:left w:val="nil"/>
              <w:bottom w:val="nil"/>
              <w:right w:val="nil"/>
            </w:tcBorders>
            <w:shd w:val="clear" w:color="auto" w:fill="auto"/>
            <w:vAlign w:val="center"/>
          </w:tcPr>
          <w:p w14:paraId="0C771860" w14:textId="77777777" w:rsidR="00612611" w:rsidRPr="00BF2AAF" w:rsidRDefault="0061261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311" w:type="dxa"/>
            <w:tcBorders>
              <w:top w:val="nil"/>
              <w:left w:val="nil"/>
              <w:bottom w:val="nil"/>
              <w:right w:val="nil"/>
            </w:tcBorders>
            <w:shd w:val="clear" w:color="auto" w:fill="auto"/>
            <w:vAlign w:val="center"/>
          </w:tcPr>
          <w:p w14:paraId="4FEECFB3" w14:textId="77777777" w:rsidR="00612611" w:rsidRPr="00BF2AAF" w:rsidRDefault="0061261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w:t>
            </w:r>
          </w:p>
        </w:tc>
        <w:tc>
          <w:tcPr>
            <w:tcW w:w="280" w:type="dxa"/>
            <w:tcBorders>
              <w:top w:val="nil"/>
              <w:bottom w:val="nil"/>
            </w:tcBorders>
            <w:shd w:val="clear" w:color="auto" w:fill="auto"/>
            <w:vAlign w:val="center"/>
          </w:tcPr>
          <w:p w14:paraId="17A2E20B" w14:textId="77777777" w:rsidR="00612611" w:rsidRPr="00BF2AAF" w:rsidRDefault="0061261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shd w:val="clear" w:color="auto" w:fill="auto"/>
            <w:vAlign w:val="center"/>
          </w:tcPr>
          <w:p w14:paraId="5EC67591" w14:textId="77777777" w:rsidR="00612611" w:rsidRPr="00BF2AAF" w:rsidRDefault="0061261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5A0324">
              <w:rPr>
                <w:rFonts w:ascii="Arial" w:eastAsia="Times New Roman" w:hAnsi="Arial" w:cs="Arial"/>
                <w:spacing w:val="-2"/>
                <w:sz w:val="14"/>
                <w:szCs w:val="14"/>
                <w:lang w:eastAsia="pt-BR"/>
              </w:rPr>
              <w:t>(172.640)</w:t>
            </w:r>
          </w:p>
        </w:tc>
        <w:tc>
          <w:tcPr>
            <w:tcW w:w="1314" w:type="dxa"/>
            <w:tcBorders>
              <w:top w:val="nil"/>
              <w:left w:val="nil"/>
              <w:bottom w:val="nil"/>
              <w:right w:val="nil"/>
            </w:tcBorders>
            <w:shd w:val="clear" w:color="auto" w:fill="auto"/>
            <w:vAlign w:val="center"/>
          </w:tcPr>
          <w:p w14:paraId="7E993701" w14:textId="540C2E42" w:rsidR="00612611" w:rsidRPr="00BF2AAF" w:rsidRDefault="006F514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r>
      <w:tr w:rsidR="00612611" w:rsidRPr="008F130B" w14:paraId="3F29EB90"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6F57CAB7" w14:textId="77777777" w:rsidR="00612611" w:rsidRPr="008F130B" w:rsidRDefault="00612611">
            <w:pPr>
              <w:keepNext/>
              <w:keepLines/>
              <w:spacing w:before="40" w:after="40"/>
              <w:ind w:left="113"/>
              <w:rPr>
                <w:rFonts w:ascii="Arial" w:eastAsia="Times New Roman" w:hAnsi="Arial" w:cs="Arial"/>
                <w:b w:val="0"/>
                <w:bCs w:val="0"/>
                <w:spacing w:val="-2"/>
                <w:sz w:val="14"/>
                <w:szCs w:val="14"/>
                <w:lang w:eastAsia="pt-BR"/>
              </w:rPr>
            </w:pPr>
            <w:r w:rsidRPr="008F130B">
              <w:rPr>
                <w:rFonts w:ascii="Arial" w:eastAsia="Times New Roman" w:hAnsi="Arial" w:cs="Arial"/>
                <w:b w:val="0"/>
                <w:bCs w:val="0"/>
                <w:spacing w:val="-2"/>
                <w:sz w:val="14"/>
                <w:szCs w:val="14"/>
                <w:lang w:eastAsia="pt-BR"/>
              </w:rPr>
              <w:t>Atualização monetária de tributos</w:t>
            </w:r>
          </w:p>
        </w:tc>
        <w:tc>
          <w:tcPr>
            <w:tcW w:w="556" w:type="dxa"/>
            <w:tcBorders>
              <w:top w:val="nil"/>
              <w:bottom w:val="nil"/>
            </w:tcBorders>
            <w:shd w:val="clear" w:color="auto" w:fill="auto"/>
            <w:vAlign w:val="center"/>
          </w:tcPr>
          <w:p w14:paraId="1608B1B0" w14:textId="44A874BA" w:rsidR="00612611" w:rsidRPr="008F130B" w:rsidRDefault="00FC340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[14]</w:t>
            </w:r>
          </w:p>
        </w:tc>
        <w:tc>
          <w:tcPr>
            <w:tcW w:w="1240" w:type="dxa"/>
            <w:tcBorders>
              <w:top w:val="nil"/>
              <w:left w:val="nil"/>
              <w:bottom w:val="nil"/>
              <w:right w:val="nil"/>
            </w:tcBorders>
            <w:shd w:val="clear" w:color="auto" w:fill="auto"/>
            <w:vAlign w:val="center"/>
          </w:tcPr>
          <w:p w14:paraId="6695734B" w14:textId="77777777" w:rsidR="00612611" w:rsidRPr="008F130B" w:rsidRDefault="0061261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8F130B">
              <w:rPr>
                <w:rFonts w:ascii="Arial" w:eastAsia="Times New Roman" w:hAnsi="Arial" w:cs="Arial"/>
                <w:spacing w:val="-2"/>
                <w:sz w:val="14"/>
                <w:szCs w:val="14"/>
                <w:lang w:eastAsia="pt-BR"/>
              </w:rPr>
              <w:t>(8.196)</w:t>
            </w:r>
          </w:p>
        </w:tc>
        <w:tc>
          <w:tcPr>
            <w:tcW w:w="1311" w:type="dxa"/>
            <w:tcBorders>
              <w:top w:val="nil"/>
              <w:left w:val="nil"/>
              <w:bottom w:val="nil"/>
              <w:right w:val="nil"/>
            </w:tcBorders>
            <w:shd w:val="clear" w:color="auto" w:fill="auto"/>
            <w:vAlign w:val="center"/>
          </w:tcPr>
          <w:p w14:paraId="0E74F398" w14:textId="77777777" w:rsidR="00612611" w:rsidRPr="008F130B" w:rsidRDefault="0061261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280" w:type="dxa"/>
            <w:tcBorders>
              <w:top w:val="nil"/>
              <w:bottom w:val="nil"/>
            </w:tcBorders>
            <w:shd w:val="clear" w:color="auto" w:fill="auto"/>
            <w:vAlign w:val="center"/>
          </w:tcPr>
          <w:p w14:paraId="37B1BE8C" w14:textId="77777777" w:rsidR="00612611" w:rsidRPr="008F130B" w:rsidRDefault="0061261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shd w:val="clear" w:color="auto" w:fill="auto"/>
            <w:vAlign w:val="center"/>
          </w:tcPr>
          <w:p w14:paraId="38E7E0C5" w14:textId="77777777" w:rsidR="00612611" w:rsidRPr="008F130B" w:rsidRDefault="0061261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80A4B">
              <w:rPr>
                <w:rFonts w:ascii="Arial" w:eastAsia="Times New Roman" w:hAnsi="Arial" w:cs="Arial"/>
                <w:spacing w:val="-2"/>
                <w:sz w:val="14"/>
                <w:szCs w:val="14"/>
                <w:lang w:eastAsia="pt-BR"/>
              </w:rPr>
              <w:t>(10.758)</w:t>
            </w:r>
          </w:p>
        </w:tc>
        <w:tc>
          <w:tcPr>
            <w:tcW w:w="1314" w:type="dxa"/>
            <w:tcBorders>
              <w:top w:val="nil"/>
              <w:left w:val="nil"/>
              <w:bottom w:val="nil"/>
              <w:right w:val="nil"/>
            </w:tcBorders>
            <w:shd w:val="clear" w:color="auto" w:fill="auto"/>
            <w:vAlign w:val="center"/>
          </w:tcPr>
          <w:p w14:paraId="32A6AC3A" w14:textId="77777777" w:rsidR="00612611" w:rsidRPr="008F130B" w:rsidRDefault="0061261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r>
      <w:tr w:rsidR="00612611" w:rsidRPr="008F130B" w14:paraId="057BE820"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463EB985" w14:textId="77777777" w:rsidR="00612611" w:rsidRPr="008F130B" w:rsidRDefault="00612611">
            <w:pPr>
              <w:keepNext/>
              <w:keepLines/>
              <w:spacing w:before="40" w:after="40"/>
              <w:ind w:left="113"/>
              <w:rPr>
                <w:rFonts w:ascii="Arial" w:eastAsia="Times New Roman" w:hAnsi="Arial" w:cs="Arial"/>
                <w:b w:val="0"/>
                <w:bCs w:val="0"/>
                <w:spacing w:val="-2"/>
                <w:sz w:val="14"/>
                <w:szCs w:val="14"/>
                <w:lang w:eastAsia="pt-BR"/>
              </w:rPr>
            </w:pPr>
            <w:r w:rsidRPr="008F130B">
              <w:rPr>
                <w:rFonts w:ascii="Arial" w:eastAsia="Times New Roman" w:hAnsi="Arial" w:cs="Arial"/>
                <w:b w:val="0"/>
                <w:bCs w:val="0"/>
                <w:spacing w:val="-2"/>
                <w:sz w:val="14"/>
                <w:szCs w:val="14"/>
                <w:lang w:eastAsia="pt-BR"/>
              </w:rPr>
              <w:t>Imposto de Renda e Contribuição Social</w:t>
            </w:r>
          </w:p>
        </w:tc>
        <w:tc>
          <w:tcPr>
            <w:tcW w:w="556" w:type="dxa"/>
            <w:tcBorders>
              <w:top w:val="nil"/>
              <w:bottom w:val="nil"/>
            </w:tcBorders>
            <w:shd w:val="clear" w:color="auto" w:fill="auto"/>
            <w:vAlign w:val="center"/>
          </w:tcPr>
          <w:p w14:paraId="6F6004B8" w14:textId="77777777" w:rsidR="00612611" w:rsidRPr="008F130B" w:rsidRDefault="0061261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left w:val="nil"/>
              <w:bottom w:val="nil"/>
              <w:right w:val="nil"/>
            </w:tcBorders>
            <w:shd w:val="clear" w:color="auto" w:fill="auto"/>
            <w:vAlign w:val="center"/>
          </w:tcPr>
          <w:p w14:paraId="51A20C24" w14:textId="77777777" w:rsidR="00612611" w:rsidRPr="008F130B" w:rsidRDefault="0061261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8F130B">
              <w:rPr>
                <w:rFonts w:ascii="Arial" w:eastAsia="Times New Roman" w:hAnsi="Arial" w:cs="Arial"/>
                <w:spacing w:val="-2"/>
                <w:sz w:val="14"/>
                <w:szCs w:val="14"/>
                <w:lang w:eastAsia="pt-BR"/>
              </w:rPr>
              <w:t>3.285</w:t>
            </w:r>
          </w:p>
        </w:tc>
        <w:tc>
          <w:tcPr>
            <w:tcW w:w="1311" w:type="dxa"/>
            <w:tcBorders>
              <w:top w:val="nil"/>
              <w:left w:val="nil"/>
              <w:bottom w:val="nil"/>
              <w:right w:val="nil"/>
            </w:tcBorders>
            <w:shd w:val="clear" w:color="auto" w:fill="auto"/>
            <w:vAlign w:val="center"/>
          </w:tcPr>
          <w:p w14:paraId="50B8A050" w14:textId="77777777" w:rsidR="00612611" w:rsidRPr="008F130B" w:rsidRDefault="0061261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280" w:type="dxa"/>
            <w:tcBorders>
              <w:top w:val="nil"/>
              <w:bottom w:val="nil"/>
            </w:tcBorders>
            <w:shd w:val="clear" w:color="auto" w:fill="auto"/>
            <w:vAlign w:val="center"/>
          </w:tcPr>
          <w:p w14:paraId="55EAF1BB" w14:textId="77777777" w:rsidR="00612611" w:rsidRPr="008F130B" w:rsidRDefault="0061261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shd w:val="clear" w:color="auto" w:fill="auto"/>
            <w:vAlign w:val="center"/>
          </w:tcPr>
          <w:p w14:paraId="31487684" w14:textId="77777777" w:rsidR="00612611" w:rsidRPr="008F130B" w:rsidRDefault="0061261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380A4B">
              <w:rPr>
                <w:rFonts w:ascii="Arial" w:eastAsia="Times New Roman" w:hAnsi="Arial" w:cs="Arial"/>
                <w:spacing w:val="-2"/>
                <w:sz w:val="14"/>
                <w:szCs w:val="14"/>
                <w:lang w:eastAsia="pt-BR"/>
              </w:rPr>
              <w:t>1.573.765</w:t>
            </w:r>
          </w:p>
        </w:tc>
        <w:tc>
          <w:tcPr>
            <w:tcW w:w="1314" w:type="dxa"/>
            <w:tcBorders>
              <w:top w:val="nil"/>
              <w:left w:val="nil"/>
              <w:bottom w:val="nil"/>
              <w:right w:val="nil"/>
            </w:tcBorders>
            <w:shd w:val="clear" w:color="auto" w:fill="auto"/>
            <w:vAlign w:val="center"/>
          </w:tcPr>
          <w:p w14:paraId="43F768CA" w14:textId="77777777" w:rsidR="00612611" w:rsidRPr="008F130B" w:rsidRDefault="0061261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r>
      <w:tr w:rsidR="00612611" w:rsidRPr="005A0324" w14:paraId="22A14FC1"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7D84C5D3" w14:textId="77777777" w:rsidR="00612611" w:rsidRPr="00896F67" w:rsidRDefault="00612611">
            <w:pPr>
              <w:keepNext/>
              <w:keepLines/>
              <w:spacing w:before="40" w:after="40"/>
              <w:ind w:left="113"/>
              <w:rPr>
                <w:rFonts w:ascii="Arial" w:eastAsia="Times New Roman" w:hAnsi="Arial" w:cs="Arial"/>
                <w:b w:val="0"/>
                <w:bCs w:val="0"/>
                <w:spacing w:val="-2"/>
                <w:sz w:val="14"/>
                <w:szCs w:val="14"/>
                <w:lang w:eastAsia="pt-BR"/>
              </w:rPr>
            </w:pPr>
            <w:r w:rsidRPr="00896F67">
              <w:rPr>
                <w:rFonts w:ascii="Arial" w:eastAsia="Times New Roman" w:hAnsi="Arial" w:cs="Arial"/>
                <w:b w:val="0"/>
                <w:bCs w:val="0"/>
                <w:spacing w:val="-2"/>
                <w:sz w:val="14"/>
                <w:szCs w:val="14"/>
                <w:lang w:eastAsia="pt-BR"/>
              </w:rPr>
              <w:t>Resultado dos tributos diferidos</w:t>
            </w:r>
          </w:p>
        </w:tc>
        <w:tc>
          <w:tcPr>
            <w:tcW w:w="556" w:type="dxa"/>
            <w:tcBorders>
              <w:top w:val="nil"/>
              <w:bottom w:val="nil"/>
            </w:tcBorders>
            <w:shd w:val="clear" w:color="auto" w:fill="auto"/>
            <w:vAlign w:val="center"/>
          </w:tcPr>
          <w:p w14:paraId="69A62450" w14:textId="0D92E102" w:rsidR="00612611" w:rsidRPr="00896F67" w:rsidRDefault="00FC340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pacing w:val="-2"/>
                <w:sz w:val="14"/>
                <w:szCs w:val="14"/>
                <w:lang w:eastAsia="pt-BR"/>
              </w:rPr>
            </w:pPr>
            <w:r>
              <w:rPr>
                <w:rFonts w:ascii="Arial" w:eastAsia="Times New Roman" w:hAnsi="Arial" w:cs="Arial"/>
                <w:bCs/>
                <w:spacing w:val="-2"/>
                <w:sz w:val="14"/>
                <w:szCs w:val="14"/>
                <w:lang w:eastAsia="pt-BR"/>
              </w:rPr>
              <w:t>[12.b]</w:t>
            </w:r>
          </w:p>
        </w:tc>
        <w:tc>
          <w:tcPr>
            <w:tcW w:w="1240" w:type="dxa"/>
            <w:tcBorders>
              <w:top w:val="nil"/>
              <w:left w:val="nil"/>
              <w:bottom w:val="nil"/>
              <w:right w:val="nil"/>
            </w:tcBorders>
            <w:shd w:val="clear" w:color="auto" w:fill="auto"/>
            <w:vAlign w:val="center"/>
          </w:tcPr>
          <w:p w14:paraId="25CC0A39" w14:textId="77777777" w:rsidR="00612611" w:rsidRPr="00896F67" w:rsidRDefault="0061261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896F67">
              <w:rPr>
                <w:rFonts w:ascii="Arial" w:eastAsia="Times New Roman" w:hAnsi="Arial" w:cs="Arial"/>
                <w:spacing w:val="-2"/>
                <w:sz w:val="14"/>
                <w:szCs w:val="14"/>
                <w:lang w:eastAsia="pt-BR"/>
              </w:rPr>
              <w:t>(404)</w:t>
            </w:r>
          </w:p>
        </w:tc>
        <w:tc>
          <w:tcPr>
            <w:tcW w:w="1311" w:type="dxa"/>
            <w:tcBorders>
              <w:top w:val="nil"/>
              <w:left w:val="nil"/>
              <w:bottom w:val="nil"/>
              <w:right w:val="nil"/>
            </w:tcBorders>
            <w:shd w:val="clear" w:color="auto" w:fill="auto"/>
            <w:vAlign w:val="center"/>
          </w:tcPr>
          <w:p w14:paraId="1FB0FB89" w14:textId="77777777" w:rsidR="00612611" w:rsidRPr="00896F67" w:rsidRDefault="0061261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280" w:type="dxa"/>
            <w:tcBorders>
              <w:top w:val="nil"/>
              <w:bottom w:val="nil"/>
            </w:tcBorders>
            <w:shd w:val="clear" w:color="auto" w:fill="auto"/>
            <w:vAlign w:val="center"/>
          </w:tcPr>
          <w:p w14:paraId="63AE6D8A" w14:textId="77777777" w:rsidR="00612611" w:rsidRPr="00896F67" w:rsidRDefault="0061261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shd w:val="clear" w:color="auto" w:fill="auto"/>
            <w:vAlign w:val="center"/>
          </w:tcPr>
          <w:p w14:paraId="35AD3EDF" w14:textId="77777777" w:rsidR="00612611" w:rsidRPr="00896F67" w:rsidRDefault="0061261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80A4B">
              <w:rPr>
                <w:rFonts w:ascii="Arial" w:eastAsia="Times New Roman" w:hAnsi="Arial" w:cs="Arial"/>
                <w:spacing w:val="-2"/>
                <w:sz w:val="14"/>
                <w:szCs w:val="14"/>
                <w:lang w:eastAsia="pt-BR"/>
              </w:rPr>
              <w:t>(15.706)</w:t>
            </w:r>
          </w:p>
        </w:tc>
        <w:tc>
          <w:tcPr>
            <w:tcW w:w="1314" w:type="dxa"/>
            <w:tcBorders>
              <w:top w:val="nil"/>
              <w:left w:val="nil"/>
              <w:bottom w:val="nil"/>
              <w:right w:val="nil"/>
            </w:tcBorders>
            <w:shd w:val="clear" w:color="auto" w:fill="auto"/>
            <w:vAlign w:val="center"/>
          </w:tcPr>
          <w:p w14:paraId="5251AE87" w14:textId="77777777" w:rsidR="00612611" w:rsidRPr="00896F67" w:rsidRDefault="0061261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r>
      <w:tr w:rsidR="00612611" w:rsidRPr="00C82AD0" w14:paraId="51184F4E"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217D695F" w14:textId="77777777" w:rsidR="00612611" w:rsidRPr="00C82AD0" w:rsidRDefault="00612611">
            <w:pPr>
              <w:keepNext/>
              <w:keepLines/>
              <w:spacing w:before="40" w:after="40"/>
              <w:ind w:left="113"/>
              <w:rPr>
                <w:rFonts w:ascii="Arial" w:eastAsia="Times New Roman" w:hAnsi="Arial" w:cs="Arial"/>
                <w:b w:val="0"/>
                <w:bCs w:val="0"/>
                <w:spacing w:val="-2"/>
                <w:sz w:val="14"/>
                <w:szCs w:val="14"/>
                <w:highlight w:val="yellow"/>
                <w:lang w:eastAsia="pt-BR"/>
              </w:rPr>
            </w:pPr>
            <w:r w:rsidRPr="00C82AD0">
              <w:rPr>
                <w:rFonts w:ascii="Arial" w:eastAsia="Times New Roman" w:hAnsi="Arial" w:cs="Arial"/>
                <w:b w:val="0"/>
                <w:bCs w:val="0"/>
                <w:spacing w:val="-2"/>
                <w:sz w:val="14"/>
                <w:szCs w:val="14"/>
                <w:lang w:eastAsia="pt-BR"/>
              </w:rPr>
              <w:t>Provisões trabalhistas, fiscais e cíveis</w:t>
            </w:r>
          </w:p>
        </w:tc>
        <w:tc>
          <w:tcPr>
            <w:tcW w:w="556" w:type="dxa"/>
            <w:tcBorders>
              <w:top w:val="nil"/>
              <w:bottom w:val="nil"/>
            </w:tcBorders>
            <w:shd w:val="clear" w:color="auto" w:fill="auto"/>
            <w:vAlign w:val="center"/>
          </w:tcPr>
          <w:p w14:paraId="63401536" w14:textId="77777777" w:rsidR="00612611" w:rsidRPr="00C82AD0" w:rsidRDefault="0061261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left w:val="nil"/>
              <w:bottom w:val="nil"/>
              <w:right w:val="nil"/>
            </w:tcBorders>
            <w:shd w:val="clear" w:color="auto" w:fill="auto"/>
            <w:vAlign w:val="center"/>
          </w:tcPr>
          <w:p w14:paraId="2C7A9F32" w14:textId="77777777" w:rsidR="00612611" w:rsidRPr="00C82AD0" w:rsidRDefault="0061261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C82AD0">
              <w:rPr>
                <w:rFonts w:ascii="Arial" w:eastAsia="Times New Roman" w:hAnsi="Arial" w:cs="Arial"/>
                <w:spacing w:val="-2"/>
                <w:sz w:val="14"/>
                <w:szCs w:val="14"/>
                <w:lang w:eastAsia="pt-BR"/>
              </w:rPr>
              <w:t>1.188</w:t>
            </w:r>
          </w:p>
        </w:tc>
        <w:tc>
          <w:tcPr>
            <w:tcW w:w="1311" w:type="dxa"/>
            <w:tcBorders>
              <w:top w:val="nil"/>
              <w:left w:val="nil"/>
              <w:bottom w:val="nil"/>
              <w:right w:val="nil"/>
            </w:tcBorders>
            <w:shd w:val="clear" w:color="auto" w:fill="auto"/>
            <w:vAlign w:val="center"/>
          </w:tcPr>
          <w:p w14:paraId="773A0E30" w14:textId="6C2C7A36" w:rsidR="00612611" w:rsidRPr="00C82AD0" w:rsidRDefault="0004281F">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04281F">
              <w:rPr>
                <w:rFonts w:ascii="Arial" w:eastAsia="Times New Roman" w:hAnsi="Arial" w:cs="Arial"/>
                <w:spacing w:val="-2"/>
                <w:sz w:val="14"/>
                <w:szCs w:val="14"/>
                <w:lang w:eastAsia="pt-BR"/>
              </w:rPr>
              <w:t>572</w:t>
            </w:r>
          </w:p>
        </w:tc>
        <w:tc>
          <w:tcPr>
            <w:tcW w:w="280" w:type="dxa"/>
            <w:tcBorders>
              <w:top w:val="nil"/>
              <w:bottom w:val="nil"/>
            </w:tcBorders>
            <w:shd w:val="clear" w:color="auto" w:fill="auto"/>
            <w:vAlign w:val="center"/>
          </w:tcPr>
          <w:p w14:paraId="093F3D27" w14:textId="77777777" w:rsidR="00612611" w:rsidRPr="00C82AD0" w:rsidRDefault="0061261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shd w:val="clear" w:color="auto" w:fill="auto"/>
            <w:vAlign w:val="center"/>
          </w:tcPr>
          <w:p w14:paraId="5A19C26E" w14:textId="77777777" w:rsidR="00612611" w:rsidRPr="00C82AD0" w:rsidRDefault="0061261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5A0324">
              <w:rPr>
                <w:rFonts w:ascii="Arial" w:eastAsia="Times New Roman" w:hAnsi="Arial" w:cs="Arial"/>
                <w:spacing w:val="-2"/>
                <w:sz w:val="14"/>
                <w:szCs w:val="14"/>
                <w:lang w:eastAsia="pt-BR"/>
              </w:rPr>
              <w:t>20.429</w:t>
            </w:r>
          </w:p>
        </w:tc>
        <w:tc>
          <w:tcPr>
            <w:tcW w:w="1314" w:type="dxa"/>
            <w:tcBorders>
              <w:top w:val="nil"/>
              <w:left w:val="nil"/>
              <w:bottom w:val="nil"/>
              <w:right w:val="nil"/>
            </w:tcBorders>
            <w:shd w:val="clear" w:color="auto" w:fill="auto"/>
            <w:vAlign w:val="center"/>
          </w:tcPr>
          <w:p w14:paraId="2944D7D2" w14:textId="47B75E22" w:rsidR="00612611" w:rsidRPr="00C82AD0" w:rsidRDefault="0004281F">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04281F">
              <w:rPr>
                <w:rFonts w:ascii="Arial" w:eastAsia="Times New Roman" w:hAnsi="Arial" w:cs="Arial"/>
                <w:spacing w:val="-2"/>
                <w:sz w:val="14"/>
                <w:szCs w:val="14"/>
                <w:lang w:eastAsia="pt-BR"/>
              </w:rPr>
              <w:t>16.117</w:t>
            </w:r>
          </w:p>
        </w:tc>
      </w:tr>
      <w:tr w:rsidR="00612611" w:rsidRPr="00BF2AAF" w14:paraId="1986FAA5"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2CA75022" w14:textId="77777777" w:rsidR="00612611" w:rsidRPr="00BF2AAF" w:rsidRDefault="00612611">
            <w:pPr>
              <w:keepNext/>
              <w:keepLines/>
              <w:spacing w:before="40" w:after="40"/>
              <w:ind w:left="113"/>
              <w:rPr>
                <w:rFonts w:ascii="Arial" w:eastAsia="Times New Roman" w:hAnsi="Arial" w:cs="Arial"/>
                <w:b w:val="0"/>
                <w:bCs w:val="0"/>
                <w:spacing w:val="-2"/>
                <w:sz w:val="14"/>
                <w:szCs w:val="14"/>
                <w:lang w:eastAsia="pt-BR"/>
              </w:rPr>
            </w:pPr>
            <w:r w:rsidRPr="00BF2AAF">
              <w:rPr>
                <w:rFonts w:ascii="Arial" w:eastAsia="Times New Roman" w:hAnsi="Arial" w:cs="Arial"/>
                <w:b w:val="0"/>
                <w:bCs w:val="0"/>
                <w:spacing w:val="-2"/>
                <w:sz w:val="14"/>
                <w:szCs w:val="14"/>
                <w:lang w:eastAsia="pt-BR"/>
              </w:rPr>
              <w:t>Outros ajustes</w:t>
            </w:r>
          </w:p>
        </w:tc>
        <w:tc>
          <w:tcPr>
            <w:tcW w:w="556" w:type="dxa"/>
            <w:tcBorders>
              <w:top w:val="nil"/>
              <w:bottom w:val="nil"/>
            </w:tcBorders>
            <w:shd w:val="clear" w:color="auto" w:fill="auto"/>
            <w:vAlign w:val="center"/>
          </w:tcPr>
          <w:p w14:paraId="29B9F84D" w14:textId="77777777" w:rsidR="00612611" w:rsidRPr="00BF2AAF" w:rsidRDefault="0061261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pacing w:val="-2"/>
                <w:sz w:val="14"/>
                <w:szCs w:val="14"/>
                <w:lang w:eastAsia="pt-BR"/>
              </w:rPr>
            </w:pPr>
          </w:p>
        </w:tc>
        <w:tc>
          <w:tcPr>
            <w:tcW w:w="1240" w:type="dxa"/>
            <w:tcBorders>
              <w:top w:val="nil"/>
              <w:left w:val="nil"/>
              <w:bottom w:val="nil"/>
              <w:right w:val="nil"/>
            </w:tcBorders>
            <w:shd w:val="clear" w:color="auto" w:fill="auto"/>
            <w:vAlign w:val="center"/>
          </w:tcPr>
          <w:p w14:paraId="5E77748B" w14:textId="09D314C8" w:rsidR="00612611" w:rsidRPr="00BF2AAF" w:rsidRDefault="0061261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C82AD0">
              <w:rPr>
                <w:rFonts w:ascii="Arial" w:eastAsia="Times New Roman" w:hAnsi="Arial" w:cs="Arial"/>
                <w:spacing w:val="-2"/>
                <w:sz w:val="14"/>
                <w:szCs w:val="14"/>
                <w:lang w:eastAsia="pt-BR"/>
              </w:rPr>
              <w:t>9</w:t>
            </w:r>
            <w:r w:rsidR="003A6657">
              <w:rPr>
                <w:rFonts w:ascii="Arial" w:eastAsia="Times New Roman" w:hAnsi="Arial" w:cs="Arial"/>
                <w:spacing w:val="-2"/>
                <w:sz w:val="14"/>
                <w:szCs w:val="14"/>
                <w:lang w:eastAsia="pt-BR"/>
              </w:rPr>
              <w:t>03</w:t>
            </w:r>
          </w:p>
        </w:tc>
        <w:tc>
          <w:tcPr>
            <w:tcW w:w="1311" w:type="dxa"/>
            <w:tcBorders>
              <w:top w:val="nil"/>
              <w:left w:val="nil"/>
              <w:bottom w:val="nil"/>
              <w:right w:val="nil"/>
            </w:tcBorders>
            <w:shd w:val="clear" w:color="auto" w:fill="auto"/>
            <w:vAlign w:val="center"/>
          </w:tcPr>
          <w:p w14:paraId="27BED8C8" w14:textId="5521C229" w:rsidR="00612611" w:rsidRPr="00BF2AAF" w:rsidRDefault="0004281F">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04281F">
              <w:rPr>
                <w:rFonts w:ascii="Arial" w:eastAsia="Times New Roman" w:hAnsi="Arial" w:cs="Arial"/>
                <w:spacing w:val="-2"/>
                <w:sz w:val="14"/>
                <w:szCs w:val="14"/>
                <w:lang w:eastAsia="pt-BR"/>
              </w:rPr>
              <w:t>1.678</w:t>
            </w:r>
          </w:p>
        </w:tc>
        <w:tc>
          <w:tcPr>
            <w:tcW w:w="280" w:type="dxa"/>
            <w:tcBorders>
              <w:top w:val="nil"/>
              <w:bottom w:val="nil"/>
            </w:tcBorders>
            <w:shd w:val="clear" w:color="auto" w:fill="auto"/>
            <w:vAlign w:val="center"/>
          </w:tcPr>
          <w:p w14:paraId="5F8F33CA" w14:textId="77777777" w:rsidR="00612611" w:rsidRPr="00BF2AAF" w:rsidRDefault="0061261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shd w:val="clear" w:color="auto" w:fill="auto"/>
            <w:vAlign w:val="center"/>
          </w:tcPr>
          <w:p w14:paraId="13C2C2FF" w14:textId="77777777" w:rsidR="00612611" w:rsidRPr="00BF2AAF" w:rsidRDefault="0061261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5A0324">
              <w:rPr>
                <w:rFonts w:ascii="Arial" w:eastAsia="Times New Roman" w:hAnsi="Arial" w:cs="Arial"/>
                <w:spacing w:val="-2"/>
                <w:sz w:val="14"/>
                <w:szCs w:val="14"/>
                <w:lang w:eastAsia="pt-BR"/>
              </w:rPr>
              <w:t>908</w:t>
            </w:r>
          </w:p>
        </w:tc>
        <w:tc>
          <w:tcPr>
            <w:tcW w:w="1314" w:type="dxa"/>
            <w:tcBorders>
              <w:top w:val="nil"/>
              <w:left w:val="nil"/>
              <w:bottom w:val="nil"/>
              <w:right w:val="nil"/>
            </w:tcBorders>
            <w:shd w:val="clear" w:color="auto" w:fill="auto"/>
            <w:vAlign w:val="center"/>
          </w:tcPr>
          <w:p w14:paraId="31BF78B8" w14:textId="28451AAC" w:rsidR="00612611" w:rsidRPr="00BF2AAF" w:rsidRDefault="0004281F">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04281F">
              <w:rPr>
                <w:rFonts w:ascii="Arial" w:eastAsia="Times New Roman" w:hAnsi="Arial" w:cs="Arial"/>
                <w:spacing w:val="-2"/>
                <w:sz w:val="14"/>
                <w:szCs w:val="14"/>
                <w:lang w:eastAsia="pt-BR"/>
              </w:rPr>
              <w:t>1.679</w:t>
            </w:r>
          </w:p>
        </w:tc>
      </w:tr>
      <w:tr w:rsidR="00612611" w:rsidRPr="00BF2AAF" w14:paraId="791F1592" w14:textId="77777777">
        <w:trPr>
          <w:cnfStyle w:val="000000100000" w:firstRow="0" w:lastRow="0" w:firstColumn="0" w:lastColumn="0" w:oddVBand="0" w:evenVBand="0" w:oddHBand="1" w:evenHBand="0" w:firstRowFirstColumn="0" w:firstRowLastColumn="0" w:lastRowFirstColumn="0" w:lastRowLastColumn="0"/>
          <w:trHeight w:val="93"/>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6A4A5093" w14:textId="77777777" w:rsidR="00612611" w:rsidRPr="00BF2AAF" w:rsidRDefault="00612611">
            <w:pPr>
              <w:keepNext/>
              <w:keepLines/>
              <w:spacing w:before="40" w:after="40"/>
              <w:ind w:left="113"/>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Lucro Ajustado</w:t>
            </w:r>
          </w:p>
        </w:tc>
        <w:tc>
          <w:tcPr>
            <w:tcW w:w="556" w:type="dxa"/>
            <w:tcBorders>
              <w:top w:val="nil"/>
              <w:bottom w:val="nil"/>
            </w:tcBorders>
            <w:shd w:val="clear" w:color="auto" w:fill="auto"/>
            <w:vAlign w:val="center"/>
          </w:tcPr>
          <w:p w14:paraId="4001FFED" w14:textId="77777777" w:rsidR="00612611" w:rsidRPr="00BF2AAF" w:rsidRDefault="0061261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c>
          <w:tcPr>
            <w:tcW w:w="1240" w:type="dxa"/>
            <w:tcBorders>
              <w:top w:val="nil"/>
              <w:left w:val="nil"/>
              <w:bottom w:val="nil"/>
              <w:right w:val="nil"/>
            </w:tcBorders>
            <w:shd w:val="clear" w:color="auto" w:fill="auto"/>
            <w:vAlign w:val="center"/>
          </w:tcPr>
          <w:p w14:paraId="27C40FD9" w14:textId="0963BA9C" w:rsidR="00612611" w:rsidRPr="00BF2AAF" w:rsidRDefault="0061261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8F130B">
              <w:rPr>
                <w:rFonts w:ascii="Arial" w:eastAsia="Times New Roman" w:hAnsi="Arial" w:cs="Arial"/>
                <w:b/>
                <w:bCs/>
                <w:spacing w:val="-2"/>
                <w:sz w:val="14"/>
                <w:szCs w:val="14"/>
                <w:lang w:eastAsia="pt-BR"/>
              </w:rPr>
              <w:t>20.7</w:t>
            </w:r>
            <w:r w:rsidR="00766EB6">
              <w:rPr>
                <w:rFonts w:ascii="Arial" w:eastAsia="Times New Roman" w:hAnsi="Arial" w:cs="Arial"/>
                <w:b/>
                <w:bCs/>
                <w:spacing w:val="-2"/>
                <w:sz w:val="14"/>
                <w:szCs w:val="14"/>
                <w:lang w:eastAsia="pt-BR"/>
              </w:rPr>
              <w:t>85</w:t>
            </w:r>
          </w:p>
        </w:tc>
        <w:tc>
          <w:tcPr>
            <w:tcW w:w="1311" w:type="dxa"/>
            <w:tcBorders>
              <w:top w:val="nil"/>
              <w:left w:val="nil"/>
              <w:bottom w:val="nil"/>
              <w:right w:val="nil"/>
            </w:tcBorders>
            <w:shd w:val="clear" w:color="auto" w:fill="auto"/>
            <w:vAlign w:val="center"/>
          </w:tcPr>
          <w:p w14:paraId="27A0CF20" w14:textId="77777777" w:rsidR="00612611" w:rsidRPr="00BF2AAF" w:rsidRDefault="0061261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r w:rsidRPr="00BF2AAF">
              <w:rPr>
                <w:rFonts w:ascii="Arial" w:eastAsia="Times New Roman" w:hAnsi="Arial" w:cs="Arial"/>
                <w:b/>
                <w:bCs/>
                <w:spacing w:val="-2"/>
                <w:sz w:val="14"/>
                <w:szCs w:val="14"/>
                <w:lang w:eastAsia="pt-BR"/>
              </w:rPr>
              <w:t>23.348</w:t>
            </w:r>
          </w:p>
        </w:tc>
        <w:tc>
          <w:tcPr>
            <w:tcW w:w="280" w:type="dxa"/>
            <w:tcBorders>
              <w:top w:val="nil"/>
              <w:bottom w:val="nil"/>
            </w:tcBorders>
            <w:shd w:val="clear" w:color="auto" w:fill="auto"/>
            <w:vAlign w:val="center"/>
          </w:tcPr>
          <w:p w14:paraId="5F36C98D" w14:textId="77777777" w:rsidR="00612611" w:rsidRPr="00BF2AAF" w:rsidRDefault="0061261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p>
        </w:tc>
        <w:tc>
          <w:tcPr>
            <w:tcW w:w="1241" w:type="dxa"/>
            <w:tcBorders>
              <w:top w:val="nil"/>
              <w:left w:val="nil"/>
              <w:bottom w:val="nil"/>
              <w:right w:val="nil"/>
            </w:tcBorders>
            <w:shd w:val="clear" w:color="auto" w:fill="auto"/>
            <w:vAlign w:val="center"/>
          </w:tcPr>
          <w:p w14:paraId="53DF18A3" w14:textId="6FE8EFB1" w:rsidR="00612611" w:rsidRPr="00BF2AAF" w:rsidRDefault="003D5F8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r w:rsidRPr="003D5F81">
              <w:rPr>
                <w:rFonts w:ascii="Arial" w:eastAsia="Times New Roman" w:hAnsi="Arial" w:cs="Arial"/>
                <w:b/>
                <w:bCs/>
                <w:spacing w:val="-2"/>
                <w:sz w:val="14"/>
                <w:szCs w:val="14"/>
                <w:lang w:eastAsia="pt-BR"/>
              </w:rPr>
              <w:t>4.825.764</w:t>
            </w:r>
          </w:p>
        </w:tc>
        <w:tc>
          <w:tcPr>
            <w:tcW w:w="1314" w:type="dxa"/>
            <w:tcBorders>
              <w:top w:val="nil"/>
              <w:left w:val="nil"/>
              <w:bottom w:val="nil"/>
              <w:right w:val="nil"/>
            </w:tcBorders>
            <w:shd w:val="clear" w:color="auto" w:fill="auto"/>
            <w:vAlign w:val="center"/>
          </w:tcPr>
          <w:p w14:paraId="30C10D11" w14:textId="77777777" w:rsidR="00612611" w:rsidRPr="00BF2AAF" w:rsidRDefault="0061261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r w:rsidRPr="00BF2AAF">
              <w:rPr>
                <w:rFonts w:ascii="Arial" w:eastAsia="Times New Roman" w:hAnsi="Arial" w:cs="Arial"/>
                <w:b/>
                <w:bCs/>
                <w:spacing w:val="-2"/>
                <w:sz w:val="14"/>
                <w:szCs w:val="14"/>
                <w:lang w:eastAsia="pt-BR"/>
              </w:rPr>
              <w:t>3.001.758</w:t>
            </w:r>
          </w:p>
        </w:tc>
      </w:tr>
      <w:tr w:rsidR="00612611" w:rsidRPr="00BF2AAF" w14:paraId="23738B6B"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388B7E6C" w14:textId="77777777" w:rsidR="00612611" w:rsidRPr="00BF2AAF" w:rsidRDefault="00612611">
            <w:pPr>
              <w:keepNext/>
              <w:keepLines/>
              <w:spacing w:before="40" w:after="40"/>
              <w:ind w:left="113"/>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 xml:space="preserve">Variações Patrimoniais: </w:t>
            </w:r>
          </w:p>
        </w:tc>
        <w:tc>
          <w:tcPr>
            <w:tcW w:w="556" w:type="dxa"/>
            <w:tcBorders>
              <w:top w:val="nil"/>
              <w:bottom w:val="nil"/>
            </w:tcBorders>
            <w:shd w:val="clear" w:color="auto" w:fill="auto"/>
            <w:vAlign w:val="center"/>
          </w:tcPr>
          <w:p w14:paraId="5A7DBCCA" w14:textId="77777777" w:rsidR="00612611" w:rsidRPr="00BF2AAF" w:rsidRDefault="0061261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240" w:type="dxa"/>
            <w:tcBorders>
              <w:top w:val="nil"/>
              <w:left w:val="nil"/>
              <w:bottom w:val="nil"/>
              <w:right w:val="nil"/>
            </w:tcBorders>
            <w:shd w:val="clear" w:color="auto" w:fill="auto"/>
            <w:vAlign w:val="center"/>
          </w:tcPr>
          <w:p w14:paraId="24C07D22" w14:textId="77777777" w:rsidR="00612611" w:rsidRPr="00BF2AAF" w:rsidRDefault="0061261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311" w:type="dxa"/>
            <w:tcBorders>
              <w:top w:val="nil"/>
              <w:left w:val="nil"/>
              <w:bottom w:val="nil"/>
              <w:right w:val="nil"/>
            </w:tcBorders>
            <w:shd w:val="clear" w:color="auto" w:fill="auto"/>
            <w:vAlign w:val="center"/>
          </w:tcPr>
          <w:p w14:paraId="078D3C79" w14:textId="77777777" w:rsidR="00612611" w:rsidRPr="00BF2AAF" w:rsidRDefault="0061261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280" w:type="dxa"/>
            <w:tcBorders>
              <w:top w:val="nil"/>
              <w:bottom w:val="nil"/>
            </w:tcBorders>
            <w:shd w:val="clear" w:color="auto" w:fill="auto"/>
            <w:vAlign w:val="center"/>
          </w:tcPr>
          <w:p w14:paraId="5055AD7F" w14:textId="77777777" w:rsidR="00612611" w:rsidRPr="00BF2AAF" w:rsidRDefault="0061261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241" w:type="dxa"/>
            <w:tcBorders>
              <w:top w:val="nil"/>
              <w:left w:val="nil"/>
              <w:bottom w:val="nil"/>
              <w:right w:val="nil"/>
            </w:tcBorders>
            <w:shd w:val="clear" w:color="auto" w:fill="auto"/>
            <w:vAlign w:val="center"/>
          </w:tcPr>
          <w:p w14:paraId="01EDBC2E" w14:textId="77777777" w:rsidR="00612611" w:rsidRPr="00BF2AAF" w:rsidRDefault="0061261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314" w:type="dxa"/>
            <w:tcBorders>
              <w:top w:val="nil"/>
              <w:left w:val="nil"/>
              <w:bottom w:val="nil"/>
              <w:right w:val="nil"/>
            </w:tcBorders>
            <w:shd w:val="clear" w:color="auto" w:fill="auto"/>
            <w:vAlign w:val="center"/>
          </w:tcPr>
          <w:p w14:paraId="1858D86D" w14:textId="77777777" w:rsidR="00612611" w:rsidRPr="00BF2AAF" w:rsidRDefault="0061261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r>
      <w:tr w:rsidR="00612611" w:rsidRPr="00BF2AAF" w14:paraId="011238DF"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22B84CBB" w14:textId="77777777" w:rsidR="00612611" w:rsidRPr="00BF2AAF" w:rsidRDefault="00612611">
            <w:pPr>
              <w:keepNext/>
              <w:keepLines/>
              <w:spacing w:before="40" w:after="40"/>
              <w:ind w:left="113"/>
              <w:rPr>
                <w:rFonts w:ascii="Arial" w:eastAsia="Times New Roman" w:hAnsi="Arial" w:cs="Arial"/>
                <w:b w:val="0"/>
                <w:bCs w:val="0"/>
                <w:spacing w:val="-2"/>
                <w:sz w:val="14"/>
                <w:szCs w:val="14"/>
                <w:lang w:eastAsia="pt-BR"/>
              </w:rPr>
            </w:pPr>
            <w:bookmarkStart w:id="17" w:name="_Hlk75777435"/>
            <w:r w:rsidRPr="00BF2AAF">
              <w:rPr>
                <w:rFonts w:ascii="Arial" w:eastAsia="Times New Roman" w:hAnsi="Arial" w:cs="Arial"/>
                <w:b w:val="0"/>
                <w:bCs w:val="0"/>
                <w:spacing w:val="-2"/>
                <w:sz w:val="14"/>
                <w:szCs w:val="14"/>
                <w:lang w:eastAsia="pt-BR"/>
              </w:rPr>
              <w:t>Ativos financeiros mensurados ao valor justo por meio do resultado</w:t>
            </w:r>
          </w:p>
        </w:tc>
        <w:tc>
          <w:tcPr>
            <w:tcW w:w="556" w:type="dxa"/>
            <w:tcBorders>
              <w:top w:val="nil"/>
              <w:bottom w:val="nil"/>
            </w:tcBorders>
            <w:shd w:val="clear" w:color="auto" w:fill="auto"/>
            <w:vAlign w:val="center"/>
          </w:tcPr>
          <w:p w14:paraId="13647901" w14:textId="77777777" w:rsidR="00612611" w:rsidRPr="00BF2AAF" w:rsidRDefault="0061261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2"/>
                <w:sz w:val="14"/>
                <w:szCs w:val="14"/>
                <w:lang w:eastAsia="pt-BR"/>
              </w:rPr>
            </w:pPr>
          </w:p>
        </w:tc>
        <w:tc>
          <w:tcPr>
            <w:tcW w:w="1240" w:type="dxa"/>
            <w:tcBorders>
              <w:top w:val="nil"/>
              <w:left w:val="nil"/>
              <w:bottom w:val="nil"/>
              <w:right w:val="nil"/>
            </w:tcBorders>
            <w:shd w:val="clear" w:color="auto" w:fill="auto"/>
            <w:vAlign w:val="center"/>
          </w:tcPr>
          <w:p w14:paraId="1082D164" w14:textId="77777777" w:rsidR="00612611" w:rsidRPr="00BF2AAF" w:rsidRDefault="0061261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2"/>
                <w:sz w:val="14"/>
                <w:szCs w:val="14"/>
                <w:lang w:eastAsia="pt-BR"/>
              </w:rPr>
            </w:pPr>
            <w:r w:rsidRPr="00C82AD0">
              <w:rPr>
                <w:rFonts w:ascii="Arial" w:eastAsia="Times New Roman" w:hAnsi="Arial" w:cs="Arial"/>
                <w:bCs/>
                <w:spacing w:val="-2"/>
                <w:sz w:val="14"/>
                <w:szCs w:val="14"/>
                <w:lang w:eastAsia="pt-BR"/>
              </w:rPr>
              <w:t>(7.763)</w:t>
            </w:r>
          </w:p>
        </w:tc>
        <w:tc>
          <w:tcPr>
            <w:tcW w:w="1311" w:type="dxa"/>
            <w:tcBorders>
              <w:top w:val="nil"/>
              <w:left w:val="nil"/>
              <w:bottom w:val="nil"/>
              <w:right w:val="nil"/>
            </w:tcBorders>
            <w:shd w:val="clear" w:color="auto" w:fill="auto"/>
            <w:vAlign w:val="center"/>
          </w:tcPr>
          <w:p w14:paraId="05A79B62" w14:textId="77777777" w:rsidR="00612611" w:rsidRPr="00BF2AAF" w:rsidRDefault="0061261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2"/>
                <w:sz w:val="14"/>
                <w:szCs w:val="14"/>
                <w:lang w:eastAsia="pt-BR"/>
              </w:rPr>
            </w:pPr>
            <w:r w:rsidRPr="00BF2AAF">
              <w:rPr>
                <w:rFonts w:ascii="Arial" w:hAnsi="Arial" w:cs="Arial"/>
                <w:color w:val="000000"/>
                <w:sz w:val="14"/>
                <w:szCs w:val="14"/>
              </w:rPr>
              <w:t>(2.956)</w:t>
            </w:r>
          </w:p>
        </w:tc>
        <w:tc>
          <w:tcPr>
            <w:tcW w:w="280" w:type="dxa"/>
            <w:tcBorders>
              <w:top w:val="nil"/>
              <w:bottom w:val="nil"/>
            </w:tcBorders>
            <w:shd w:val="clear" w:color="auto" w:fill="auto"/>
            <w:vAlign w:val="center"/>
          </w:tcPr>
          <w:p w14:paraId="0A00BEF8" w14:textId="77777777" w:rsidR="00612611" w:rsidRPr="00BF2AAF" w:rsidRDefault="0061261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2"/>
                <w:sz w:val="14"/>
                <w:szCs w:val="14"/>
                <w:lang w:eastAsia="pt-BR"/>
              </w:rPr>
            </w:pPr>
          </w:p>
        </w:tc>
        <w:tc>
          <w:tcPr>
            <w:tcW w:w="1241" w:type="dxa"/>
            <w:tcBorders>
              <w:top w:val="nil"/>
              <w:left w:val="nil"/>
              <w:bottom w:val="nil"/>
              <w:right w:val="nil"/>
            </w:tcBorders>
            <w:shd w:val="clear" w:color="auto" w:fill="auto"/>
            <w:vAlign w:val="center"/>
          </w:tcPr>
          <w:p w14:paraId="59AAE4B1" w14:textId="77777777" w:rsidR="00612611" w:rsidRPr="00BF2AAF" w:rsidRDefault="0061261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2"/>
                <w:sz w:val="14"/>
                <w:szCs w:val="14"/>
                <w:lang w:eastAsia="pt-BR"/>
              </w:rPr>
            </w:pPr>
            <w:r w:rsidRPr="005A0324">
              <w:rPr>
                <w:rFonts w:ascii="Arial" w:eastAsia="Times New Roman" w:hAnsi="Arial" w:cs="Arial"/>
                <w:bCs/>
                <w:spacing w:val="-2"/>
                <w:sz w:val="14"/>
                <w:szCs w:val="14"/>
                <w:lang w:eastAsia="pt-BR"/>
              </w:rPr>
              <w:t>(7.763)</w:t>
            </w:r>
          </w:p>
        </w:tc>
        <w:tc>
          <w:tcPr>
            <w:tcW w:w="1314" w:type="dxa"/>
            <w:tcBorders>
              <w:top w:val="nil"/>
              <w:left w:val="nil"/>
              <w:bottom w:val="nil"/>
              <w:right w:val="nil"/>
            </w:tcBorders>
            <w:shd w:val="clear" w:color="auto" w:fill="auto"/>
            <w:vAlign w:val="center"/>
          </w:tcPr>
          <w:p w14:paraId="0C1447C6" w14:textId="77777777" w:rsidR="00612611" w:rsidRPr="00BF2AAF" w:rsidRDefault="0061261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2"/>
                <w:sz w:val="14"/>
                <w:szCs w:val="14"/>
                <w:lang w:eastAsia="pt-BR"/>
              </w:rPr>
            </w:pPr>
            <w:r w:rsidRPr="00BF2AAF">
              <w:rPr>
                <w:rFonts w:ascii="Arial" w:eastAsia="Times New Roman" w:hAnsi="Arial" w:cs="Arial"/>
                <w:bCs/>
                <w:spacing w:val="-2"/>
                <w:sz w:val="14"/>
                <w:szCs w:val="14"/>
                <w:lang w:eastAsia="pt-BR"/>
              </w:rPr>
              <w:t>(2.956)</w:t>
            </w:r>
          </w:p>
        </w:tc>
      </w:tr>
      <w:bookmarkEnd w:id="17"/>
      <w:tr w:rsidR="00612611" w:rsidRPr="00BF2AAF" w14:paraId="0F11F8A3"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331C707F" w14:textId="4DC97ECB" w:rsidR="00612611" w:rsidRPr="00BF2AAF" w:rsidRDefault="00612611">
            <w:pPr>
              <w:keepNext/>
              <w:keepLines/>
              <w:spacing w:before="40" w:after="40"/>
              <w:ind w:left="113"/>
              <w:rPr>
                <w:rFonts w:ascii="Arial" w:eastAsia="Times New Roman" w:hAnsi="Arial" w:cs="Arial"/>
                <w:b w:val="0"/>
                <w:bCs w:val="0"/>
                <w:spacing w:val="-2"/>
                <w:sz w:val="14"/>
                <w:szCs w:val="14"/>
                <w:lang w:eastAsia="pt-BR"/>
              </w:rPr>
            </w:pPr>
            <w:r w:rsidRPr="00BF2AAF">
              <w:rPr>
                <w:rFonts w:ascii="Arial" w:eastAsia="Times New Roman" w:hAnsi="Arial" w:cs="Arial"/>
                <w:b w:val="0"/>
                <w:bCs w:val="0"/>
                <w:spacing w:val="-2"/>
                <w:sz w:val="14"/>
                <w:szCs w:val="14"/>
                <w:lang w:eastAsia="pt-BR"/>
              </w:rPr>
              <w:t xml:space="preserve">Ativos por </w:t>
            </w:r>
            <w:r w:rsidR="00636E98" w:rsidRPr="00636E98">
              <w:rPr>
                <w:rFonts w:ascii="Arial" w:eastAsia="Times New Roman" w:hAnsi="Arial" w:cs="Arial"/>
                <w:b w:val="0"/>
                <w:bCs w:val="0"/>
                <w:spacing w:val="-2"/>
                <w:sz w:val="14"/>
                <w:szCs w:val="14"/>
                <w:lang w:eastAsia="pt-BR"/>
              </w:rPr>
              <w:t>tributos</w:t>
            </w:r>
            <w:r w:rsidRPr="00BF2AAF">
              <w:rPr>
                <w:rFonts w:ascii="Arial" w:eastAsia="Times New Roman" w:hAnsi="Arial" w:cs="Arial"/>
                <w:b w:val="0"/>
                <w:bCs w:val="0"/>
                <w:spacing w:val="-2"/>
                <w:sz w:val="14"/>
                <w:szCs w:val="14"/>
                <w:lang w:eastAsia="pt-BR"/>
              </w:rPr>
              <w:t xml:space="preserve"> correntes </w:t>
            </w:r>
          </w:p>
        </w:tc>
        <w:tc>
          <w:tcPr>
            <w:tcW w:w="556" w:type="dxa"/>
            <w:tcBorders>
              <w:top w:val="nil"/>
              <w:bottom w:val="nil"/>
            </w:tcBorders>
            <w:shd w:val="clear" w:color="auto" w:fill="auto"/>
            <w:vAlign w:val="center"/>
          </w:tcPr>
          <w:p w14:paraId="6514756D" w14:textId="77777777" w:rsidR="00612611" w:rsidRPr="00BF2AAF" w:rsidRDefault="0061261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left w:val="nil"/>
              <w:bottom w:val="nil"/>
              <w:right w:val="nil"/>
            </w:tcBorders>
            <w:shd w:val="clear" w:color="auto" w:fill="auto"/>
            <w:vAlign w:val="center"/>
          </w:tcPr>
          <w:p w14:paraId="5CE9D244" w14:textId="77777777" w:rsidR="00612611" w:rsidRPr="00BF2AAF" w:rsidRDefault="0061261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896F67">
              <w:rPr>
                <w:rFonts w:ascii="Arial" w:eastAsia="Times New Roman" w:hAnsi="Arial" w:cs="Arial"/>
                <w:spacing w:val="-2"/>
                <w:sz w:val="14"/>
                <w:szCs w:val="14"/>
                <w:lang w:eastAsia="pt-BR"/>
              </w:rPr>
              <w:t>9.919</w:t>
            </w:r>
          </w:p>
        </w:tc>
        <w:tc>
          <w:tcPr>
            <w:tcW w:w="1311" w:type="dxa"/>
            <w:tcBorders>
              <w:top w:val="nil"/>
              <w:left w:val="nil"/>
              <w:bottom w:val="nil"/>
              <w:right w:val="nil"/>
            </w:tcBorders>
            <w:shd w:val="clear" w:color="auto" w:fill="auto"/>
            <w:vAlign w:val="center"/>
          </w:tcPr>
          <w:p w14:paraId="11346002" w14:textId="77777777" w:rsidR="00612611" w:rsidRPr="00BF2AAF" w:rsidRDefault="0061261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BF2AAF">
              <w:rPr>
                <w:rFonts w:ascii="Arial" w:hAnsi="Arial" w:cs="Arial"/>
                <w:color w:val="000000"/>
                <w:sz w:val="14"/>
                <w:szCs w:val="14"/>
              </w:rPr>
              <w:t>(21.304)</w:t>
            </w:r>
          </w:p>
        </w:tc>
        <w:tc>
          <w:tcPr>
            <w:tcW w:w="280" w:type="dxa"/>
            <w:tcBorders>
              <w:top w:val="nil"/>
              <w:bottom w:val="nil"/>
            </w:tcBorders>
            <w:shd w:val="clear" w:color="auto" w:fill="auto"/>
            <w:vAlign w:val="center"/>
          </w:tcPr>
          <w:p w14:paraId="2153F662" w14:textId="77777777" w:rsidR="00612611" w:rsidRPr="00BF2AAF" w:rsidRDefault="0061261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shd w:val="clear" w:color="auto" w:fill="auto"/>
            <w:vAlign w:val="center"/>
          </w:tcPr>
          <w:p w14:paraId="2D1FD649" w14:textId="77777777" w:rsidR="00612611" w:rsidRPr="00BF2AAF" w:rsidRDefault="0061261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4F5B34">
              <w:rPr>
                <w:rFonts w:ascii="Arial" w:eastAsia="Times New Roman" w:hAnsi="Arial" w:cs="Arial"/>
                <w:spacing w:val="-2"/>
                <w:sz w:val="14"/>
                <w:szCs w:val="14"/>
                <w:lang w:eastAsia="pt-BR"/>
              </w:rPr>
              <w:t>33.676</w:t>
            </w:r>
          </w:p>
        </w:tc>
        <w:tc>
          <w:tcPr>
            <w:tcW w:w="1314" w:type="dxa"/>
            <w:tcBorders>
              <w:top w:val="nil"/>
              <w:left w:val="nil"/>
              <w:bottom w:val="nil"/>
              <w:right w:val="nil"/>
            </w:tcBorders>
            <w:shd w:val="clear" w:color="auto" w:fill="auto"/>
            <w:vAlign w:val="center"/>
          </w:tcPr>
          <w:p w14:paraId="396C6957" w14:textId="77777777" w:rsidR="00612611" w:rsidRPr="00BF2AAF" w:rsidRDefault="0061261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(51.914)</w:t>
            </w:r>
          </w:p>
        </w:tc>
      </w:tr>
      <w:tr w:rsidR="00612611" w:rsidRPr="00896F67" w14:paraId="4892DCC7"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3F7C4A60" w14:textId="77777777" w:rsidR="00612611" w:rsidRPr="00896F67" w:rsidRDefault="00612611">
            <w:pPr>
              <w:keepNext/>
              <w:keepLines/>
              <w:spacing w:before="40" w:after="40"/>
              <w:ind w:left="113"/>
              <w:rPr>
                <w:rFonts w:ascii="Arial" w:eastAsia="Times New Roman" w:hAnsi="Arial" w:cs="Arial"/>
                <w:b w:val="0"/>
                <w:bCs w:val="0"/>
                <w:spacing w:val="-2"/>
                <w:sz w:val="14"/>
                <w:szCs w:val="14"/>
                <w:lang w:eastAsia="pt-BR"/>
              </w:rPr>
            </w:pPr>
            <w:r w:rsidRPr="00896F67">
              <w:rPr>
                <w:rFonts w:ascii="Arial" w:eastAsia="Times New Roman" w:hAnsi="Arial" w:cs="Arial"/>
                <w:b w:val="0"/>
                <w:bCs w:val="0"/>
                <w:spacing w:val="-2"/>
                <w:sz w:val="14"/>
                <w:szCs w:val="14"/>
                <w:lang w:eastAsia="pt-BR"/>
              </w:rPr>
              <w:t>Ativos por tributos não correntes</w:t>
            </w:r>
          </w:p>
        </w:tc>
        <w:tc>
          <w:tcPr>
            <w:tcW w:w="556" w:type="dxa"/>
            <w:tcBorders>
              <w:top w:val="nil"/>
              <w:bottom w:val="nil"/>
            </w:tcBorders>
            <w:shd w:val="clear" w:color="auto" w:fill="auto"/>
            <w:vAlign w:val="center"/>
          </w:tcPr>
          <w:p w14:paraId="1E3E1174" w14:textId="77777777" w:rsidR="00612611" w:rsidRPr="00896F67" w:rsidRDefault="0061261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left w:val="nil"/>
              <w:bottom w:val="nil"/>
              <w:right w:val="nil"/>
            </w:tcBorders>
            <w:shd w:val="clear" w:color="auto" w:fill="auto"/>
            <w:vAlign w:val="center"/>
          </w:tcPr>
          <w:p w14:paraId="4E305B0B" w14:textId="77777777" w:rsidR="00612611" w:rsidRPr="00896F67" w:rsidRDefault="0061261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896F67">
              <w:rPr>
                <w:rFonts w:ascii="Arial" w:eastAsia="Times New Roman" w:hAnsi="Arial" w:cs="Arial"/>
                <w:spacing w:val="-2"/>
                <w:sz w:val="14"/>
                <w:szCs w:val="14"/>
                <w:lang w:eastAsia="pt-BR"/>
              </w:rPr>
              <w:t>(13.866)</w:t>
            </w:r>
          </w:p>
        </w:tc>
        <w:tc>
          <w:tcPr>
            <w:tcW w:w="1311" w:type="dxa"/>
            <w:tcBorders>
              <w:top w:val="nil"/>
              <w:left w:val="nil"/>
              <w:bottom w:val="nil"/>
              <w:right w:val="nil"/>
            </w:tcBorders>
            <w:shd w:val="clear" w:color="auto" w:fill="auto"/>
            <w:vAlign w:val="center"/>
          </w:tcPr>
          <w:p w14:paraId="30218EE9" w14:textId="77777777" w:rsidR="00612611" w:rsidRPr="00896F67" w:rsidRDefault="0061261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w:t>
            </w:r>
          </w:p>
        </w:tc>
        <w:tc>
          <w:tcPr>
            <w:tcW w:w="280" w:type="dxa"/>
            <w:tcBorders>
              <w:top w:val="nil"/>
              <w:bottom w:val="nil"/>
            </w:tcBorders>
            <w:shd w:val="clear" w:color="auto" w:fill="auto"/>
            <w:vAlign w:val="center"/>
          </w:tcPr>
          <w:p w14:paraId="1274594A" w14:textId="77777777" w:rsidR="00612611" w:rsidRPr="00896F67" w:rsidRDefault="0061261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shd w:val="clear" w:color="auto" w:fill="auto"/>
            <w:vAlign w:val="center"/>
          </w:tcPr>
          <w:p w14:paraId="14921ACA" w14:textId="77777777" w:rsidR="00612611" w:rsidRPr="00896F67" w:rsidRDefault="0061261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4F5B34">
              <w:rPr>
                <w:rFonts w:ascii="Arial" w:eastAsia="Times New Roman" w:hAnsi="Arial" w:cs="Arial"/>
                <w:spacing w:val="-2"/>
                <w:sz w:val="14"/>
                <w:szCs w:val="14"/>
                <w:lang w:eastAsia="pt-BR"/>
              </w:rPr>
              <w:t>(32.755)</w:t>
            </w:r>
          </w:p>
        </w:tc>
        <w:tc>
          <w:tcPr>
            <w:tcW w:w="1314" w:type="dxa"/>
            <w:tcBorders>
              <w:top w:val="nil"/>
              <w:left w:val="nil"/>
              <w:bottom w:val="nil"/>
              <w:right w:val="nil"/>
            </w:tcBorders>
            <w:shd w:val="clear" w:color="auto" w:fill="auto"/>
            <w:vAlign w:val="center"/>
          </w:tcPr>
          <w:p w14:paraId="441A85FC" w14:textId="77777777" w:rsidR="00612611" w:rsidRPr="00896F67" w:rsidRDefault="0061261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r>
      <w:tr w:rsidR="00612611" w:rsidRPr="00BF2AAF" w14:paraId="0BBA4633"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452C9C07" w14:textId="77777777" w:rsidR="00612611" w:rsidRPr="00BF2AAF" w:rsidRDefault="00612611">
            <w:pPr>
              <w:keepNext/>
              <w:keepLines/>
              <w:spacing w:before="40" w:after="40"/>
              <w:ind w:left="113"/>
              <w:rPr>
                <w:rFonts w:ascii="Arial" w:eastAsia="Times New Roman" w:hAnsi="Arial" w:cs="Arial"/>
                <w:b w:val="0"/>
                <w:bCs w:val="0"/>
                <w:spacing w:val="-2"/>
                <w:sz w:val="14"/>
                <w:szCs w:val="14"/>
                <w:lang w:eastAsia="pt-BR"/>
              </w:rPr>
            </w:pPr>
            <w:r w:rsidRPr="00BF2AAF">
              <w:rPr>
                <w:rFonts w:ascii="Arial" w:eastAsia="Times New Roman" w:hAnsi="Arial" w:cs="Arial"/>
                <w:b w:val="0"/>
                <w:bCs w:val="0"/>
                <w:spacing w:val="-2"/>
                <w:sz w:val="14"/>
                <w:szCs w:val="14"/>
                <w:lang w:eastAsia="pt-BR"/>
              </w:rPr>
              <w:t>Comissões a receber</w:t>
            </w:r>
          </w:p>
        </w:tc>
        <w:tc>
          <w:tcPr>
            <w:tcW w:w="556" w:type="dxa"/>
            <w:tcBorders>
              <w:top w:val="nil"/>
              <w:bottom w:val="nil"/>
            </w:tcBorders>
            <w:shd w:val="clear" w:color="auto" w:fill="auto"/>
            <w:vAlign w:val="center"/>
          </w:tcPr>
          <w:p w14:paraId="5B6A9B4C" w14:textId="77777777" w:rsidR="00612611" w:rsidRPr="00BF2AAF" w:rsidRDefault="0061261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left w:val="nil"/>
              <w:bottom w:val="nil"/>
              <w:right w:val="nil"/>
            </w:tcBorders>
            <w:shd w:val="clear" w:color="auto" w:fill="auto"/>
            <w:vAlign w:val="center"/>
          </w:tcPr>
          <w:p w14:paraId="23D49BE3" w14:textId="77777777" w:rsidR="00612611" w:rsidRPr="00BF2AAF" w:rsidRDefault="0061261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311" w:type="dxa"/>
            <w:tcBorders>
              <w:top w:val="nil"/>
              <w:left w:val="nil"/>
              <w:bottom w:val="nil"/>
              <w:right w:val="nil"/>
            </w:tcBorders>
            <w:shd w:val="clear" w:color="auto" w:fill="auto"/>
            <w:vAlign w:val="center"/>
          </w:tcPr>
          <w:p w14:paraId="2E6D0ECF" w14:textId="77777777" w:rsidR="00612611" w:rsidRPr="00BF2AAF" w:rsidRDefault="0061261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BF2AAF">
              <w:rPr>
                <w:rFonts w:ascii="Arial" w:hAnsi="Arial" w:cs="Arial"/>
                <w:color w:val="000000"/>
                <w:sz w:val="14"/>
                <w:szCs w:val="14"/>
              </w:rPr>
              <w:t>--</w:t>
            </w:r>
          </w:p>
        </w:tc>
        <w:tc>
          <w:tcPr>
            <w:tcW w:w="280" w:type="dxa"/>
            <w:tcBorders>
              <w:top w:val="nil"/>
              <w:bottom w:val="nil"/>
            </w:tcBorders>
            <w:shd w:val="clear" w:color="auto" w:fill="auto"/>
            <w:vAlign w:val="center"/>
          </w:tcPr>
          <w:p w14:paraId="28DDEFA5" w14:textId="77777777" w:rsidR="00612611" w:rsidRPr="00BF2AAF" w:rsidRDefault="0061261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shd w:val="clear" w:color="auto" w:fill="auto"/>
            <w:vAlign w:val="center"/>
          </w:tcPr>
          <w:p w14:paraId="653F5B9D" w14:textId="77777777" w:rsidR="00612611" w:rsidRPr="00BF2AAF" w:rsidRDefault="0061261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5A0324">
              <w:rPr>
                <w:rFonts w:ascii="Arial" w:eastAsia="Times New Roman" w:hAnsi="Arial" w:cs="Arial"/>
                <w:spacing w:val="-2"/>
                <w:sz w:val="14"/>
                <w:szCs w:val="14"/>
                <w:lang w:eastAsia="pt-BR"/>
              </w:rPr>
              <w:t>(499.442)</w:t>
            </w:r>
          </w:p>
        </w:tc>
        <w:tc>
          <w:tcPr>
            <w:tcW w:w="1314" w:type="dxa"/>
            <w:tcBorders>
              <w:top w:val="nil"/>
              <w:left w:val="nil"/>
              <w:bottom w:val="nil"/>
              <w:right w:val="nil"/>
            </w:tcBorders>
            <w:shd w:val="clear" w:color="auto" w:fill="auto"/>
            <w:vAlign w:val="center"/>
          </w:tcPr>
          <w:p w14:paraId="4AAA8B99" w14:textId="77777777" w:rsidR="00612611" w:rsidRPr="00BF2AAF" w:rsidRDefault="0061261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(351.728)</w:t>
            </w:r>
          </w:p>
        </w:tc>
      </w:tr>
      <w:tr w:rsidR="00612611" w:rsidRPr="00BF2AAF" w14:paraId="46B53431"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0423CF4C" w14:textId="77777777" w:rsidR="00612611" w:rsidRPr="00BF2AAF" w:rsidRDefault="00612611">
            <w:pPr>
              <w:keepNext/>
              <w:keepLines/>
              <w:spacing w:before="40" w:after="40"/>
              <w:ind w:left="113"/>
              <w:rPr>
                <w:rFonts w:ascii="Arial" w:eastAsia="Times New Roman" w:hAnsi="Arial" w:cs="Arial"/>
                <w:b w:val="0"/>
                <w:bCs w:val="0"/>
                <w:spacing w:val="-2"/>
                <w:sz w:val="14"/>
                <w:szCs w:val="14"/>
                <w:lang w:eastAsia="pt-BR"/>
              </w:rPr>
            </w:pPr>
            <w:r w:rsidRPr="00BF2AAF">
              <w:rPr>
                <w:rFonts w:ascii="Arial" w:eastAsia="Times New Roman" w:hAnsi="Arial" w:cs="Arial"/>
                <w:b w:val="0"/>
                <w:bCs w:val="0"/>
                <w:spacing w:val="-2"/>
                <w:sz w:val="14"/>
                <w:szCs w:val="14"/>
                <w:lang w:eastAsia="pt-BR"/>
              </w:rPr>
              <w:t>Outros ativos</w:t>
            </w:r>
          </w:p>
        </w:tc>
        <w:tc>
          <w:tcPr>
            <w:tcW w:w="556" w:type="dxa"/>
            <w:tcBorders>
              <w:top w:val="nil"/>
              <w:bottom w:val="nil"/>
            </w:tcBorders>
            <w:shd w:val="clear" w:color="auto" w:fill="auto"/>
            <w:vAlign w:val="center"/>
          </w:tcPr>
          <w:p w14:paraId="6CD455FF" w14:textId="77777777" w:rsidR="00612611" w:rsidRPr="00BF2AAF" w:rsidRDefault="0061261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left w:val="nil"/>
              <w:bottom w:val="nil"/>
              <w:right w:val="nil"/>
            </w:tcBorders>
            <w:shd w:val="clear" w:color="auto" w:fill="auto"/>
            <w:vAlign w:val="center"/>
          </w:tcPr>
          <w:p w14:paraId="28F40B1A" w14:textId="4B146043" w:rsidR="00612611" w:rsidRPr="00BF2AAF" w:rsidRDefault="0061261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C82AD0">
              <w:rPr>
                <w:rFonts w:ascii="Arial" w:eastAsia="Times New Roman" w:hAnsi="Arial" w:cs="Arial"/>
                <w:spacing w:val="-2"/>
                <w:sz w:val="14"/>
                <w:szCs w:val="14"/>
                <w:lang w:eastAsia="pt-BR"/>
              </w:rPr>
              <w:t>2.58</w:t>
            </w:r>
            <w:r w:rsidR="008F44EB">
              <w:rPr>
                <w:rFonts w:ascii="Arial" w:eastAsia="Times New Roman" w:hAnsi="Arial" w:cs="Arial"/>
                <w:spacing w:val="-2"/>
                <w:sz w:val="14"/>
                <w:szCs w:val="14"/>
                <w:lang w:eastAsia="pt-BR"/>
              </w:rPr>
              <w:t>4</w:t>
            </w:r>
          </w:p>
        </w:tc>
        <w:tc>
          <w:tcPr>
            <w:tcW w:w="1311" w:type="dxa"/>
            <w:tcBorders>
              <w:top w:val="nil"/>
              <w:left w:val="nil"/>
              <w:bottom w:val="nil"/>
              <w:right w:val="nil"/>
            </w:tcBorders>
            <w:shd w:val="clear" w:color="auto" w:fill="auto"/>
            <w:vAlign w:val="center"/>
          </w:tcPr>
          <w:p w14:paraId="355ABAD7" w14:textId="77777777" w:rsidR="00612611" w:rsidRPr="00BF2AAF" w:rsidRDefault="0061261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BF2AAF">
              <w:rPr>
                <w:rFonts w:ascii="Arial" w:hAnsi="Arial" w:cs="Arial"/>
                <w:color w:val="000000"/>
                <w:sz w:val="14"/>
                <w:szCs w:val="14"/>
              </w:rPr>
              <w:t>(3.699)</w:t>
            </w:r>
          </w:p>
        </w:tc>
        <w:tc>
          <w:tcPr>
            <w:tcW w:w="280" w:type="dxa"/>
            <w:tcBorders>
              <w:top w:val="nil"/>
              <w:bottom w:val="nil"/>
            </w:tcBorders>
            <w:shd w:val="clear" w:color="auto" w:fill="auto"/>
            <w:vAlign w:val="center"/>
          </w:tcPr>
          <w:p w14:paraId="74BE8E23" w14:textId="77777777" w:rsidR="00612611" w:rsidRPr="00BF2AAF" w:rsidRDefault="0061261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shd w:val="clear" w:color="auto" w:fill="auto"/>
            <w:vAlign w:val="center"/>
          </w:tcPr>
          <w:p w14:paraId="4D5FD238" w14:textId="6C19B27B" w:rsidR="00612611" w:rsidRPr="00BF2AAF" w:rsidRDefault="0061261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5A0324">
              <w:rPr>
                <w:rFonts w:ascii="Arial" w:eastAsia="Times New Roman" w:hAnsi="Arial" w:cs="Arial"/>
                <w:spacing w:val="-2"/>
                <w:sz w:val="14"/>
                <w:szCs w:val="14"/>
                <w:lang w:eastAsia="pt-BR"/>
              </w:rPr>
              <w:t>(9.69</w:t>
            </w:r>
            <w:r w:rsidR="00E93DEA">
              <w:rPr>
                <w:rFonts w:ascii="Arial" w:eastAsia="Times New Roman" w:hAnsi="Arial" w:cs="Arial"/>
                <w:spacing w:val="-2"/>
                <w:sz w:val="14"/>
                <w:szCs w:val="14"/>
                <w:lang w:eastAsia="pt-BR"/>
              </w:rPr>
              <w:t>1</w:t>
            </w:r>
            <w:r w:rsidRPr="005A0324">
              <w:rPr>
                <w:rFonts w:ascii="Arial" w:eastAsia="Times New Roman" w:hAnsi="Arial" w:cs="Arial"/>
                <w:spacing w:val="-2"/>
                <w:sz w:val="14"/>
                <w:szCs w:val="14"/>
                <w:lang w:eastAsia="pt-BR"/>
              </w:rPr>
              <w:t>)</w:t>
            </w:r>
          </w:p>
        </w:tc>
        <w:tc>
          <w:tcPr>
            <w:tcW w:w="1314" w:type="dxa"/>
            <w:tcBorders>
              <w:top w:val="nil"/>
              <w:left w:val="nil"/>
              <w:bottom w:val="nil"/>
              <w:right w:val="nil"/>
            </w:tcBorders>
            <w:shd w:val="clear" w:color="auto" w:fill="auto"/>
            <w:vAlign w:val="center"/>
          </w:tcPr>
          <w:p w14:paraId="701091C5" w14:textId="77777777" w:rsidR="00612611" w:rsidRPr="00BF2AAF" w:rsidRDefault="0061261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(22.329)</w:t>
            </w:r>
          </w:p>
        </w:tc>
      </w:tr>
      <w:tr w:rsidR="00612611" w:rsidRPr="00BF2AAF" w14:paraId="1D9DBC38"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30A01EEF" w14:textId="77777777" w:rsidR="00612611" w:rsidRPr="00BF2AAF" w:rsidRDefault="00612611">
            <w:pPr>
              <w:keepNext/>
              <w:keepLines/>
              <w:spacing w:before="40" w:after="40"/>
              <w:ind w:left="113"/>
              <w:rPr>
                <w:rFonts w:ascii="Arial" w:eastAsia="Times New Roman" w:hAnsi="Arial" w:cs="Arial"/>
                <w:b w:val="0"/>
                <w:bCs w:val="0"/>
                <w:spacing w:val="-2"/>
                <w:sz w:val="14"/>
                <w:szCs w:val="14"/>
                <w:lang w:eastAsia="pt-BR"/>
              </w:rPr>
            </w:pPr>
            <w:r w:rsidRPr="00BF2AAF">
              <w:rPr>
                <w:rFonts w:ascii="Arial" w:eastAsia="Times New Roman" w:hAnsi="Arial" w:cs="Arial"/>
                <w:b w:val="0"/>
                <w:bCs w:val="0"/>
                <w:spacing w:val="-2"/>
                <w:sz w:val="14"/>
                <w:szCs w:val="14"/>
                <w:lang w:eastAsia="pt-BR"/>
              </w:rPr>
              <w:t>Comissões a apropriar</w:t>
            </w:r>
          </w:p>
        </w:tc>
        <w:tc>
          <w:tcPr>
            <w:tcW w:w="556" w:type="dxa"/>
            <w:tcBorders>
              <w:top w:val="nil"/>
              <w:bottom w:val="nil"/>
            </w:tcBorders>
            <w:shd w:val="clear" w:color="auto" w:fill="auto"/>
            <w:vAlign w:val="center"/>
          </w:tcPr>
          <w:p w14:paraId="09CF7638" w14:textId="77777777" w:rsidR="00612611" w:rsidRPr="00BF2AAF" w:rsidRDefault="0061261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left w:val="nil"/>
              <w:bottom w:val="nil"/>
              <w:right w:val="nil"/>
            </w:tcBorders>
            <w:shd w:val="clear" w:color="auto" w:fill="auto"/>
            <w:vAlign w:val="center"/>
          </w:tcPr>
          <w:p w14:paraId="76F6E914" w14:textId="77777777" w:rsidR="00612611" w:rsidRPr="00BF2AAF" w:rsidRDefault="0061261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311" w:type="dxa"/>
            <w:tcBorders>
              <w:top w:val="nil"/>
              <w:left w:val="nil"/>
              <w:bottom w:val="nil"/>
              <w:right w:val="nil"/>
            </w:tcBorders>
            <w:shd w:val="clear" w:color="auto" w:fill="auto"/>
            <w:vAlign w:val="center"/>
          </w:tcPr>
          <w:p w14:paraId="7958A0F1" w14:textId="77777777" w:rsidR="00612611" w:rsidRPr="00BF2AAF" w:rsidRDefault="0061261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BF2AAF">
              <w:rPr>
                <w:rFonts w:ascii="Arial" w:hAnsi="Arial" w:cs="Arial"/>
                <w:color w:val="000000"/>
                <w:sz w:val="14"/>
                <w:szCs w:val="14"/>
              </w:rPr>
              <w:t>--</w:t>
            </w:r>
          </w:p>
        </w:tc>
        <w:tc>
          <w:tcPr>
            <w:tcW w:w="280" w:type="dxa"/>
            <w:tcBorders>
              <w:top w:val="nil"/>
              <w:bottom w:val="nil"/>
            </w:tcBorders>
            <w:shd w:val="clear" w:color="auto" w:fill="auto"/>
            <w:vAlign w:val="center"/>
          </w:tcPr>
          <w:p w14:paraId="58234758" w14:textId="77777777" w:rsidR="00612611" w:rsidRPr="00BF2AAF" w:rsidRDefault="0061261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shd w:val="clear" w:color="auto" w:fill="auto"/>
            <w:vAlign w:val="center"/>
          </w:tcPr>
          <w:p w14:paraId="5C74D64E" w14:textId="77777777" w:rsidR="00612611" w:rsidRPr="00BF2AAF" w:rsidRDefault="0061261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5A0324">
              <w:rPr>
                <w:rFonts w:ascii="Arial" w:eastAsia="Times New Roman" w:hAnsi="Arial" w:cs="Arial"/>
                <w:spacing w:val="-2"/>
                <w:sz w:val="14"/>
                <w:szCs w:val="14"/>
                <w:lang w:eastAsia="pt-BR"/>
              </w:rPr>
              <w:t>1.331.083</w:t>
            </w:r>
          </w:p>
        </w:tc>
        <w:tc>
          <w:tcPr>
            <w:tcW w:w="1314" w:type="dxa"/>
            <w:tcBorders>
              <w:top w:val="nil"/>
              <w:left w:val="nil"/>
              <w:bottom w:val="nil"/>
              <w:right w:val="nil"/>
            </w:tcBorders>
            <w:shd w:val="clear" w:color="auto" w:fill="auto"/>
            <w:vAlign w:val="center"/>
          </w:tcPr>
          <w:p w14:paraId="094E584A" w14:textId="77777777" w:rsidR="00612611" w:rsidRPr="00BF2AAF" w:rsidRDefault="0061261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1.140.137</w:t>
            </w:r>
          </w:p>
        </w:tc>
      </w:tr>
      <w:tr w:rsidR="00612611" w:rsidRPr="00486829" w14:paraId="127A04DD"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474A5FB3" w14:textId="77777777" w:rsidR="00612611" w:rsidRPr="00486829" w:rsidRDefault="00612611">
            <w:pPr>
              <w:keepNext/>
              <w:keepLines/>
              <w:spacing w:before="40" w:after="40"/>
              <w:ind w:left="113"/>
              <w:rPr>
                <w:rFonts w:ascii="Arial" w:eastAsia="Times New Roman" w:hAnsi="Arial" w:cs="Arial"/>
                <w:b w:val="0"/>
                <w:bCs w:val="0"/>
                <w:spacing w:val="-2"/>
                <w:sz w:val="14"/>
                <w:szCs w:val="14"/>
                <w:lang w:eastAsia="pt-BR"/>
              </w:rPr>
            </w:pPr>
            <w:r w:rsidRPr="00486829">
              <w:rPr>
                <w:rFonts w:ascii="Arial" w:eastAsia="Times New Roman" w:hAnsi="Arial" w:cs="Arial"/>
                <w:b w:val="0"/>
                <w:bCs w:val="0"/>
                <w:spacing w:val="-2"/>
                <w:sz w:val="14"/>
                <w:szCs w:val="14"/>
                <w:lang w:eastAsia="pt-BR"/>
              </w:rPr>
              <w:t>Imposto de renda e contribuição social pagos</w:t>
            </w:r>
          </w:p>
        </w:tc>
        <w:tc>
          <w:tcPr>
            <w:tcW w:w="556" w:type="dxa"/>
            <w:tcBorders>
              <w:top w:val="nil"/>
              <w:bottom w:val="nil"/>
            </w:tcBorders>
            <w:shd w:val="clear" w:color="auto" w:fill="auto"/>
            <w:vAlign w:val="center"/>
          </w:tcPr>
          <w:p w14:paraId="0B462814" w14:textId="77777777" w:rsidR="00612611" w:rsidRPr="00486829" w:rsidRDefault="0061261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left w:val="nil"/>
              <w:bottom w:val="nil"/>
              <w:right w:val="nil"/>
            </w:tcBorders>
            <w:shd w:val="clear" w:color="auto" w:fill="auto"/>
            <w:vAlign w:val="center"/>
          </w:tcPr>
          <w:p w14:paraId="1D7C36C6" w14:textId="77777777" w:rsidR="00612611" w:rsidRPr="00486829" w:rsidRDefault="0061261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486829">
              <w:rPr>
                <w:rFonts w:ascii="Arial" w:eastAsia="Times New Roman" w:hAnsi="Arial" w:cs="Arial"/>
                <w:spacing w:val="-2"/>
                <w:sz w:val="14"/>
                <w:szCs w:val="14"/>
                <w:lang w:eastAsia="pt-BR"/>
              </w:rPr>
              <w:t>(3.492)</w:t>
            </w:r>
          </w:p>
        </w:tc>
        <w:tc>
          <w:tcPr>
            <w:tcW w:w="1311" w:type="dxa"/>
            <w:tcBorders>
              <w:top w:val="nil"/>
              <w:left w:val="nil"/>
              <w:bottom w:val="nil"/>
              <w:right w:val="nil"/>
            </w:tcBorders>
            <w:shd w:val="clear" w:color="auto" w:fill="auto"/>
            <w:vAlign w:val="center"/>
          </w:tcPr>
          <w:p w14:paraId="414E038D" w14:textId="77777777" w:rsidR="00612611" w:rsidRPr="00486829" w:rsidRDefault="0061261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w:t>
            </w:r>
          </w:p>
        </w:tc>
        <w:tc>
          <w:tcPr>
            <w:tcW w:w="280" w:type="dxa"/>
            <w:tcBorders>
              <w:top w:val="nil"/>
              <w:bottom w:val="nil"/>
            </w:tcBorders>
            <w:shd w:val="clear" w:color="auto" w:fill="auto"/>
            <w:vAlign w:val="center"/>
          </w:tcPr>
          <w:p w14:paraId="68EB05D9" w14:textId="77777777" w:rsidR="00612611" w:rsidRPr="00486829" w:rsidRDefault="0061261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shd w:val="clear" w:color="auto" w:fill="auto"/>
            <w:vAlign w:val="center"/>
          </w:tcPr>
          <w:p w14:paraId="1B4C3691" w14:textId="77777777" w:rsidR="00612611" w:rsidRPr="00486829" w:rsidRDefault="0061261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4F5B34">
              <w:rPr>
                <w:rFonts w:ascii="Arial" w:eastAsia="Times New Roman" w:hAnsi="Arial" w:cs="Arial"/>
                <w:spacing w:val="-2"/>
                <w:sz w:val="14"/>
                <w:szCs w:val="14"/>
                <w:lang w:eastAsia="pt-BR"/>
              </w:rPr>
              <w:t>(1.410.990)</w:t>
            </w:r>
          </w:p>
        </w:tc>
        <w:tc>
          <w:tcPr>
            <w:tcW w:w="1314" w:type="dxa"/>
            <w:tcBorders>
              <w:top w:val="nil"/>
              <w:left w:val="nil"/>
              <w:bottom w:val="nil"/>
              <w:right w:val="nil"/>
            </w:tcBorders>
            <w:shd w:val="clear" w:color="auto" w:fill="auto"/>
            <w:vAlign w:val="center"/>
          </w:tcPr>
          <w:p w14:paraId="55D61F42" w14:textId="77777777" w:rsidR="00612611" w:rsidRPr="00486829" w:rsidRDefault="0061261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r>
      <w:tr w:rsidR="00612611" w:rsidRPr="00BF2AAF" w14:paraId="011D5BDC"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6E195C9D" w14:textId="156E9547" w:rsidR="00612611" w:rsidRPr="00486829" w:rsidRDefault="00612611">
            <w:pPr>
              <w:keepNext/>
              <w:keepLines/>
              <w:spacing w:before="40" w:after="40"/>
              <w:ind w:left="113"/>
              <w:rPr>
                <w:rFonts w:ascii="Arial" w:eastAsia="Times New Roman" w:hAnsi="Arial" w:cs="Arial"/>
                <w:b w:val="0"/>
                <w:bCs w:val="0"/>
                <w:spacing w:val="-2"/>
                <w:sz w:val="14"/>
                <w:szCs w:val="14"/>
                <w:lang w:eastAsia="pt-BR"/>
              </w:rPr>
            </w:pPr>
            <w:r w:rsidRPr="00486829">
              <w:rPr>
                <w:rFonts w:ascii="Arial" w:eastAsia="Times New Roman" w:hAnsi="Arial" w:cs="Arial"/>
                <w:b w:val="0"/>
                <w:bCs w:val="0"/>
                <w:spacing w:val="-2"/>
                <w:sz w:val="14"/>
                <w:szCs w:val="14"/>
                <w:lang w:eastAsia="pt-BR"/>
              </w:rPr>
              <w:t xml:space="preserve">Passivos por </w:t>
            </w:r>
            <w:r w:rsidR="00636E98" w:rsidRPr="00636E98">
              <w:rPr>
                <w:rFonts w:ascii="Arial" w:eastAsia="Times New Roman" w:hAnsi="Arial" w:cs="Arial"/>
                <w:b w:val="0"/>
                <w:bCs w:val="0"/>
                <w:spacing w:val="-2"/>
                <w:sz w:val="14"/>
                <w:szCs w:val="14"/>
                <w:lang w:eastAsia="pt-BR"/>
              </w:rPr>
              <w:t>tributos</w:t>
            </w:r>
            <w:r w:rsidRPr="00486829">
              <w:rPr>
                <w:rFonts w:ascii="Arial" w:eastAsia="Times New Roman" w:hAnsi="Arial" w:cs="Arial"/>
                <w:b w:val="0"/>
                <w:bCs w:val="0"/>
                <w:spacing w:val="-2"/>
                <w:sz w:val="14"/>
                <w:szCs w:val="14"/>
                <w:lang w:eastAsia="pt-BR"/>
              </w:rPr>
              <w:t xml:space="preserve"> correntes e diferidos</w:t>
            </w:r>
          </w:p>
        </w:tc>
        <w:tc>
          <w:tcPr>
            <w:tcW w:w="556" w:type="dxa"/>
            <w:tcBorders>
              <w:top w:val="nil"/>
              <w:bottom w:val="nil"/>
            </w:tcBorders>
            <w:shd w:val="clear" w:color="auto" w:fill="auto"/>
            <w:vAlign w:val="center"/>
          </w:tcPr>
          <w:p w14:paraId="5E02D411" w14:textId="77777777" w:rsidR="00612611" w:rsidRPr="00486829" w:rsidRDefault="0061261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left w:val="nil"/>
              <w:bottom w:val="nil"/>
              <w:right w:val="nil"/>
            </w:tcBorders>
            <w:shd w:val="clear" w:color="auto" w:fill="auto"/>
            <w:vAlign w:val="center"/>
          </w:tcPr>
          <w:p w14:paraId="2D8E72B5" w14:textId="77777777" w:rsidR="00612611" w:rsidRPr="00486829" w:rsidRDefault="0061261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486829">
              <w:rPr>
                <w:rFonts w:ascii="Arial" w:eastAsia="Times New Roman" w:hAnsi="Arial" w:cs="Arial"/>
                <w:spacing w:val="-2"/>
                <w:sz w:val="14"/>
                <w:szCs w:val="14"/>
                <w:lang w:eastAsia="pt-BR"/>
              </w:rPr>
              <w:t>121</w:t>
            </w:r>
          </w:p>
        </w:tc>
        <w:tc>
          <w:tcPr>
            <w:tcW w:w="1311" w:type="dxa"/>
            <w:tcBorders>
              <w:top w:val="nil"/>
              <w:left w:val="nil"/>
              <w:bottom w:val="nil"/>
              <w:right w:val="nil"/>
            </w:tcBorders>
            <w:shd w:val="clear" w:color="auto" w:fill="auto"/>
            <w:vAlign w:val="center"/>
          </w:tcPr>
          <w:p w14:paraId="4CD35E1F" w14:textId="77777777" w:rsidR="00612611" w:rsidRPr="00486829" w:rsidRDefault="0061261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486829">
              <w:rPr>
                <w:rFonts w:ascii="Arial" w:hAnsi="Arial" w:cs="Arial"/>
                <w:color w:val="000000"/>
                <w:sz w:val="14"/>
                <w:szCs w:val="14"/>
              </w:rPr>
              <w:t>658</w:t>
            </w:r>
          </w:p>
        </w:tc>
        <w:tc>
          <w:tcPr>
            <w:tcW w:w="280" w:type="dxa"/>
            <w:tcBorders>
              <w:top w:val="nil"/>
              <w:bottom w:val="nil"/>
            </w:tcBorders>
            <w:shd w:val="clear" w:color="auto" w:fill="auto"/>
            <w:vAlign w:val="center"/>
          </w:tcPr>
          <w:p w14:paraId="63CEB954" w14:textId="77777777" w:rsidR="00612611" w:rsidRPr="00486829" w:rsidRDefault="0061261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shd w:val="clear" w:color="auto" w:fill="auto"/>
            <w:vAlign w:val="center"/>
          </w:tcPr>
          <w:p w14:paraId="0CA8C534" w14:textId="252CB2FA" w:rsidR="00612611" w:rsidRPr="00486829" w:rsidRDefault="001B5F6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1B5F6B">
              <w:rPr>
                <w:rFonts w:ascii="Arial" w:eastAsia="Times New Roman" w:hAnsi="Arial" w:cs="Arial"/>
                <w:spacing w:val="-2"/>
                <w:sz w:val="14"/>
                <w:szCs w:val="14"/>
                <w:lang w:eastAsia="pt-BR"/>
              </w:rPr>
              <w:t>4.368</w:t>
            </w:r>
          </w:p>
        </w:tc>
        <w:tc>
          <w:tcPr>
            <w:tcW w:w="1314" w:type="dxa"/>
            <w:tcBorders>
              <w:top w:val="nil"/>
              <w:left w:val="nil"/>
              <w:bottom w:val="nil"/>
              <w:right w:val="nil"/>
            </w:tcBorders>
            <w:shd w:val="clear" w:color="auto" w:fill="auto"/>
            <w:vAlign w:val="center"/>
          </w:tcPr>
          <w:p w14:paraId="41A20EC4" w14:textId="77777777" w:rsidR="00612611" w:rsidRPr="00486829" w:rsidRDefault="0061261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486829">
              <w:rPr>
                <w:rFonts w:ascii="Arial" w:eastAsia="Times New Roman" w:hAnsi="Arial" w:cs="Arial"/>
                <w:spacing w:val="-2"/>
                <w:sz w:val="14"/>
                <w:szCs w:val="14"/>
                <w:lang w:eastAsia="pt-BR"/>
              </w:rPr>
              <w:t>(13.211)</w:t>
            </w:r>
          </w:p>
        </w:tc>
      </w:tr>
      <w:tr w:rsidR="00612611" w:rsidRPr="00BF2AAF" w14:paraId="37293E75"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5E59B48D" w14:textId="77777777" w:rsidR="00612611" w:rsidRPr="00BF2AAF" w:rsidRDefault="00612611">
            <w:pPr>
              <w:keepNext/>
              <w:keepLines/>
              <w:spacing w:before="40" w:after="40"/>
              <w:ind w:left="113"/>
              <w:rPr>
                <w:rFonts w:ascii="Arial" w:eastAsia="Times New Roman" w:hAnsi="Arial" w:cs="Arial"/>
                <w:b w:val="0"/>
                <w:bCs w:val="0"/>
                <w:spacing w:val="-2"/>
                <w:sz w:val="14"/>
                <w:szCs w:val="14"/>
                <w:lang w:eastAsia="pt-BR"/>
              </w:rPr>
            </w:pPr>
            <w:r w:rsidRPr="00BF2AAF">
              <w:rPr>
                <w:rFonts w:ascii="Arial" w:eastAsia="Times New Roman" w:hAnsi="Arial" w:cs="Arial"/>
                <w:b w:val="0"/>
                <w:bCs w:val="0"/>
                <w:spacing w:val="-2"/>
                <w:sz w:val="14"/>
                <w:szCs w:val="14"/>
                <w:lang w:eastAsia="pt-BR"/>
              </w:rPr>
              <w:t>Outros passivos</w:t>
            </w:r>
          </w:p>
        </w:tc>
        <w:tc>
          <w:tcPr>
            <w:tcW w:w="556" w:type="dxa"/>
            <w:tcBorders>
              <w:top w:val="nil"/>
              <w:bottom w:val="nil"/>
            </w:tcBorders>
            <w:shd w:val="clear" w:color="auto" w:fill="auto"/>
            <w:vAlign w:val="center"/>
          </w:tcPr>
          <w:p w14:paraId="327076D1" w14:textId="77777777" w:rsidR="00612611" w:rsidRPr="00BF2AAF" w:rsidRDefault="0061261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left w:val="nil"/>
              <w:bottom w:val="nil"/>
              <w:right w:val="nil"/>
            </w:tcBorders>
            <w:shd w:val="clear" w:color="auto" w:fill="auto"/>
            <w:vAlign w:val="center"/>
          </w:tcPr>
          <w:p w14:paraId="1F8AFCF4" w14:textId="3F00840F" w:rsidR="00612611" w:rsidRPr="00BF2AAF" w:rsidRDefault="0061261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150392">
              <w:rPr>
                <w:rFonts w:ascii="Arial" w:eastAsia="Times New Roman" w:hAnsi="Arial" w:cs="Arial"/>
                <w:spacing w:val="-2"/>
                <w:sz w:val="14"/>
                <w:szCs w:val="14"/>
                <w:lang w:eastAsia="pt-BR"/>
              </w:rPr>
              <w:t>(6</w:t>
            </w:r>
            <w:r w:rsidR="00690767">
              <w:rPr>
                <w:rFonts w:ascii="Arial" w:eastAsia="Times New Roman" w:hAnsi="Arial" w:cs="Arial"/>
                <w:spacing w:val="-2"/>
                <w:sz w:val="14"/>
                <w:szCs w:val="14"/>
                <w:lang w:eastAsia="pt-BR"/>
              </w:rPr>
              <w:t>59</w:t>
            </w:r>
            <w:r w:rsidRPr="00150392">
              <w:rPr>
                <w:rFonts w:ascii="Arial" w:eastAsia="Times New Roman" w:hAnsi="Arial" w:cs="Arial"/>
                <w:spacing w:val="-2"/>
                <w:sz w:val="14"/>
                <w:szCs w:val="14"/>
                <w:lang w:eastAsia="pt-BR"/>
              </w:rPr>
              <w:t>)</w:t>
            </w:r>
          </w:p>
        </w:tc>
        <w:tc>
          <w:tcPr>
            <w:tcW w:w="1311" w:type="dxa"/>
            <w:tcBorders>
              <w:top w:val="nil"/>
              <w:left w:val="nil"/>
              <w:bottom w:val="nil"/>
              <w:right w:val="nil"/>
            </w:tcBorders>
            <w:shd w:val="clear" w:color="auto" w:fill="auto"/>
            <w:vAlign w:val="center"/>
          </w:tcPr>
          <w:p w14:paraId="3216EBFE" w14:textId="77777777" w:rsidR="00612611" w:rsidRPr="00BF2AAF" w:rsidRDefault="0061261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BF2AAF">
              <w:rPr>
                <w:rFonts w:ascii="Arial" w:hAnsi="Arial" w:cs="Arial"/>
                <w:color w:val="000000"/>
                <w:sz w:val="14"/>
                <w:szCs w:val="14"/>
              </w:rPr>
              <w:t>1.304</w:t>
            </w:r>
          </w:p>
        </w:tc>
        <w:tc>
          <w:tcPr>
            <w:tcW w:w="280" w:type="dxa"/>
            <w:tcBorders>
              <w:top w:val="nil"/>
              <w:bottom w:val="nil"/>
            </w:tcBorders>
            <w:shd w:val="clear" w:color="auto" w:fill="auto"/>
            <w:vAlign w:val="center"/>
          </w:tcPr>
          <w:p w14:paraId="34683076" w14:textId="77777777" w:rsidR="00612611" w:rsidRPr="00BF2AAF" w:rsidRDefault="0061261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shd w:val="clear" w:color="auto" w:fill="auto"/>
            <w:vAlign w:val="center"/>
          </w:tcPr>
          <w:p w14:paraId="1C17F9C2" w14:textId="77009B2F" w:rsidR="00612611" w:rsidRPr="00BF2AAF" w:rsidRDefault="0061261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5A0324">
              <w:rPr>
                <w:rFonts w:ascii="Arial" w:eastAsia="Times New Roman" w:hAnsi="Arial" w:cs="Arial"/>
                <w:spacing w:val="-2"/>
                <w:sz w:val="14"/>
                <w:szCs w:val="14"/>
                <w:lang w:eastAsia="pt-BR"/>
              </w:rPr>
              <w:t>(10.66</w:t>
            </w:r>
            <w:r w:rsidR="00C75D78">
              <w:rPr>
                <w:rFonts w:ascii="Arial" w:eastAsia="Times New Roman" w:hAnsi="Arial" w:cs="Arial"/>
                <w:spacing w:val="-2"/>
                <w:sz w:val="14"/>
                <w:szCs w:val="14"/>
                <w:lang w:eastAsia="pt-BR"/>
              </w:rPr>
              <w:t>7</w:t>
            </w:r>
            <w:r w:rsidRPr="005A0324">
              <w:rPr>
                <w:rFonts w:ascii="Arial" w:eastAsia="Times New Roman" w:hAnsi="Arial" w:cs="Arial"/>
                <w:spacing w:val="-2"/>
                <w:sz w:val="14"/>
                <w:szCs w:val="14"/>
                <w:lang w:eastAsia="pt-BR"/>
              </w:rPr>
              <w:t>)</w:t>
            </w:r>
          </w:p>
        </w:tc>
        <w:tc>
          <w:tcPr>
            <w:tcW w:w="1314" w:type="dxa"/>
            <w:tcBorders>
              <w:top w:val="nil"/>
              <w:left w:val="nil"/>
              <w:bottom w:val="nil"/>
              <w:right w:val="nil"/>
            </w:tcBorders>
            <w:shd w:val="clear" w:color="auto" w:fill="auto"/>
            <w:vAlign w:val="center"/>
          </w:tcPr>
          <w:p w14:paraId="5ED5479D" w14:textId="77777777" w:rsidR="00612611" w:rsidRPr="00BF2AAF" w:rsidRDefault="0061261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(1.916)</w:t>
            </w:r>
          </w:p>
        </w:tc>
      </w:tr>
      <w:tr w:rsidR="00612611" w:rsidRPr="00BF2AAF" w14:paraId="5A1F5832"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444DE1F9" w14:textId="77777777" w:rsidR="00612611" w:rsidRPr="00BF2AAF" w:rsidRDefault="00612611">
            <w:pPr>
              <w:keepNext/>
              <w:keepLines/>
              <w:spacing w:before="40" w:after="40"/>
              <w:ind w:left="113"/>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Caixa Gerado Pelas/(Consumido Nas) Atividades Operacionais</w:t>
            </w:r>
          </w:p>
        </w:tc>
        <w:tc>
          <w:tcPr>
            <w:tcW w:w="556" w:type="dxa"/>
            <w:tcBorders>
              <w:top w:val="nil"/>
              <w:bottom w:val="nil"/>
            </w:tcBorders>
            <w:shd w:val="clear" w:color="auto" w:fill="auto"/>
            <w:vAlign w:val="center"/>
          </w:tcPr>
          <w:p w14:paraId="7AE2F4A1" w14:textId="77777777" w:rsidR="00612611" w:rsidRPr="00BF2AAF" w:rsidRDefault="0061261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left w:val="nil"/>
              <w:bottom w:val="nil"/>
              <w:right w:val="nil"/>
            </w:tcBorders>
            <w:shd w:val="clear" w:color="auto" w:fill="auto"/>
            <w:vAlign w:val="center"/>
          </w:tcPr>
          <w:p w14:paraId="6FCFC942" w14:textId="1DEB86C9" w:rsidR="00612611" w:rsidRPr="00BF2AAF" w:rsidRDefault="0061261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394ADC">
              <w:rPr>
                <w:rFonts w:ascii="Arial" w:eastAsia="Times New Roman" w:hAnsi="Arial" w:cs="Arial"/>
                <w:b/>
                <w:bCs/>
                <w:spacing w:val="-2"/>
                <w:sz w:val="14"/>
                <w:szCs w:val="14"/>
                <w:lang w:eastAsia="pt-BR"/>
              </w:rPr>
              <w:t>7.6</w:t>
            </w:r>
            <w:r w:rsidR="00690767">
              <w:rPr>
                <w:rFonts w:ascii="Arial" w:eastAsia="Times New Roman" w:hAnsi="Arial" w:cs="Arial"/>
                <w:b/>
                <w:bCs/>
                <w:spacing w:val="-2"/>
                <w:sz w:val="14"/>
                <w:szCs w:val="14"/>
                <w:lang w:eastAsia="pt-BR"/>
              </w:rPr>
              <w:t>29</w:t>
            </w:r>
          </w:p>
        </w:tc>
        <w:tc>
          <w:tcPr>
            <w:tcW w:w="1311" w:type="dxa"/>
            <w:tcBorders>
              <w:top w:val="nil"/>
              <w:left w:val="nil"/>
              <w:bottom w:val="nil"/>
              <w:right w:val="nil"/>
            </w:tcBorders>
            <w:shd w:val="clear" w:color="auto" w:fill="auto"/>
            <w:vAlign w:val="center"/>
          </w:tcPr>
          <w:p w14:paraId="1168E416" w14:textId="77777777" w:rsidR="00612611" w:rsidRPr="00BF2AAF" w:rsidRDefault="0061261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r w:rsidRPr="00BF2AAF">
              <w:rPr>
                <w:rFonts w:ascii="Arial" w:hAnsi="Arial" w:cs="Arial"/>
                <w:b/>
                <w:bCs/>
                <w:color w:val="000000"/>
                <w:sz w:val="14"/>
                <w:szCs w:val="14"/>
              </w:rPr>
              <w:t>(2.649)</w:t>
            </w:r>
          </w:p>
        </w:tc>
        <w:tc>
          <w:tcPr>
            <w:tcW w:w="280" w:type="dxa"/>
            <w:tcBorders>
              <w:top w:val="nil"/>
              <w:bottom w:val="nil"/>
            </w:tcBorders>
            <w:shd w:val="clear" w:color="auto" w:fill="auto"/>
            <w:vAlign w:val="center"/>
          </w:tcPr>
          <w:p w14:paraId="0002E442" w14:textId="77777777" w:rsidR="00612611" w:rsidRPr="00BF2AAF" w:rsidRDefault="0061261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p>
        </w:tc>
        <w:tc>
          <w:tcPr>
            <w:tcW w:w="1241" w:type="dxa"/>
            <w:tcBorders>
              <w:top w:val="nil"/>
              <w:left w:val="nil"/>
              <w:bottom w:val="nil"/>
              <w:right w:val="nil"/>
            </w:tcBorders>
            <w:shd w:val="clear" w:color="auto" w:fill="auto"/>
            <w:vAlign w:val="center"/>
          </w:tcPr>
          <w:p w14:paraId="09FB574D" w14:textId="46435F63" w:rsidR="00612611" w:rsidRPr="00BF2AAF" w:rsidRDefault="0061261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r w:rsidRPr="005A0324">
              <w:rPr>
                <w:rFonts w:ascii="Arial" w:eastAsia="Times New Roman" w:hAnsi="Arial" w:cs="Arial"/>
                <w:b/>
                <w:bCs/>
                <w:spacing w:val="-2"/>
                <w:sz w:val="14"/>
                <w:szCs w:val="14"/>
                <w:lang w:eastAsia="pt-BR"/>
              </w:rPr>
              <w:t>4.223.58</w:t>
            </w:r>
            <w:r w:rsidR="00CB7979">
              <w:rPr>
                <w:rFonts w:ascii="Arial" w:eastAsia="Times New Roman" w:hAnsi="Arial" w:cs="Arial"/>
                <w:b/>
                <w:bCs/>
                <w:spacing w:val="-2"/>
                <w:sz w:val="14"/>
                <w:szCs w:val="14"/>
                <w:lang w:eastAsia="pt-BR"/>
              </w:rPr>
              <w:t>3</w:t>
            </w:r>
          </w:p>
        </w:tc>
        <w:tc>
          <w:tcPr>
            <w:tcW w:w="1314" w:type="dxa"/>
            <w:tcBorders>
              <w:top w:val="nil"/>
              <w:left w:val="nil"/>
              <w:bottom w:val="nil"/>
              <w:right w:val="nil"/>
            </w:tcBorders>
            <w:shd w:val="clear" w:color="auto" w:fill="auto"/>
            <w:vAlign w:val="center"/>
          </w:tcPr>
          <w:p w14:paraId="0A50D59B" w14:textId="77777777" w:rsidR="00612611" w:rsidRPr="00BF2AAF" w:rsidRDefault="0061261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r w:rsidRPr="00BF2AAF">
              <w:rPr>
                <w:rFonts w:ascii="Arial" w:eastAsia="Times New Roman" w:hAnsi="Arial" w:cs="Arial"/>
                <w:b/>
                <w:bCs/>
                <w:spacing w:val="-2"/>
                <w:sz w:val="14"/>
                <w:szCs w:val="14"/>
                <w:lang w:eastAsia="pt-BR"/>
              </w:rPr>
              <w:t>3.697.841</w:t>
            </w:r>
          </w:p>
        </w:tc>
      </w:tr>
      <w:tr w:rsidR="00612611" w:rsidRPr="00BF2AAF" w14:paraId="43D3F53F"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7F876271" w14:textId="77777777" w:rsidR="00612611" w:rsidRPr="00BF2AAF" w:rsidRDefault="00612611">
            <w:pPr>
              <w:keepNext/>
              <w:keepLines/>
              <w:spacing w:before="40" w:after="40"/>
              <w:rPr>
                <w:rFonts w:ascii="Arial" w:eastAsia="Times New Roman" w:hAnsi="Arial" w:cs="Arial"/>
                <w:spacing w:val="-2"/>
                <w:sz w:val="14"/>
                <w:szCs w:val="14"/>
                <w:lang w:eastAsia="pt-BR"/>
              </w:rPr>
            </w:pPr>
          </w:p>
        </w:tc>
        <w:tc>
          <w:tcPr>
            <w:tcW w:w="556" w:type="dxa"/>
            <w:tcBorders>
              <w:top w:val="nil"/>
              <w:bottom w:val="nil"/>
            </w:tcBorders>
            <w:shd w:val="clear" w:color="auto" w:fill="auto"/>
            <w:vAlign w:val="center"/>
          </w:tcPr>
          <w:p w14:paraId="07D8843D" w14:textId="77777777" w:rsidR="00612611" w:rsidRPr="00BF2AAF" w:rsidRDefault="0061261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left w:val="nil"/>
              <w:bottom w:val="nil"/>
              <w:right w:val="nil"/>
            </w:tcBorders>
            <w:shd w:val="clear" w:color="auto" w:fill="auto"/>
            <w:vAlign w:val="center"/>
          </w:tcPr>
          <w:p w14:paraId="1855BCF4" w14:textId="77777777" w:rsidR="00612611" w:rsidRPr="00BF2AAF" w:rsidRDefault="0061261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311" w:type="dxa"/>
            <w:tcBorders>
              <w:top w:val="nil"/>
              <w:left w:val="nil"/>
              <w:bottom w:val="nil"/>
              <w:right w:val="nil"/>
            </w:tcBorders>
            <w:shd w:val="clear" w:color="auto" w:fill="auto"/>
            <w:vAlign w:val="center"/>
          </w:tcPr>
          <w:p w14:paraId="2C3E973C" w14:textId="77777777" w:rsidR="00612611" w:rsidRPr="00BF2AAF" w:rsidRDefault="0061261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c>
          <w:tcPr>
            <w:tcW w:w="280" w:type="dxa"/>
            <w:tcBorders>
              <w:top w:val="nil"/>
              <w:bottom w:val="nil"/>
            </w:tcBorders>
            <w:shd w:val="clear" w:color="auto" w:fill="auto"/>
            <w:vAlign w:val="center"/>
          </w:tcPr>
          <w:p w14:paraId="783CB448" w14:textId="77777777" w:rsidR="00612611" w:rsidRPr="00BF2AAF" w:rsidRDefault="0061261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c>
          <w:tcPr>
            <w:tcW w:w="1241" w:type="dxa"/>
            <w:tcBorders>
              <w:top w:val="nil"/>
              <w:left w:val="nil"/>
              <w:bottom w:val="nil"/>
              <w:right w:val="nil"/>
            </w:tcBorders>
            <w:shd w:val="clear" w:color="auto" w:fill="auto"/>
            <w:vAlign w:val="center"/>
          </w:tcPr>
          <w:p w14:paraId="4BDD260B" w14:textId="77777777" w:rsidR="00612611" w:rsidRPr="00BF2AAF" w:rsidRDefault="0061261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314" w:type="dxa"/>
            <w:tcBorders>
              <w:top w:val="nil"/>
              <w:left w:val="nil"/>
              <w:bottom w:val="nil"/>
              <w:right w:val="nil"/>
            </w:tcBorders>
            <w:shd w:val="clear" w:color="auto" w:fill="auto"/>
            <w:vAlign w:val="center"/>
          </w:tcPr>
          <w:p w14:paraId="7E093F72" w14:textId="77777777" w:rsidR="00612611" w:rsidRPr="00BF2AAF" w:rsidRDefault="0061261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r>
      <w:tr w:rsidR="00612611" w:rsidRPr="00BF2AAF" w14:paraId="4ED864BC"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35743D0A" w14:textId="77777777" w:rsidR="00612611" w:rsidRPr="00BF2AAF" w:rsidRDefault="00612611">
            <w:pPr>
              <w:keepNext/>
              <w:keepLines/>
              <w:spacing w:before="40" w:after="40"/>
              <w:ind w:left="113"/>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Fluxos De Caixa Provenientes das Atividades de Investimento</w:t>
            </w:r>
          </w:p>
        </w:tc>
        <w:tc>
          <w:tcPr>
            <w:tcW w:w="556" w:type="dxa"/>
            <w:tcBorders>
              <w:top w:val="nil"/>
              <w:bottom w:val="nil"/>
            </w:tcBorders>
            <w:shd w:val="clear" w:color="auto" w:fill="auto"/>
            <w:vAlign w:val="center"/>
          </w:tcPr>
          <w:p w14:paraId="47568997" w14:textId="77777777" w:rsidR="00612611" w:rsidRPr="00BF2AAF" w:rsidRDefault="0061261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left w:val="nil"/>
              <w:bottom w:val="nil"/>
              <w:right w:val="nil"/>
            </w:tcBorders>
            <w:shd w:val="clear" w:color="auto" w:fill="auto"/>
            <w:vAlign w:val="center"/>
          </w:tcPr>
          <w:p w14:paraId="5DE94157" w14:textId="77777777" w:rsidR="00612611" w:rsidRPr="00BF2AAF" w:rsidRDefault="0061261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311" w:type="dxa"/>
            <w:tcBorders>
              <w:top w:val="nil"/>
              <w:left w:val="nil"/>
              <w:bottom w:val="nil"/>
              <w:right w:val="nil"/>
            </w:tcBorders>
            <w:shd w:val="clear" w:color="auto" w:fill="auto"/>
            <w:vAlign w:val="center"/>
          </w:tcPr>
          <w:p w14:paraId="587C9E7D" w14:textId="77777777" w:rsidR="00612611" w:rsidRPr="00BF2AAF" w:rsidRDefault="0061261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280" w:type="dxa"/>
            <w:tcBorders>
              <w:top w:val="nil"/>
              <w:bottom w:val="nil"/>
            </w:tcBorders>
            <w:shd w:val="clear" w:color="auto" w:fill="auto"/>
            <w:vAlign w:val="center"/>
          </w:tcPr>
          <w:p w14:paraId="3FD9133A" w14:textId="77777777" w:rsidR="00612611" w:rsidRPr="00BF2AAF" w:rsidRDefault="0061261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shd w:val="clear" w:color="auto" w:fill="auto"/>
            <w:vAlign w:val="center"/>
          </w:tcPr>
          <w:p w14:paraId="05C36E8B" w14:textId="77777777" w:rsidR="00612611" w:rsidRPr="00BF2AAF" w:rsidRDefault="0061261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314" w:type="dxa"/>
            <w:tcBorders>
              <w:top w:val="nil"/>
              <w:left w:val="nil"/>
              <w:bottom w:val="nil"/>
              <w:right w:val="nil"/>
            </w:tcBorders>
            <w:shd w:val="clear" w:color="auto" w:fill="auto"/>
            <w:vAlign w:val="center"/>
          </w:tcPr>
          <w:p w14:paraId="35746F23" w14:textId="77777777" w:rsidR="00612611" w:rsidRPr="00BF2AAF" w:rsidRDefault="0061261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r>
      <w:tr w:rsidR="00612611" w:rsidRPr="00BF2AAF" w14:paraId="0C3E8934"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5E9D6406" w14:textId="77777777" w:rsidR="00612611" w:rsidRPr="00BF2AAF" w:rsidRDefault="00612611">
            <w:pPr>
              <w:keepNext/>
              <w:keepLines/>
              <w:spacing w:before="40" w:after="40"/>
              <w:ind w:left="113"/>
              <w:rPr>
                <w:rFonts w:ascii="Arial" w:eastAsia="Times New Roman" w:hAnsi="Arial" w:cs="Arial"/>
                <w:b w:val="0"/>
                <w:bCs w:val="0"/>
                <w:spacing w:val="-2"/>
                <w:sz w:val="14"/>
                <w:szCs w:val="14"/>
                <w:lang w:eastAsia="pt-BR"/>
              </w:rPr>
            </w:pPr>
            <w:bookmarkStart w:id="18" w:name="_Hlk75777464"/>
            <w:r w:rsidRPr="00BF2AAF">
              <w:rPr>
                <w:rFonts w:ascii="Arial" w:eastAsia="Times New Roman" w:hAnsi="Arial" w:cs="Arial"/>
                <w:b w:val="0"/>
                <w:bCs w:val="0"/>
                <w:spacing w:val="-2"/>
                <w:sz w:val="14"/>
                <w:szCs w:val="14"/>
                <w:lang w:eastAsia="pt-BR"/>
              </w:rPr>
              <w:t>Aplicações em ativos financeiros a valor justo por meio do resultado</w:t>
            </w:r>
          </w:p>
        </w:tc>
        <w:tc>
          <w:tcPr>
            <w:tcW w:w="556" w:type="dxa"/>
            <w:tcBorders>
              <w:top w:val="nil"/>
              <w:bottom w:val="nil"/>
            </w:tcBorders>
            <w:shd w:val="clear" w:color="auto" w:fill="auto"/>
            <w:vAlign w:val="center"/>
          </w:tcPr>
          <w:p w14:paraId="57133151" w14:textId="77777777" w:rsidR="00612611" w:rsidRPr="00BF2AAF" w:rsidRDefault="0061261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left w:val="nil"/>
              <w:bottom w:val="nil"/>
              <w:right w:val="nil"/>
            </w:tcBorders>
            <w:shd w:val="clear" w:color="auto" w:fill="auto"/>
            <w:vAlign w:val="center"/>
          </w:tcPr>
          <w:p w14:paraId="1657C2ED" w14:textId="77777777" w:rsidR="00612611" w:rsidRPr="00BF2AAF" w:rsidRDefault="0061261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311" w:type="dxa"/>
            <w:tcBorders>
              <w:top w:val="nil"/>
              <w:left w:val="nil"/>
              <w:bottom w:val="nil"/>
              <w:right w:val="nil"/>
            </w:tcBorders>
            <w:shd w:val="clear" w:color="auto" w:fill="auto"/>
            <w:vAlign w:val="center"/>
          </w:tcPr>
          <w:p w14:paraId="3FDDB10D" w14:textId="77777777" w:rsidR="00612611" w:rsidRPr="00BF2AAF" w:rsidRDefault="0061261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w:t>
            </w:r>
          </w:p>
        </w:tc>
        <w:tc>
          <w:tcPr>
            <w:tcW w:w="280" w:type="dxa"/>
            <w:tcBorders>
              <w:top w:val="nil"/>
              <w:bottom w:val="nil"/>
            </w:tcBorders>
            <w:shd w:val="clear" w:color="auto" w:fill="auto"/>
            <w:vAlign w:val="center"/>
          </w:tcPr>
          <w:p w14:paraId="36DE06FB" w14:textId="77777777" w:rsidR="00612611" w:rsidRPr="00BF2AAF" w:rsidRDefault="0061261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shd w:val="clear" w:color="auto" w:fill="auto"/>
            <w:vAlign w:val="center"/>
          </w:tcPr>
          <w:p w14:paraId="7EBE9B0E" w14:textId="77777777" w:rsidR="00612611" w:rsidRPr="00BF2AAF" w:rsidRDefault="0061261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314" w:type="dxa"/>
            <w:tcBorders>
              <w:top w:val="nil"/>
              <w:left w:val="nil"/>
              <w:bottom w:val="nil"/>
              <w:right w:val="nil"/>
            </w:tcBorders>
            <w:shd w:val="clear" w:color="auto" w:fill="auto"/>
            <w:vAlign w:val="center"/>
          </w:tcPr>
          <w:p w14:paraId="714F5A0D" w14:textId="77777777" w:rsidR="00612611" w:rsidRPr="00BF2AAF" w:rsidRDefault="0061261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(1.086.091)</w:t>
            </w:r>
          </w:p>
        </w:tc>
      </w:tr>
      <w:bookmarkEnd w:id="18"/>
      <w:tr w:rsidR="00612611" w:rsidRPr="00BF2AAF" w14:paraId="2169D893"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562259B2" w14:textId="77777777" w:rsidR="00612611" w:rsidRPr="00BF2AAF" w:rsidRDefault="00612611">
            <w:pPr>
              <w:keepNext/>
              <w:keepLines/>
              <w:spacing w:before="40" w:after="40"/>
              <w:ind w:left="113"/>
              <w:rPr>
                <w:rFonts w:ascii="Arial" w:eastAsia="Times New Roman" w:hAnsi="Arial" w:cs="Arial"/>
                <w:b w:val="0"/>
                <w:bCs w:val="0"/>
                <w:spacing w:val="-2"/>
                <w:sz w:val="14"/>
                <w:szCs w:val="14"/>
                <w:lang w:eastAsia="pt-BR"/>
              </w:rPr>
            </w:pPr>
            <w:r w:rsidRPr="00BF2AAF">
              <w:rPr>
                <w:rFonts w:ascii="Arial" w:eastAsia="Times New Roman" w:hAnsi="Arial" w:cs="Arial"/>
                <w:b w:val="0"/>
                <w:bCs w:val="0"/>
                <w:spacing w:val="-2"/>
                <w:sz w:val="14"/>
                <w:szCs w:val="14"/>
                <w:lang w:eastAsia="pt-BR"/>
              </w:rPr>
              <w:t>Dividendos recebidos</w:t>
            </w:r>
          </w:p>
        </w:tc>
        <w:tc>
          <w:tcPr>
            <w:tcW w:w="556" w:type="dxa"/>
            <w:tcBorders>
              <w:top w:val="nil"/>
              <w:bottom w:val="nil"/>
            </w:tcBorders>
            <w:shd w:val="clear" w:color="auto" w:fill="auto"/>
            <w:vAlign w:val="center"/>
          </w:tcPr>
          <w:p w14:paraId="7ED7D847" w14:textId="77777777" w:rsidR="00612611" w:rsidRPr="00BF2AAF" w:rsidRDefault="0061261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BF2AAF">
              <w:rPr>
                <w:rFonts w:ascii="Arial" w:eastAsia="Times New Roman" w:hAnsi="Arial" w:cs="Arial"/>
                <w:spacing w:val="-2"/>
                <w:sz w:val="14"/>
                <w:szCs w:val="14"/>
                <w:lang w:eastAsia="pt-BR"/>
              </w:rPr>
              <w:t>[7.b]</w:t>
            </w:r>
          </w:p>
        </w:tc>
        <w:tc>
          <w:tcPr>
            <w:tcW w:w="1240" w:type="dxa"/>
            <w:tcBorders>
              <w:top w:val="nil"/>
              <w:left w:val="nil"/>
              <w:bottom w:val="nil"/>
              <w:right w:val="nil"/>
            </w:tcBorders>
            <w:shd w:val="clear" w:color="auto" w:fill="auto"/>
            <w:vAlign w:val="center"/>
          </w:tcPr>
          <w:p w14:paraId="39911B19" w14:textId="77777777" w:rsidR="00612611" w:rsidRPr="00BF2AAF" w:rsidRDefault="0061261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94ADC">
              <w:rPr>
                <w:rFonts w:ascii="Arial" w:eastAsia="Times New Roman" w:hAnsi="Arial" w:cs="Arial"/>
                <w:spacing w:val="-2"/>
                <w:sz w:val="14"/>
                <w:szCs w:val="14"/>
                <w:lang w:eastAsia="pt-BR"/>
              </w:rPr>
              <w:t>6.043.027</w:t>
            </w:r>
          </w:p>
        </w:tc>
        <w:tc>
          <w:tcPr>
            <w:tcW w:w="1311" w:type="dxa"/>
            <w:tcBorders>
              <w:top w:val="nil"/>
              <w:left w:val="nil"/>
              <w:bottom w:val="nil"/>
              <w:right w:val="nil"/>
            </w:tcBorders>
            <w:shd w:val="clear" w:color="auto" w:fill="auto"/>
            <w:vAlign w:val="center"/>
          </w:tcPr>
          <w:p w14:paraId="0EC958F0" w14:textId="77777777" w:rsidR="00612611" w:rsidRPr="00BF2AAF" w:rsidRDefault="0061261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8.174.409</w:t>
            </w:r>
          </w:p>
        </w:tc>
        <w:tc>
          <w:tcPr>
            <w:tcW w:w="280" w:type="dxa"/>
            <w:tcBorders>
              <w:top w:val="nil"/>
              <w:bottom w:val="nil"/>
            </w:tcBorders>
            <w:shd w:val="clear" w:color="auto" w:fill="auto"/>
            <w:vAlign w:val="center"/>
          </w:tcPr>
          <w:p w14:paraId="5D65B445" w14:textId="77777777" w:rsidR="00612611" w:rsidRPr="00BF2AAF" w:rsidRDefault="0061261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shd w:val="clear" w:color="auto" w:fill="auto"/>
            <w:vAlign w:val="center"/>
          </w:tcPr>
          <w:p w14:paraId="21C1A70A" w14:textId="77777777" w:rsidR="00612611" w:rsidRPr="00BF2AAF" w:rsidRDefault="0061261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5A0324">
              <w:rPr>
                <w:rFonts w:ascii="Arial" w:eastAsia="Times New Roman" w:hAnsi="Arial" w:cs="Arial"/>
                <w:spacing w:val="-2"/>
                <w:sz w:val="14"/>
                <w:szCs w:val="14"/>
                <w:lang w:eastAsia="pt-BR"/>
              </w:rPr>
              <w:t>5.173.629</w:t>
            </w:r>
          </w:p>
        </w:tc>
        <w:tc>
          <w:tcPr>
            <w:tcW w:w="1314" w:type="dxa"/>
            <w:tcBorders>
              <w:top w:val="nil"/>
              <w:left w:val="nil"/>
              <w:bottom w:val="nil"/>
              <w:right w:val="nil"/>
            </w:tcBorders>
            <w:shd w:val="clear" w:color="auto" w:fill="auto"/>
            <w:vAlign w:val="center"/>
          </w:tcPr>
          <w:p w14:paraId="1D31FAA9" w14:textId="77777777" w:rsidR="00612611" w:rsidRPr="00BF2AAF" w:rsidRDefault="0061261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3.650.067</w:t>
            </w:r>
          </w:p>
        </w:tc>
      </w:tr>
      <w:tr w:rsidR="00612611" w:rsidRPr="00BF2AAF" w14:paraId="0E11FC64"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74A63533" w14:textId="77777777" w:rsidR="00612611" w:rsidRPr="00BF2AAF" w:rsidRDefault="00612611">
            <w:pPr>
              <w:keepNext/>
              <w:keepLines/>
              <w:spacing w:before="40" w:after="40"/>
              <w:ind w:left="113"/>
              <w:rPr>
                <w:rFonts w:ascii="Arial" w:eastAsia="Times New Roman" w:hAnsi="Arial" w:cs="Arial"/>
                <w:b w:val="0"/>
                <w:bCs w:val="0"/>
                <w:spacing w:val="-2"/>
                <w:sz w:val="14"/>
                <w:szCs w:val="14"/>
                <w:lang w:eastAsia="pt-BR"/>
              </w:rPr>
            </w:pPr>
            <w:r w:rsidRPr="00BF2AAF">
              <w:rPr>
                <w:rFonts w:ascii="Arial" w:eastAsia="Times New Roman" w:hAnsi="Arial" w:cs="Arial"/>
                <w:b w:val="0"/>
                <w:bCs w:val="0"/>
                <w:spacing w:val="-2"/>
                <w:sz w:val="14"/>
                <w:szCs w:val="14"/>
                <w:lang w:eastAsia="pt-BR"/>
              </w:rPr>
              <w:t>Outras</w:t>
            </w:r>
          </w:p>
        </w:tc>
        <w:tc>
          <w:tcPr>
            <w:tcW w:w="556" w:type="dxa"/>
            <w:tcBorders>
              <w:top w:val="nil"/>
              <w:bottom w:val="nil"/>
            </w:tcBorders>
            <w:shd w:val="clear" w:color="auto" w:fill="auto"/>
            <w:vAlign w:val="center"/>
          </w:tcPr>
          <w:p w14:paraId="2753CF67" w14:textId="77777777" w:rsidR="00612611" w:rsidRPr="00BF2AAF" w:rsidRDefault="0061261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left w:val="nil"/>
              <w:bottom w:val="nil"/>
              <w:right w:val="nil"/>
            </w:tcBorders>
            <w:shd w:val="clear" w:color="auto" w:fill="auto"/>
            <w:vAlign w:val="center"/>
          </w:tcPr>
          <w:p w14:paraId="55486F38" w14:textId="77777777" w:rsidR="00612611" w:rsidRPr="00BF2AAF" w:rsidRDefault="0061261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394ADC">
              <w:rPr>
                <w:rFonts w:ascii="Arial" w:eastAsia="Times New Roman" w:hAnsi="Arial" w:cs="Arial"/>
                <w:spacing w:val="-2"/>
                <w:sz w:val="14"/>
                <w:szCs w:val="14"/>
                <w:lang w:eastAsia="pt-BR"/>
              </w:rPr>
              <w:t>(109)</w:t>
            </w:r>
          </w:p>
        </w:tc>
        <w:tc>
          <w:tcPr>
            <w:tcW w:w="1311" w:type="dxa"/>
            <w:tcBorders>
              <w:top w:val="nil"/>
              <w:left w:val="nil"/>
              <w:bottom w:val="nil"/>
              <w:right w:val="nil"/>
            </w:tcBorders>
            <w:shd w:val="clear" w:color="auto" w:fill="auto"/>
            <w:vAlign w:val="center"/>
          </w:tcPr>
          <w:p w14:paraId="56DF9826" w14:textId="77777777" w:rsidR="00612611" w:rsidRPr="00BF2AAF" w:rsidRDefault="0061261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(414)</w:t>
            </w:r>
          </w:p>
        </w:tc>
        <w:tc>
          <w:tcPr>
            <w:tcW w:w="280" w:type="dxa"/>
            <w:tcBorders>
              <w:top w:val="nil"/>
              <w:bottom w:val="nil"/>
            </w:tcBorders>
            <w:shd w:val="clear" w:color="auto" w:fill="auto"/>
            <w:vAlign w:val="center"/>
          </w:tcPr>
          <w:p w14:paraId="5ADCDDB8" w14:textId="77777777" w:rsidR="00612611" w:rsidRPr="00BF2AAF" w:rsidRDefault="0061261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shd w:val="clear" w:color="auto" w:fill="auto"/>
            <w:vAlign w:val="center"/>
          </w:tcPr>
          <w:p w14:paraId="6632B59B" w14:textId="77777777" w:rsidR="00612611" w:rsidRPr="00BF2AAF" w:rsidRDefault="0061261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5A0324">
              <w:rPr>
                <w:rFonts w:ascii="Arial" w:eastAsia="Times New Roman" w:hAnsi="Arial" w:cs="Arial"/>
                <w:spacing w:val="-2"/>
                <w:sz w:val="14"/>
                <w:szCs w:val="14"/>
                <w:lang w:eastAsia="pt-BR"/>
              </w:rPr>
              <w:t>(109)</w:t>
            </w:r>
          </w:p>
        </w:tc>
        <w:tc>
          <w:tcPr>
            <w:tcW w:w="1314" w:type="dxa"/>
            <w:tcBorders>
              <w:top w:val="nil"/>
              <w:left w:val="nil"/>
              <w:bottom w:val="nil"/>
              <w:right w:val="nil"/>
            </w:tcBorders>
            <w:shd w:val="clear" w:color="auto" w:fill="auto"/>
            <w:vAlign w:val="center"/>
          </w:tcPr>
          <w:p w14:paraId="426DEC60" w14:textId="77777777" w:rsidR="00612611" w:rsidRPr="00BF2AAF" w:rsidRDefault="0061261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(414)</w:t>
            </w:r>
          </w:p>
        </w:tc>
      </w:tr>
      <w:tr w:rsidR="00612611" w:rsidRPr="00BF2AAF" w14:paraId="3B9F535A"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630C2FD0" w14:textId="77777777" w:rsidR="00612611" w:rsidRPr="00BF2AAF" w:rsidRDefault="00612611">
            <w:pPr>
              <w:keepNext/>
              <w:keepLines/>
              <w:spacing w:before="40" w:after="40"/>
              <w:ind w:left="113"/>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Caixa Gerado Pelas/(Consumido Nas) Atividades de Investimento</w:t>
            </w:r>
          </w:p>
        </w:tc>
        <w:tc>
          <w:tcPr>
            <w:tcW w:w="556" w:type="dxa"/>
            <w:tcBorders>
              <w:top w:val="nil"/>
              <w:bottom w:val="nil"/>
            </w:tcBorders>
            <w:shd w:val="clear" w:color="auto" w:fill="auto"/>
            <w:vAlign w:val="center"/>
          </w:tcPr>
          <w:p w14:paraId="65933433" w14:textId="77777777" w:rsidR="00612611" w:rsidRPr="00BF2AAF" w:rsidRDefault="0061261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240" w:type="dxa"/>
            <w:tcBorders>
              <w:top w:val="nil"/>
              <w:left w:val="nil"/>
              <w:bottom w:val="nil"/>
              <w:right w:val="nil"/>
            </w:tcBorders>
            <w:shd w:val="clear" w:color="auto" w:fill="auto"/>
            <w:vAlign w:val="center"/>
          </w:tcPr>
          <w:p w14:paraId="5B46691C" w14:textId="77777777" w:rsidR="00612611" w:rsidRPr="00BF2AAF" w:rsidRDefault="0061261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394ADC">
              <w:rPr>
                <w:rFonts w:ascii="Arial" w:eastAsia="Times New Roman" w:hAnsi="Arial" w:cs="Arial"/>
                <w:b/>
                <w:bCs/>
                <w:spacing w:val="-2"/>
                <w:sz w:val="14"/>
                <w:szCs w:val="14"/>
                <w:lang w:eastAsia="pt-BR"/>
              </w:rPr>
              <w:t>6.042.918</w:t>
            </w:r>
          </w:p>
        </w:tc>
        <w:tc>
          <w:tcPr>
            <w:tcW w:w="1311" w:type="dxa"/>
            <w:tcBorders>
              <w:top w:val="nil"/>
              <w:left w:val="nil"/>
              <w:bottom w:val="nil"/>
              <w:right w:val="nil"/>
            </w:tcBorders>
            <w:shd w:val="clear" w:color="auto" w:fill="auto"/>
            <w:vAlign w:val="center"/>
          </w:tcPr>
          <w:p w14:paraId="373B362F" w14:textId="77777777" w:rsidR="00612611" w:rsidRPr="00BF2AAF" w:rsidRDefault="0061261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BF2AAF">
              <w:rPr>
                <w:rFonts w:ascii="Arial" w:eastAsia="Times New Roman" w:hAnsi="Arial" w:cs="Arial"/>
                <w:b/>
                <w:bCs/>
                <w:spacing w:val="-2"/>
                <w:sz w:val="14"/>
                <w:szCs w:val="14"/>
                <w:lang w:eastAsia="pt-BR"/>
              </w:rPr>
              <w:t>8.173.995</w:t>
            </w:r>
          </w:p>
        </w:tc>
        <w:tc>
          <w:tcPr>
            <w:tcW w:w="280" w:type="dxa"/>
            <w:tcBorders>
              <w:top w:val="nil"/>
              <w:bottom w:val="nil"/>
            </w:tcBorders>
            <w:shd w:val="clear" w:color="auto" w:fill="auto"/>
            <w:vAlign w:val="center"/>
          </w:tcPr>
          <w:p w14:paraId="759A68D6" w14:textId="77777777" w:rsidR="00612611" w:rsidRPr="00BF2AAF" w:rsidRDefault="0061261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241" w:type="dxa"/>
            <w:tcBorders>
              <w:top w:val="nil"/>
              <w:left w:val="nil"/>
              <w:bottom w:val="nil"/>
              <w:right w:val="nil"/>
            </w:tcBorders>
            <w:shd w:val="clear" w:color="auto" w:fill="auto"/>
            <w:vAlign w:val="center"/>
          </w:tcPr>
          <w:p w14:paraId="3FB4C9AF" w14:textId="77777777" w:rsidR="00612611" w:rsidRPr="00BF2AAF" w:rsidRDefault="0061261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5A0324">
              <w:rPr>
                <w:rFonts w:ascii="Arial" w:eastAsia="Times New Roman" w:hAnsi="Arial" w:cs="Arial"/>
                <w:b/>
                <w:bCs/>
                <w:spacing w:val="-2"/>
                <w:sz w:val="14"/>
                <w:szCs w:val="14"/>
                <w:lang w:eastAsia="pt-BR"/>
              </w:rPr>
              <w:t>5.173.520</w:t>
            </w:r>
          </w:p>
        </w:tc>
        <w:tc>
          <w:tcPr>
            <w:tcW w:w="1314" w:type="dxa"/>
            <w:tcBorders>
              <w:top w:val="nil"/>
              <w:left w:val="nil"/>
              <w:bottom w:val="nil"/>
              <w:right w:val="nil"/>
            </w:tcBorders>
            <w:shd w:val="clear" w:color="auto" w:fill="auto"/>
            <w:vAlign w:val="center"/>
          </w:tcPr>
          <w:p w14:paraId="15AA26CD" w14:textId="77777777" w:rsidR="00612611" w:rsidRPr="00BF2AAF" w:rsidRDefault="0061261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BF2AAF">
              <w:rPr>
                <w:rFonts w:ascii="Arial" w:eastAsia="Times New Roman" w:hAnsi="Arial" w:cs="Arial"/>
                <w:b/>
                <w:bCs/>
                <w:spacing w:val="-2"/>
                <w:sz w:val="14"/>
                <w:szCs w:val="14"/>
                <w:lang w:eastAsia="pt-BR"/>
              </w:rPr>
              <w:t>2.563.562</w:t>
            </w:r>
          </w:p>
        </w:tc>
      </w:tr>
      <w:tr w:rsidR="00612611" w:rsidRPr="00BF2AAF" w14:paraId="2230EBDD"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6A4D651B" w14:textId="77777777" w:rsidR="00612611" w:rsidRPr="00BF2AAF" w:rsidRDefault="00612611">
            <w:pPr>
              <w:keepNext/>
              <w:keepLines/>
              <w:spacing w:before="40" w:after="40"/>
              <w:ind w:left="113"/>
              <w:rPr>
                <w:rFonts w:ascii="Arial" w:eastAsia="Times New Roman" w:hAnsi="Arial" w:cs="Arial"/>
                <w:spacing w:val="-2"/>
                <w:sz w:val="14"/>
                <w:szCs w:val="14"/>
                <w:lang w:eastAsia="pt-BR"/>
              </w:rPr>
            </w:pPr>
          </w:p>
        </w:tc>
        <w:tc>
          <w:tcPr>
            <w:tcW w:w="556" w:type="dxa"/>
            <w:tcBorders>
              <w:top w:val="nil"/>
              <w:bottom w:val="nil"/>
            </w:tcBorders>
            <w:shd w:val="clear" w:color="auto" w:fill="auto"/>
            <w:vAlign w:val="center"/>
          </w:tcPr>
          <w:p w14:paraId="362CAC9A" w14:textId="77777777" w:rsidR="00612611" w:rsidRPr="00BF2AAF" w:rsidRDefault="0061261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left w:val="nil"/>
              <w:bottom w:val="nil"/>
              <w:right w:val="nil"/>
            </w:tcBorders>
            <w:shd w:val="clear" w:color="auto" w:fill="auto"/>
            <w:vAlign w:val="center"/>
          </w:tcPr>
          <w:p w14:paraId="6AE66A15" w14:textId="77777777" w:rsidR="00612611" w:rsidRPr="00BF2AAF" w:rsidRDefault="0061261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311" w:type="dxa"/>
            <w:tcBorders>
              <w:top w:val="nil"/>
              <w:left w:val="nil"/>
              <w:bottom w:val="nil"/>
              <w:right w:val="nil"/>
            </w:tcBorders>
            <w:shd w:val="clear" w:color="auto" w:fill="auto"/>
            <w:vAlign w:val="center"/>
          </w:tcPr>
          <w:p w14:paraId="2480952D" w14:textId="77777777" w:rsidR="00612611" w:rsidRPr="00BF2AAF" w:rsidRDefault="0061261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280" w:type="dxa"/>
            <w:tcBorders>
              <w:top w:val="nil"/>
              <w:bottom w:val="nil"/>
            </w:tcBorders>
            <w:shd w:val="clear" w:color="auto" w:fill="auto"/>
            <w:vAlign w:val="center"/>
          </w:tcPr>
          <w:p w14:paraId="73E7A866" w14:textId="77777777" w:rsidR="00612611" w:rsidRPr="00BF2AAF" w:rsidRDefault="0061261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shd w:val="clear" w:color="auto" w:fill="auto"/>
            <w:vAlign w:val="center"/>
          </w:tcPr>
          <w:p w14:paraId="19345515" w14:textId="77777777" w:rsidR="00612611" w:rsidRPr="00BF2AAF" w:rsidRDefault="0061261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314" w:type="dxa"/>
            <w:tcBorders>
              <w:top w:val="nil"/>
              <w:left w:val="nil"/>
              <w:bottom w:val="nil"/>
              <w:right w:val="nil"/>
            </w:tcBorders>
            <w:shd w:val="clear" w:color="auto" w:fill="auto"/>
            <w:vAlign w:val="center"/>
          </w:tcPr>
          <w:p w14:paraId="07B0BC35" w14:textId="77777777" w:rsidR="00612611" w:rsidRPr="00BF2AAF" w:rsidRDefault="0061261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r>
      <w:tr w:rsidR="00612611" w:rsidRPr="00BF2AAF" w14:paraId="605C992B"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49D53003" w14:textId="77777777" w:rsidR="00612611" w:rsidRPr="00BF2AAF" w:rsidRDefault="00612611">
            <w:pPr>
              <w:keepNext/>
              <w:keepLines/>
              <w:spacing w:before="40" w:after="40"/>
              <w:ind w:left="113"/>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Fluxos De Caixa Provenientes das Atividades de Financiamento</w:t>
            </w:r>
          </w:p>
        </w:tc>
        <w:tc>
          <w:tcPr>
            <w:tcW w:w="556" w:type="dxa"/>
            <w:tcBorders>
              <w:top w:val="nil"/>
              <w:bottom w:val="nil"/>
            </w:tcBorders>
            <w:shd w:val="clear" w:color="auto" w:fill="auto"/>
            <w:vAlign w:val="center"/>
          </w:tcPr>
          <w:p w14:paraId="129FBBCF" w14:textId="77777777" w:rsidR="00612611" w:rsidRPr="00BF2AAF" w:rsidRDefault="0061261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left w:val="nil"/>
              <w:bottom w:val="nil"/>
              <w:right w:val="nil"/>
            </w:tcBorders>
            <w:shd w:val="clear" w:color="auto" w:fill="auto"/>
            <w:vAlign w:val="center"/>
          </w:tcPr>
          <w:p w14:paraId="14F4AA13" w14:textId="77777777" w:rsidR="00612611" w:rsidRPr="00BF2AAF" w:rsidRDefault="0061261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311" w:type="dxa"/>
            <w:tcBorders>
              <w:top w:val="nil"/>
              <w:left w:val="nil"/>
              <w:bottom w:val="nil"/>
              <w:right w:val="nil"/>
            </w:tcBorders>
            <w:shd w:val="clear" w:color="auto" w:fill="auto"/>
            <w:vAlign w:val="center"/>
          </w:tcPr>
          <w:p w14:paraId="092D6562" w14:textId="77777777" w:rsidR="00612611" w:rsidRPr="00BF2AAF" w:rsidRDefault="0061261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280" w:type="dxa"/>
            <w:tcBorders>
              <w:top w:val="nil"/>
              <w:bottom w:val="nil"/>
            </w:tcBorders>
            <w:shd w:val="clear" w:color="auto" w:fill="auto"/>
            <w:vAlign w:val="center"/>
          </w:tcPr>
          <w:p w14:paraId="2D972935" w14:textId="77777777" w:rsidR="00612611" w:rsidRPr="00BF2AAF" w:rsidRDefault="0061261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shd w:val="clear" w:color="auto" w:fill="auto"/>
            <w:vAlign w:val="center"/>
          </w:tcPr>
          <w:p w14:paraId="1B14B078" w14:textId="77777777" w:rsidR="00612611" w:rsidRPr="00BF2AAF" w:rsidRDefault="0061261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314" w:type="dxa"/>
            <w:tcBorders>
              <w:top w:val="nil"/>
              <w:left w:val="nil"/>
              <w:bottom w:val="nil"/>
              <w:right w:val="nil"/>
            </w:tcBorders>
            <w:shd w:val="clear" w:color="auto" w:fill="auto"/>
            <w:vAlign w:val="center"/>
          </w:tcPr>
          <w:p w14:paraId="03C2B9BF" w14:textId="77777777" w:rsidR="00612611" w:rsidRPr="00BF2AAF" w:rsidRDefault="0061261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r>
      <w:tr w:rsidR="00612611" w:rsidRPr="00BF2AAF" w14:paraId="1C27E115" w14:textId="77777777" w:rsidTr="003F5363">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5B6CFD15" w14:textId="77777777" w:rsidR="00612611" w:rsidRPr="00BF2AAF" w:rsidRDefault="00612611">
            <w:pPr>
              <w:keepNext/>
              <w:keepLines/>
              <w:spacing w:before="40" w:after="40"/>
              <w:ind w:left="113"/>
              <w:rPr>
                <w:rFonts w:ascii="Arial" w:eastAsia="Times New Roman" w:hAnsi="Arial" w:cs="Arial"/>
                <w:b w:val="0"/>
                <w:bCs w:val="0"/>
                <w:spacing w:val="-2"/>
                <w:sz w:val="14"/>
                <w:szCs w:val="14"/>
                <w:lang w:eastAsia="pt-BR"/>
              </w:rPr>
            </w:pPr>
            <w:r w:rsidRPr="00BF2AAF">
              <w:rPr>
                <w:rFonts w:ascii="Arial" w:eastAsia="Times New Roman" w:hAnsi="Arial" w:cs="Arial"/>
                <w:b w:val="0"/>
                <w:bCs w:val="0"/>
                <w:spacing w:val="-2"/>
                <w:sz w:val="14"/>
                <w:szCs w:val="14"/>
                <w:lang w:eastAsia="pt-BR"/>
              </w:rPr>
              <w:t>Dividendos pagos</w:t>
            </w:r>
          </w:p>
        </w:tc>
        <w:tc>
          <w:tcPr>
            <w:tcW w:w="556" w:type="dxa"/>
            <w:tcBorders>
              <w:top w:val="nil"/>
              <w:bottom w:val="nil"/>
            </w:tcBorders>
            <w:shd w:val="clear" w:color="auto" w:fill="auto"/>
            <w:vAlign w:val="center"/>
          </w:tcPr>
          <w:p w14:paraId="7F35EF22" w14:textId="33A9CAD5" w:rsidR="00612611" w:rsidRPr="00BF2AAF" w:rsidRDefault="00F81B4F">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BF2445">
              <w:rPr>
                <w:rFonts w:ascii="Arial" w:eastAsia="Times New Roman" w:hAnsi="Arial" w:cs="Arial"/>
                <w:bCs/>
                <w:spacing w:val="-2"/>
                <w:sz w:val="14"/>
                <w:szCs w:val="14"/>
                <w:lang w:eastAsia="pt-BR"/>
              </w:rPr>
              <w:t>[21]</w:t>
            </w:r>
          </w:p>
        </w:tc>
        <w:tc>
          <w:tcPr>
            <w:tcW w:w="1240" w:type="dxa"/>
            <w:tcBorders>
              <w:top w:val="nil"/>
              <w:left w:val="nil"/>
              <w:bottom w:val="nil"/>
              <w:right w:val="nil"/>
            </w:tcBorders>
            <w:shd w:val="clear" w:color="auto" w:fill="auto"/>
            <w:vAlign w:val="center"/>
          </w:tcPr>
          <w:p w14:paraId="5323E9C1" w14:textId="6802568B" w:rsidR="00612611" w:rsidRPr="00BF2AAF" w:rsidRDefault="0061261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394ADC">
              <w:rPr>
                <w:rFonts w:ascii="Arial" w:eastAsia="Times New Roman" w:hAnsi="Arial" w:cs="Arial"/>
                <w:spacing w:val="-2"/>
                <w:sz w:val="14"/>
                <w:szCs w:val="14"/>
                <w:lang w:eastAsia="pt-BR"/>
              </w:rPr>
              <w:t>(5.193.34</w:t>
            </w:r>
            <w:r w:rsidR="000130AC">
              <w:rPr>
                <w:rFonts w:ascii="Arial" w:eastAsia="Times New Roman" w:hAnsi="Arial" w:cs="Arial"/>
                <w:spacing w:val="-2"/>
                <w:sz w:val="14"/>
                <w:szCs w:val="14"/>
                <w:lang w:eastAsia="pt-BR"/>
              </w:rPr>
              <w:t>0</w:t>
            </w:r>
            <w:r w:rsidRPr="00394ADC">
              <w:rPr>
                <w:rFonts w:ascii="Arial" w:eastAsia="Times New Roman" w:hAnsi="Arial" w:cs="Arial"/>
                <w:spacing w:val="-2"/>
                <w:sz w:val="14"/>
                <w:szCs w:val="14"/>
                <w:lang w:eastAsia="pt-BR"/>
              </w:rPr>
              <w:t>)</w:t>
            </w:r>
          </w:p>
        </w:tc>
        <w:tc>
          <w:tcPr>
            <w:tcW w:w="1311" w:type="dxa"/>
            <w:tcBorders>
              <w:top w:val="nil"/>
              <w:left w:val="nil"/>
              <w:bottom w:val="nil"/>
              <w:right w:val="nil"/>
            </w:tcBorders>
            <w:shd w:val="clear" w:color="auto" w:fill="auto"/>
            <w:vAlign w:val="center"/>
          </w:tcPr>
          <w:p w14:paraId="23CB7B70" w14:textId="77777777" w:rsidR="00612611" w:rsidRPr="00BF2AAF" w:rsidRDefault="0061261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(6.960.998)</w:t>
            </w:r>
          </w:p>
        </w:tc>
        <w:tc>
          <w:tcPr>
            <w:tcW w:w="280" w:type="dxa"/>
            <w:tcBorders>
              <w:top w:val="nil"/>
              <w:bottom w:val="nil"/>
            </w:tcBorders>
            <w:shd w:val="clear" w:color="auto" w:fill="auto"/>
            <w:vAlign w:val="center"/>
          </w:tcPr>
          <w:p w14:paraId="504B47DC" w14:textId="77777777" w:rsidR="00612611" w:rsidRPr="00B62EED" w:rsidRDefault="0061261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pacing w:val="-2"/>
                <w:sz w:val="14"/>
                <w:szCs w:val="14"/>
                <w:lang w:eastAsia="pt-BR"/>
              </w:rPr>
            </w:pPr>
          </w:p>
        </w:tc>
        <w:tc>
          <w:tcPr>
            <w:tcW w:w="1241" w:type="dxa"/>
            <w:tcBorders>
              <w:top w:val="nil"/>
              <w:left w:val="nil"/>
              <w:bottom w:val="nil"/>
              <w:right w:val="nil"/>
            </w:tcBorders>
            <w:shd w:val="clear" w:color="auto" w:fill="auto"/>
            <w:vAlign w:val="center"/>
          </w:tcPr>
          <w:p w14:paraId="7310AA65" w14:textId="57DC70A8" w:rsidR="00612611" w:rsidRPr="00B62EED" w:rsidRDefault="0061261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pacing w:val="-2"/>
                <w:sz w:val="14"/>
                <w:szCs w:val="14"/>
                <w:lang w:eastAsia="pt-BR"/>
              </w:rPr>
            </w:pPr>
            <w:r w:rsidRPr="00B62EED">
              <w:rPr>
                <w:rFonts w:ascii="Arial" w:eastAsia="Times New Roman" w:hAnsi="Arial" w:cs="Arial"/>
                <w:color w:val="auto"/>
                <w:spacing w:val="-2"/>
                <w:sz w:val="14"/>
                <w:szCs w:val="14"/>
                <w:lang w:eastAsia="pt-BR"/>
              </w:rPr>
              <w:t>(5.193.34</w:t>
            </w:r>
            <w:r w:rsidR="000130AC" w:rsidRPr="00B62EED">
              <w:rPr>
                <w:rFonts w:ascii="Arial" w:eastAsia="Times New Roman" w:hAnsi="Arial" w:cs="Arial"/>
                <w:color w:val="auto"/>
                <w:spacing w:val="-2"/>
                <w:sz w:val="14"/>
                <w:szCs w:val="14"/>
                <w:lang w:eastAsia="pt-BR"/>
              </w:rPr>
              <w:t>0</w:t>
            </w:r>
            <w:r w:rsidRPr="00B62EED">
              <w:rPr>
                <w:rFonts w:ascii="Arial" w:eastAsia="Times New Roman" w:hAnsi="Arial" w:cs="Arial"/>
                <w:color w:val="auto"/>
                <w:spacing w:val="-2"/>
                <w:sz w:val="14"/>
                <w:szCs w:val="14"/>
                <w:lang w:eastAsia="pt-BR"/>
              </w:rPr>
              <w:t>)</w:t>
            </w:r>
          </w:p>
        </w:tc>
        <w:tc>
          <w:tcPr>
            <w:tcW w:w="1314" w:type="dxa"/>
            <w:tcBorders>
              <w:top w:val="nil"/>
              <w:left w:val="nil"/>
              <w:bottom w:val="nil"/>
              <w:right w:val="nil"/>
            </w:tcBorders>
            <w:shd w:val="clear" w:color="auto" w:fill="auto"/>
            <w:vAlign w:val="center"/>
          </w:tcPr>
          <w:p w14:paraId="6165DEF9" w14:textId="77777777" w:rsidR="00612611" w:rsidRPr="00BF2AAF" w:rsidRDefault="0061261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(6.960.998)</w:t>
            </w:r>
          </w:p>
        </w:tc>
      </w:tr>
      <w:tr w:rsidR="00612611" w:rsidRPr="00BF2AAF" w14:paraId="2A89F6F0"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40F2A850" w14:textId="77777777" w:rsidR="00612611" w:rsidRPr="00BF2AAF" w:rsidRDefault="00612611">
            <w:pPr>
              <w:keepNext/>
              <w:keepLines/>
              <w:spacing w:before="40" w:after="40"/>
              <w:ind w:left="113"/>
              <w:rPr>
                <w:rFonts w:ascii="Arial" w:eastAsia="Times New Roman" w:hAnsi="Arial" w:cs="Arial"/>
                <w:b w:val="0"/>
                <w:bCs w:val="0"/>
                <w:spacing w:val="-2"/>
                <w:sz w:val="14"/>
                <w:szCs w:val="14"/>
                <w:lang w:eastAsia="pt-BR"/>
              </w:rPr>
            </w:pPr>
            <w:r w:rsidRPr="00BF2AAF">
              <w:rPr>
                <w:rFonts w:ascii="Arial" w:eastAsia="Times New Roman" w:hAnsi="Arial" w:cs="Arial"/>
                <w:b w:val="0"/>
                <w:bCs w:val="0"/>
                <w:spacing w:val="-2"/>
                <w:sz w:val="14"/>
                <w:szCs w:val="14"/>
                <w:lang w:eastAsia="pt-BR"/>
              </w:rPr>
              <w:t>Recompra de ações</w:t>
            </w:r>
          </w:p>
        </w:tc>
        <w:tc>
          <w:tcPr>
            <w:tcW w:w="556" w:type="dxa"/>
            <w:tcBorders>
              <w:top w:val="nil"/>
              <w:bottom w:val="nil"/>
            </w:tcBorders>
            <w:shd w:val="clear" w:color="auto" w:fill="auto"/>
            <w:vAlign w:val="center"/>
          </w:tcPr>
          <w:p w14:paraId="382FDC0E" w14:textId="77777777" w:rsidR="00612611" w:rsidRPr="00BF2AAF" w:rsidRDefault="0061261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BF2AAF">
              <w:rPr>
                <w:rFonts w:ascii="Arial" w:eastAsia="Times New Roman" w:hAnsi="Arial" w:cs="Arial"/>
                <w:bCs/>
                <w:spacing w:val="-2"/>
                <w:sz w:val="14"/>
                <w:szCs w:val="14"/>
                <w:lang w:eastAsia="pt-BR"/>
              </w:rPr>
              <w:t>[25.f]</w:t>
            </w:r>
          </w:p>
        </w:tc>
        <w:tc>
          <w:tcPr>
            <w:tcW w:w="1240" w:type="dxa"/>
            <w:tcBorders>
              <w:top w:val="nil"/>
              <w:left w:val="nil"/>
              <w:bottom w:val="nil"/>
              <w:right w:val="nil"/>
            </w:tcBorders>
            <w:shd w:val="clear" w:color="auto" w:fill="auto"/>
            <w:vAlign w:val="center"/>
          </w:tcPr>
          <w:p w14:paraId="1F19DA82" w14:textId="77777777" w:rsidR="00612611" w:rsidRPr="00BF2AAF" w:rsidRDefault="0061261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94ADC">
              <w:rPr>
                <w:rFonts w:ascii="Arial" w:eastAsia="Times New Roman" w:hAnsi="Arial" w:cs="Arial"/>
                <w:spacing w:val="-2"/>
                <w:sz w:val="14"/>
                <w:szCs w:val="14"/>
                <w:lang w:eastAsia="pt-BR"/>
              </w:rPr>
              <w:t>(1.166.630)</w:t>
            </w:r>
          </w:p>
        </w:tc>
        <w:tc>
          <w:tcPr>
            <w:tcW w:w="1311" w:type="dxa"/>
            <w:tcBorders>
              <w:top w:val="nil"/>
              <w:left w:val="nil"/>
              <w:bottom w:val="nil"/>
              <w:right w:val="nil"/>
            </w:tcBorders>
            <w:shd w:val="clear" w:color="auto" w:fill="auto"/>
            <w:vAlign w:val="center"/>
          </w:tcPr>
          <w:p w14:paraId="3DE06366" w14:textId="77777777" w:rsidR="00612611" w:rsidRPr="00BF2AAF" w:rsidRDefault="0061261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BF2AAF">
              <w:rPr>
                <w:rFonts w:ascii="Arial" w:eastAsia="Times New Roman" w:hAnsi="Arial" w:cs="Arial"/>
                <w:spacing w:val="-2"/>
                <w:sz w:val="14"/>
                <w:szCs w:val="14"/>
                <w:lang w:eastAsia="pt-BR"/>
              </w:rPr>
              <w:t>(624.281)</w:t>
            </w:r>
          </w:p>
        </w:tc>
        <w:tc>
          <w:tcPr>
            <w:tcW w:w="280" w:type="dxa"/>
            <w:tcBorders>
              <w:top w:val="nil"/>
              <w:bottom w:val="nil"/>
            </w:tcBorders>
            <w:shd w:val="clear" w:color="auto" w:fill="auto"/>
            <w:vAlign w:val="center"/>
          </w:tcPr>
          <w:p w14:paraId="64522668" w14:textId="77777777" w:rsidR="00612611" w:rsidRPr="00BF2AAF" w:rsidRDefault="0061261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shd w:val="clear" w:color="auto" w:fill="auto"/>
            <w:vAlign w:val="center"/>
          </w:tcPr>
          <w:p w14:paraId="3E984244" w14:textId="77777777" w:rsidR="00612611" w:rsidRPr="00BF2AAF" w:rsidRDefault="0061261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5A0324">
              <w:rPr>
                <w:rFonts w:ascii="Arial" w:eastAsia="Times New Roman" w:hAnsi="Arial" w:cs="Arial"/>
                <w:spacing w:val="-2"/>
                <w:sz w:val="14"/>
                <w:szCs w:val="14"/>
                <w:lang w:eastAsia="pt-BR"/>
              </w:rPr>
              <w:t>(1.166.630)</w:t>
            </w:r>
          </w:p>
        </w:tc>
        <w:tc>
          <w:tcPr>
            <w:tcW w:w="1314" w:type="dxa"/>
            <w:tcBorders>
              <w:top w:val="nil"/>
              <w:left w:val="nil"/>
              <w:bottom w:val="nil"/>
              <w:right w:val="nil"/>
            </w:tcBorders>
            <w:shd w:val="clear" w:color="auto" w:fill="auto"/>
            <w:vAlign w:val="center"/>
          </w:tcPr>
          <w:p w14:paraId="7233066A" w14:textId="77777777" w:rsidR="00612611" w:rsidRPr="00BF2AAF" w:rsidRDefault="0061261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BF2AAF">
              <w:rPr>
                <w:rFonts w:ascii="Arial" w:eastAsia="Times New Roman" w:hAnsi="Arial" w:cs="Arial"/>
                <w:spacing w:val="-2"/>
                <w:sz w:val="14"/>
                <w:szCs w:val="14"/>
                <w:lang w:eastAsia="pt-BR"/>
              </w:rPr>
              <w:t>(624.281)</w:t>
            </w:r>
          </w:p>
        </w:tc>
      </w:tr>
      <w:tr w:rsidR="00612611" w:rsidRPr="00BF2AAF" w14:paraId="0900C77B"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09D3145B" w14:textId="77777777" w:rsidR="00612611" w:rsidRPr="00BF2AAF" w:rsidRDefault="00612611">
            <w:pPr>
              <w:keepNext/>
              <w:keepLines/>
              <w:spacing w:before="40" w:after="40"/>
              <w:ind w:left="113"/>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Caixa Gerado Pelas/(Consumido Nas) Atividades de Financiamento</w:t>
            </w:r>
          </w:p>
        </w:tc>
        <w:tc>
          <w:tcPr>
            <w:tcW w:w="556" w:type="dxa"/>
            <w:tcBorders>
              <w:top w:val="nil"/>
              <w:bottom w:val="nil"/>
            </w:tcBorders>
            <w:shd w:val="clear" w:color="auto" w:fill="auto"/>
            <w:vAlign w:val="center"/>
          </w:tcPr>
          <w:p w14:paraId="01C09F42" w14:textId="77777777" w:rsidR="00612611" w:rsidRPr="00BF2AAF" w:rsidRDefault="0061261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240" w:type="dxa"/>
            <w:tcBorders>
              <w:top w:val="nil"/>
              <w:left w:val="nil"/>
              <w:bottom w:val="nil"/>
              <w:right w:val="nil"/>
            </w:tcBorders>
            <w:shd w:val="clear" w:color="auto" w:fill="auto"/>
            <w:vAlign w:val="center"/>
          </w:tcPr>
          <w:p w14:paraId="55AA634B" w14:textId="5F7C2A93" w:rsidR="00612611" w:rsidRPr="00BF2AAF" w:rsidRDefault="0061261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394ADC">
              <w:rPr>
                <w:rFonts w:ascii="Arial" w:eastAsia="Times New Roman" w:hAnsi="Arial" w:cs="Arial"/>
                <w:b/>
                <w:bCs/>
                <w:spacing w:val="-2"/>
                <w:sz w:val="14"/>
                <w:szCs w:val="14"/>
                <w:lang w:eastAsia="pt-BR"/>
              </w:rPr>
              <w:t>(6.359.97</w:t>
            </w:r>
            <w:r w:rsidR="00D20699">
              <w:rPr>
                <w:rFonts w:ascii="Arial" w:eastAsia="Times New Roman" w:hAnsi="Arial" w:cs="Arial"/>
                <w:b/>
                <w:bCs/>
                <w:spacing w:val="-2"/>
                <w:sz w:val="14"/>
                <w:szCs w:val="14"/>
                <w:lang w:eastAsia="pt-BR"/>
              </w:rPr>
              <w:t>0</w:t>
            </w:r>
            <w:r w:rsidRPr="00394ADC">
              <w:rPr>
                <w:rFonts w:ascii="Arial" w:eastAsia="Times New Roman" w:hAnsi="Arial" w:cs="Arial"/>
                <w:b/>
                <w:bCs/>
                <w:spacing w:val="-2"/>
                <w:sz w:val="14"/>
                <w:szCs w:val="14"/>
                <w:lang w:eastAsia="pt-BR"/>
              </w:rPr>
              <w:t>)</w:t>
            </w:r>
          </w:p>
        </w:tc>
        <w:tc>
          <w:tcPr>
            <w:tcW w:w="1311" w:type="dxa"/>
            <w:tcBorders>
              <w:top w:val="nil"/>
              <w:left w:val="nil"/>
              <w:bottom w:val="nil"/>
              <w:right w:val="nil"/>
            </w:tcBorders>
            <w:shd w:val="clear" w:color="auto" w:fill="auto"/>
            <w:vAlign w:val="center"/>
          </w:tcPr>
          <w:p w14:paraId="04B0168F" w14:textId="77777777" w:rsidR="00612611" w:rsidRPr="00BF2AAF" w:rsidRDefault="0061261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BF2AAF">
              <w:rPr>
                <w:rFonts w:ascii="Arial" w:eastAsia="Times New Roman" w:hAnsi="Arial" w:cs="Arial"/>
                <w:b/>
                <w:bCs/>
                <w:spacing w:val="-2"/>
                <w:sz w:val="14"/>
                <w:szCs w:val="14"/>
                <w:lang w:eastAsia="pt-BR"/>
              </w:rPr>
              <w:t>(7.585.279)</w:t>
            </w:r>
          </w:p>
        </w:tc>
        <w:tc>
          <w:tcPr>
            <w:tcW w:w="280" w:type="dxa"/>
            <w:tcBorders>
              <w:top w:val="nil"/>
              <w:bottom w:val="nil"/>
            </w:tcBorders>
            <w:shd w:val="clear" w:color="auto" w:fill="auto"/>
            <w:vAlign w:val="center"/>
          </w:tcPr>
          <w:p w14:paraId="725E1C0D" w14:textId="77777777" w:rsidR="00612611" w:rsidRPr="00BF2AAF" w:rsidRDefault="0061261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shd w:val="clear" w:color="auto" w:fill="auto"/>
            <w:vAlign w:val="center"/>
          </w:tcPr>
          <w:p w14:paraId="1F671017" w14:textId="55F164A6" w:rsidR="00612611" w:rsidRPr="00BF2AAF" w:rsidRDefault="0061261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5A0324">
              <w:rPr>
                <w:rFonts w:ascii="Arial" w:eastAsia="Times New Roman" w:hAnsi="Arial" w:cs="Arial"/>
                <w:b/>
                <w:bCs/>
                <w:spacing w:val="-2"/>
                <w:sz w:val="14"/>
                <w:szCs w:val="14"/>
                <w:lang w:eastAsia="pt-BR"/>
              </w:rPr>
              <w:t>(6.359.97</w:t>
            </w:r>
            <w:r w:rsidR="00D20699">
              <w:rPr>
                <w:rFonts w:ascii="Arial" w:eastAsia="Times New Roman" w:hAnsi="Arial" w:cs="Arial"/>
                <w:b/>
                <w:bCs/>
                <w:spacing w:val="-2"/>
                <w:sz w:val="14"/>
                <w:szCs w:val="14"/>
                <w:lang w:eastAsia="pt-BR"/>
              </w:rPr>
              <w:t>0</w:t>
            </w:r>
            <w:r w:rsidRPr="005A0324">
              <w:rPr>
                <w:rFonts w:ascii="Arial" w:eastAsia="Times New Roman" w:hAnsi="Arial" w:cs="Arial"/>
                <w:b/>
                <w:bCs/>
                <w:spacing w:val="-2"/>
                <w:sz w:val="14"/>
                <w:szCs w:val="14"/>
                <w:lang w:eastAsia="pt-BR"/>
              </w:rPr>
              <w:t>)</w:t>
            </w:r>
          </w:p>
        </w:tc>
        <w:tc>
          <w:tcPr>
            <w:tcW w:w="1314" w:type="dxa"/>
            <w:tcBorders>
              <w:top w:val="nil"/>
              <w:left w:val="nil"/>
              <w:bottom w:val="nil"/>
              <w:right w:val="nil"/>
            </w:tcBorders>
            <w:shd w:val="clear" w:color="auto" w:fill="auto"/>
            <w:vAlign w:val="center"/>
          </w:tcPr>
          <w:p w14:paraId="4FE11573" w14:textId="77777777" w:rsidR="00612611" w:rsidRPr="00BF2AAF" w:rsidRDefault="0061261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BF2AAF">
              <w:rPr>
                <w:rFonts w:ascii="Arial" w:eastAsia="Times New Roman" w:hAnsi="Arial" w:cs="Arial"/>
                <w:b/>
                <w:bCs/>
                <w:spacing w:val="-2"/>
                <w:sz w:val="14"/>
                <w:szCs w:val="14"/>
                <w:lang w:eastAsia="pt-BR"/>
              </w:rPr>
              <w:t>(7.585.279)</w:t>
            </w:r>
          </w:p>
        </w:tc>
      </w:tr>
      <w:tr w:rsidR="00612611" w:rsidRPr="00BF2AAF" w14:paraId="4AF36C1E"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7DF15FF8" w14:textId="77777777" w:rsidR="00612611" w:rsidRPr="00BF2AAF" w:rsidRDefault="00612611">
            <w:pPr>
              <w:keepNext/>
              <w:keepLines/>
              <w:spacing w:before="40" w:after="40"/>
              <w:ind w:left="113"/>
              <w:rPr>
                <w:rFonts w:ascii="Arial" w:eastAsia="Times New Roman" w:hAnsi="Arial" w:cs="Arial"/>
                <w:spacing w:val="-2"/>
                <w:sz w:val="14"/>
                <w:szCs w:val="14"/>
                <w:lang w:eastAsia="pt-BR"/>
              </w:rPr>
            </w:pPr>
          </w:p>
        </w:tc>
        <w:tc>
          <w:tcPr>
            <w:tcW w:w="556" w:type="dxa"/>
            <w:tcBorders>
              <w:top w:val="nil"/>
              <w:bottom w:val="nil"/>
            </w:tcBorders>
            <w:shd w:val="clear" w:color="auto" w:fill="auto"/>
            <w:vAlign w:val="center"/>
          </w:tcPr>
          <w:p w14:paraId="2FFBA654" w14:textId="77777777" w:rsidR="00612611" w:rsidRPr="00BF2AAF" w:rsidRDefault="0061261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left w:val="nil"/>
              <w:bottom w:val="nil"/>
              <w:right w:val="nil"/>
            </w:tcBorders>
            <w:shd w:val="clear" w:color="auto" w:fill="auto"/>
            <w:vAlign w:val="center"/>
          </w:tcPr>
          <w:p w14:paraId="6428BA75" w14:textId="77777777" w:rsidR="00612611" w:rsidRPr="00BF2AAF" w:rsidRDefault="0061261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311" w:type="dxa"/>
            <w:tcBorders>
              <w:top w:val="nil"/>
              <w:left w:val="nil"/>
              <w:bottom w:val="nil"/>
              <w:right w:val="nil"/>
            </w:tcBorders>
            <w:shd w:val="clear" w:color="auto" w:fill="auto"/>
            <w:vAlign w:val="center"/>
          </w:tcPr>
          <w:p w14:paraId="09860176" w14:textId="77777777" w:rsidR="00612611" w:rsidRPr="00BF2AAF" w:rsidRDefault="0061261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280" w:type="dxa"/>
            <w:tcBorders>
              <w:top w:val="nil"/>
              <w:bottom w:val="nil"/>
            </w:tcBorders>
            <w:shd w:val="clear" w:color="auto" w:fill="auto"/>
            <w:vAlign w:val="center"/>
          </w:tcPr>
          <w:p w14:paraId="74F2AF01" w14:textId="77777777" w:rsidR="00612611" w:rsidRPr="00BF2AAF" w:rsidRDefault="0061261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shd w:val="clear" w:color="auto" w:fill="auto"/>
            <w:vAlign w:val="center"/>
          </w:tcPr>
          <w:p w14:paraId="1D30C0D6" w14:textId="77777777" w:rsidR="00612611" w:rsidRPr="00BF2AAF" w:rsidRDefault="0061261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314" w:type="dxa"/>
            <w:tcBorders>
              <w:top w:val="nil"/>
              <w:left w:val="nil"/>
              <w:bottom w:val="nil"/>
              <w:right w:val="nil"/>
            </w:tcBorders>
            <w:shd w:val="clear" w:color="auto" w:fill="auto"/>
            <w:vAlign w:val="center"/>
          </w:tcPr>
          <w:p w14:paraId="726294CD" w14:textId="77777777" w:rsidR="00612611" w:rsidRPr="00BF2AAF" w:rsidRDefault="0061261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r>
      <w:tr w:rsidR="00612611" w:rsidRPr="00BF2AAF" w14:paraId="6C3CA390"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7787873F" w14:textId="77777777" w:rsidR="00612611" w:rsidRPr="00BF2AAF" w:rsidRDefault="00612611">
            <w:pPr>
              <w:keepNext/>
              <w:keepLines/>
              <w:spacing w:before="40" w:after="40"/>
              <w:ind w:left="113"/>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Variação Líquida de Caixa e Equivalentes de Caixa</w:t>
            </w:r>
          </w:p>
        </w:tc>
        <w:tc>
          <w:tcPr>
            <w:tcW w:w="556" w:type="dxa"/>
            <w:tcBorders>
              <w:top w:val="nil"/>
              <w:bottom w:val="nil"/>
            </w:tcBorders>
            <w:shd w:val="clear" w:color="auto" w:fill="auto"/>
            <w:vAlign w:val="center"/>
          </w:tcPr>
          <w:p w14:paraId="255C7F9D" w14:textId="77777777" w:rsidR="00612611" w:rsidRPr="00BF2AAF" w:rsidRDefault="0061261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240" w:type="dxa"/>
            <w:tcBorders>
              <w:top w:val="nil"/>
              <w:left w:val="nil"/>
              <w:bottom w:val="nil"/>
              <w:right w:val="nil"/>
            </w:tcBorders>
            <w:shd w:val="clear" w:color="auto" w:fill="auto"/>
            <w:vAlign w:val="center"/>
          </w:tcPr>
          <w:p w14:paraId="68986A19" w14:textId="77777777" w:rsidR="00612611" w:rsidRPr="00BF2AAF" w:rsidRDefault="0061261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394ADC">
              <w:rPr>
                <w:rFonts w:ascii="Arial" w:eastAsia="Times New Roman" w:hAnsi="Arial" w:cs="Arial"/>
                <w:b/>
                <w:bCs/>
                <w:spacing w:val="-2"/>
                <w:sz w:val="14"/>
                <w:szCs w:val="14"/>
                <w:lang w:eastAsia="pt-BR"/>
              </w:rPr>
              <w:t>(309.423)</w:t>
            </w:r>
          </w:p>
        </w:tc>
        <w:tc>
          <w:tcPr>
            <w:tcW w:w="1311" w:type="dxa"/>
            <w:tcBorders>
              <w:top w:val="nil"/>
              <w:left w:val="nil"/>
              <w:bottom w:val="nil"/>
              <w:right w:val="nil"/>
            </w:tcBorders>
            <w:shd w:val="clear" w:color="auto" w:fill="auto"/>
            <w:vAlign w:val="center"/>
          </w:tcPr>
          <w:p w14:paraId="3A2B2689" w14:textId="77777777" w:rsidR="00612611" w:rsidRPr="00BF2AAF" w:rsidRDefault="0061261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BF2AAF">
              <w:rPr>
                <w:rFonts w:ascii="Arial" w:eastAsia="Times New Roman" w:hAnsi="Arial" w:cs="Arial"/>
                <w:b/>
                <w:bCs/>
                <w:spacing w:val="-2"/>
                <w:sz w:val="14"/>
                <w:szCs w:val="14"/>
                <w:lang w:eastAsia="pt-BR"/>
              </w:rPr>
              <w:t>586.067</w:t>
            </w:r>
          </w:p>
        </w:tc>
        <w:tc>
          <w:tcPr>
            <w:tcW w:w="280" w:type="dxa"/>
            <w:tcBorders>
              <w:top w:val="nil"/>
              <w:bottom w:val="nil"/>
            </w:tcBorders>
            <w:shd w:val="clear" w:color="auto" w:fill="auto"/>
            <w:vAlign w:val="center"/>
          </w:tcPr>
          <w:p w14:paraId="24722D5D" w14:textId="77777777" w:rsidR="00612611" w:rsidRPr="00BF2AAF" w:rsidRDefault="0061261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shd w:val="clear" w:color="auto" w:fill="auto"/>
            <w:vAlign w:val="center"/>
          </w:tcPr>
          <w:p w14:paraId="4B430939" w14:textId="77777777" w:rsidR="00612611" w:rsidRPr="00BF2AAF" w:rsidRDefault="0061261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5A0324">
              <w:rPr>
                <w:rFonts w:ascii="Arial" w:eastAsia="Times New Roman" w:hAnsi="Arial" w:cs="Arial"/>
                <w:b/>
                <w:bCs/>
                <w:spacing w:val="-2"/>
                <w:sz w:val="14"/>
                <w:szCs w:val="14"/>
                <w:lang w:eastAsia="pt-BR"/>
              </w:rPr>
              <w:t>3.037.133</w:t>
            </w:r>
          </w:p>
        </w:tc>
        <w:tc>
          <w:tcPr>
            <w:tcW w:w="1314" w:type="dxa"/>
            <w:tcBorders>
              <w:top w:val="nil"/>
              <w:left w:val="nil"/>
              <w:bottom w:val="nil"/>
              <w:right w:val="nil"/>
            </w:tcBorders>
            <w:shd w:val="clear" w:color="auto" w:fill="auto"/>
            <w:vAlign w:val="center"/>
          </w:tcPr>
          <w:p w14:paraId="65C5B1A3" w14:textId="77777777" w:rsidR="00612611" w:rsidRPr="00BF2AAF" w:rsidRDefault="0061261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BF2AAF">
              <w:rPr>
                <w:rFonts w:ascii="Arial" w:eastAsia="Times New Roman" w:hAnsi="Arial" w:cs="Arial"/>
                <w:b/>
                <w:bCs/>
                <w:spacing w:val="-2"/>
                <w:sz w:val="14"/>
                <w:szCs w:val="14"/>
                <w:lang w:eastAsia="pt-BR"/>
              </w:rPr>
              <w:t>(1.323.876)</w:t>
            </w:r>
          </w:p>
        </w:tc>
      </w:tr>
      <w:tr w:rsidR="00612611" w:rsidRPr="00BF2AAF" w14:paraId="46DF2806"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6D5BB3FC" w14:textId="77777777" w:rsidR="00612611" w:rsidRPr="00BF2AAF" w:rsidRDefault="00612611">
            <w:pPr>
              <w:keepNext/>
              <w:keepLines/>
              <w:spacing w:before="40" w:after="40"/>
              <w:ind w:left="113"/>
              <w:rPr>
                <w:rFonts w:ascii="Arial" w:eastAsia="Times New Roman" w:hAnsi="Arial" w:cs="Arial"/>
                <w:b w:val="0"/>
                <w:bCs w:val="0"/>
                <w:spacing w:val="-2"/>
                <w:sz w:val="14"/>
                <w:szCs w:val="14"/>
                <w:lang w:eastAsia="pt-BR"/>
              </w:rPr>
            </w:pPr>
            <w:r w:rsidRPr="00BF2AAF">
              <w:rPr>
                <w:rFonts w:ascii="Arial" w:eastAsia="Times New Roman" w:hAnsi="Arial" w:cs="Arial"/>
                <w:b w:val="0"/>
                <w:bCs w:val="0"/>
                <w:spacing w:val="-2"/>
                <w:sz w:val="14"/>
                <w:szCs w:val="14"/>
                <w:lang w:eastAsia="pt-BR"/>
              </w:rPr>
              <w:t>Início do exercício</w:t>
            </w:r>
          </w:p>
        </w:tc>
        <w:tc>
          <w:tcPr>
            <w:tcW w:w="556" w:type="dxa"/>
            <w:tcBorders>
              <w:top w:val="nil"/>
              <w:bottom w:val="nil"/>
            </w:tcBorders>
            <w:shd w:val="clear" w:color="auto" w:fill="auto"/>
            <w:vAlign w:val="center"/>
          </w:tcPr>
          <w:p w14:paraId="7214C14E" w14:textId="77777777" w:rsidR="00612611" w:rsidRPr="00BF2AAF" w:rsidRDefault="0061261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bCs/>
                <w:spacing w:val="-2"/>
                <w:sz w:val="14"/>
                <w:szCs w:val="14"/>
                <w:lang w:eastAsia="pt-BR"/>
              </w:rPr>
              <w:t>[15]</w:t>
            </w:r>
          </w:p>
        </w:tc>
        <w:tc>
          <w:tcPr>
            <w:tcW w:w="1240" w:type="dxa"/>
            <w:tcBorders>
              <w:top w:val="nil"/>
              <w:left w:val="nil"/>
              <w:bottom w:val="nil"/>
              <w:right w:val="nil"/>
            </w:tcBorders>
            <w:shd w:val="clear" w:color="auto" w:fill="auto"/>
            <w:vAlign w:val="center"/>
          </w:tcPr>
          <w:p w14:paraId="2148C9CB" w14:textId="77777777" w:rsidR="00612611" w:rsidRPr="00BF2AAF" w:rsidRDefault="0061261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pacing w:val="-2"/>
                <w:sz w:val="14"/>
                <w:szCs w:val="14"/>
                <w:lang w:eastAsia="pt-BR"/>
              </w:rPr>
            </w:pPr>
            <w:r w:rsidRPr="00394ADC">
              <w:rPr>
                <w:rFonts w:ascii="Arial" w:eastAsia="Times New Roman" w:hAnsi="Arial" w:cs="Arial"/>
                <w:bCs/>
                <w:spacing w:val="-2"/>
                <w:sz w:val="14"/>
                <w:szCs w:val="14"/>
                <w:lang w:eastAsia="pt-BR"/>
              </w:rPr>
              <w:t>645.070</w:t>
            </w:r>
          </w:p>
        </w:tc>
        <w:tc>
          <w:tcPr>
            <w:tcW w:w="1311" w:type="dxa"/>
            <w:tcBorders>
              <w:top w:val="nil"/>
              <w:left w:val="nil"/>
              <w:bottom w:val="nil"/>
              <w:right w:val="nil"/>
            </w:tcBorders>
            <w:shd w:val="clear" w:color="auto" w:fill="auto"/>
            <w:vAlign w:val="center"/>
          </w:tcPr>
          <w:p w14:paraId="00723F5A" w14:textId="77777777" w:rsidR="00612611" w:rsidRPr="00BF2AAF" w:rsidRDefault="0061261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pacing w:val="-2"/>
                <w:sz w:val="14"/>
                <w:szCs w:val="14"/>
                <w:lang w:eastAsia="pt-BR"/>
              </w:rPr>
            </w:pPr>
            <w:r w:rsidRPr="00BF2AAF">
              <w:rPr>
                <w:rFonts w:ascii="Arial" w:eastAsia="Times New Roman" w:hAnsi="Arial" w:cs="Arial"/>
                <w:spacing w:val="-2"/>
                <w:sz w:val="14"/>
                <w:szCs w:val="14"/>
                <w:lang w:eastAsia="pt-BR"/>
              </w:rPr>
              <w:t>59.003</w:t>
            </w:r>
          </w:p>
        </w:tc>
        <w:tc>
          <w:tcPr>
            <w:tcW w:w="280" w:type="dxa"/>
            <w:tcBorders>
              <w:top w:val="nil"/>
              <w:bottom w:val="nil"/>
            </w:tcBorders>
            <w:shd w:val="clear" w:color="auto" w:fill="auto"/>
            <w:vAlign w:val="center"/>
          </w:tcPr>
          <w:p w14:paraId="39F50190" w14:textId="77777777" w:rsidR="00612611" w:rsidRPr="00BF2AAF" w:rsidRDefault="0061261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pacing w:val="-2"/>
                <w:sz w:val="14"/>
                <w:szCs w:val="14"/>
                <w:lang w:eastAsia="pt-BR"/>
              </w:rPr>
            </w:pPr>
          </w:p>
        </w:tc>
        <w:tc>
          <w:tcPr>
            <w:tcW w:w="1241" w:type="dxa"/>
            <w:tcBorders>
              <w:top w:val="nil"/>
              <w:left w:val="nil"/>
              <w:bottom w:val="nil"/>
              <w:right w:val="nil"/>
            </w:tcBorders>
            <w:shd w:val="clear" w:color="auto" w:fill="auto"/>
            <w:vAlign w:val="center"/>
          </w:tcPr>
          <w:p w14:paraId="0749CF0E" w14:textId="77777777" w:rsidR="00612611" w:rsidRPr="00BF2AAF" w:rsidRDefault="0061261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pacing w:val="-2"/>
                <w:sz w:val="14"/>
                <w:szCs w:val="14"/>
                <w:lang w:eastAsia="pt-BR"/>
              </w:rPr>
            </w:pPr>
            <w:r w:rsidRPr="005A0324">
              <w:rPr>
                <w:rFonts w:ascii="Arial" w:eastAsia="Times New Roman" w:hAnsi="Arial" w:cs="Arial"/>
                <w:bCs/>
                <w:spacing w:val="-2"/>
                <w:sz w:val="14"/>
                <w:szCs w:val="14"/>
                <w:lang w:eastAsia="pt-BR"/>
              </w:rPr>
              <w:t>4.752.742</w:t>
            </w:r>
          </w:p>
        </w:tc>
        <w:tc>
          <w:tcPr>
            <w:tcW w:w="1314" w:type="dxa"/>
            <w:tcBorders>
              <w:top w:val="nil"/>
              <w:left w:val="nil"/>
              <w:bottom w:val="nil"/>
              <w:right w:val="nil"/>
            </w:tcBorders>
            <w:shd w:val="clear" w:color="auto" w:fill="auto"/>
            <w:vAlign w:val="center"/>
          </w:tcPr>
          <w:p w14:paraId="3598ED94" w14:textId="77777777" w:rsidR="00612611" w:rsidRPr="00BF2AAF" w:rsidRDefault="0061261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pacing w:val="-2"/>
                <w:sz w:val="14"/>
                <w:szCs w:val="14"/>
                <w:lang w:eastAsia="pt-BR"/>
              </w:rPr>
            </w:pPr>
            <w:r w:rsidRPr="00BF2AAF">
              <w:rPr>
                <w:rFonts w:ascii="Arial" w:eastAsia="Times New Roman" w:hAnsi="Arial" w:cs="Arial"/>
                <w:bCs/>
                <w:spacing w:val="-2"/>
                <w:sz w:val="14"/>
                <w:szCs w:val="14"/>
                <w:lang w:eastAsia="pt-BR"/>
              </w:rPr>
              <w:t>6.076.618</w:t>
            </w:r>
          </w:p>
        </w:tc>
      </w:tr>
      <w:tr w:rsidR="00612611" w:rsidRPr="00BF2AAF" w14:paraId="51498C5F"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7A0F3F2D" w14:textId="77777777" w:rsidR="00612611" w:rsidRPr="00BF2AAF" w:rsidRDefault="00612611">
            <w:pPr>
              <w:keepNext/>
              <w:keepLines/>
              <w:spacing w:before="40" w:after="40"/>
              <w:ind w:left="113"/>
              <w:rPr>
                <w:rFonts w:ascii="Arial" w:eastAsia="Times New Roman" w:hAnsi="Arial" w:cs="Arial"/>
                <w:b w:val="0"/>
                <w:bCs w:val="0"/>
                <w:spacing w:val="-2"/>
                <w:sz w:val="14"/>
                <w:szCs w:val="14"/>
                <w:lang w:eastAsia="pt-BR"/>
              </w:rPr>
            </w:pPr>
            <w:r w:rsidRPr="00BF2AAF">
              <w:rPr>
                <w:rFonts w:ascii="Arial" w:eastAsia="Times New Roman" w:hAnsi="Arial" w:cs="Arial"/>
                <w:b w:val="0"/>
                <w:bCs w:val="0"/>
                <w:spacing w:val="-2"/>
                <w:sz w:val="14"/>
                <w:szCs w:val="14"/>
                <w:lang w:eastAsia="pt-BR"/>
              </w:rPr>
              <w:t>Fim do exercício</w:t>
            </w:r>
          </w:p>
        </w:tc>
        <w:tc>
          <w:tcPr>
            <w:tcW w:w="556" w:type="dxa"/>
            <w:tcBorders>
              <w:top w:val="nil"/>
              <w:bottom w:val="nil"/>
            </w:tcBorders>
            <w:shd w:val="clear" w:color="auto" w:fill="auto"/>
            <w:vAlign w:val="center"/>
          </w:tcPr>
          <w:p w14:paraId="35F788C0" w14:textId="77777777" w:rsidR="00612611" w:rsidRPr="00BF2AAF" w:rsidRDefault="0061261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BF2AAF">
              <w:rPr>
                <w:rFonts w:ascii="Arial" w:eastAsia="Times New Roman" w:hAnsi="Arial" w:cs="Arial"/>
                <w:bCs/>
                <w:spacing w:val="-2"/>
                <w:sz w:val="14"/>
                <w:szCs w:val="14"/>
                <w:lang w:eastAsia="pt-BR"/>
              </w:rPr>
              <w:t>[15]</w:t>
            </w:r>
          </w:p>
        </w:tc>
        <w:tc>
          <w:tcPr>
            <w:tcW w:w="1240" w:type="dxa"/>
            <w:tcBorders>
              <w:top w:val="nil"/>
              <w:left w:val="nil"/>
              <w:bottom w:val="nil"/>
              <w:right w:val="nil"/>
            </w:tcBorders>
            <w:shd w:val="clear" w:color="auto" w:fill="auto"/>
            <w:vAlign w:val="center"/>
          </w:tcPr>
          <w:p w14:paraId="7445FAB3" w14:textId="77777777" w:rsidR="00612611" w:rsidRPr="00BF2AAF" w:rsidRDefault="0061261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394ADC">
              <w:rPr>
                <w:rFonts w:ascii="Arial" w:eastAsia="Times New Roman" w:hAnsi="Arial" w:cs="Arial"/>
                <w:spacing w:val="-2"/>
                <w:sz w:val="14"/>
                <w:szCs w:val="14"/>
                <w:lang w:eastAsia="pt-BR"/>
              </w:rPr>
              <w:t>335.647</w:t>
            </w:r>
          </w:p>
        </w:tc>
        <w:tc>
          <w:tcPr>
            <w:tcW w:w="1311" w:type="dxa"/>
            <w:tcBorders>
              <w:top w:val="nil"/>
              <w:left w:val="nil"/>
              <w:bottom w:val="nil"/>
              <w:right w:val="nil"/>
            </w:tcBorders>
            <w:shd w:val="clear" w:color="auto" w:fill="auto"/>
            <w:vAlign w:val="center"/>
          </w:tcPr>
          <w:p w14:paraId="3BAF93C6" w14:textId="77777777" w:rsidR="00612611" w:rsidRPr="00BF2AAF" w:rsidRDefault="0061261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2"/>
                <w:sz w:val="14"/>
                <w:szCs w:val="14"/>
                <w:lang w:eastAsia="pt-BR"/>
              </w:rPr>
            </w:pPr>
            <w:r w:rsidRPr="00BF2AAF">
              <w:rPr>
                <w:rFonts w:ascii="Arial" w:eastAsia="Times New Roman" w:hAnsi="Arial" w:cs="Arial"/>
                <w:spacing w:val="-2"/>
                <w:sz w:val="14"/>
                <w:szCs w:val="14"/>
                <w:lang w:eastAsia="pt-BR"/>
              </w:rPr>
              <w:t>645.070</w:t>
            </w:r>
          </w:p>
        </w:tc>
        <w:tc>
          <w:tcPr>
            <w:tcW w:w="280" w:type="dxa"/>
            <w:tcBorders>
              <w:top w:val="nil"/>
              <w:bottom w:val="nil"/>
            </w:tcBorders>
            <w:shd w:val="clear" w:color="auto" w:fill="auto"/>
            <w:vAlign w:val="center"/>
          </w:tcPr>
          <w:p w14:paraId="59C4D863" w14:textId="77777777" w:rsidR="00612611" w:rsidRPr="00BF2AAF" w:rsidRDefault="0061261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2"/>
                <w:sz w:val="14"/>
                <w:szCs w:val="14"/>
                <w:lang w:eastAsia="pt-BR"/>
              </w:rPr>
            </w:pPr>
          </w:p>
        </w:tc>
        <w:tc>
          <w:tcPr>
            <w:tcW w:w="1241" w:type="dxa"/>
            <w:tcBorders>
              <w:top w:val="nil"/>
              <w:left w:val="nil"/>
              <w:bottom w:val="nil"/>
              <w:right w:val="nil"/>
            </w:tcBorders>
            <w:shd w:val="clear" w:color="auto" w:fill="auto"/>
            <w:vAlign w:val="center"/>
          </w:tcPr>
          <w:p w14:paraId="6FAE366A" w14:textId="77777777" w:rsidR="00612611" w:rsidRPr="00BF2AAF" w:rsidRDefault="0061261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2"/>
                <w:sz w:val="14"/>
                <w:szCs w:val="14"/>
                <w:lang w:eastAsia="pt-BR"/>
              </w:rPr>
            </w:pPr>
            <w:r w:rsidRPr="005A0324">
              <w:rPr>
                <w:rFonts w:ascii="Arial" w:eastAsia="Times New Roman" w:hAnsi="Arial" w:cs="Arial"/>
                <w:bCs/>
                <w:spacing w:val="-2"/>
                <w:sz w:val="14"/>
                <w:szCs w:val="14"/>
                <w:lang w:eastAsia="pt-BR"/>
              </w:rPr>
              <w:t>7.789.875</w:t>
            </w:r>
          </w:p>
        </w:tc>
        <w:tc>
          <w:tcPr>
            <w:tcW w:w="1314" w:type="dxa"/>
            <w:tcBorders>
              <w:top w:val="nil"/>
              <w:left w:val="nil"/>
              <w:bottom w:val="nil"/>
              <w:right w:val="nil"/>
            </w:tcBorders>
            <w:shd w:val="clear" w:color="auto" w:fill="auto"/>
            <w:vAlign w:val="center"/>
          </w:tcPr>
          <w:p w14:paraId="096A624B" w14:textId="77777777" w:rsidR="00612611" w:rsidRPr="00BF2AAF" w:rsidRDefault="0061261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2"/>
                <w:sz w:val="14"/>
                <w:szCs w:val="14"/>
                <w:lang w:eastAsia="pt-BR"/>
              </w:rPr>
            </w:pPr>
            <w:r w:rsidRPr="00BF2AAF">
              <w:rPr>
                <w:rFonts w:ascii="Arial" w:eastAsia="Times New Roman" w:hAnsi="Arial" w:cs="Arial"/>
                <w:spacing w:val="-2"/>
                <w:sz w:val="14"/>
                <w:szCs w:val="14"/>
                <w:lang w:eastAsia="pt-BR"/>
              </w:rPr>
              <w:t>4.752.742</w:t>
            </w:r>
          </w:p>
        </w:tc>
      </w:tr>
      <w:tr w:rsidR="00612611" w:rsidRPr="00BF2AAF" w14:paraId="53A3DA79"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0D9AEA09" w14:textId="77777777" w:rsidR="00612611" w:rsidRPr="00BF2AAF" w:rsidRDefault="00612611">
            <w:pPr>
              <w:keepNext/>
              <w:keepLines/>
              <w:spacing w:before="40" w:after="40"/>
              <w:ind w:left="113"/>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Aumento/(Redução) de Caixa e Equivalentes de Caixa</w:t>
            </w:r>
          </w:p>
        </w:tc>
        <w:tc>
          <w:tcPr>
            <w:tcW w:w="556" w:type="dxa"/>
            <w:tcBorders>
              <w:top w:val="nil"/>
              <w:bottom w:val="nil"/>
            </w:tcBorders>
            <w:shd w:val="clear" w:color="auto" w:fill="auto"/>
            <w:vAlign w:val="center"/>
          </w:tcPr>
          <w:p w14:paraId="0B1126BA" w14:textId="77777777" w:rsidR="00612611" w:rsidRPr="00BF2AAF" w:rsidRDefault="00612611">
            <w:pPr>
              <w:keepNext/>
              <w:keepLines/>
              <w:spacing w:before="40" w:after="40"/>
              <w:ind w:left="113"/>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240" w:type="dxa"/>
            <w:tcBorders>
              <w:top w:val="nil"/>
              <w:left w:val="nil"/>
              <w:bottom w:val="nil"/>
              <w:right w:val="nil"/>
            </w:tcBorders>
            <w:shd w:val="clear" w:color="auto" w:fill="auto"/>
            <w:vAlign w:val="center"/>
          </w:tcPr>
          <w:p w14:paraId="2C075DAD" w14:textId="77777777" w:rsidR="00612611" w:rsidRPr="00BF2AAF" w:rsidRDefault="0061261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394ADC">
              <w:rPr>
                <w:rFonts w:ascii="Arial" w:eastAsia="Times New Roman" w:hAnsi="Arial" w:cs="Arial"/>
                <w:b/>
                <w:bCs/>
                <w:spacing w:val="-2"/>
                <w:sz w:val="14"/>
                <w:szCs w:val="14"/>
                <w:lang w:eastAsia="pt-BR"/>
              </w:rPr>
              <w:t>(309.423)</w:t>
            </w:r>
          </w:p>
        </w:tc>
        <w:tc>
          <w:tcPr>
            <w:tcW w:w="1311" w:type="dxa"/>
            <w:tcBorders>
              <w:top w:val="nil"/>
              <w:left w:val="nil"/>
              <w:bottom w:val="nil"/>
              <w:right w:val="nil"/>
            </w:tcBorders>
            <w:shd w:val="clear" w:color="auto" w:fill="auto"/>
            <w:vAlign w:val="center"/>
          </w:tcPr>
          <w:p w14:paraId="31A180DA" w14:textId="77777777" w:rsidR="00612611" w:rsidRPr="00BF2AAF" w:rsidRDefault="0061261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BF2AAF">
              <w:rPr>
                <w:rFonts w:ascii="Arial" w:eastAsia="Times New Roman" w:hAnsi="Arial" w:cs="Arial"/>
                <w:b/>
                <w:bCs/>
                <w:spacing w:val="-2"/>
                <w:sz w:val="14"/>
                <w:szCs w:val="14"/>
                <w:lang w:eastAsia="pt-BR"/>
              </w:rPr>
              <w:t>586.067</w:t>
            </w:r>
          </w:p>
        </w:tc>
        <w:tc>
          <w:tcPr>
            <w:tcW w:w="280" w:type="dxa"/>
            <w:tcBorders>
              <w:top w:val="nil"/>
              <w:bottom w:val="nil"/>
            </w:tcBorders>
            <w:shd w:val="clear" w:color="auto" w:fill="auto"/>
            <w:vAlign w:val="center"/>
          </w:tcPr>
          <w:p w14:paraId="1BD8FE38" w14:textId="77777777" w:rsidR="00612611" w:rsidRPr="00BF2AAF" w:rsidRDefault="0061261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241" w:type="dxa"/>
            <w:tcBorders>
              <w:top w:val="nil"/>
              <w:left w:val="nil"/>
              <w:bottom w:val="nil"/>
              <w:right w:val="nil"/>
            </w:tcBorders>
            <w:shd w:val="clear" w:color="auto" w:fill="auto"/>
            <w:vAlign w:val="center"/>
          </w:tcPr>
          <w:p w14:paraId="6E9D67B5" w14:textId="77777777" w:rsidR="00612611" w:rsidRPr="00BF2AAF" w:rsidRDefault="0061261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5A0324">
              <w:rPr>
                <w:rFonts w:ascii="Arial" w:eastAsia="Times New Roman" w:hAnsi="Arial" w:cs="Arial"/>
                <w:b/>
                <w:bCs/>
                <w:spacing w:val="-2"/>
                <w:sz w:val="14"/>
                <w:szCs w:val="14"/>
                <w:lang w:eastAsia="pt-BR"/>
              </w:rPr>
              <w:t>3.037.133</w:t>
            </w:r>
          </w:p>
        </w:tc>
        <w:tc>
          <w:tcPr>
            <w:tcW w:w="1314" w:type="dxa"/>
            <w:tcBorders>
              <w:top w:val="nil"/>
              <w:left w:val="nil"/>
              <w:bottom w:val="nil"/>
              <w:right w:val="nil"/>
            </w:tcBorders>
            <w:shd w:val="clear" w:color="auto" w:fill="auto"/>
            <w:vAlign w:val="center"/>
          </w:tcPr>
          <w:p w14:paraId="27A081E4" w14:textId="77777777" w:rsidR="00612611" w:rsidRPr="00BF2AAF" w:rsidRDefault="0061261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BF2AAF">
              <w:rPr>
                <w:rFonts w:ascii="Arial" w:eastAsia="Times New Roman" w:hAnsi="Arial" w:cs="Arial"/>
                <w:b/>
                <w:bCs/>
                <w:spacing w:val="-2"/>
                <w:sz w:val="14"/>
                <w:szCs w:val="14"/>
                <w:lang w:eastAsia="pt-BR"/>
              </w:rPr>
              <w:t>(1.323.876)</w:t>
            </w:r>
          </w:p>
        </w:tc>
      </w:tr>
      <w:tr w:rsidR="00612611" w:rsidRPr="00BF2AAF" w14:paraId="31ADA029"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50013B35" w14:textId="77777777" w:rsidR="00612611" w:rsidRPr="00BF2AAF" w:rsidRDefault="00612611">
            <w:pPr>
              <w:keepNext/>
              <w:keepLines/>
              <w:spacing w:before="40" w:after="40"/>
              <w:ind w:left="113"/>
              <w:rPr>
                <w:rFonts w:ascii="Arial" w:eastAsia="Times New Roman" w:hAnsi="Arial" w:cs="Arial"/>
                <w:spacing w:val="-2"/>
                <w:sz w:val="14"/>
                <w:szCs w:val="14"/>
                <w:lang w:eastAsia="pt-BR"/>
              </w:rPr>
            </w:pPr>
          </w:p>
        </w:tc>
        <w:tc>
          <w:tcPr>
            <w:tcW w:w="556" w:type="dxa"/>
            <w:tcBorders>
              <w:top w:val="nil"/>
              <w:bottom w:val="nil"/>
            </w:tcBorders>
            <w:shd w:val="clear" w:color="auto" w:fill="auto"/>
            <w:vAlign w:val="center"/>
          </w:tcPr>
          <w:p w14:paraId="5A4945A1" w14:textId="77777777" w:rsidR="00612611" w:rsidRPr="00BF2AAF" w:rsidRDefault="0061261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240" w:type="dxa"/>
            <w:tcBorders>
              <w:top w:val="nil"/>
              <w:left w:val="nil"/>
              <w:bottom w:val="nil"/>
              <w:right w:val="nil"/>
            </w:tcBorders>
            <w:shd w:val="clear" w:color="auto" w:fill="auto"/>
            <w:vAlign w:val="center"/>
          </w:tcPr>
          <w:p w14:paraId="48012879" w14:textId="77777777" w:rsidR="00612611" w:rsidRPr="00BF2AAF" w:rsidRDefault="0061261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311" w:type="dxa"/>
            <w:tcBorders>
              <w:top w:val="nil"/>
              <w:left w:val="nil"/>
              <w:bottom w:val="nil"/>
              <w:right w:val="nil"/>
            </w:tcBorders>
            <w:shd w:val="clear" w:color="auto" w:fill="auto"/>
            <w:vAlign w:val="center"/>
          </w:tcPr>
          <w:p w14:paraId="6F7A94E1" w14:textId="77777777" w:rsidR="00612611" w:rsidRPr="00BF2AAF" w:rsidRDefault="0061261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280" w:type="dxa"/>
            <w:tcBorders>
              <w:top w:val="nil"/>
              <w:bottom w:val="nil"/>
            </w:tcBorders>
            <w:shd w:val="clear" w:color="auto" w:fill="auto"/>
            <w:vAlign w:val="center"/>
          </w:tcPr>
          <w:p w14:paraId="4CAE5D4B" w14:textId="77777777" w:rsidR="00612611" w:rsidRPr="00BF2AAF" w:rsidRDefault="0061261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shd w:val="clear" w:color="auto" w:fill="auto"/>
            <w:vAlign w:val="center"/>
          </w:tcPr>
          <w:p w14:paraId="583DF344" w14:textId="77777777" w:rsidR="00612611" w:rsidRPr="00BF2AAF" w:rsidRDefault="0061261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314" w:type="dxa"/>
            <w:tcBorders>
              <w:top w:val="nil"/>
              <w:left w:val="nil"/>
              <w:bottom w:val="nil"/>
              <w:right w:val="nil"/>
            </w:tcBorders>
            <w:shd w:val="clear" w:color="auto" w:fill="auto"/>
            <w:vAlign w:val="center"/>
          </w:tcPr>
          <w:p w14:paraId="5BAA5C8E" w14:textId="77777777" w:rsidR="00612611" w:rsidRPr="00BF2AAF" w:rsidRDefault="0061261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r>
      <w:tr w:rsidR="00612611" w:rsidRPr="00BF2AAF" w14:paraId="0C885A58"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6CE5FFF0" w14:textId="77777777" w:rsidR="00612611" w:rsidRPr="00BF2AAF" w:rsidRDefault="00612611">
            <w:pPr>
              <w:keepNext/>
              <w:keepLines/>
              <w:spacing w:before="40" w:after="4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Informações Complementares das Operações</w:t>
            </w:r>
          </w:p>
        </w:tc>
        <w:tc>
          <w:tcPr>
            <w:tcW w:w="556" w:type="dxa"/>
            <w:tcBorders>
              <w:top w:val="nil"/>
              <w:bottom w:val="nil"/>
            </w:tcBorders>
            <w:shd w:val="clear" w:color="auto" w:fill="auto"/>
            <w:vAlign w:val="center"/>
          </w:tcPr>
          <w:p w14:paraId="4E98791F" w14:textId="77777777" w:rsidR="00612611" w:rsidRPr="00BF2AAF" w:rsidRDefault="0061261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left w:val="nil"/>
              <w:bottom w:val="nil"/>
              <w:right w:val="nil"/>
            </w:tcBorders>
            <w:shd w:val="clear" w:color="auto" w:fill="auto"/>
            <w:vAlign w:val="center"/>
          </w:tcPr>
          <w:p w14:paraId="4A6B797F" w14:textId="77777777" w:rsidR="00612611" w:rsidRPr="00BF2AAF" w:rsidRDefault="0061261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311" w:type="dxa"/>
            <w:tcBorders>
              <w:top w:val="nil"/>
              <w:left w:val="nil"/>
              <w:bottom w:val="nil"/>
              <w:right w:val="nil"/>
            </w:tcBorders>
            <w:shd w:val="clear" w:color="auto" w:fill="auto"/>
            <w:vAlign w:val="center"/>
          </w:tcPr>
          <w:p w14:paraId="1820D1CF" w14:textId="77777777" w:rsidR="00612611" w:rsidRPr="00BF2AAF" w:rsidRDefault="00612611">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280" w:type="dxa"/>
            <w:tcBorders>
              <w:top w:val="nil"/>
              <w:bottom w:val="nil"/>
            </w:tcBorders>
            <w:shd w:val="clear" w:color="auto" w:fill="auto"/>
            <w:vAlign w:val="center"/>
          </w:tcPr>
          <w:p w14:paraId="3E1DAF6B" w14:textId="77777777" w:rsidR="00612611" w:rsidRPr="00BF2AAF" w:rsidRDefault="0061261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241" w:type="dxa"/>
            <w:tcBorders>
              <w:top w:val="nil"/>
              <w:left w:val="nil"/>
              <w:bottom w:val="nil"/>
              <w:right w:val="nil"/>
            </w:tcBorders>
            <w:shd w:val="clear" w:color="auto" w:fill="auto"/>
            <w:vAlign w:val="center"/>
          </w:tcPr>
          <w:p w14:paraId="13DF5EB6" w14:textId="77777777" w:rsidR="00612611" w:rsidRPr="00BF2AAF" w:rsidRDefault="0061261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314" w:type="dxa"/>
            <w:tcBorders>
              <w:top w:val="nil"/>
              <w:left w:val="nil"/>
              <w:bottom w:val="nil"/>
              <w:right w:val="nil"/>
            </w:tcBorders>
            <w:shd w:val="clear" w:color="auto" w:fill="auto"/>
            <w:vAlign w:val="center"/>
          </w:tcPr>
          <w:p w14:paraId="7B41207D" w14:textId="77777777" w:rsidR="00612611" w:rsidRPr="00BF2AAF" w:rsidRDefault="0061261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r>
      <w:tr w:rsidR="00612611" w:rsidRPr="00BF2AAF" w14:paraId="3845A8B0" w14:textId="77777777">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65FE8A0E" w14:textId="77777777" w:rsidR="00612611" w:rsidRPr="00BF2AAF" w:rsidRDefault="00612611">
            <w:pPr>
              <w:keepNext/>
              <w:keepLines/>
              <w:spacing w:before="40" w:after="40"/>
              <w:ind w:left="113"/>
              <w:rPr>
                <w:rFonts w:ascii="Arial" w:eastAsia="Times New Roman" w:hAnsi="Arial" w:cs="Arial"/>
                <w:b w:val="0"/>
                <w:bCs w:val="0"/>
                <w:spacing w:val="-2"/>
                <w:sz w:val="14"/>
                <w:szCs w:val="14"/>
                <w:lang w:eastAsia="pt-BR"/>
              </w:rPr>
            </w:pPr>
            <w:r w:rsidRPr="00BF2AAF">
              <w:rPr>
                <w:rFonts w:ascii="Arial" w:eastAsia="Times New Roman" w:hAnsi="Arial" w:cs="Arial"/>
                <w:b w:val="0"/>
                <w:bCs w:val="0"/>
                <w:spacing w:val="-2"/>
                <w:sz w:val="14"/>
                <w:szCs w:val="14"/>
                <w:lang w:eastAsia="pt-BR"/>
              </w:rPr>
              <w:t>Imposto de Renda pago no exercício</w:t>
            </w:r>
          </w:p>
        </w:tc>
        <w:tc>
          <w:tcPr>
            <w:tcW w:w="556" w:type="dxa"/>
            <w:tcBorders>
              <w:top w:val="nil"/>
              <w:bottom w:val="nil"/>
            </w:tcBorders>
            <w:shd w:val="clear" w:color="auto" w:fill="auto"/>
            <w:vAlign w:val="center"/>
          </w:tcPr>
          <w:p w14:paraId="71031BBE" w14:textId="77777777" w:rsidR="00612611" w:rsidRPr="00BF2AAF" w:rsidRDefault="0061261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left w:val="nil"/>
              <w:bottom w:val="nil"/>
              <w:right w:val="nil"/>
            </w:tcBorders>
            <w:shd w:val="clear" w:color="auto" w:fill="auto"/>
            <w:vAlign w:val="center"/>
          </w:tcPr>
          <w:p w14:paraId="1F4C2E01" w14:textId="77777777" w:rsidR="00612611" w:rsidRPr="00BF2AAF" w:rsidRDefault="0061261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394ADC">
              <w:rPr>
                <w:rFonts w:ascii="Arial" w:eastAsia="Times New Roman" w:hAnsi="Arial" w:cs="Arial"/>
                <w:spacing w:val="-2"/>
                <w:sz w:val="14"/>
                <w:szCs w:val="14"/>
                <w:lang w:eastAsia="pt-BR"/>
              </w:rPr>
              <w:t>(561)</w:t>
            </w:r>
          </w:p>
        </w:tc>
        <w:tc>
          <w:tcPr>
            <w:tcW w:w="1311" w:type="dxa"/>
            <w:tcBorders>
              <w:top w:val="nil"/>
              <w:left w:val="nil"/>
              <w:bottom w:val="nil"/>
              <w:right w:val="nil"/>
            </w:tcBorders>
            <w:shd w:val="clear" w:color="auto" w:fill="auto"/>
            <w:vAlign w:val="center"/>
          </w:tcPr>
          <w:p w14:paraId="488D9815" w14:textId="77777777" w:rsidR="00612611" w:rsidRPr="00BF2AAF" w:rsidRDefault="0061261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BF2AAF">
              <w:rPr>
                <w:rFonts w:ascii="Arial" w:hAnsi="Arial" w:cs="Arial"/>
                <w:color w:val="000000"/>
                <w:sz w:val="14"/>
                <w:szCs w:val="14"/>
              </w:rPr>
              <w:t>--</w:t>
            </w:r>
          </w:p>
        </w:tc>
        <w:tc>
          <w:tcPr>
            <w:tcW w:w="280" w:type="dxa"/>
            <w:tcBorders>
              <w:top w:val="nil"/>
              <w:bottom w:val="nil"/>
            </w:tcBorders>
            <w:shd w:val="clear" w:color="auto" w:fill="auto"/>
            <w:vAlign w:val="center"/>
          </w:tcPr>
          <w:p w14:paraId="7B102E8C" w14:textId="77777777" w:rsidR="00612611" w:rsidRPr="00BF2AAF" w:rsidRDefault="0061261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shd w:val="clear" w:color="auto" w:fill="auto"/>
            <w:vAlign w:val="center"/>
          </w:tcPr>
          <w:p w14:paraId="36D6B7A8" w14:textId="77777777" w:rsidR="00612611" w:rsidRPr="00BF2AAF" w:rsidRDefault="0061261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sidRPr="005A0324">
              <w:rPr>
                <w:rFonts w:ascii="Arial" w:eastAsia="Times New Roman" w:hAnsi="Arial" w:cs="Arial"/>
                <w:spacing w:val="-2"/>
                <w:sz w:val="14"/>
                <w:szCs w:val="14"/>
                <w:lang w:eastAsia="pt-BR"/>
              </w:rPr>
              <w:t>(975.938)</w:t>
            </w:r>
          </w:p>
        </w:tc>
        <w:tc>
          <w:tcPr>
            <w:tcW w:w="1314" w:type="dxa"/>
            <w:tcBorders>
              <w:top w:val="nil"/>
              <w:left w:val="nil"/>
              <w:bottom w:val="nil"/>
              <w:right w:val="nil"/>
            </w:tcBorders>
            <w:shd w:val="clear" w:color="auto" w:fill="auto"/>
            <w:vAlign w:val="center"/>
          </w:tcPr>
          <w:p w14:paraId="6650792D" w14:textId="77777777" w:rsidR="00612611" w:rsidRPr="00BF2AAF" w:rsidRDefault="0061261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(934.781)</w:t>
            </w:r>
          </w:p>
        </w:tc>
      </w:tr>
      <w:tr w:rsidR="00612611" w:rsidRPr="00BF2AAF" w14:paraId="53C67F6A"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63652CA5" w14:textId="77777777" w:rsidR="00612611" w:rsidRPr="00BF2AAF" w:rsidRDefault="00612611">
            <w:pPr>
              <w:keepNext/>
              <w:keepLines/>
              <w:spacing w:before="40" w:after="40"/>
              <w:ind w:left="113"/>
              <w:rPr>
                <w:rFonts w:ascii="Arial" w:eastAsia="Times New Roman" w:hAnsi="Arial" w:cs="Arial"/>
                <w:b w:val="0"/>
                <w:bCs w:val="0"/>
                <w:spacing w:val="-2"/>
                <w:sz w:val="14"/>
                <w:szCs w:val="14"/>
                <w:lang w:eastAsia="pt-BR"/>
              </w:rPr>
            </w:pPr>
            <w:r w:rsidRPr="00BF2AAF">
              <w:rPr>
                <w:rFonts w:ascii="Arial" w:eastAsia="Times New Roman" w:hAnsi="Arial" w:cs="Arial"/>
                <w:b w:val="0"/>
                <w:bCs w:val="0"/>
                <w:spacing w:val="-2"/>
                <w:sz w:val="14"/>
                <w:szCs w:val="14"/>
                <w:lang w:eastAsia="pt-BR"/>
              </w:rPr>
              <w:t>Contribuição Social paga no exercício</w:t>
            </w:r>
          </w:p>
        </w:tc>
        <w:tc>
          <w:tcPr>
            <w:tcW w:w="556" w:type="dxa"/>
            <w:tcBorders>
              <w:top w:val="nil"/>
              <w:bottom w:val="nil"/>
            </w:tcBorders>
            <w:shd w:val="clear" w:color="auto" w:fill="auto"/>
            <w:vAlign w:val="center"/>
          </w:tcPr>
          <w:p w14:paraId="3B6EA56F" w14:textId="77777777" w:rsidR="00612611" w:rsidRPr="00BF2AAF" w:rsidRDefault="0061261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240" w:type="dxa"/>
            <w:tcBorders>
              <w:top w:val="nil"/>
              <w:left w:val="nil"/>
              <w:bottom w:val="nil"/>
              <w:right w:val="nil"/>
            </w:tcBorders>
            <w:shd w:val="clear" w:color="auto" w:fill="auto"/>
            <w:vAlign w:val="center"/>
          </w:tcPr>
          <w:p w14:paraId="1ECD77F5" w14:textId="77777777" w:rsidR="00612611" w:rsidRPr="00BF2AAF" w:rsidRDefault="0061261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94ADC">
              <w:rPr>
                <w:rFonts w:ascii="Arial" w:eastAsia="Times New Roman" w:hAnsi="Arial" w:cs="Arial"/>
                <w:spacing w:val="-2"/>
                <w:sz w:val="14"/>
                <w:szCs w:val="14"/>
                <w:lang w:eastAsia="pt-BR"/>
              </w:rPr>
              <w:t>(2.931)</w:t>
            </w:r>
          </w:p>
        </w:tc>
        <w:tc>
          <w:tcPr>
            <w:tcW w:w="1311" w:type="dxa"/>
            <w:tcBorders>
              <w:top w:val="nil"/>
              <w:left w:val="nil"/>
              <w:bottom w:val="nil"/>
              <w:right w:val="nil"/>
            </w:tcBorders>
            <w:shd w:val="clear" w:color="auto" w:fill="auto"/>
            <w:vAlign w:val="center"/>
          </w:tcPr>
          <w:p w14:paraId="4B7FA34E" w14:textId="77777777" w:rsidR="00612611" w:rsidRPr="00BF2AAF" w:rsidRDefault="0061261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BF2AAF">
              <w:rPr>
                <w:rFonts w:ascii="Arial" w:hAnsi="Arial" w:cs="Arial"/>
                <w:color w:val="000000"/>
                <w:sz w:val="14"/>
                <w:szCs w:val="14"/>
              </w:rPr>
              <w:t>(2.346)</w:t>
            </w:r>
          </w:p>
        </w:tc>
        <w:tc>
          <w:tcPr>
            <w:tcW w:w="280" w:type="dxa"/>
            <w:tcBorders>
              <w:top w:val="nil"/>
              <w:bottom w:val="nil"/>
            </w:tcBorders>
            <w:shd w:val="clear" w:color="auto" w:fill="auto"/>
            <w:vAlign w:val="center"/>
          </w:tcPr>
          <w:p w14:paraId="7AA8D51A" w14:textId="77777777" w:rsidR="00612611" w:rsidRPr="00BF2AAF" w:rsidRDefault="0061261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shd w:val="clear" w:color="auto" w:fill="auto"/>
            <w:vAlign w:val="center"/>
          </w:tcPr>
          <w:p w14:paraId="3A044A9F" w14:textId="77777777" w:rsidR="00612611" w:rsidRPr="00BF2AAF" w:rsidRDefault="0061261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sidRPr="005A0324">
              <w:rPr>
                <w:rFonts w:ascii="Arial" w:eastAsia="Times New Roman" w:hAnsi="Arial" w:cs="Arial"/>
                <w:spacing w:val="-2"/>
                <w:sz w:val="14"/>
                <w:szCs w:val="14"/>
                <w:lang w:eastAsia="pt-BR"/>
              </w:rPr>
              <w:t>(435.052)</w:t>
            </w:r>
          </w:p>
        </w:tc>
        <w:tc>
          <w:tcPr>
            <w:tcW w:w="1314" w:type="dxa"/>
            <w:tcBorders>
              <w:top w:val="nil"/>
              <w:left w:val="nil"/>
              <w:bottom w:val="nil"/>
              <w:right w:val="nil"/>
            </w:tcBorders>
            <w:shd w:val="clear" w:color="auto" w:fill="auto"/>
            <w:vAlign w:val="center"/>
          </w:tcPr>
          <w:p w14:paraId="51AF791F" w14:textId="77777777" w:rsidR="00612611" w:rsidRPr="00BF2AAF" w:rsidRDefault="00612611">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(414.718)</w:t>
            </w:r>
          </w:p>
        </w:tc>
      </w:tr>
      <w:tr w:rsidR="00612611" w:rsidRPr="00BF2AAF" w14:paraId="67C5FBB4"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single" w:sz="2" w:space="0" w:color="1F3864" w:themeColor="accent1" w:themeShade="80"/>
            </w:tcBorders>
            <w:shd w:val="clear" w:color="auto" w:fill="auto"/>
            <w:vAlign w:val="center"/>
          </w:tcPr>
          <w:p w14:paraId="0112E798" w14:textId="77777777" w:rsidR="00612611" w:rsidRPr="00BF2AAF" w:rsidRDefault="00612611">
            <w:pPr>
              <w:keepNext/>
              <w:keepLines/>
              <w:spacing w:before="40" w:after="40"/>
              <w:ind w:left="113"/>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Total dos Tributos Pagos</w:t>
            </w:r>
          </w:p>
        </w:tc>
        <w:tc>
          <w:tcPr>
            <w:tcW w:w="556" w:type="dxa"/>
            <w:tcBorders>
              <w:top w:val="nil"/>
              <w:bottom w:val="single" w:sz="4" w:space="0" w:color="1F3864" w:themeColor="accent1" w:themeShade="80"/>
            </w:tcBorders>
            <w:shd w:val="clear" w:color="auto" w:fill="auto"/>
            <w:vAlign w:val="center"/>
          </w:tcPr>
          <w:p w14:paraId="4D4B5CC7" w14:textId="77777777" w:rsidR="00612611" w:rsidRPr="00BF2AAF" w:rsidRDefault="0061261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c>
          <w:tcPr>
            <w:tcW w:w="1240" w:type="dxa"/>
            <w:tcBorders>
              <w:top w:val="nil"/>
              <w:left w:val="nil"/>
              <w:bottom w:val="single" w:sz="4" w:space="0" w:color="1F3864" w:themeColor="accent1" w:themeShade="80"/>
              <w:right w:val="nil"/>
            </w:tcBorders>
            <w:shd w:val="clear" w:color="auto" w:fill="auto"/>
            <w:vAlign w:val="center"/>
          </w:tcPr>
          <w:p w14:paraId="5F331EBA" w14:textId="77777777" w:rsidR="00612611" w:rsidRPr="00BF2AAF" w:rsidRDefault="0061261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394ADC">
              <w:rPr>
                <w:rFonts w:ascii="Arial" w:eastAsia="Times New Roman" w:hAnsi="Arial" w:cs="Arial"/>
                <w:b/>
                <w:bCs/>
                <w:spacing w:val="-2"/>
                <w:sz w:val="14"/>
                <w:szCs w:val="14"/>
                <w:lang w:eastAsia="pt-BR"/>
              </w:rPr>
              <w:t>(3.492)</w:t>
            </w:r>
          </w:p>
        </w:tc>
        <w:tc>
          <w:tcPr>
            <w:tcW w:w="1311" w:type="dxa"/>
            <w:tcBorders>
              <w:top w:val="nil"/>
              <w:left w:val="nil"/>
              <w:bottom w:val="single" w:sz="4" w:space="0" w:color="1F3864" w:themeColor="accent1" w:themeShade="80"/>
              <w:right w:val="nil"/>
            </w:tcBorders>
            <w:shd w:val="clear" w:color="auto" w:fill="auto"/>
            <w:vAlign w:val="center"/>
          </w:tcPr>
          <w:p w14:paraId="472EA21B" w14:textId="77777777" w:rsidR="00612611" w:rsidRPr="00BF2AAF" w:rsidRDefault="0061261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BF2AAF">
              <w:rPr>
                <w:rFonts w:ascii="Arial" w:hAnsi="Arial" w:cs="Arial"/>
                <w:b/>
                <w:bCs/>
                <w:color w:val="000000"/>
                <w:sz w:val="14"/>
                <w:szCs w:val="14"/>
              </w:rPr>
              <w:t>(2.346)</w:t>
            </w:r>
          </w:p>
        </w:tc>
        <w:tc>
          <w:tcPr>
            <w:tcW w:w="280" w:type="dxa"/>
            <w:tcBorders>
              <w:top w:val="nil"/>
              <w:bottom w:val="single" w:sz="2" w:space="0" w:color="1F3864" w:themeColor="accent1" w:themeShade="80"/>
            </w:tcBorders>
            <w:shd w:val="clear" w:color="auto" w:fill="auto"/>
            <w:vAlign w:val="center"/>
          </w:tcPr>
          <w:p w14:paraId="630DCC29" w14:textId="77777777" w:rsidR="00612611" w:rsidRPr="00BF2AAF" w:rsidRDefault="0061261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c>
          <w:tcPr>
            <w:tcW w:w="1241" w:type="dxa"/>
            <w:tcBorders>
              <w:top w:val="nil"/>
              <w:left w:val="nil"/>
              <w:bottom w:val="single" w:sz="2" w:space="0" w:color="1F3864" w:themeColor="accent1" w:themeShade="80"/>
              <w:right w:val="nil"/>
            </w:tcBorders>
            <w:shd w:val="clear" w:color="auto" w:fill="auto"/>
            <w:vAlign w:val="center"/>
          </w:tcPr>
          <w:p w14:paraId="235E1F62" w14:textId="77777777" w:rsidR="00612611" w:rsidRPr="00BF2AAF" w:rsidRDefault="0061261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r w:rsidRPr="005A0324">
              <w:rPr>
                <w:rFonts w:ascii="Arial" w:eastAsia="Times New Roman" w:hAnsi="Arial" w:cs="Arial"/>
                <w:b/>
                <w:bCs/>
                <w:spacing w:val="-2"/>
                <w:sz w:val="14"/>
                <w:szCs w:val="14"/>
                <w:lang w:eastAsia="pt-BR"/>
              </w:rPr>
              <w:t>(1.410.990)</w:t>
            </w:r>
          </w:p>
        </w:tc>
        <w:tc>
          <w:tcPr>
            <w:tcW w:w="1314" w:type="dxa"/>
            <w:tcBorders>
              <w:top w:val="nil"/>
              <w:left w:val="nil"/>
              <w:bottom w:val="single" w:sz="2" w:space="0" w:color="1F3864" w:themeColor="accent1" w:themeShade="80"/>
              <w:right w:val="nil"/>
            </w:tcBorders>
            <w:shd w:val="clear" w:color="auto" w:fill="auto"/>
            <w:vAlign w:val="center"/>
          </w:tcPr>
          <w:p w14:paraId="6CE6A7F3" w14:textId="77777777" w:rsidR="00612611" w:rsidRPr="00BF2AAF" w:rsidRDefault="00612611">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BF2AAF">
              <w:rPr>
                <w:rFonts w:ascii="Arial" w:eastAsia="Times New Roman" w:hAnsi="Arial" w:cs="Arial"/>
                <w:b/>
                <w:bCs/>
                <w:spacing w:val="-2"/>
                <w:sz w:val="14"/>
                <w:szCs w:val="14"/>
                <w:lang w:eastAsia="pt-BR"/>
              </w:rPr>
              <w:t>(1.349.499)</w:t>
            </w:r>
          </w:p>
        </w:tc>
      </w:tr>
    </w:tbl>
    <w:p w14:paraId="31560DEB" w14:textId="77777777" w:rsidR="00612611" w:rsidRDefault="00612611" w:rsidP="00612611">
      <w:r w:rsidRPr="00E16BE7">
        <w:rPr>
          <w:rFonts w:ascii="Arial" w:hAnsi="Arial" w:cs="Arial"/>
          <w:sz w:val="14"/>
          <w:szCs w:val="14"/>
        </w:rPr>
        <w:t>As notas explicativas são parte integrante das demonstrações contábeis</w:t>
      </w:r>
      <w:r>
        <w:rPr>
          <w:rFonts w:ascii="Arial" w:hAnsi="Arial" w:cs="Arial"/>
          <w:sz w:val="14"/>
          <w:szCs w:val="14"/>
        </w:rPr>
        <w:t>.</w:t>
      </w:r>
    </w:p>
    <w:p w14:paraId="01792CE7" w14:textId="08D12143" w:rsidR="00722F1A" w:rsidRPr="00BF2AAF" w:rsidRDefault="00722F1A" w:rsidP="00AD012B">
      <w:pPr>
        <w:spacing w:after="160" w:line="259" w:lineRule="auto"/>
        <w:rPr>
          <w:rFonts w:ascii="Arial" w:eastAsiaTheme="minorHAnsi" w:hAnsi="Arial" w:cs="Arial"/>
          <w:sz w:val="14"/>
          <w:szCs w:val="14"/>
        </w:rPr>
        <w:sectPr w:rsidR="00722F1A" w:rsidRPr="00BF2AAF" w:rsidSect="00CD2A77">
          <w:headerReference w:type="default" r:id="rId19"/>
          <w:pgSz w:w="11906" w:h="16838" w:code="9"/>
          <w:pgMar w:top="1134" w:right="1134" w:bottom="851" w:left="1134" w:header="851" w:footer="284" w:gutter="0"/>
          <w:cols w:space="708"/>
          <w:docGrid w:linePitch="360"/>
        </w:sectPr>
      </w:pPr>
    </w:p>
    <w:p w14:paraId="2E6B6359" w14:textId="77777777" w:rsidR="004F346A" w:rsidRDefault="004F346A" w:rsidP="00FE38BF">
      <w:pPr>
        <w:pStyle w:val="02-TtulodeNota"/>
        <w:rPr>
          <w:rFonts w:cs="Arial"/>
        </w:rPr>
      </w:pPr>
      <w:bookmarkStart w:id="19" w:name="_Toc189757062"/>
      <w:r w:rsidRPr="00BF2AAF">
        <w:rPr>
          <w:rFonts w:cs="Arial"/>
        </w:rPr>
        <w:lastRenderedPageBreak/>
        <w:t>DEMONSTRAÇÃO DAS MUTAÇÕES DO PATRIMÔNIO LÍQUIDO</w:t>
      </w:r>
      <w:bookmarkEnd w:id="19"/>
    </w:p>
    <w:p w14:paraId="5C4D8967" w14:textId="77777777" w:rsidR="00DD01E4" w:rsidRPr="000E5124" w:rsidRDefault="00DD01E4" w:rsidP="00DD01E4">
      <w:pPr>
        <w:spacing w:after="0" w:line="240" w:lineRule="auto"/>
        <w:ind w:right="-315"/>
        <w:jc w:val="right"/>
        <w:rPr>
          <w:rFonts w:ascii="Arial" w:eastAsia="Times New Roman" w:hAnsi="Arial" w:cs="Times New Roman"/>
          <w:b/>
          <w:spacing w:val="-2"/>
          <w:sz w:val="14"/>
          <w:szCs w:val="14"/>
          <w:lang w:eastAsia="pt-BR"/>
        </w:rPr>
      </w:pPr>
      <w:r w:rsidRPr="000E5124">
        <w:rPr>
          <w:rFonts w:ascii="Arial" w:eastAsia="Times New Roman" w:hAnsi="Arial" w:cs="Times New Roman"/>
          <w:b/>
          <w:spacing w:val="-2"/>
          <w:sz w:val="14"/>
          <w:szCs w:val="14"/>
          <w:lang w:eastAsia="pt-BR"/>
        </w:rPr>
        <w:t xml:space="preserve">R$ mil </w:t>
      </w:r>
    </w:p>
    <w:tbl>
      <w:tblPr>
        <w:tblW w:w="15309" w:type="dxa"/>
        <w:tblLayout w:type="fixed"/>
        <w:tblLook w:val="04A0" w:firstRow="1" w:lastRow="0" w:firstColumn="1" w:lastColumn="0" w:noHBand="0" w:noVBand="1"/>
      </w:tblPr>
      <w:tblGrid>
        <w:gridCol w:w="4889"/>
        <w:gridCol w:w="716"/>
        <w:gridCol w:w="894"/>
        <w:gridCol w:w="968"/>
        <w:gridCol w:w="1128"/>
        <w:gridCol w:w="1646"/>
        <w:gridCol w:w="1009"/>
        <w:gridCol w:w="1666"/>
        <w:gridCol w:w="1376"/>
        <w:gridCol w:w="1017"/>
      </w:tblGrid>
      <w:tr w:rsidR="00DD01E4" w:rsidRPr="001A117C" w14:paraId="1FD20AEC" w14:textId="77777777">
        <w:trPr>
          <w:trHeight w:hRule="exact" w:val="309"/>
        </w:trPr>
        <w:tc>
          <w:tcPr>
            <w:tcW w:w="4889" w:type="dxa"/>
            <w:vMerge w:val="restart"/>
            <w:tcBorders>
              <w:top w:val="single" w:sz="2" w:space="0" w:color="1F3864" w:themeColor="accent1" w:themeShade="80"/>
              <w:bottom w:val="single" w:sz="2" w:space="0" w:color="1F3864" w:themeColor="accent1" w:themeShade="80"/>
            </w:tcBorders>
            <w:vAlign w:val="center"/>
          </w:tcPr>
          <w:p w14:paraId="259D281C" w14:textId="77777777" w:rsidR="00DD01E4" w:rsidRPr="00D91FDE" w:rsidRDefault="00DD01E4">
            <w:pPr>
              <w:spacing w:after="0"/>
              <w:jc w:val="center"/>
              <w:rPr>
                <w:rFonts w:ascii="Arial" w:hAnsi="Arial" w:cs="Arial"/>
                <w:b/>
                <w:bCs/>
                <w:sz w:val="14"/>
                <w:szCs w:val="14"/>
              </w:rPr>
            </w:pPr>
            <w:r w:rsidRPr="00D91FDE">
              <w:rPr>
                <w:rFonts w:ascii="Arial" w:hAnsi="Arial" w:cs="Arial"/>
                <w:b/>
                <w:bCs/>
                <w:sz w:val="14"/>
                <w:szCs w:val="14"/>
              </w:rPr>
              <w:t>Evento</w:t>
            </w:r>
          </w:p>
        </w:tc>
        <w:tc>
          <w:tcPr>
            <w:tcW w:w="716" w:type="dxa"/>
            <w:vMerge w:val="restart"/>
            <w:tcBorders>
              <w:top w:val="single" w:sz="2" w:space="0" w:color="1F3864" w:themeColor="accent1" w:themeShade="80"/>
              <w:bottom w:val="single" w:sz="2" w:space="0" w:color="1F3864" w:themeColor="accent1" w:themeShade="80"/>
            </w:tcBorders>
            <w:vAlign w:val="center"/>
          </w:tcPr>
          <w:p w14:paraId="19187F09" w14:textId="77777777" w:rsidR="00DD01E4" w:rsidRPr="00D91FDE" w:rsidRDefault="00DD01E4">
            <w:pPr>
              <w:spacing w:after="0"/>
              <w:jc w:val="center"/>
              <w:rPr>
                <w:rFonts w:ascii="Arial" w:hAnsi="Arial" w:cs="Arial"/>
                <w:b/>
                <w:bCs/>
                <w:sz w:val="14"/>
                <w:szCs w:val="14"/>
              </w:rPr>
            </w:pPr>
            <w:r w:rsidRPr="00D91FDE">
              <w:rPr>
                <w:rFonts w:ascii="Arial" w:hAnsi="Arial" w:cs="Arial"/>
                <w:b/>
                <w:bCs/>
                <w:sz w:val="14"/>
                <w:szCs w:val="14"/>
              </w:rPr>
              <w:t>Nota</w:t>
            </w:r>
          </w:p>
        </w:tc>
        <w:tc>
          <w:tcPr>
            <w:tcW w:w="894" w:type="dxa"/>
            <w:vMerge w:val="restart"/>
            <w:tcBorders>
              <w:top w:val="single" w:sz="2" w:space="0" w:color="1F3864" w:themeColor="accent1" w:themeShade="80"/>
              <w:bottom w:val="single" w:sz="2" w:space="0" w:color="1F3864" w:themeColor="accent1" w:themeShade="80"/>
            </w:tcBorders>
            <w:vAlign w:val="center"/>
          </w:tcPr>
          <w:p w14:paraId="5BCE2CF9" w14:textId="77777777" w:rsidR="00DD01E4" w:rsidRPr="00D91FDE" w:rsidRDefault="00DD01E4">
            <w:pPr>
              <w:spacing w:after="0"/>
              <w:jc w:val="center"/>
              <w:rPr>
                <w:rFonts w:ascii="Arial" w:hAnsi="Arial" w:cs="Arial"/>
                <w:b/>
                <w:bCs/>
                <w:sz w:val="14"/>
                <w:szCs w:val="14"/>
              </w:rPr>
            </w:pPr>
            <w:r w:rsidRPr="00D91FDE">
              <w:rPr>
                <w:rFonts w:ascii="Arial" w:hAnsi="Arial" w:cs="Arial"/>
                <w:b/>
                <w:bCs/>
                <w:sz w:val="14"/>
                <w:szCs w:val="14"/>
              </w:rPr>
              <w:t>Capital Social</w:t>
            </w:r>
          </w:p>
        </w:tc>
        <w:tc>
          <w:tcPr>
            <w:tcW w:w="968" w:type="dxa"/>
            <w:vMerge w:val="restart"/>
            <w:tcBorders>
              <w:top w:val="single" w:sz="2" w:space="0" w:color="1F3864" w:themeColor="accent1" w:themeShade="80"/>
              <w:bottom w:val="single" w:sz="2" w:space="0" w:color="1F3864" w:themeColor="accent1" w:themeShade="80"/>
            </w:tcBorders>
            <w:vAlign w:val="center"/>
          </w:tcPr>
          <w:p w14:paraId="0FA028D9" w14:textId="77777777" w:rsidR="00DD01E4" w:rsidRPr="00D91FDE" w:rsidRDefault="00DD01E4">
            <w:pPr>
              <w:spacing w:after="0"/>
              <w:jc w:val="center"/>
              <w:rPr>
                <w:rFonts w:ascii="Arial" w:hAnsi="Arial" w:cs="Arial"/>
                <w:b/>
                <w:bCs/>
                <w:sz w:val="14"/>
                <w:szCs w:val="14"/>
              </w:rPr>
            </w:pPr>
            <w:r w:rsidRPr="00D91FDE">
              <w:rPr>
                <w:rFonts w:ascii="Arial" w:hAnsi="Arial" w:cs="Arial"/>
                <w:b/>
                <w:bCs/>
                <w:sz w:val="14"/>
                <w:szCs w:val="14"/>
              </w:rPr>
              <w:t>Reservas de Capital</w:t>
            </w:r>
          </w:p>
        </w:tc>
        <w:tc>
          <w:tcPr>
            <w:tcW w:w="2774" w:type="dxa"/>
            <w:gridSpan w:val="2"/>
            <w:tcBorders>
              <w:top w:val="single" w:sz="2" w:space="0" w:color="1F3864" w:themeColor="accent1" w:themeShade="80"/>
              <w:bottom w:val="single" w:sz="2" w:space="0" w:color="1F3864" w:themeColor="accent1" w:themeShade="80"/>
            </w:tcBorders>
            <w:vAlign w:val="center"/>
          </w:tcPr>
          <w:p w14:paraId="0E4BBEE3" w14:textId="77777777" w:rsidR="00DD01E4" w:rsidRPr="00D91FDE" w:rsidRDefault="00DD01E4">
            <w:pPr>
              <w:spacing w:after="0"/>
              <w:jc w:val="center"/>
              <w:rPr>
                <w:rFonts w:ascii="Arial" w:hAnsi="Arial" w:cs="Arial"/>
                <w:b/>
                <w:bCs/>
                <w:sz w:val="14"/>
                <w:szCs w:val="14"/>
              </w:rPr>
            </w:pPr>
            <w:r w:rsidRPr="00D91FDE">
              <w:rPr>
                <w:rFonts w:ascii="Arial" w:hAnsi="Arial" w:cs="Arial"/>
                <w:b/>
                <w:bCs/>
                <w:sz w:val="14"/>
                <w:szCs w:val="14"/>
              </w:rPr>
              <w:t>Reservas de Lucros</w:t>
            </w:r>
          </w:p>
        </w:tc>
        <w:tc>
          <w:tcPr>
            <w:tcW w:w="1009" w:type="dxa"/>
            <w:vMerge w:val="restart"/>
            <w:tcBorders>
              <w:top w:val="single" w:sz="2" w:space="0" w:color="1F3864" w:themeColor="accent1" w:themeShade="80"/>
              <w:bottom w:val="single" w:sz="2" w:space="0" w:color="1F3864" w:themeColor="accent1" w:themeShade="80"/>
            </w:tcBorders>
            <w:vAlign w:val="center"/>
          </w:tcPr>
          <w:p w14:paraId="0AE6CAD5" w14:textId="77777777" w:rsidR="00DD01E4" w:rsidRPr="00D91FDE" w:rsidRDefault="00DD01E4">
            <w:pPr>
              <w:spacing w:after="0"/>
              <w:jc w:val="center"/>
              <w:rPr>
                <w:rFonts w:ascii="Arial" w:hAnsi="Arial" w:cs="Arial"/>
                <w:b/>
                <w:bCs/>
                <w:sz w:val="14"/>
                <w:szCs w:val="14"/>
              </w:rPr>
            </w:pPr>
            <w:r w:rsidRPr="00D91FDE">
              <w:rPr>
                <w:rFonts w:ascii="Arial" w:hAnsi="Arial" w:cs="Arial"/>
                <w:b/>
                <w:bCs/>
                <w:sz w:val="14"/>
                <w:szCs w:val="14"/>
              </w:rPr>
              <w:t>Ações em Tesouraria</w:t>
            </w:r>
          </w:p>
        </w:tc>
        <w:tc>
          <w:tcPr>
            <w:tcW w:w="1666" w:type="dxa"/>
            <w:vMerge w:val="restart"/>
            <w:tcBorders>
              <w:top w:val="single" w:sz="2" w:space="0" w:color="1F3864" w:themeColor="accent1" w:themeShade="80"/>
              <w:bottom w:val="single" w:sz="2" w:space="0" w:color="1F3864" w:themeColor="accent1" w:themeShade="80"/>
            </w:tcBorders>
            <w:vAlign w:val="center"/>
          </w:tcPr>
          <w:p w14:paraId="530001FA" w14:textId="77777777" w:rsidR="00DD01E4" w:rsidRPr="00D91FDE" w:rsidRDefault="00DD01E4">
            <w:pPr>
              <w:spacing w:after="0"/>
              <w:jc w:val="center"/>
              <w:rPr>
                <w:rFonts w:ascii="Arial" w:hAnsi="Arial" w:cs="Arial"/>
                <w:b/>
                <w:bCs/>
                <w:sz w:val="14"/>
                <w:szCs w:val="14"/>
              </w:rPr>
            </w:pPr>
            <w:r w:rsidRPr="00D91FDE">
              <w:rPr>
                <w:rFonts w:ascii="Arial" w:hAnsi="Arial" w:cs="Arial"/>
                <w:b/>
                <w:bCs/>
                <w:sz w:val="14"/>
                <w:szCs w:val="14"/>
              </w:rPr>
              <w:t>Outros Resultados Abrangentes Acumulados</w:t>
            </w:r>
          </w:p>
        </w:tc>
        <w:tc>
          <w:tcPr>
            <w:tcW w:w="1376" w:type="dxa"/>
            <w:vMerge w:val="restart"/>
            <w:tcBorders>
              <w:top w:val="single" w:sz="2" w:space="0" w:color="1F3864" w:themeColor="accent1" w:themeShade="80"/>
              <w:bottom w:val="single" w:sz="2" w:space="0" w:color="1F3864" w:themeColor="accent1" w:themeShade="80"/>
            </w:tcBorders>
            <w:vAlign w:val="center"/>
          </w:tcPr>
          <w:p w14:paraId="4258C14A" w14:textId="77777777" w:rsidR="00DD01E4" w:rsidRPr="00D91FDE" w:rsidRDefault="00DD01E4">
            <w:pPr>
              <w:spacing w:after="0"/>
              <w:jc w:val="center"/>
              <w:rPr>
                <w:rFonts w:ascii="Arial" w:hAnsi="Arial" w:cs="Arial"/>
                <w:b/>
                <w:bCs/>
                <w:sz w:val="14"/>
                <w:szCs w:val="14"/>
              </w:rPr>
            </w:pPr>
            <w:r w:rsidRPr="00D91FDE">
              <w:rPr>
                <w:rFonts w:ascii="Arial" w:hAnsi="Arial" w:cs="Arial"/>
                <w:b/>
                <w:bCs/>
                <w:sz w:val="14"/>
                <w:szCs w:val="14"/>
              </w:rPr>
              <w:t>Lucros Acumulados</w:t>
            </w:r>
          </w:p>
        </w:tc>
        <w:tc>
          <w:tcPr>
            <w:tcW w:w="1017" w:type="dxa"/>
            <w:vMerge w:val="restart"/>
            <w:tcBorders>
              <w:top w:val="single" w:sz="2" w:space="0" w:color="1F3864" w:themeColor="accent1" w:themeShade="80"/>
              <w:bottom w:val="single" w:sz="2" w:space="0" w:color="1F3864" w:themeColor="accent1" w:themeShade="80"/>
            </w:tcBorders>
            <w:vAlign w:val="center"/>
          </w:tcPr>
          <w:p w14:paraId="61FC1C2E" w14:textId="77777777" w:rsidR="00DD01E4" w:rsidRPr="00D91FDE" w:rsidRDefault="00DD01E4">
            <w:pPr>
              <w:spacing w:after="0"/>
              <w:ind w:right="-110"/>
              <w:jc w:val="center"/>
              <w:rPr>
                <w:rFonts w:ascii="Arial" w:hAnsi="Arial" w:cs="Arial"/>
                <w:b/>
                <w:bCs/>
                <w:sz w:val="14"/>
                <w:szCs w:val="14"/>
              </w:rPr>
            </w:pPr>
            <w:r w:rsidRPr="00D91FDE">
              <w:rPr>
                <w:rFonts w:ascii="Arial" w:hAnsi="Arial" w:cs="Arial"/>
                <w:b/>
                <w:bCs/>
                <w:sz w:val="14"/>
                <w:szCs w:val="14"/>
              </w:rPr>
              <w:t>Total</w:t>
            </w:r>
          </w:p>
        </w:tc>
      </w:tr>
      <w:tr w:rsidR="00DD01E4" w:rsidRPr="001A117C" w14:paraId="039559F3" w14:textId="77777777" w:rsidTr="004B0AF2">
        <w:trPr>
          <w:trHeight w:hRule="exact" w:val="553"/>
        </w:trPr>
        <w:tc>
          <w:tcPr>
            <w:tcW w:w="4889" w:type="dxa"/>
            <w:vMerge/>
            <w:tcBorders>
              <w:bottom w:val="single" w:sz="2" w:space="0" w:color="1F3864" w:themeColor="accent1" w:themeShade="80"/>
            </w:tcBorders>
            <w:vAlign w:val="center"/>
          </w:tcPr>
          <w:p w14:paraId="57F9BD06" w14:textId="77777777" w:rsidR="00DD01E4" w:rsidRPr="00D91FDE" w:rsidRDefault="00DD01E4">
            <w:pPr>
              <w:spacing w:after="0"/>
              <w:rPr>
                <w:rFonts w:ascii="Arial" w:hAnsi="Arial" w:cs="Arial"/>
                <w:sz w:val="14"/>
                <w:szCs w:val="14"/>
              </w:rPr>
            </w:pPr>
          </w:p>
        </w:tc>
        <w:tc>
          <w:tcPr>
            <w:tcW w:w="716" w:type="dxa"/>
            <w:vMerge/>
            <w:tcBorders>
              <w:bottom w:val="single" w:sz="2" w:space="0" w:color="1F3864" w:themeColor="accent1" w:themeShade="80"/>
            </w:tcBorders>
            <w:vAlign w:val="center"/>
          </w:tcPr>
          <w:p w14:paraId="22D57F59" w14:textId="77777777" w:rsidR="00DD01E4" w:rsidRPr="00D91FDE" w:rsidRDefault="00DD01E4">
            <w:pPr>
              <w:spacing w:after="0"/>
              <w:jc w:val="center"/>
              <w:rPr>
                <w:rFonts w:ascii="Arial" w:hAnsi="Arial" w:cs="Arial"/>
                <w:sz w:val="14"/>
                <w:szCs w:val="14"/>
              </w:rPr>
            </w:pPr>
          </w:p>
        </w:tc>
        <w:tc>
          <w:tcPr>
            <w:tcW w:w="894" w:type="dxa"/>
            <w:vMerge/>
            <w:tcBorders>
              <w:bottom w:val="single" w:sz="2" w:space="0" w:color="1F3864" w:themeColor="accent1" w:themeShade="80"/>
            </w:tcBorders>
            <w:vAlign w:val="center"/>
          </w:tcPr>
          <w:p w14:paraId="73834FF2" w14:textId="77777777" w:rsidR="00DD01E4" w:rsidRPr="00D91FDE" w:rsidRDefault="00DD01E4">
            <w:pPr>
              <w:spacing w:after="0"/>
              <w:jc w:val="center"/>
              <w:rPr>
                <w:rFonts w:ascii="Arial" w:hAnsi="Arial" w:cs="Arial"/>
                <w:sz w:val="14"/>
                <w:szCs w:val="14"/>
              </w:rPr>
            </w:pPr>
          </w:p>
        </w:tc>
        <w:tc>
          <w:tcPr>
            <w:tcW w:w="968" w:type="dxa"/>
            <w:vMerge/>
            <w:tcBorders>
              <w:bottom w:val="single" w:sz="2" w:space="0" w:color="1F3864" w:themeColor="accent1" w:themeShade="80"/>
            </w:tcBorders>
            <w:vAlign w:val="center"/>
          </w:tcPr>
          <w:p w14:paraId="0F9EF638" w14:textId="77777777" w:rsidR="00DD01E4" w:rsidRPr="00D91FDE" w:rsidRDefault="00DD01E4">
            <w:pPr>
              <w:spacing w:after="0"/>
              <w:jc w:val="center"/>
              <w:rPr>
                <w:rFonts w:ascii="Arial" w:hAnsi="Arial" w:cs="Arial"/>
                <w:sz w:val="14"/>
                <w:szCs w:val="14"/>
              </w:rPr>
            </w:pPr>
          </w:p>
        </w:tc>
        <w:tc>
          <w:tcPr>
            <w:tcW w:w="1128" w:type="dxa"/>
            <w:tcBorders>
              <w:top w:val="single" w:sz="2" w:space="0" w:color="1F3864" w:themeColor="accent1" w:themeShade="80"/>
              <w:bottom w:val="single" w:sz="2" w:space="0" w:color="1F3864" w:themeColor="accent1" w:themeShade="80"/>
            </w:tcBorders>
            <w:vAlign w:val="center"/>
          </w:tcPr>
          <w:p w14:paraId="60588D32" w14:textId="77777777" w:rsidR="00DD01E4" w:rsidRPr="00D91FDE" w:rsidRDefault="00DD01E4">
            <w:pPr>
              <w:spacing w:after="0"/>
              <w:jc w:val="center"/>
              <w:rPr>
                <w:rFonts w:ascii="Arial" w:hAnsi="Arial" w:cs="Arial"/>
                <w:b/>
                <w:sz w:val="14"/>
                <w:szCs w:val="14"/>
              </w:rPr>
            </w:pPr>
            <w:r w:rsidRPr="00D91FDE">
              <w:rPr>
                <w:rFonts w:ascii="Arial" w:hAnsi="Arial" w:cs="Arial"/>
                <w:b/>
                <w:sz w:val="14"/>
                <w:szCs w:val="14"/>
              </w:rPr>
              <w:t>Reserva Legal</w:t>
            </w:r>
          </w:p>
        </w:tc>
        <w:tc>
          <w:tcPr>
            <w:tcW w:w="1646" w:type="dxa"/>
            <w:tcBorders>
              <w:top w:val="single" w:sz="2" w:space="0" w:color="1F3864" w:themeColor="accent1" w:themeShade="80"/>
              <w:bottom w:val="single" w:sz="2" w:space="0" w:color="1F3864" w:themeColor="accent1" w:themeShade="80"/>
            </w:tcBorders>
            <w:vAlign w:val="center"/>
          </w:tcPr>
          <w:p w14:paraId="402DA29D" w14:textId="323C9211" w:rsidR="00DD01E4" w:rsidRPr="00D91FDE" w:rsidRDefault="00DD01E4">
            <w:pPr>
              <w:spacing w:after="0"/>
              <w:jc w:val="center"/>
              <w:rPr>
                <w:rFonts w:ascii="Arial" w:hAnsi="Arial" w:cs="Arial"/>
                <w:b/>
                <w:sz w:val="14"/>
                <w:szCs w:val="14"/>
              </w:rPr>
            </w:pPr>
            <w:r w:rsidRPr="00D91FDE">
              <w:rPr>
                <w:rFonts w:ascii="Arial" w:hAnsi="Arial" w:cs="Arial"/>
                <w:b/>
                <w:sz w:val="14"/>
                <w:szCs w:val="14"/>
              </w:rPr>
              <w:t>Reservas Estatutárias</w:t>
            </w:r>
            <w:r w:rsidR="00431CAD">
              <w:rPr>
                <w:rFonts w:ascii="Arial" w:hAnsi="Arial" w:cs="Arial"/>
                <w:b/>
                <w:sz w:val="14"/>
                <w:szCs w:val="14"/>
              </w:rPr>
              <w:t xml:space="preserve"> </w:t>
            </w:r>
            <w:r w:rsidR="00431CAD" w:rsidRPr="00431CAD">
              <w:rPr>
                <w:rFonts w:ascii="Arial" w:hAnsi="Arial" w:cs="Arial"/>
                <w:b/>
                <w:sz w:val="14"/>
                <w:szCs w:val="14"/>
                <w:vertAlign w:val="superscript"/>
              </w:rPr>
              <w:t>(1)</w:t>
            </w:r>
          </w:p>
        </w:tc>
        <w:tc>
          <w:tcPr>
            <w:tcW w:w="1009" w:type="dxa"/>
            <w:vMerge/>
            <w:tcBorders>
              <w:bottom w:val="single" w:sz="2" w:space="0" w:color="1F3864" w:themeColor="accent1" w:themeShade="80"/>
            </w:tcBorders>
            <w:vAlign w:val="center"/>
          </w:tcPr>
          <w:p w14:paraId="31C426A5" w14:textId="77777777" w:rsidR="00DD01E4" w:rsidRPr="00D91FDE" w:rsidRDefault="00DD01E4">
            <w:pPr>
              <w:spacing w:after="0"/>
              <w:jc w:val="center"/>
              <w:rPr>
                <w:rFonts w:ascii="Arial" w:hAnsi="Arial" w:cs="Arial"/>
                <w:sz w:val="14"/>
                <w:szCs w:val="14"/>
              </w:rPr>
            </w:pPr>
          </w:p>
        </w:tc>
        <w:tc>
          <w:tcPr>
            <w:tcW w:w="1666" w:type="dxa"/>
            <w:vMerge/>
            <w:tcBorders>
              <w:bottom w:val="single" w:sz="2" w:space="0" w:color="1F3864" w:themeColor="accent1" w:themeShade="80"/>
            </w:tcBorders>
            <w:vAlign w:val="center"/>
          </w:tcPr>
          <w:p w14:paraId="4D0B57F7" w14:textId="77777777" w:rsidR="00DD01E4" w:rsidRPr="00D91FDE" w:rsidRDefault="00DD01E4">
            <w:pPr>
              <w:spacing w:after="0"/>
              <w:jc w:val="center"/>
              <w:rPr>
                <w:rFonts w:ascii="Arial" w:hAnsi="Arial" w:cs="Arial"/>
                <w:b/>
                <w:bCs/>
                <w:color w:val="000000" w:themeColor="text1"/>
                <w:sz w:val="14"/>
                <w:szCs w:val="14"/>
              </w:rPr>
            </w:pPr>
          </w:p>
        </w:tc>
        <w:tc>
          <w:tcPr>
            <w:tcW w:w="1376" w:type="dxa"/>
            <w:vMerge/>
            <w:tcBorders>
              <w:bottom w:val="single" w:sz="2" w:space="0" w:color="1F3864" w:themeColor="accent1" w:themeShade="80"/>
            </w:tcBorders>
            <w:vAlign w:val="center"/>
          </w:tcPr>
          <w:p w14:paraId="473A7845" w14:textId="77777777" w:rsidR="00DD01E4" w:rsidRPr="00D91FDE" w:rsidRDefault="00DD01E4">
            <w:pPr>
              <w:spacing w:after="0"/>
              <w:jc w:val="center"/>
              <w:rPr>
                <w:rFonts w:ascii="Arial" w:hAnsi="Arial" w:cs="Arial"/>
                <w:sz w:val="14"/>
                <w:szCs w:val="14"/>
              </w:rPr>
            </w:pPr>
          </w:p>
        </w:tc>
        <w:tc>
          <w:tcPr>
            <w:tcW w:w="1017" w:type="dxa"/>
            <w:vMerge/>
            <w:tcBorders>
              <w:bottom w:val="single" w:sz="2" w:space="0" w:color="1F3864" w:themeColor="accent1" w:themeShade="80"/>
            </w:tcBorders>
            <w:vAlign w:val="center"/>
          </w:tcPr>
          <w:p w14:paraId="2924CB3B" w14:textId="77777777" w:rsidR="00DD01E4" w:rsidRPr="00D91FDE" w:rsidRDefault="00DD01E4">
            <w:pPr>
              <w:spacing w:after="0"/>
              <w:jc w:val="center"/>
              <w:rPr>
                <w:rFonts w:ascii="Arial" w:hAnsi="Arial" w:cs="Arial"/>
                <w:sz w:val="14"/>
                <w:szCs w:val="14"/>
              </w:rPr>
            </w:pPr>
          </w:p>
        </w:tc>
      </w:tr>
      <w:tr w:rsidR="00DD01E4" w:rsidRPr="00455E07" w14:paraId="1F25B6ED" w14:textId="77777777">
        <w:trPr>
          <w:trHeight w:val="134"/>
        </w:trPr>
        <w:tc>
          <w:tcPr>
            <w:tcW w:w="4889" w:type="dxa"/>
            <w:vAlign w:val="center"/>
          </w:tcPr>
          <w:p w14:paraId="13A865A5" w14:textId="77777777" w:rsidR="00DD01E4" w:rsidRPr="0029440E" w:rsidRDefault="00DD01E4">
            <w:pPr>
              <w:keepNext/>
              <w:keepLines/>
              <w:spacing w:before="40" w:after="40" w:line="240" w:lineRule="auto"/>
              <w:rPr>
                <w:rFonts w:ascii="Arial" w:eastAsia="Times New Roman" w:hAnsi="Arial" w:cs="Arial"/>
                <w:b/>
                <w:bCs/>
                <w:spacing w:val="-2"/>
                <w:sz w:val="14"/>
                <w:szCs w:val="14"/>
                <w:lang w:eastAsia="pt-BR"/>
              </w:rPr>
            </w:pPr>
            <w:r w:rsidRPr="0029440E">
              <w:rPr>
                <w:rFonts w:ascii="Arial" w:eastAsia="Times New Roman" w:hAnsi="Arial" w:cs="Arial"/>
                <w:b/>
                <w:bCs/>
                <w:spacing w:val="-2"/>
                <w:sz w:val="14"/>
                <w:szCs w:val="14"/>
                <w:lang w:eastAsia="pt-BR"/>
              </w:rPr>
              <w:t xml:space="preserve">Saldos em 31.12.2022 </w:t>
            </w:r>
            <w:r w:rsidRPr="0029440E">
              <w:rPr>
                <w:rFonts w:ascii="Arial" w:hAnsi="Arial" w:cs="Arial"/>
                <w:b/>
                <w:sz w:val="14"/>
                <w:szCs w:val="14"/>
              </w:rPr>
              <w:t>(Reapresentados)</w:t>
            </w:r>
          </w:p>
        </w:tc>
        <w:tc>
          <w:tcPr>
            <w:tcW w:w="716" w:type="dxa"/>
            <w:vAlign w:val="center"/>
          </w:tcPr>
          <w:p w14:paraId="3E501E6B" w14:textId="77777777" w:rsidR="00DD01E4" w:rsidRPr="0029440E" w:rsidRDefault="00DD01E4">
            <w:pPr>
              <w:keepNext/>
              <w:keepLines/>
              <w:spacing w:before="40" w:after="40" w:line="240" w:lineRule="auto"/>
              <w:jc w:val="right"/>
              <w:rPr>
                <w:rFonts w:ascii="Arial" w:eastAsia="Times New Roman" w:hAnsi="Arial" w:cs="Arial"/>
                <w:b/>
                <w:bCs/>
                <w:spacing w:val="-2"/>
                <w:sz w:val="14"/>
                <w:szCs w:val="14"/>
                <w:lang w:eastAsia="pt-BR"/>
              </w:rPr>
            </w:pPr>
          </w:p>
        </w:tc>
        <w:tc>
          <w:tcPr>
            <w:tcW w:w="894" w:type="dxa"/>
            <w:vAlign w:val="center"/>
          </w:tcPr>
          <w:p w14:paraId="22ABC08C" w14:textId="77777777" w:rsidR="00DD01E4" w:rsidRPr="0029440E" w:rsidRDefault="00DD01E4">
            <w:pPr>
              <w:spacing w:after="0" w:line="240" w:lineRule="auto"/>
              <w:jc w:val="right"/>
              <w:rPr>
                <w:rFonts w:ascii="Arial" w:hAnsi="Arial" w:cs="Arial"/>
                <w:b/>
                <w:bCs/>
                <w:color w:val="000000"/>
                <w:sz w:val="14"/>
                <w:szCs w:val="14"/>
              </w:rPr>
            </w:pPr>
            <w:r w:rsidRPr="0029440E">
              <w:rPr>
                <w:rFonts w:ascii="Arial" w:hAnsi="Arial" w:cs="Arial"/>
                <w:b/>
                <w:bCs/>
                <w:sz w:val="14"/>
                <w:szCs w:val="14"/>
              </w:rPr>
              <w:t>6.269.692</w:t>
            </w:r>
          </w:p>
        </w:tc>
        <w:tc>
          <w:tcPr>
            <w:tcW w:w="968" w:type="dxa"/>
            <w:vAlign w:val="center"/>
          </w:tcPr>
          <w:p w14:paraId="32066DE3" w14:textId="77777777" w:rsidR="00DD01E4" w:rsidRPr="0029440E" w:rsidRDefault="00DD01E4">
            <w:pPr>
              <w:spacing w:after="0" w:line="240" w:lineRule="auto"/>
              <w:jc w:val="right"/>
              <w:rPr>
                <w:rFonts w:ascii="Arial" w:hAnsi="Arial" w:cs="Arial"/>
                <w:b/>
                <w:bCs/>
                <w:color w:val="000000"/>
                <w:sz w:val="14"/>
                <w:szCs w:val="14"/>
              </w:rPr>
            </w:pPr>
            <w:r w:rsidRPr="0029440E">
              <w:rPr>
                <w:rFonts w:ascii="Arial" w:hAnsi="Arial" w:cs="Arial"/>
                <w:b/>
                <w:bCs/>
                <w:sz w:val="14"/>
                <w:szCs w:val="14"/>
              </w:rPr>
              <w:t>1.571</w:t>
            </w:r>
          </w:p>
        </w:tc>
        <w:tc>
          <w:tcPr>
            <w:tcW w:w="1128" w:type="dxa"/>
            <w:vAlign w:val="center"/>
          </w:tcPr>
          <w:p w14:paraId="3BB26BB1" w14:textId="77777777" w:rsidR="00DD01E4" w:rsidRPr="0029440E" w:rsidRDefault="00DD01E4">
            <w:pPr>
              <w:spacing w:after="0" w:line="240" w:lineRule="auto"/>
              <w:jc w:val="right"/>
              <w:rPr>
                <w:rFonts w:ascii="Arial" w:hAnsi="Arial" w:cs="Arial"/>
                <w:b/>
                <w:bCs/>
                <w:color w:val="000000"/>
                <w:sz w:val="14"/>
                <w:szCs w:val="14"/>
              </w:rPr>
            </w:pPr>
            <w:r w:rsidRPr="0029440E">
              <w:rPr>
                <w:rFonts w:ascii="Arial" w:hAnsi="Arial" w:cs="Arial"/>
                <w:b/>
                <w:bCs/>
                <w:sz w:val="14"/>
                <w:szCs w:val="14"/>
              </w:rPr>
              <w:t>302.229</w:t>
            </w:r>
          </w:p>
        </w:tc>
        <w:tc>
          <w:tcPr>
            <w:tcW w:w="1646" w:type="dxa"/>
            <w:vAlign w:val="center"/>
          </w:tcPr>
          <w:p w14:paraId="46DA310E" w14:textId="77777777" w:rsidR="00DD01E4" w:rsidRPr="0029440E" w:rsidRDefault="00DD01E4">
            <w:pPr>
              <w:spacing w:after="0" w:line="240" w:lineRule="auto"/>
              <w:jc w:val="right"/>
              <w:rPr>
                <w:rFonts w:ascii="Arial" w:hAnsi="Arial" w:cs="Arial"/>
                <w:b/>
                <w:bCs/>
                <w:color w:val="000000"/>
                <w:sz w:val="14"/>
                <w:szCs w:val="14"/>
              </w:rPr>
            </w:pPr>
            <w:r w:rsidRPr="0029440E">
              <w:rPr>
                <w:rFonts w:ascii="Arial" w:hAnsi="Arial" w:cs="Arial"/>
                <w:b/>
                <w:bCs/>
                <w:sz w:val="14"/>
                <w:szCs w:val="14"/>
              </w:rPr>
              <w:t>1.250.000</w:t>
            </w:r>
          </w:p>
        </w:tc>
        <w:tc>
          <w:tcPr>
            <w:tcW w:w="1009" w:type="dxa"/>
            <w:vAlign w:val="center"/>
          </w:tcPr>
          <w:p w14:paraId="3B98B210" w14:textId="77777777" w:rsidR="00DD01E4" w:rsidRPr="0029440E" w:rsidRDefault="00DD01E4">
            <w:pPr>
              <w:spacing w:after="0" w:line="240" w:lineRule="auto"/>
              <w:jc w:val="right"/>
              <w:rPr>
                <w:rFonts w:ascii="Arial" w:hAnsi="Arial" w:cs="Arial"/>
                <w:b/>
                <w:bCs/>
                <w:color w:val="000000"/>
                <w:sz w:val="14"/>
                <w:szCs w:val="14"/>
              </w:rPr>
            </w:pPr>
            <w:r w:rsidRPr="0029440E">
              <w:rPr>
                <w:rFonts w:ascii="Arial" w:hAnsi="Arial" w:cs="Arial"/>
                <w:b/>
                <w:bCs/>
                <w:sz w:val="14"/>
                <w:szCs w:val="14"/>
              </w:rPr>
              <w:t>(80.344)</w:t>
            </w:r>
          </w:p>
        </w:tc>
        <w:tc>
          <w:tcPr>
            <w:tcW w:w="1666" w:type="dxa"/>
            <w:vAlign w:val="center"/>
          </w:tcPr>
          <w:p w14:paraId="6BF3F0B1" w14:textId="77777777" w:rsidR="00DD01E4" w:rsidRPr="0029440E" w:rsidRDefault="00DD01E4">
            <w:pPr>
              <w:spacing w:after="0" w:line="240" w:lineRule="auto"/>
              <w:jc w:val="right"/>
              <w:rPr>
                <w:rFonts w:ascii="Arial" w:hAnsi="Arial" w:cs="Arial"/>
                <w:b/>
                <w:bCs/>
                <w:color w:val="000000"/>
                <w:sz w:val="14"/>
                <w:szCs w:val="14"/>
              </w:rPr>
            </w:pPr>
            <w:r w:rsidRPr="0029440E">
              <w:rPr>
                <w:rFonts w:ascii="Arial" w:hAnsi="Arial" w:cs="Arial"/>
                <w:b/>
                <w:bCs/>
                <w:sz w:val="14"/>
                <w:szCs w:val="14"/>
              </w:rPr>
              <w:t>(341.992)</w:t>
            </w:r>
          </w:p>
        </w:tc>
        <w:tc>
          <w:tcPr>
            <w:tcW w:w="1376" w:type="dxa"/>
            <w:vAlign w:val="center"/>
          </w:tcPr>
          <w:p w14:paraId="0865B130" w14:textId="77777777" w:rsidR="00DD01E4" w:rsidRPr="0029440E" w:rsidRDefault="00DD01E4">
            <w:pPr>
              <w:spacing w:after="0" w:line="240" w:lineRule="auto"/>
              <w:jc w:val="right"/>
              <w:rPr>
                <w:rFonts w:ascii="Arial" w:hAnsi="Arial" w:cs="Arial"/>
                <w:b/>
                <w:bCs/>
                <w:color w:val="000000"/>
                <w:sz w:val="14"/>
                <w:szCs w:val="14"/>
              </w:rPr>
            </w:pPr>
            <w:r w:rsidRPr="0029440E">
              <w:rPr>
                <w:rFonts w:ascii="Arial" w:hAnsi="Arial" w:cs="Arial"/>
                <w:b/>
                <w:bCs/>
                <w:sz w:val="14"/>
                <w:szCs w:val="14"/>
              </w:rPr>
              <w:t xml:space="preserve">635.574 </w:t>
            </w:r>
          </w:p>
        </w:tc>
        <w:tc>
          <w:tcPr>
            <w:tcW w:w="1017" w:type="dxa"/>
            <w:vAlign w:val="center"/>
          </w:tcPr>
          <w:p w14:paraId="404B2DB8" w14:textId="77777777" w:rsidR="00DD01E4" w:rsidRPr="008E5F15" w:rsidRDefault="00DD01E4">
            <w:pPr>
              <w:spacing w:after="0" w:line="240" w:lineRule="auto"/>
              <w:jc w:val="right"/>
              <w:rPr>
                <w:rFonts w:ascii="Arial" w:hAnsi="Arial" w:cs="Arial"/>
                <w:b/>
                <w:bCs/>
                <w:color w:val="000000"/>
                <w:sz w:val="14"/>
                <w:szCs w:val="14"/>
              </w:rPr>
            </w:pPr>
            <w:r w:rsidRPr="008E5F15">
              <w:rPr>
                <w:rFonts w:ascii="Arial" w:hAnsi="Arial" w:cs="Arial"/>
                <w:b/>
                <w:bCs/>
                <w:sz w:val="14"/>
                <w:szCs w:val="14"/>
              </w:rPr>
              <w:t>8.036.730</w:t>
            </w:r>
          </w:p>
        </w:tc>
      </w:tr>
      <w:tr w:rsidR="00DD01E4" w:rsidRPr="00455E07" w14:paraId="286E9F25" w14:textId="77777777">
        <w:trPr>
          <w:trHeight w:val="238"/>
        </w:trPr>
        <w:tc>
          <w:tcPr>
            <w:tcW w:w="4889" w:type="dxa"/>
            <w:vAlign w:val="center"/>
          </w:tcPr>
          <w:p w14:paraId="04E755BA" w14:textId="77777777" w:rsidR="00DD01E4" w:rsidRPr="0029440E" w:rsidRDefault="00DD01E4">
            <w:pPr>
              <w:keepNext/>
              <w:keepLines/>
              <w:spacing w:before="40" w:after="40" w:line="240" w:lineRule="auto"/>
              <w:ind w:left="113"/>
              <w:rPr>
                <w:rFonts w:ascii="Arial" w:eastAsia="Times New Roman" w:hAnsi="Arial" w:cs="Arial"/>
                <w:spacing w:val="-2"/>
                <w:sz w:val="14"/>
                <w:szCs w:val="14"/>
                <w:lang w:eastAsia="pt-BR"/>
              </w:rPr>
            </w:pPr>
            <w:r w:rsidRPr="0029440E">
              <w:rPr>
                <w:rFonts w:ascii="Arial" w:eastAsia="Times New Roman" w:hAnsi="Arial" w:cs="Arial"/>
                <w:spacing w:val="-2"/>
                <w:sz w:val="14"/>
                <w:szCs w:val="14"/>
                <w:lang w:eastAsia="pt-BR"/>
              </w:rPr>
              <w:t>Recompra de ações</w:t>
            </w:r>
          </w:p>
        </w:tc>
        <w:tc>
          <w:tcPr>
            <w:tcW w:w="716" w:type="dxa"/>
            <w:shd w:val="clear" w:color="auto" w:fill="auto"/>
            <w:vAlign w:val="center"/>
          </w:tcPr>
          <w:p w14:paraId="39D079D1" w14:textId="77777777" w:rsidR="00DD01E4" w:rsidRPr="0029440E" w:rsidRDefault="00DD01E4">
            <w:pPr>
              <w:keepNext/>
              <w:keepLines/>
              <w:spacing w:before="40" w:after="40" w:line="240" w:lineRule="auto"/>
              <w:jc w:val="right"/>
              <w:rPr>
                <w:rFonts w:ascii="Arial" w:eastAsia="Times New Roman" w:hAnsi="Arial" w:cs="Arial"/>
                <w:spacing w:val="-2"/>
                <w:sz w:val="14"/>
                <w:szCs w:val="14"/>
                <w:lang w:eastAsia="pt-BR"/>
              </w:rPr>
            </w:pPr>
          </w:p>
        </w:tc>
        <w:tc>
          <w:tcPr>
            <w:tcW w:w="894" w:type="dxa"/>
            <w:shd w:val="clear" w:color="auto" w:fill="auto"/>
            <w:vAlign w:val="center"/>
          </w:tcPr>
          <w:p w14:paraId="0DDE1814" w14:textId="77777777" w:rsidR="00DD01E4" w:rsidRPr="0029440E" w:rsidRDefault="00DD01E4">
            <w:pPr>
              <w:spacing w:after="0" w:line="240" w:lineRule="auto"/>
              <w:jc w:val="right"/>
              <w:rPr>
                <w:rFonts w:ascii="Arial" w:hAnsi="Arial" w:cs="Arial"/>
                <w:color w:val="000000"/>
                <w:sz w:val="14"/>
                <w:szCs w:val="14"/>
              </w:rPr>
            </w:pPr>
            <w:r w:rsidRPr="0029440E">
              <w:rPr>
                <w:rFonts w:ascii="Arial" w:hAnsi="Arial" w:cs="Arial"/>
                <w:color w:val="000000"/>
                <w:sz w:val="14"/>
                <w:szCs w:val="14"/>
              </w:rPr>
              <w:t>--</w:t>
            </w:r>
          </w:p>
        </w:tc>
        <w:tc>
          <w:tcPr>
            <w:tcW w:w="968" w:type="dxa"/>
            <w:vAlign w:val="center"/>
          </w:tcPr>
          <w:p w14:paraId="1C4E5FE1" w14:textId="77777777" w:rsidR="00DD01E4" w:rsidRPr="0029440E" w:rsidRDefault="00DD01E4">
            <w:pPr>
              <w:spacing w:after="0" w:line="240" w:lineRule="auto"/>
              <w:jc w:val="right"/>
              <w:rPr>
                <w:rFonts w:ascii="Arial" w:hAnsi="Arial" w:cs="Arial"/>
                <w:color w:val="000000"/>
                <w:sz w:val="14"/>
                <w:szCs w:val="14"/>
              </w:rPr>
            </w:pPr>
            <w:r w:rsidRPr="0029440E">
              <w:rPr>
                <w:rFonts w:ascii="Arial" w:hAnsi="Arial" w:cs="Arial"/>
                <w:color w:val="000000"/>
                <w:sz w:val="14"/>
                <w:szCs w:val="14"/>
              </w:rPr>
              <w:t>--</w:t>
            </w:r>
          </w:p>
        </w:tc>
        <w:tc>
          <w:tcPr>
            <w:tcW w:w="1128" w:type="dxa"/>
            <w:vAlign w:val="center"/>
          </w:tcPr>
          <w:p w14:paraId="05C0FF74" w14:textId="77777777" w:rsidR="00DD01E4" w:rsidRPr="0029440E" w:rsidRDefault="00DD01E4">
            <w:pPr>
              <w:spacing w:after="0" w:line="240" w:lineRule="auto"/>
              <w:jc w:val="right"/>
              <w:rPr>
                <w:rFonts w:ascii="Arial" w:hAnsi="Arial" w:cs="Arial"/>
                <w:color w:val="000000"/>
                <w:sz w:val="14"/>
                <w:szCs w:val="14"/>
              </w:rPr>
            </w:pPr>
            <w:r w:rsidRPr="0029440E">
              <w:rPr>
                <w:rFonts w:ascii="Arial" w:hAnsi="Arial" w:cs="Arial"/>
                <w:color w:val="000000"/>
                <w:sz w:val="14"/>
                <w:szCs w:val="14"/>
              </w:rPr>
              <w:t>--</w:t>
            </w:r>
          </w:p>
        </w:tc>
        <w:tc>
          <w:tcPr>
            <w:tcW w:w="1646" w:type="dxa"/>
            <w:vAlign w:val="center"/>
          </w:tcPr>
          <w:p w14:paraId="5814A7E8" w14:textId="77777777" w:rsidR="00DD01E4" w:rsidRPr="0029440E" w:rsidRDefault="00DD01E4">
            <w:pPr>
              <w:spacing w:after="0" w:line="240" w:lineRule="auto"/>
              <w:jc w:val="right"/>
              <w:rPr>
                <w:rFonts w:ascii="Arial" w:hAnsi="Arial" w:cs="Arial"/>
                <w:color w:val="000000"/>
                <w:sz w:val="14"/>
                <w:szCs w:val="14"/>
              </w:rPr>
            </w:pPr>
            <w:r w:rsidRPr="0029440E">
              <w:rPr>
                <w:rFonts w:ascii="Arial" w:hAnsi="Arial" w:cs="Arial"/>
                <w:color w:val="000000"/>
                <w:sz w:val="14"/>
                <w:szCs w:val="14"/>
              </w:rPr>
              <w:t>--</w:t>
            </w:r>
          </w:p>
        </w:tc>
        <w:tc>
          <w:tcPr>
            <w:tcW w:w="1009" w:type="dxa"/>
            <w:vAlign w:val="center"/>
          </w:tcPr>
          <w:p w14:paraId="2B7A53E9" w14:textId="77777777" w:rsidR="00DD01E4" w:rsidRPr="0029440E" w:rsidRDefault="00DD01E4">
            <w:pPr>
              <w:spacing w:after="0" w:line="240" w:lineRule="auto"/>
              <w:jc w:val="right"/>
              <w:rPr>
                <w:rFonts w:ascii="Arial" w:hAnsi="Arial" w:cs="Arial"/>
                <w:color w:val="000000"/>
                <w:sz w:val="14"/>
                <w:szCs w:val="14"/>
              </w:rPr>
            </w:pPr>
            <w:r w:rsidRPr="0029440E">
              <w:rPr>
                <w:rFonts w:ascii="Arial" w:hAnsi="Arial" w:cs="Arial"/>
                <w:color w:val="000000"/>
                <w:sz w:val="14"/>
                <w:szCs w:val="14"/>
              </w:rPr>
              <w:t>(624.282)</w:t>
            </w:r>
          </w:p>
        </w:tc>
        <w:tc>
          <w:tcPr>
            <w:tcW w:w="1666" w:type="dxa"/>
            <w:vAlign w:val="center"/>
          </w:tcPr>
          <w:p w14:paraId="0EF1E950" w14:textId="77777777" w:rsidR="00DD01E4" w:rsidRPr="0029440E" w:rsidRDefault="00DD01E4">
            <w:pPr>
              <w:spacing w:after="0" w:line="240" w:lineRule="auto"/>
              <w:jc w:val="right"/>
              <w:rPr>
                <w:rFonts w:ascii="Arial" w:hAnsi="Arial" w:cs="Arial"/>
                <w:color w:val="000000"/>
                <w:sz w:val="14"/>
                <w:szCs w:val="14"/>
              </w:rPr>
            </w:pPr>
            <w:r w:rsidRPr="0029440E">
              <w:rPr>
                <w:rFonts w:ascii="Arial" w:hAnsi="Arial" w:cs="Arial"/>
                <w:color w:val="000000"/>
                <w:sz w:val="14"/>
                <w:szCs w:val="14"/>
              </w:rPr>
              <w:t>--</w:t>
            </w:r>
          </w:p>
        </w:tc>
        <w:tc>
          <w:tcPr>
            <w:tcW w:w="1376" w:type="dxa"/>
            <w:vAlign w:val="center"/>
          </w:tcPr>
          <w:p w14:paraId="71906977" w14:textId="77777777" w:rsidR="00DD01E4" w:rsidRPr="0029440E" w:rsidRDefault="00DD01E4">
            <w:pPr>
              <w:spacing w:after="0" w:line="240" w:lineRule="auto"/>
              <w:jc w:val="right"/>
              <w:rPr>
                <w:rFonts w:ascii="Arial" w:hAnsi="Arial" w:cs="Arial"/>
                <w:color w:val="000000"/>
                <w:sz w:val="14"/>
                <w:szCs w:val="14"/>
              </w:rPr>
            </w:pPr>
            <w:r w:rsidRPr="0029440E">
              <w:rPr>
                <w:rFonts w:ascii="Arial" w:hAnsi="Arial" w:cs="Arial"/>
                <w:color w:val="000000"/>
                <w:sz w:val="14"/>
                <w:szCs w:val="14"/>
              </w:rPr>
              <w:t>--</w:t>
            </w:r>
          </w:p>
        </w:tc>
        <w:tc>
          <w:tcPr>
            <w:tcW w:w="1017" w:type="dxa"/>
            <w:vAlign w:val="center"/>
          </w:tcPr>
          <w:p w14:paraId="4C2AFE67" w14:textId="77777777" w:rsidR="00DD01E4" w:rsidRPr="008E5F15" w:rsidRDefault="00DD01E4">
            <w:pPr>
              <w:spacing w:after="0" w:line="240" w:lineRule="auto"/>
              <w:jc w:val="right"/>
              <w:rPr>
                <w:rFonts w:ascii="Arial" w:hAnsi="Arial" w:cs="Arial"/>
                <w:b/>
                <w:bCs/>
                <w:color w:val="000000"/>
                <w:sz w:val="14"/>
                <w:szCs w:val="14"/>
              </w:rPr>
            </w:pPr>
            <w:r w:rsidRPr="008E5F15">
              <w:rPr>
                <w:rFonts w:ascii="Arial" w:hAnsi="Arial" w:cs="Arial"/>
                <w:b/>
                <w:bCs/>
                <w:color w:val="000000"/>
                <w:sz w:val="14"/>
                <w:szCs w:val="14"/>
              </w:rPr>
              <w:t>(624.282)</w:t>
            </w:r>
          </w:p>
        </w:tc>
      </w:tr>
      <w:tr w:rsidR="00DD01E4" w:rsidRPr="00455E07" w14:paraId="7283A526" w14:textId="77777777">
        <w:trPr>
          <w:trHeight w:val="238"/>
        </w:trPr>
        <w:tc>
          <w:tcPr>
            <w:tcW w:w="4889" w:type="dxa"/>
            <w:vAlign w:val="center"/>
          </w:tcPr>
          <w:p w14:paraId="36DC0D3B" w14:textId="77777777" w:rsidR="00DD01E4" w:rsidRPr="0029440E" w:rsidRDefault="00DD01E4">
            <w:pPr>
              <w:keepNext/>
              <w:keepLines/>
              <w:spacing w:before="40" w:after="40" w:line="240" w:lineRule="auto"/>
              <w:ind w:left="113"/>
              <w:rPr>
                <w:rFonts w:ascii="Arial" w:eastAsia="Times New Roman" w:hAnsi="Arial" w:cs="Arial"/>
                <w:spacing w:val="-2"/>
                <w:sz w:val="14"/>
                <w:szCs w:val="14"/>
                <w:highlight w:val="yellow"/>
                <w:lang w:eastAsia="pt-BR"/>
              </w:rPr>
            </w:pPr>
            <w:r w:rsidRPr="0029440E">
              <w:rPr>
                <w:rFonts w:ascii="Arial" w:eastAsia="Times New Roman" w:hAnsi="Arial" w:cs="Arial"/>
                <w:spacing w:val="-2"/>
                <w:sz w:val="14"/>
                <w:szCs w:val="14"/>
                <w:lang w:eastAsia="pt-BR"/>
              </w:rPr>
              <w:t>Transações com pagamento baseado em ações</w:t>
            </w:r>
          </w:p>
        </w:tc>
        <w:tc>
          <w:tcPr>
            <w:tcW w:w="716" w:type="dxa"/>
            <w:shd w:val="clear" w:color="auto" w:fill="auto"/>
            <w:vAlign w:val="center"/>
          </w:tcPr>
          <w:p w14:paraId="32F47284" w14:textId="77777777" w:rsidR="00DD01E4" w:rsidRPr="0029440E" w:rsidRDefault="00DD01E4">
            <w:pPr>
              <w:keepNext/>
              <w:keepLines/>
              <w:spacing w:before="40" w:after="40" w:line="240" w:lineRule="auto"/>
              <w:jc w:val="right"/>
              <w:rPr>
                <w:rFonts w:ascii="Arial" w:eastAsia="Times New Roman" w:hAnsi="Arial" w:cs="Arial"/>
                <w:spacing w:val="-2"/>
                <w:sz w:val="14"/>
                <w:szCs w:val="14"/>
                <w:lang w:eastAsia="pt-BR"/>
              </w:rPr>
            </w:pPr>
          </w:p>
        </w:tc>
        <w:tc>
          <w:tcPr>
            <w:tcW w:w="894" w:type="dxa"/>
            <w:shd w:val="clear" w:color="auto" w:fill="auto"/>
            <w:vAlign w:val="center"/>
          </w:tcPr>
          <w:p w14:paraId="66DA02E0" w14:textId="77777777" w:rsidR="00DD01E4" w:rsidRPr="0029440E" w:rsidRDefault="00DD01E4">
            <w:pPr>
              <w:spacing w:after="0" w:line="240" w:lineRule="auto"/>
              <w:jc w:val="right"/>
              <w:rPr>
                <w:rFonts w:ascii="Arial" w:hAnsi="Arial" w:cs="Arial"/>
                <w:color w:val="000000"/>
                <w:sz w:val="14"/>
                <w:szCs w:val="14"/>
              </w:rPr>
            </w:pPr>
            <w:r w:rsidRPr="0029440E">
              <w:rPr>
                <w:rFonts w:ascii="Arial" w:hAnsi="Arial" w:cs="Arial"/>
                <w:color w:val="000000"/>
                <w:sz w:val="14"/>
                <w:szCs w:val="14"/>
              </w:rPr>
              <w:t>--</w:t>
            </w:r>
          </w:p>
        </w:tc>
        <w:tc>
          <w:tcPr>
            <w:tcW w:w="968" w:type="dxa"/>
            <w:vAlign w:val="center"/>
          </w:tcPr>
          <w:p w14:paraId="54AD2BCF" w14:textId="77777777" w:rsidR="00DD01E4" w:rsidRPr="0029440E" w:rsidRDefault="00DD01E4">
            <w:pPr>
              <w:spacing w:after="0" w:line="240" w:lineRule="auto"/>
              <w:jc w:val="right"/>
              <w:rPr>
                <w:rFonts w:ascii="Arial" w:hAnsi="Arial" w:cs="Arial"/>
                <w:color w:val="000000"/>
                <w:sz w:val="14"/>
                <w:szCs w:val="14"/>
              </w:rPr>
            </w:pPr>
            <w:r w:rsidRPr="0029440E">
              <w:rPr>
                <w:rFonts w:ascii="Arial" w:hAnsi="Arial" w:cs="Arial"/>
                <w:color w:val="000000"/>
                <w:sz w:val="14"/>
                <w:szCs w:val="14"/>
              </w:rPr>
              <w:t>234</w:t>
            </w:r>
          </w:p>
        </w:tc>
        <w:tc>
          <w:tcPr>
            <w:tcW w:w="1128" w:type="dxa"/>
            <w:vAlign w:val="center"/>
          </w:tcPr>
          <w:p w14:paraId="12767546" w14:textId="77777777" w:rsidR="00DD01E4" w:rsidRPr="0029440E" w:rsidRDefault="00DD01E4">
            <w:pPr>
              <w:spacing w:after="0" w:line="240" w:lineRule="auto"/>
              <w:jc w:val="right"/>
              <w:rPr>
                <w:rFonts w:ascii="Arial" w:hAnsi="Arial" w:cs="Arial"/>
                <w:color w:val="000000"/>
                <w:sz w:val="14"/>
                <w:szCs w:val="14"/>
              </w:rPr>
            </w:pPr>
            <w:r w:rsidRPr="0029440E">
              <w:rPr>
                <w:rFonts w:ascii="Arial" w:hAnsi="Arial" w:cs="Arial"/>
                <w:color w:val="000000"/>
                <w:sz w:val="14"/>
                <w:szCs w:val="14"/>
              </w:rPr>
              <w:t>--</w:t>
            </w:r>
          </w:p>
        </w:tc>
        <w:tc>
          <w:tcPr>
            <w:tcW w:w="1646" w:type="dxa"/>
            <w:vAlign w:val="center"/>
          </w:tcPr>
          <w:p w14:paraId="657DC66F" w14:textId="77777777" w:rsidR="00DD01E4" w:rsidRPr="0029440E" w:rsidRDefault="00DD01E4">
            <w:pPr>
              <w:spacing w:after="0" w:line="240" w:lineRule="auto"/>
              <w:jc w:val="right"/>
              <w:rPr>
                <w:rFonts w:ascii="Arial" w:hAnsi="Arial" w:cs="Arial"/>
                <w:color w:val="000000"/>
                <w:sz w:val="14"/>
                <w:szCs w:val="14"/>
              </w:rPr>
            </w:pPr>
            <w:r w:rsidRPr="0029440E">
              <w:rPr>
                <w:rFonts w:ascii="Arial" w:hAnsi="Arial" w:cs="Arial"/>
                <w:color w:val="000000"/>
                <w:sz w:val="14"/>
                <w:szCs w:val="14"/>
              </w:rPr>
              <w:t>--</w:t>
            </w:r>
          </w:p>
        </w:tc>
        <w:tc>
          <w:tcPr>
            <w:tcW w:w="1009" w:type="dxa"/>
            <w:vAlign w:val="center"/>
          </w:tcPr>
          <w:p w14:paraId="25327F85" w14:textId="77777777" w:rsidR="00DD01E4" w:rsidRPr="0029440E" w:rsidRDefault="00DD01E4">
            <w:pPr>
              <w:spacing w:after="0" w:line="240" w:lineRule="auto"/>
              <w:jc w:val="right"/>
              <w:rPr>
                <w:rFonts w:ascii="Arial" w:hAnsi="Arial" w:cs="Arial"/>
                <w:color w:val="000000"/>
                <w:sz w:val="14"/>
                <w:szCs w:val="14"/>
              </w:rPr>
            </w:pPr>
            <w:r w:rsidRPr="0029440E">
              <w:rPr>
                <w:rFonts w:ascii="Arial" w:hAnsi="Arial" w:cs="Arial"/>
                <w:color w:val="000000"/>
                <w:sz w:val="14"/>
                <w:szCs w:val="14"/>
              </w:rPr>
              <w:t>596</w:t>
            </w:r>
          </w:p>
        </w:tc>
        <w:tc>
          <w:tcPr>
            <w:tcW w:w="1666" w:type="dxa"/>
            <w:vAlign w:val="center"/>
          </w:tcPr>
          <w:p w14:paraId="1D52DA13" w14:textId="77777777" w:rsidR="00DD01E4" w:rsidRPr="0029440E" w:rsidRDefault="00DD01E4">
            <w:pPr>
              <w:spacing w:after="0" w:line="240" w:lineRule="auto"/>
              <w:jc w:val="right"/>
              <w:rPr>
                <w:rFonts w:ascii="Arial" w:hAnsi="Arial" w:cs="Arial"/>
                <w:color w:val="000000"/>
                <w:sz w:val="14"/>
                <w:szCs w:val="14"/>
              </w:rPr>
            </w:pPr>
            <w:r w:rsidRPr="0029440E">
              <w:rPr>
                <w:rFonts w:ascii="Arial" w:hAnsi="Arial" w:cs="Arial"/>
                <w:color w:val="000000"/>
                <w:sz w:val="14"/>
                <w:szCs w:val="14"/>
              </w:rPr>
              <w:t>--</w:t>
            </w:r>
          </w:p>
        </w:tc>
        <w:tc>
          <w:tcPr>
            <w:tcW w:w="1376" w:type="dxa"/>
            <w:vAlign w:val="center"/>
          </w:tcPr>
          <w:p w14:paraId="0E84CCB1" w14:textId="77777777" w:rsidR="00DD01E4" w:rsidRPr="0029440E" w:rsidRDefault="00DD01E4">
            <w:pPr>
              <w:spacing w:after="0" w:line="240" w:lineRule="auto"/>
              <w:jc w:val="right"/>
              <w:rPr>
                <w:rFonts w:ascii="Arial" w:hAnsi="Arial" w:cs="Arial"/>
                <w:color w:val="000000"/>
                <w:sz w:val="14"/>
                <w:szCs w:val="14"/>
              </w:rPr>
            </w:pPr>
            <w:r w:rsidRPr="0029440E">
              <w:rPr>
                <w:rFonts w:ascii="Arial" w:hAnsi="Arial" w:cs="Arial"/>
                <w:color w:val="000000"/>
                <w:sz w:val="14"/>
                <w:szCs w:val="14"/>
              </w:rPr>
              <w:t>--</w:t>
            </w:r>
          </w:p>
        </w:tc>
        <w:tc>
          <w:tcPr>
            <w:tcW w:w="1017" w:type="dxa"/>
            <w:vAlign w:val="center"/>
          </w:tcPr>
          <w:p w14:paraId="17AD6836" w14:textId="77777777" w:rsidR="00DD01E4" w:rsidRPr="008E5F15" w:rsidRDefault="00DD01E4">
            <w:pPr>
              <w:spacing w:after="0" w:line="240" w:lineRule="auto"/>
              <w:jc w:val="right"/>
              <w:rPr>
                <w:rFonts w:ascii="Arial" w:hAnsi="Arial" w:cs="Arial"/>
                <w:b/>
                <w:bCs/>
                <w:color w:val="000000"/>
                <w:sz w:val="14"/>
                <w:szCs w:val="14"/>
              </w:rPr>
            </w:pPr>
            <w:r w:rsidRPr="008E5F15">
              <w:rPr>
                <w:rFonts w:ascii="Arial" w:hAnsi="Arial" w:cs="Arial"/>
                <w:b/>
                <w:bCs/>
                <w:color w:val="000000"/>
                <w:sz w:val="14"/>
                <w:szCs w:val="14"/>
              </w:rPr>
              <w:t>830</w:t>
            </w:r>
          </w:p>
        </w:tc>
      </w:tr>
      <w:tr w:rsidR="00DD01E4" w:rsidRPr="00455E07" w14:paraId="7E59F7C1" w14:textId="77777777">
        <w:trPr>
          <w:trHeight w:val="134"/>
        </w:trPr>
        <w:tc>
          <w:tcPr>
            <w:tcW w:w="4889" w:type="dxa"/>
            <w:vAlign w:val="center"/>
          </w:tcPr>
          <w:p w14:paraId="3F639239" w14:textId="77777777" w:rsidR="00DD01E4" w:rsidRPr="0029440E" w:rsidRDefault="00DD01E4">
            <w:pPr>
              <w:keepNext/>
              <w:keepLines/>
              <w:spacing w:before="40" w:after="40" w:line="240" w:lineRule="auto"/>
              <w:ind w:left="113"/>
              <w:rPr>
                <w:rFonts w:ascii="Arial" w:eastAsia="Times New Roman" w:hAnsi="Arial" w:cs="Arial"/>
                <w:spacing w:val="-2"/>
                <w:sz w:val="14"/>
                <w:szCs w:val="14"/>
                <w:lang w:eastAsia="pt-BR"/>
              </w:rPr>
            </w:pPr>
            <w:r w:rsidRPr="0029440E">
              <w:rPr>
                <w:rFonts w:ascii="Arial" w:eastAsia="Times New Roman" w:hAnsi="Arial" w:cs="Arial"/>
                <w:spacing w:val="-2"/>
                <w:sz w:val="14"/>
                <w:szCs w:val="14"/>
                <w:lang w:eastAsia="pt-BR"/>
              </w:rPr>
              <w:t xml:space="preserve">Outros resultados abrangentes - </w:t>
            </w:r>
            <w:r w:rsidRPr="00FA1E5F">
              <w:rPr>
                <w:rFonts w:ascii="Arial" w:hAnsi="Arial" w:cs="Arial"/>
                <w:color w:val="000000"/>
                <w:sz w:val="14"/>
                <w:szCs w:val="14"/>
              </w:rPr>
              <w:t>Atualização instrumentos financeiros</w:t>
            </w:r>
          </w:p>
        </w:tc>
        <w:tc>
          <w:tcPr>
            <w:tcW w:w="716" w:type="dxa"/>
            <w:shd w:val="clear" w:color="auto" w:fill="auto"/>
            <w:vAlign w:val="center"/>
          </w:tcPr>
          <w:p w14:paraId="69ED7271" w14:textId="77777777" w:rsidR="00DD01E4" w:rsidRPr="0029440E" w:rsidRDefault="00DD01E4">
            <w:pPr>
              <w:keepNext/>
              <w:keepLines/>
              <w:spacing w:before="40" w:after="40" w:line="240" w:lineRule="auto"/>
              <w:ind w:left="113"/>
              <w:jc w:val="right"/>
              <w:rPr>
                <w:rFonts w:ascii="Arial" w:eastAsia="Times New Roman" w:hAnsi="Arial" w:cs="Arial"/>
                <w:spacing w:val="-2"/>
                <w:sz w:val="14"/>
                <w:szCs w:val="14"/>
                <w:lang w:eastAsia="pt-BR"/>
              </w:rPr>
            </w:pPr>
          </w:p>
        </w:tc>
        <w:tc>
          <w:tcPr>
            <w:tcW w:w="894" w:type="dxa"/>
            <w:shd w:val="clear" w:color="auto" w:fill="auto"/>
            <w:vAlign w:val="center"/>
          </w:tcPr>
          <w:p w14:paraId="554C3BCE" w14:textId="77777777" w:rsidR="00DD01E4" w:rsidRPr="0029440E" w:rsidRDefault="00DD01E4">
            <w:pPr>
              <w:spacing w:after="0" w:line="240" w:lineRule="auto"/>
              <w:jc w:val="right"/>
              <w:rPr>
                <w:rFonts w:ascii="Arial" w:hAnsi="Arial" w:cs="Arial"/>
                <w:color w:val="000000"/>
                <w:sz w:val="14"/>
                <w:szCs w:val="14"/>
              </w:rPr>
            </w:pPr>
            <w:r w:rsidRPr="0029440E">
              <w:rPr>
                <w:rFonts w:ascii="Arial" w:hAnsi="Arial" w:cs="Arial"/>
                <w:color w:val="000000"/>
                <w:sz w:val="14"/>
                <w:szCs w:val="14"/>
              </w:rPr>
              <w:t>--</w:t>
            </w:r>
          </w:p>
        </w:tc>
        <w:tc>
          <w:tcPr>
            <w:tcW w:w="968" w:type="dxa"/>
            <w:vAlign w:val="center"/>
          </w:tcPr>
          <w:p w14:paraId="689F371C" w14:textId="77777777" w:rsidR="00DD01E4" w:rsidRPr="0029440E" w:rsidRDefault="00DD01E4">
            <w:pPr>
              <w:spacing w:after="0" w:line="240" w:lineRule="auto"/>
              <w:jc w:val="right"/>
              <w:rPr>
                <w:rFonts w:ascii="Arial" w:hAnsi="Arial" w:cs="Arial"/>
                <w:color w:val="000000"/>
                <w:sz w:val="14"/>
                <w:szCs w:val="14"/>
              </w:rPr>
            </w:pPr>
            <w:r w:rsidRPr="0029440E">
              <w:rPr>
                <w:rFonts w:ascii="Arial" w:hAnsi="Arial" w:cs="Arial"/>
                <w:color w:val="000000"/>
                <w:sz w:val="14"/>
                <w:szCs w:val="14"/>
              </w:rPr>
              <w:t>--</w:t>
            </w:r>
          </w:p>
        </w:tc>
        <w:tc>
          <w:tcPr>
            <w:tcW w:w="1128" w:type="dxa"/>
            <w:vAlign w:val="center"/>
          </w:tcPr>
          <w:p w14:paraId="3F120EE1" w14:textId="77777777" w:rsidR="00DD01E4" w:rsidRPr="0029440E" w:rsidRDefault="00DD01E4">
            <w:pPr>
              <w:spacing w:after="0" w:line="240" w:lineRule="auto"/>
              <w:jc w:val="right"/>
              <w:rPr>
                <w:rFonts w:ascii="Arial" w:hAnsi="Arial" w:cs="Arial"/>
                <w:color w:val="000000"/>
                <w:sz w:val="14"/>
                <w:szCs w:val="14"/>
              </w:rPr>
            </w:pPr>
            <w:r w:rsidRPr="0029440E">
              <w:rPr>
                <w:rFonts w:ascii="Arial" w:hAnsi="Arial" w:cs="Arial"/>
                <w:color w:val="000000"/>
                <w:sz w:val="14"/>
                <w:szCs w:val="14"/>
              </w:rPr>
              <w:t>--</w:t>
            </w:r>
          </w:p>
        </w:tc>
        <w:tc>
          <w:tcPr>
            <w:tcW w:w="1646" w:type="dxa"/>
            <w:vAlign w:val="center"/>
          </w:tcPr>
          <w:p w14:paraId="32D1A22F" w14:textId="77777777" w:rsidR="00DD01E4" w:rsidRPr="0029440E" w:rsidRDefault="00DD01E4">
            <w:pPr>
              <w:spacing w:after="0" w:line="240" w:lineRule="auto"/>
              <w:jc w:val="right"/>
              <w:rPr>
                <w:rFonts w:ascii="Arial" w:hAnsi="Arial" w:cs="Arial"/>
                <w:color w:val="000000"/>
                <w:sz w:val="14"/>
                <w:szCs w:val="14"/>
              </w:rPr>
            </w:pPr>
            <w:r w:rsidRPr="0029440E">
              <w:rPr>
                <w:rFonts w:ascii="Arial" w:hAnsi="Arial" w:cs="Arial"/>
                <w:color w:val="000000"/>
                <w:sz w:val="14"/>
                <w:szCs w:val="14"/>
              </w:rPr>
              <w:t>--</w:t>
            </w:r>
          </w:p>
        </w:tc>
        <w:tc>
          <w:tcPr>
            <w:tcW w:w="1009" w:type="dxa"/>
            <w:vAlign w:val="center"/>
          </w:tcPr>
          <w:p w14:paraId="2F47B3C0" w14:textId="77777777" w:rsidR="00DD01E4" w:rsidRPr="0029440E" w:rsidRDefault="00DD01E4">
            <w:pPr>
              <w:spacing w:after="0" w:line="240" w:lineRule="auto"/>
              <w:jc w:val="right"/>
              <w:rPr>
                <w:rFonts w:ascii="Arial" w:hAnsi="Arial" w:cs="Arial"/>
                <w:color w:val="000000"/>
                <w:sz w:val="14"/>
                <w:szCs w:val="14"/>
              </w:rPr>
            </w:pPr>
            <w:r w:rsidRPr="0029440E">
              <w:rPr>
                <w:rFonts w:ascii="Arial" w:hAnsi="Arial" w:cs="Arial"/>
                <w:color w:val="000000"/>
                <w:sz w:val="14"/>
                <w:szCs w:val="14"/>
              </w:rPr>
              <w:t>--</w:t>
            </w:r>
          </w:p>
        </w:tc>
        <w:tc>
          <w:tcPr>
            <w:tcW w:w="1666" w:type="dxa"/>
            <w:vAlign w:val="center"/>
          </w:tcPr>
          <w:p w14:paraId="6CC79BF2" w14:textId="77777777" w:rsidR="00DD01E4" w:rsidRPr="0029440E" w:rsidRDefault="00DD01E4">
            <w:pPr>
              <w:spacing w:after="0" w:line="240" w:lineRule="auto"/>
              <w:jc w:val="right"/>
              <w:rPr>
                <w:rFonts w:ascii="Arial" w:hAnsi="Arial" w:cs="Arial"/>
                <w:color w:val="000000"/>
                <w:sz w:val="14"/>
                <w:szCs w:val="14"/>
              </w:rPr>
            </w:pPr>
            <w:r w:rsidRPr="0029440E">
              <w:rPr>
                <w:rFonts w:ascii="Arial" w:hAnsi="Arial" w:cs="Arial"/>
                <w:color w:val="000000"/>
                <w:sz w:val="14"/>
                <w:szCs w:val="14"/>
              </w:rPr>
              <w:t>92.764</w:t>
            </w:r>
          </w:p>
        </w:tc>
        <w:tc>
          <w:tcPr>
            <w:tcW w:w="1376" w:type="dxa"/>
            <w:vAlign w:val="center"/>
          </w:tcPr>
          <w:p w14:paraId="40B692E4" w14:textId="77777777" w:rsidR="00DD01E4" w:rsidRPr="0029440E" w:rsidRDefault="00DD01E4">
            <w:pPr>
              <w:spacing w:after="0" w:line="240" w:lineRule="auto"/>
              <w:jc w:val="right"/>
              <w:rPr>
                <w:rFonts w:ascii="Arial" w:hAnsi="Arial" w:cs="Arial"/>
                <w:color w:val="000000"/>
                <w:sz w:val="14"/>
                <w:szCs w:val="14"/>
              </w:rPr>
            </w:pPr>
            <w:r w:rsidRPr="0029440E">
              <w:rPr>
                <w:rFonts w:ascii="Arial" w:hAnsi="Arial" w:cs="Arial"/>
                <w:color w:val="000000"/>
                <w:sz w:val="14"/>
                <w:szCs w:val="14"/>
              </w:rPr>
              <w:t>--</w:t>
            </w:r>
          </w:p>
        </w:tc>
        <w:tc>
          <w:tcPr>
            <w:tcW w:w="1017" w:type="dxa"/>
            <w:vAlign w:val="center"/>
          </w:tcPr>
          <w:p w14:paraId="372E17F6" w14:textId="77777777" w:rsidR="00DD01E4" w:rsidRPr="008E5F15" w:rsidRDefault="00DD01E4">
            <w:pPr>
              <w:spacing w:after="0" w:line="240" w:lineRule="auto"/>
              <w:jc w:val="right"/>
              <w:rPr>
                <w:rFonts w:ascii="Arial" w:hAnsi="Arial" w:cs="Arial"/>
                <w:b/>
                <w:bCs/>
                <w:color w:val="000000"/>
                <w:sz w:val="14"/>
                <w:szCs w:val="14"/>
              </w:rPr>
            </w:pPr>
            <w:r w:rsidRPr="008E5F15">
              <w:rPr>
                <w:rFonts w:ascii="Arial" w:hAnsi="Arial" w:cs="Arial"/>
                <w:b/>
                <w:bCs/>
                <w:color w:val="000000"/>
                <w:sz w:val="14"/>
                <w:szCs w:val="14"/>
              </w:rPr>
              <w:t>92.764</w:t>
            </w:r>
          </w:p>
        </w:tc>
      </w:tr>
      <w:tr w:rsidR="00DD01E4" w:rsidRPr="00455E07" w14:paraId="348756DC" w14:textId="77777777">
        <w:trPr>
          <w:trHeight w:val="238"/>
        </w:trPr>
        <w:tc>
          <w:tcPr>
            <w:tcW w:w="4889" w:type="dxa"/>
            <w:vAlign w:val="center"/>
          </w:tcPr>
          <w:p w14:paraId="5C829A94" w14:textId="77777777" w:rsidR="00DD01E4" w:rsidRPr="0029440E" w:rsidRDefault="00DD01E4">
            <w:pPr>
              <w:keepNext/>
              <w:keepLines/>
              <w:spacing w:before="40" w:after="40" w:line="240" w:lineRule="auto"/>
              <w:ind w:left="113"/>
              <w:rPr>
                <w:rFonts w:ascii="Arial" w:eastAsia="Times New Roman" w:hAnsi="Arial" w:cs="Arial"/>
                <w:spacing w:val="-2"/>
                <w:sz w:val="14"/>
                <w:szCs w:val="14"/>
                <w:lang w:eastAsia="pt-BR"/>
              </w:rPr>
            </w:pPr>
            <w:r w:rsidRPr="0029440E">
              <w:rPr>
                <w:rFonts w:ascii="Arial" w:eastAsia="Times New Roman" w:hAnsi="Arial" w:cs="Arial"/>
                <w:spacing w:val="-2"/>
                <w:sz w:val="14"/>
                <w:szCs w:val="14"/>
                <w:lang w:eastAsia="pt-BR"/>
              </w:rPr>
              <w:t xml:space="preserve">Outros resultados abrangentes - </w:t>
            </w:r>
            <w:r>
              <w:rPr>
                <w:rFonts w:ascii="Arial" w:eastAsia="Times New Roman" w:hAnsi="Arial" w:cs="Arial"/>
                <w:spacing w:val="-2"/>
                <w:sz w:val="14"/>
                <w:szCs w:val="14"/>
                <w:lang w:eastAsia="pt-BR"/>
              </w:rPr>
              <w:t>E</w:t>
            </w:r>
            <w:r w:rsidRPr="0029440E">
              <w:rPr>
                <w:rFonts w:ascii="Arial" w:eastAsia="Times New Roman" w:hAnsi="Arial" w:cs="Arial"/>
                <w:spacing w:val="-2"/>
                <w:sz w:val="14"/>
                <w:szCs w:val="14"/>
                <w:lang w:eastAsia="pt-BR"/>
              </w:rPr>
              <w:t xml:space="preserve">feitos CPC 50 </w:t>
            </w:r>
          </w:p>
        </w:tc>
        <w:tc>
          <w:tcPr>
            <w:tcW w:w="716" w:type="dxa"/>
            <w:shd w:val="clear" w:color="auto" w:fill="auto"/>
            <w:vAlign w:val="center"/>
          </w:tcPr>
          <w:p w14:paraId="1970F629" w14:textId="77777777" w:rsidR="00DD01E4" w:rsidRPr="0029440E" w:rsidRDefault="00DD01E4">
            <w:pPr>
              <w:keepNext/>
              <w:keepLines/>
              <w:spacing w:before="40" w:after="40" w:line="240" w:lineRule="auto"/>
              <w:jc w:val="right"/>
              <w:rPr>
                <w:rFonts w:ascii="Arial" w:eastAsia="Times New Roman" w:hAnsi="Arial" w:cs="Arial"/>
                <w:spacing w:val="-2"/>
                <w:sz w:val="14"/>
                <w:szCs w:val="14"/>
                <w:lang w:eastAsia="pt-BR"/>
              </w:rPr>
            </w:pPr>
          </w:p>
        </w:tc>
        <w:tc>
          <w:tcPr>
            <w:tcW w:w="894" w:type="dxa"/>
            <w:shd w:val="clear" w:color="auto" w:fill="auto"/>
            <w:vAlign w:val="center"/>
          </w:tcPr>
          <w:p w14:paraId="1DA046EF" w14:textId="77777777" w:rsidR="00DD01E4" w:rsidRPr="0029440E" w:rsidRDefault="00DD01E4">
            <w:pPr>
              <w:spacing w:after="0" w:line="240" w:lineRule="auto"/>
              <w:jc w:val="right"/>
              <w:rPr>
                <w:rFonts w:ascii="Arial" w:hAnsi="Arial" w:cs="Arial"/>
                <w:color w:val="000000"/>
                <w:sz w:val="14"/>
                <w:szCs w:val="14"/>
              </w:rPr>
            </w:pPr>
            <w:r w:rsidRPr="0029440E">
              <w:rPr>
                <w:rFonts w:ascii="Arial" w:hAnsi="Arial" w:cs="Arial"/>
                <w:color w:val="000000"/>
                <w:sz w:val="14"/>
                <w:szCs w:val="14"/>
              </w:rPr>
              <w:t>--</w:t>
            </w:r>
          </w:p>
        </w:tc>
        <w:tc>
          <w:tcPr>
            <w:tcW w:w="968" w:type="dxa"/>
            <w:vAlign w:val="center"/>
          </w:tcPr>
          <w:p w14:paraId="28CDEF9B" w14:textId="77777777" w:rsidR="00DD01E4" w:rsidRPr="0029440E" w:rsidRDefault="00DD01E4">
            <w:pPr>
              <w:spacing w:after="0" w:line="240" w:lineRule="auto"/>
              <w:jc w:val="right"/>
              <w:rPr>
                <w:rFonts w:ascii="Arial" w:hAnsi="Arial" w:cs="Arial"/>
                <w:color w:val="000000"/>
                <w:sz w:val="14"/>
                <w:szCs w:val="14"/>
              </w:rPr>
            </w:pPr>
            <w:r w:rsidRPr="0029440E">
              <w:rPr>
                <w:rFonts w:ascii="Arial" w:hAnsi="Arial" w:cs="Arial"/>
                <w:color w:val="000000"/>
                <w:sz w:val="14"/>
                <w:szCs w:val="14"/>
              </w:rPr>
              <w:t>--</w:t>
            </w:r>
          </w:p>
        </w:tc>
        <w:tc>
          <w:tcPr>
            <w:tcW w:w="1128" w:type="dxa"/>
            <w:vAlign w:val="center"/>
          </w:tcPr>
          <w:p w14:paraId="7F6DCA4C" w14:textId="77777777" w:rsidR="00DD01E4" w:rsidRPr="0029440E" w:rsidRDefault="00DD01E4">
            <w:pPr>
              <w:spacing w:after="0" w:line="240" w:lineRule="auto"/>
              <w:jc w:val="right"/>
              <w:rPr>
                <w:rFonts w:ascii="Arial" w:hAnsi="Arial" w:cs="Arial"/>
                <w:color w:val="000000"/>
                <w:sz w:val="14"/>
                <w:szCs w:val="14"/>
              </w:rPr>
            </w:pPr>
            <w:r w:rsidRPr="0029440E">
              <w:rPr>
                <w:rFonts w:ascii="Arial" w:hAnsi="Arial" w:cs="Arial"/>
                <w:color w:val="000000"/>
                <w:sz w:val="14"/>
                <w:szCs w:val="14"/>
              </w:rPr>
              <w:t>--</w:t>
            </w:r>
          </w:p>
        </w:tc>
        <w:tc>
          <w:tcPr>
            <w:tcW w:w="1646" w:type="dxa"/>
            <w:vAlign w:val="center"/>
          </w:tcPr>
          <w:p w14:paraId="31F6C045" w14:textId="77777777" w:rsidR="00DD01E4" w:rsidRPr="0029440E" w:rsidRDefault="00DD01E4">
            <w:pPr>
              <w:spacing w:after="0" w:line="240" w:lineRule="auto"/>
              <w:jc w:val="right"/>
              <w:rPr>
                <w:rFonts w:ascii="Arial" w:hAnsi="Arial" w:cs="Arial"/>
                <w:color w:val="000000"/>
                <w:sz w:val="14"/>
                <w:szCs w:val="14"/>
              </w:rPr>
            </w:pPr>
            <w:r w:rsidRPr="0029440E">
              <w:rPr>
                <w:rFonts w:ascii="Arial" w:hAnsi="Arial" w:cs="Arial"/>
                <w:color w:val="000000"/>
                <w:sz w:val="14"/>
                <w:szCs w:val="14"/>
              </w:rPr>
              <w:t>--</w:t>
            </w:r>
          </w:p>
        </w:tc>
        <w:tc>
          <w:tcPr>
            <w:tcW w:w="1009" w:type="dxa"/>
            <w:vAlign w:val="center"/>
          </w:tcPr>
          <w:p w14:paraId="623AD7E1" w14:textId="77777777" w:rsidR="00DD01E4" w:rsidRPr="0029440E" w:rsidRDefault="00DD01E4">
            <w:pPr>
              <w:spacing w:after="0" w:line="240" w:lineRule="auto"/>
              <w:jc w:val="right"/>
              <w:rPr>
                <w:rFonts w:ascii="Arial" w:hAnsi="Arial" w:cs="Arial"/>
                <w:color w:val="000000"/>
                <w:sz w:val="14"/>
                <w:szCs w:val="14"/>
              </w:rPr>
            </w:pPr>
            <w:r w:rsidRPr="0029440E">
              <w:rPr>
                <w:rFonts w:ascii="Arial" w:hAnsi="Arial" w:cs="Arial"/>
                <w:color w:val="000000"/>
                <w:sz w:val="14"/>
                <w:szCs w:val="14"/>
              </w:rPr>
              <w:t>--</w:t>
            </w:r>
          </w:p>
        </w:tc>
        <w:tc>
          <w:tcPr>
            <w:tcW w:w="1666" w:type="dxa"/>
            <w:vAlign w:val="center"/>
          </w:tcPr>
          <w:p w14:paraId="0678B127" w14:textId="77777777" w:rsidR="00DD01E4" w:rsidRPr="0029440E" w:rsidRDefault="00DD01E4">
            <w:pPr>
              <w:spacing w:after="0" w:line="240" w:lineRule="auto"/>
              <w:jc w:val="right"/>
              <w:rPr>
                <w:rFonts w:ascii="Arial" w:hAnsi="Arial" w:cs="Arial"/>
                <w:color w:val="000000"/>
                <w:sz w:val="14"/>
                <w:szCs w:val="14"/>
              </w:rPr>
            </w:pPr>
            <w:r w:rsidRPr="0029440E">
              <w:rPr>
                <w:rFonts w:ascii="Arial" w:hAnsi="Arial" w:cs="Arial"/>
                <w:color w:val="000000"/>
                <w:sz w:val="14"/>
                <w:szCs w:val="14"/>
              </w:rPr>
              <w:t>28.704</w:t>
            </w:r>
          </w:p>
        </w:tc>
        <w:tc>
          <w:tcPr>
            <w:tcW w:w="1376" w:type="dxa"/>
            <w:vAlign w:val="center"/>
          </w:tcPr>
          <w:p w14:paraId="5F30D38C" w14:textId="77777777" w:rsidR="00DD01E4" w:rsidRPr="0029440E" w:rsidRDefault="00DD01E4">
            <w:pPr>
              <w:spacing w:after="0" w:line="240" w:lineRule="auto"/>
              <w:jc w:val="right"/>
              <w:rPr>
                <w:rFonts w:ascii="Arial" w:hAnsi="Arial" w:cs="Arial"/>
                <w:color w:val="000000"/>
                <w:sz w:val="14"/>
                <w:szCs w:val="14"/>
              </w:rPr>
            </w:pPr>
            <w:r w:rsidRPr="0029440E">
              <w:rPr>
                <w:rFonts w:ascii="Arial" w:hAnsi="Arial" w:cs="Arial"/>
                <w:color w:val="000000"/>
                <w:sz w:val="14"/>
                <w:szCs w:val="14"/>
              </w:rPr>
              <w:t>--</w:t>
            </w:r>
          </w:p>
        </w:tc>
        <w:tc>
          <w:tcPr>
            <w:tcW w:w="1017" w:type="dxa"/>
            <w:vAlign w:val="center"/>
          </w:tcPr>
          <w:p w14:paraId="6F308C68" w14:textId="77777777" w:rsidR="00DD01E4" w:rsidRPr="008E5F15" w:rsidRDefault="00DD01E4">
            <w:pPr>
              <w:spacing w:after="0" w:line="240" w:lineRule="auto"/>
              <w:jc w:val="right"/>
              <w:rPr>
                <w:rFonts w:ascii="Arial" w:hAnsi="Arial" w:cs="Arial"/>
                <w:b/>
                <w:bCs/>
                <w:color w:val="000000"/>
                <w:sz w:val="14"/>
                <w:szCs w:val="14"/>
              </w:rPr>
            </w:pPr>
            <w:r w:rsidRPr="008E5F15">
              <w:rPr>
                <w:rFonts w:ascii="Arial" w:hAnsi="Arial" w:cs="Arial"/>
                <w:b/>
                <w:bCs/>
                <w:color w:val="000000"/>
                <w:sz w:val="14"/>
                <w:szCs w:val="14"/>
              </w:rPr>
              <w:t>28.704</w:t>
            </w:r>
          </w:p>
        </w:tc>
      </w:tr>
      <w:tr w:rsidR="00DD01E4" w:rsidRPr="00455E07" w14:paraId="1F626336" w14:textId="77777777">
        <w:trPr>
          <w:trHeight w:val="238"/>
        </w:trPr>
        <w:tc>
          <w:tcPr>
            <w:tcW w:w="4889" w:type="dxa"/>
            <w:vAlign w:val="center"/>
          </w:tcPr>
          <w:p w14:paraId="471C111C" w14:textId="77777777" w:rsidR="00DD01E4" w:rsidRPr="0029440E" w:rsidRDefault="00DD01E4">
            <w:pPr>
              <w:keepNext/>
              <w:keepLines/>
              <w:spacing w:before="40" w:after="40" w:line="240" w:lineRule="auto"/>
              <w:ind w:left="113"/>
              <w:rPr>
                <w:rFonts w:ascii="Arial" w:eastAsia="Times New Roman" w:hAnsi="Arial" w:cs="Arial"/>
                <w:b/>
                <w:spacing w:val="-2"/>
                <w:sz w:val="14"/>
                <w:szCs w:val="14"/>
                <w:lang w:eastAsia="pt-BR"/>
              </w:rPr>
            </w:pPr>
            <w:r w:rsidRPr="0029440E">
              <w:rPr>
                <w:rFonts w:ascii="Arial" w:eastAsia="Times New Roman" w:hAnsi="Arial" w:cs="Arial"/>
                <w:spacing w:val="-2"/>
                <w:sz w:val="14"/>
                <w:szCs w:val="14"/>
                <w:lang w:eastAsia="pt-BR"/>
              </w:rPr>
              <w:t>Outros resultados abrangentes - ajuste de práticas contábeis CPC 06 (R2)</w:t>
            </w:r>
          </w:p>
        </w:tc>
        <w:tc>
          <w:tcPr>
            <w:tcW w:w="716" w:type="dxa"/>
            <w:shd w:val="clear" w:color="auto" w:fill="auto"/>
            <w:vAlign w:val="center"/>
          </w:tcPr>
          <w:p w14:paraId="1AC93B30" w14:textId="77777777" w:rsidR="00DD01E4" w:rsidRPr="0029440E" w:rsidRDefault="00DD01E4">
            <w:pPr>
              <w:keepNext/>
              <w:keepLines/>
              <w:spacing w:before="40" w:after="40" w:line="240" w:lineRule="auto"/>
              <w:jc w:val="right"/>
              <w:rPr>
                <w:rFonts w:ascii="Arial" w:eastAsia="Times New Roman" w:hAnsi="Arial" w:cs="Arial"/>
                <w:spacing w:val="-2"/>
                <w:sz w:val="14"/>
                <w:szCs w:val="14"/>
                <w:lang w:eastAsia="pt-BR"/>
              </w:rPr>
            </w:pPr>
          </w:p>
        </w:tc>
        <w:tc>
          <w:tcPr>
            <w:tcW w:w="894" w:type="dxa"/>
            <w:shd w:val="clear" w:color="auto" w:fill="auto"/>
            <w:vAlign w:val="center"/>
          </w:tcPr>
          <w:p w14:paraId="34F05603" w14:textId="77777777" w:rsidR="00DD01E4" w:rsidRPr="0029440E" w:rsidRDefault="00DD01E4">
            <w:pPr>
              <w:spacing w:after="0" w:line="240" w:lineRule="auto"/>
              <w:jc w:val="right"/>
              <w:rPr>
                <w:rFonts w:ascii="Arial" w:hAnsi="Arial" w:cs="Arial"/>
                <w:color w:val="000000"/>
                <w:sz w:val="14"/>
                <w:szCs w:val="14"/>
              </w:rPr>
            </w:pPr>
            <w:r w:rsidRPr="0029440E">
              <w:rPr>
                <w:rFonts w:ascii="Arial" w:hAnsi="Arial" w:cs="Arial"/>
                <w:color w:val="000000"/>
                <w:sz w:val="14"/>
                <w:szCs w:val="14"/>
              </w:rPr>
              <w:t>--</w:t>
            </w:r>
          </w:p>
        </w:tc>
        <w:tc>
          <w:tcPr>
            <w:tcW w:w="968" w:type="dxa"/>
            <w:vAlign w:val="center"/>
          </w:tcPr>
          <w:p w14:paraId="03208610" w14:textId="77777777" w:rsidR="00DD01E4" w:rsidRPr="0029440E" w:rsidRDefault="00DD01E4">
            <w:pPr>
              <w:spacing w:after="0" w:line="240" w:lineRule="auto"/>
              <w:jc w:val="right"/>
              <w:rPr>
                <w:rFonts w:ascii="Arial" w:hAnsi="Arial" w:cs="Arial"/>
                <w:color w:val="000000"/>
                <w:sz w:val="14"/>
                <w:szCs w:val="14"/>
              </w:rPr>
            </w:pPr>
            <w:r w:rsidRPr="0029440E">
              <w:rPr>
                <w:rFonts w:ascii="Arial" w:hAnsi="Arial" w:cs="Arial"/>
                <w:color w:val="000000"/>
                <w:sz w:val="14"/>
                <w:szCs w:val="14"/>
              </w:rPr>
              <w:t>--</w:t>
            </w:r>
          </w:p>
        </w:tc>
        <w:tc>
          <w:tcPr>
            <w:tcW w:w="1128" w:type="dxa"/>
            <w:vAlign w:val="center"/>
          </w:tcPr>
          <w:p w14:paraId="11C3C68B" w14:textId="77777777" w:rsidR="00DD01E4" w:rsidRPr="0029440E" w:rsidRDefault="00DD01E4">
            <w:pPr>
              <w:spacing w:after="0" w:line="240" w:lineRule="auto"/>
              <w:jc w:val="right"/>
              <w:rPr>
                <w:rFonts w:ascii="Arial" w:hAnsi="Arial" w:cs="Arial"/>
                <w:color w:val="000000"/>
                <w:sz w:val="14"/>
                <w:szCs w:val="14"/>
              </w:rPr>
            </w:pPr>
            <w:r w:rsidRPr="0029440E">
              <w:rPr>
                <w:rFonts w:ascii="Arial" w:hAnsi="Arial" w:cs="Arial"/>
                <w:color w:val="000000"/>
                <w:sz w:val="14"/>
                <w:szCs w:val="14"/>
              </w:rPr>
              <w:t>--</w:t>
            </w:r>
          </w:p>
        </w:tc>
        <w:tc>
          <w:tcPr>
            <w:tcW w:w="1646" w:type="dxa"/>
            <w:vAlign w:val="center"/>
          </w:tcPr>
          <w:p w14:paraId="1EA474DA" w14:textId="77777777" w:rsidR="00DD01E4" w:rsidRPr="0029440E" w:rsidRDefault="00DD01E4">
            <w:pPr>
              <w:spacing w:after="0" w:line="240" w:lineRule="auto"/>
              <w:jc w:val="right"/>
              <w:rPr>
                <w:rFonts w:ascii="Arial" w:hAnsi="Arial" w:cs="Arial"/>
                <w:color w:val="000000"/>
                <w:sz w:val="14"/>
                <w:szCs w:val="14"/>
              </w:rPr>
            </w:pPr>
            <w:r w:rsidRPr="0029440E">
              <w:rPr>
                <w:rFonts w:ascii="Arial" w:hAnsi="Arial" w:cs="Arial"/>
                <w:color w:val="000000"/>
                <w:sz w:val="14"/>
                <w:szCs w:val="14"/>
              </w:rPr>
              <w:t>(23.169)</w:t>
            </w:r>
          </w:p>
        </w:tc>
        <w:tc>
          <w:tcPr>
            <w:tcW w:w="1009" w:type="dxa"/>
            <w:vAlign w:val="center"/>
          </w:tcPr>
          <w:p w14:paraId="26239C13" w14:textId="77777777" w:rsidR="00DD01E4" w:rsidRPr="0029440E" w:rsidRDefault="00DD01E4">
            <w:pPr>
              <w:spacing w:after="0" w:line="240" w:lineRule="auto"/>
              <w:jc w:val="right"/>
              <w:rPr>
                <w:rFonts w:ascii="Arial" w:hAnsi="Arial" w:cs="Arial"/>
                <w:color w:val="000000"/>
                <w:sz w:val="14"/>
                <w:szCs w:val="14"/>
              </w:rPr>
            </w:pPr>
            <w:r w:rsidRPr="0029440E">
              <w:rPr>
                <w:rFonts w:ascii="Arial" w:hAnsi="Arial" w:cs="Arial"/>
                <w:color w:val="000000"/>
                <w:sz w:val="14"/>
                <w:szCs w:val="14"/>
              </w:rPr>
              <w:t>--</w:t>
            </w:r>
          </w:p>
        </w:tc>
        <w:tc>
          <w:tcPr>
            <w:tcW w:w="1666" w:type="dxa"/>
            <w:vAlign w:val="center"/>
          </w:tcPr>
          <w:p w14:paraId="3F274651" w14:textId="77777777" w:rsidR="00DD01E4" w:rsidRPr="0029440E" w:rsidRDefault="00DD01E4">
            <w:pPr>
              <w:spacing w:after="0" w:line="240" w:lineRule="auto"/>
              <w:jc w:val="right"/>
              <w:rPr>
                <w:rFonts w:ascii="Arial" w:hAnsi="Arial" w:cs="Arial"/>
                <w:color w:val="000000"/>
                <w:sz w:val="14"/>
                <w:szCs w:val="14"/>
              </w:rPr>
            </w:pPr>
            <w:r w:rsidRPr="0029440E">
              <w:rPr>
                <w:rFonts w:ascii="Arial" w:hAnsi="Arial" w:cs="Arial"/>
                <w:color w:val="000000"/>
                <w:sz w:val="14"/>
                <w:szCs w:val="14"/>
              </w:rPr>
              <w:t>23.169</w:t>
            </w:r>
          </w:p>
        </w:tc>
        <w:tc>
          <w:tcPr>
            <w:tcW w:w="1376" w:type="dxa"/>
            <w:vAlign w:val="center"/>
          </w:tcPr>
          <w:p w14:paraId="60C15ADB" w14:textId="77777777" w:rsidR="00DD01E4" w:rsidRPr="0029440E" w:rsidRDefault="00DD01E4">
            <w:pPr>
              <w:spacing w:after="0" w:line="240" w:lineRule="auto"/>
              <w:jc w:val="right"/>
              <w:rPr>
                <w:rFonts w:ascii="Arial" w:hAnsi="Arial" w:cs="Arial"/>
                <w:color w:val="000000"/>
                <w:sz w:val="14"/>
                <w:szCs w:val="14"/>
              </w:rPr>
            </w:pPr>
            <w:r w:rsidRPr="0029440E">
              <w:rPr>
                <w:rFonts w:ascii="Arial" w:hAnsi="Arial" w:cs="Arial"/>
                <w:color w:val="000000"/>
                <w:sz w:val="14"/>
                <w:szCs w:val="14"/>
              </w:rPr>
              <w:t>--</w:t>
            </w:r>
          </w:p>
        </w:tc>
        <w:tc>
          <w:tcPr>
            <w:tcW w:w="1017" w:type="dxa"/>
            <w:vAlign w:val="center"/>
          </w:tcPr>
          <w:p w14:paraId="74C75DB2" w14:textId="77777777" w:rsidR="00DD01E4" w:rsidRPr="008E5F15" w:rsidRDefault="00DD01E4">
            <w:pPr>
              <w:spacing w:after="0" w:line="240" w:lineRule="auto"/>
              <w:jc w:val="right"/>
              <w:rPr>
                <w:rFonts w:ascii="Arial" w:hAnsi="Arial" w:cs="Arial"/>
                <w:b/>
                <w:bCs/>
                <w:color w:val="000000"/>
                <w:sz w:val="14"/>
                <w:szCs w:val="14"/>
              </w:rPr>
            </w:pPr>
            <w:r w:rsidRPr="008E5F15">
              <w:rPr>
                <w:rFonts w:ascii="Arial" w:hAnsi="Arial" w:cs="Arial"/>
                <w:b/>
                <w:bCs/>
                <w:color w:val="000000"/>
                <w:sz w:val="14"/>
                <w:szCs w:val="14"/>
              </w:rPr>
              <w:t>--</w:t>
            </w:r>
          </w:p>
        </w:tc>
      </w:tr>
      <w:tr w:rsidR="00DD01E4" w:rsidRPr="00455E07" w14:paraId="5BBE135B" w14:textId="77777777">
        <w:trPr>
          <w:trHeight w:val="238"/>
        </w:trPr>
        <w:tc>
          <w:tcPr>
            <w:tcW w:w="4889" w:type="dxa"/>
            <w:vAlign w:val="center"/>
          </w:tcPr>
          <w:p w14:paraId="1C84D7AD" w14:textId="77777777" w:rsidR="00DD01E4" w:rsidRPr="0029440E" w:rsidRDefault="00DD01E4">
            <w:pPr>
              <w:keepNext/>
              <w:keepLines/>
              <w:spacing w:before="40" w:after="40" w:line="240" w:lineRule="auto"/>
              <w:ind w:left="113"/>
              <w:rPr>
                <w:rFonts w:ascii="Arial" w:eastAsia="Times New Roman" w:hAnsi="Arial" w:cs="Arial"/>
                <w:bCs/>
                <w:spacing w:val="-2"/>
                <w:sz w:val="14"/>
                <w:szCs w:val="14"/>
                <w:lang w:eastAsia="pt-BR"/>
              </w:rPr>
            </w:pPr>
            <w:r w:rsidRPr="0029440E">
              <w:rPr>
                <w:rFonts w:ascii="Arial" w:eastAsia="Times New Roman" w:hAnsi="Arial" w:cs="Arial"/>
                <w:spacing w:val="-2"/>
                <w:sz w:val="14"/>
                <w:szCs w:val="14"/>
                <w:lang w:eastAsia="pt-BR"/>
              </w:rPr>
              <w:t>Outros resultados abrangentes</w:t>
            </w:r>
          </w:p>
        </w:tc>
        <w:tc>
          <w:tcPr>
            <w:tcW w:w="716" w:type="dxa"/>
            <w:shd w:val="clear" w:color="auto" w:fill="auto"/>
            <w:vAlign w:val="center"/>
          </w:tcPr>
          <w:p w14:paraId="2F52BF25" w14:textId="77777777" w:rsidR="00DD01E4" w:rsidRPr="0029440E" w:rsidRDefault="00DD01E4">
            <w:pPr>
              <w:keepNext/>
              <w:keepLines/>
              <w:spacing w:before="40" w:after="40" w:line="240" w:lineRule="auto"/>
              <w:jc w:val="right"/>
              <w:rPr>
                <w:rFonts w:ascii="Arial" w:eastAsia="Times New Roman" w:hAnsi="Arial" w:cs="Arial"/>
                <w:bCs/>
                <w:spacing w:val="-2"/>
                <w:sz w:val="14"/>
                <w:szCs w:val="14"/>
                <w:lang w:eastAsia="pt-BR"/>
              </w:rPr>
            </w:pPr>
          </w:p>
        </w:tc>
        <w:tc>
          <w:tcPr>
            <w:tcW w:w="894" w:type="dxa"/>
            <w:shd w:val="clear" w:color="auto" w:fill="auto"/>
            <w:vAlign w:val="center"/>
          </w:tcPr>
          <w:p w14:paraId="147BCA3B" w14:textId="77777777" w:rsidR="00DD01E4" w:rsidRPr="0029440E" w:rsidRDefault="00DD01E4">
            <w:pPr>
              <w:spacing w:after="0" w:line="240" w:lineRule="auto"/>
              <w:jc w:val="right"/>
              <w:rPr>
                <w:rFonts w:ascii="Arial" w:hAnsi="Arial" w:cs="Arial"/>
                <w:bCs/>
                <w:color w:val="000000"/>
                <w:sz w:val="14"/>
                <w:szCs w:val="14"/>
              </w:rPr>
            </w:pPr>
            <w:r w:rsidRPr="0029440E">
              <w:rPr>
                <w:rFonts w:ascii="Arial" w:hAnsi="Arial" w:cs="Arial"/>
                <w:color w:val="000000"/>
                <w:sz w:val="14"/>
                <w:szCs w:val="14"/>
              </w:rPr>
              <w:t>--</w:t>
            </w:r>
          </w:p>
        </w:tc>
        <w:tc>
          <w:tcPr>
            <w:tcW w:w="968" w:type="dxa"/>
            <w:vAlign w:val="center"/>
          </w:tcPr>
          <w:p w14:paraId="6C0A0077" w14:textId="77777777" w:rsidR="00DD01E4" w:rsidRPr="0029440E" w:rsidRDefault="00DD01E4">
            <w:pPr>
              <w:spacing w:after="0" w:line="240" w:lineRule="auto"/>
              <w:jc w:val="right"/>
              <w:rPr>
                <w:rFonts w:ascii="Arial" w:hAnsi="Arial" w:cs="Arial"/>
                <w:bCs/>
                <w:color w:val="000000"/>
                <w:sz w:val="14"/>
                <w:szCs w:val="14"/>
              </w:rPr>
            </w:pPr>
            <w:r w:rsidRPr="0029440E">
              <w:rPr>
                <w:rFonts w:ascii="Arial" w:hAnsi="Arial" w:cs="Arial"/>
                <w:color w:val="000000"/>
                <w:sz w:val="14"/>
                <w:szCs w:val="14"/>
              </w:rPr>
              <w:t>--</w:t>
            </w:r>
          </w:p>
        </w:tc>
        <w:tc>
          <w:tcPr>
            <w:tcW w:w="1128" w:type="dxa"/>
            <w:vAlign w:val="center"/>
          </w:tcPr>
          <w:p w14:paraId="56C0B690" w14:textId="77777777" w:rsidR="00DD01E4" w:rsidRPr="0029440E" w:rsidRDefault="00DD01E4">
            <w:pPr>
              <w:spacing w:after="0" w:line="240" w:lineRule="auto"/>
              <w:jc w:val="right"/>
              <w:rPr>
                <w:rFonts w:ascii="Arial" w:hAnsi="Arial" w:cs="Arial"/>
                <w:bCs/>
                <w:color w:val="000000"/>
                <w:sz w:val="14"/>
                <w:szCs w:val="14"/>
              </w:rPr>
            </w:pPr>
            <w:r w:rsidRPr="0029440E">
              <w:rPr>
                <w:rFonts w:ascii="Arial" w:hAnsi="Arial" w:cs="Arial"/>
                <w:color w:val="000000"/>
                <w:sz w:val="14"/>
                <w:szCs w:val="14"/>
              </w:rPr>
              <w:t>--</w:t>
            </w:r>
          </w:p>
        </w:tc>
        <w:tc>
          <w:tcPr>
            <w:tcW w:w="1646" w:type="dxa"/>
            <w:vAlign w:val="center"/>
          </w:tcPr>
          <w:p w14:paraId="3A288A5B" w14:textId="77777777" w:rsidR="00DD01E4" w:rsidRPr="0029440E" w:rsidRDefault="00DD01E4">
            <w:pPr>
              <w:spacing w:after="0" w:line="240" w:lineRule="auto"/>
              <w:jc w:val="right"/>
              <w:rPr>
                <w:rFonts w:ascii="Arial" w:hAnsi="Arial" w:cs="Arial"/>
                <w:bCs/>
                <w:color w:val="000000"/>
                <w:sz w:val="14"/>
                <w:szCs w:val="14"/>
              </w:rPr>
            </w:pPr>
            <w:r w:rsidRPr="0029440E">
              <w:rPr>
                <w:rFonts w:ascii="Arial" w:hAnsi="Arial" w:cs="Arial"/>
                <w:color w:val="000000"/>
                <w:sz w:val="14"/>
                <w:szCs w:val="14"/>
              </w:rPr>
              <w:t>--</w:t>
            </w:r>
          </w:p>
        </w:tc>
        <w:tc>
          <w:tcPr>
            <w:tcW w:w="1009" w:type="dxa"/>
            <w:vAlign w:val="center"/>
          </w:tcPr>
          <w:p w14:paraId="405088F2" w14:textId="77777777" w:rsidR="00DD01E4" w:rsidRPr="0029440E" w:rsidRDefault="00DD01E4">
            <w:pPr>
              <w:spacing w:after="0" w:line="240" w:lineRule="auto"/>
              <w:jc w:val="right"/>
              <w:rPr>
                <w:rFonts w:ascii="Arial" w:hAnsi="Arial" w:cs="Arial"/>
                <w:bCs/>
                <w:color w:val="000000"/>
                <w:sz w:val="14"/>
                <w:szCs w:val="14"/>
              </w:rPr>
            </w:pPr>
            <w:r w:rsidRPr="0029440E">
              <w:rPr>
                <w:rFonts w:ascii="Arial" w:hAnsi="Arial" w:cs="Arial"/>
                <w:color w:val="000000"/>
                <w:sz w:val="14"/>
                <w:szCs w:val="14"/>
              </w:rPr>
              <w:t>--</w:t>
            </w:r>
          </w:p>
        </w:tc>
        <w:tc>
          <w:tcPr>
            <w:tcW w:w="1666" w:type="dxa"/>
            <w:vAlign w:val="center"/>
          </w:tcPr>
          <w:p w14:paraId="6CA2751E" w14:textId="77777777" w:rsidR="00DD01E4" w:rsidRPr="0029440E" w:rsidRDefault="00DD01E4">
            <w:pPr>
              <w:spacing w:after="0" w:line="240" w:lineRule="auto"/>
              <w:jc w:val="right"/>
              <w:rPr>
                <w:rFonts w:ascii="Arial" w:hAnsi="Arial" w:cs="Arial"/>
                <w:bCs/>
                <w:color w:val="000000"/>
                <w:sz w:val="14"/>
                <w:szCs w:val="14"/>
              </w:rPr>
            </w:pPr>
            <w:r w:rsidRPr="0029440E">
              <w:rPr>
                <w:rFonts w:ascii="Arial" w:hAnsi="Arial" w:cs="Arial"/>
                <w:color w:val="000000"/>
                <w:sz w:val="14"/>
                <w:szCs w:val="14"/>
              </w:rPr>
              <w:t>(466)</w:t>
            </w:r>
          </w:p>
        </w:tc>
        <w:tc>
          <w:tcPr>
            <w:tcW w:w="1376" w:type="dxa"/>
            <w:vAlign w:val="center"/>
          </w:tcPr>
          <w:p w14:paraId="2F73EB7F" w14:textId="77777777" w:rsidR="00DD01E4" w:rsidRPr="0029440E" w:rsidRDefault="00DD01E4">
            <w:pPr>
              <w:spacing w:after="0" w:line="240" w:lineRule="auto"/>
              <w:jc w:val="right"/>
              <w:rPr>
                <w:rFonts w:ascii="Arial" w:hAnsi="Arial" w:cs="Arial"/>
                <w:bCs/>
                <w:color w:val="000000"/>
                <w:sz w:val="14"/>
                <w:szCs w:val="14"/>
              </w:rPr>
            </w:pPr>
            <w:r w:rsidRPr="0029440E">
              <w:rPr>
                <w:rFonts w:ascii="Arial" w:hAnsi="Arial" w:cs="Arial"/>
                <w:color w:val="000000"/>
                <w:sz w:val="14"/>
                <w:szCs w:val="14"/>
              </w:rPr>
              <w:t>--</w:t>
            </w:r>
          </w:p>
        </w:tc>
        <w:tc>
          <w:tcPr>
            <w:tcW w:w="1017" w:type="dxa"/>
            <w:vAlign w:val="center"/>
          </w:tcPr>
          <w:p w14:paraId="0D1E3AAF" w14:textId="77777777" w:rsidR="00DD01E4" w:rsidRPr="008E5F15" w:rsidRDefault="00DD01E4">
            <w:pPr>
              <w:spacing w:after="0" w:line="240" w:lineRule="auto"/>
              <w:jc w:val="right"/>
              <w:rPr>
                <w:rFonts w:ascii="Arial" w:hAnsi="Arial" w:cs="Arial"/>
                <w:b/>
                <w:bCs/>
                <w:color w:val="000000"/>
                <w:sz w:val="14"/>
                <w:szCs w:val="14"/>
              </w:rPr>
            </w:pPr>
            <w:r w:rsidRPr="008E5F15">
              <w:rPr>
                <w:rFonts w:ascii="Arial" w:hAnsi="Arial" w:cs="Arial"/>
                <w:b/>
                <w:bCs/>
                <w:color w:val="000000"/>
                <w:sz w:val="14"/>
                <w:szCs w:val="14"/>
              </w:rPr>
              <w:t>(466)</w:t>
            </w:r>
          </w:p>
        </w:tc>
      </w:tr>
      <w:tr w:rsidR="00DD01E4" w:rsidRPr="00455E07" w14:paraId="1A9A18E0" w14:textId="77777777">
        <w:trPr>
          <w:trHeight w:val="238"/>
        </w:trPr>
        <w:tc>
          <w:tcPr>
            <w:tcW w:w="4889" w:type="dxa"/>
            <w:vAlign w:val="center"/>
          </w:tcPr>
          <w:p w14:paraId="25F96459" w14:textId="77777777" w:rsidR="00DD01E4" w:rsidRPr="0029440E" w:rsidRDefault="00DD01E4">
            <w:pPr>
              <w:keepNext/>
              <w:keepLines/>
              <w:spacing w:before="40" w:after="40" w:line="240" w:lineRule="auto"/>
              <w:ind w:left="113"/>
              <w:rPr>
                <w:rFonts w:ascii="Arial" w:eastAsia="Times New Roman" w:hAnsi="Arial" w:cs="Arial"/>
                <w:bCs/>
                <w:spacing w:val="-2"/>
                <w:sz w:val="14"/>
                <w:szCs w:val="14"/>
                <w:lang w:eastAsia="pt-BR"/>
              </w:rPr>
            </w:pPr>
            <w:r w:rsidRPr="0029440E">
              <w:rPr>
                <w:rFonts w:ascii="Arial" w:eastAsia="Times New Roman" w:hAnsi="Arial" w:cs="Arial"/>
                <w:spacing w:val="-2"/>
                <w:sz w:val="14"/>
                <w:szCs w:val="14"/>
                <w:lang w:eastAsia="pt-BR"/>
              </w:rPr>
              <w:t>Dividendos prescritos</w:t>
            </w:r>
          </w:p>
        </w:tc>
        <w:tc>
          <w:tcPr>
            <w:tcW w:w="716" w:type="dxa"/>
            <w:shd w:val="clear" w:color="auto" w:fill="auto"/>
            <w:vAlign w:val="center"/>
          </w:tcPr>
          <w:p w14:paraId="6B8B7F73" w14:textId="77777777" w:rsidR="00DD01E4" w:rsidRPr="0029440E" w:rsidRDefault="00DD01E4">
            <w:pPr>
              <w:keepNext/>
              <w:keepLines/>
              <w:spacing w:before="40" w:after="40" w:line="240" w:lineRule="auto"/>
              <w:jc w:val="right"/>
              <w:rPr>
                <w:rFonts w:ascii="Arial" w:eastAsia="Times New Roman" w:hAnsi="Arial" w:cs="Arial"/>
                <w:bCs/>
                <w:spacing w:val="-2"/>
                <w:sz w:val="14"/>
                <w:szCs w:val="14"/>
                <w:lang w:eastAsia="pt-BR"/>
              </w:rPr>
            </w:pPr>
          </w:p>
        </w:tc>
        <w:tc>
          <w:tcPr>
            <w:tcW w:w="894" w:type="dxa"/>
            <w:shd w:val="clear" w:color="auto" w:fill="auto"/>
            <w:vAlign w:val="center"/>
          </w:tcPr>
          <w:p w14:paraId="61A545CD" w14:textId="77777777" w:rsidR="00DD01E4" w:rsidRPr="0029440E" w:rsidRDefault="00DD01E4">
            <w:pPr>
              <w:spacing w:after="0" w:line="240" w:lineRule="auto"/>
              <w:jc w:val="right"/>
              <w:rPr>
                <w:rFonts w:ascii="Arial" w:hAnsi="Arial" w:cs="Arial"/>
                <w:bCs/>
                <w:color w:val="000000"/>
                <w:sz w:val="14"/>
                <w:szCs w:val="14"/>
              </w:rPr>
            </w:pPr>
            <w:r w:rsidRPr="0029440E">
              <w:rPr>
                <w:rFonts w:ascii="Arial" w:hAnsi="Arial" w:cs="Arial"/>
                <w:color w:val="000000"/>
                <w:sz w:val="14"/>
                <w:szCs w:val="14"/>
              </w:rPr>
              <w:t>--</w:t>
            </w:r>
          </w:p>
        </w:tc>
        <w:tc>
          <w:tcPr>
            <w:tcW w:w="968" w:type="dxa"/>
            <w:vAlign w:val="center"/>
          </w:tcPr>
          <w:p w14:paraId="1C73C063" w14:textId="77777777" w:rsidR="00DD01E4" w:rsidRPr="0029440E" w:rsidRDefault="00DD01E4">
            <w:pPr>
              <w:spacing w:after="0" w:line="240" w:lineRule="auto"/>
              <w:jc w:val="right"/>
              <w:rPr>
                <w:rFonts w:ascii="Arial" w:hAnsi="Arial" w:cs="Arial"/>
                <w:bCs/>
                <w:color w:val="000000"/>
                <w:sz w:val="14"/>
                <w:szCs w:val="14"/>
              </w:rPr>
            </w:pPr>
            <w:r w:rsidRPr="0029440E">
              <w:rPr>
                <w:rFonts w:ascii="Arial" w:hAnsi="Arial" w:cs="Arial"/>
                <w:color w:val="000000"/>
                <w:sz w:val="14"/>
                <w:szCs w:val="14"/>
              </w:rPr>
              <w:t>--</w:t>
            </w:r>
          </w:p>
        </w:tc>
        <w:tc>
          <w:tcPr>
            <w:tcW w:w="1128" w:type="dxa"/>
            <w:vAlign w:val="center"/>
          </w:tcPr>
          <w:p w14:paraId="1FA8538F" w14:textId="77777777" w:rsidR="00DD01E4" w:rsidRPr="0029440E" w:rsidRDefault="00DD01E4">
            <w:pPr>
              <w:spacing w:after="0" w:line="240" w:lineRule="auto"/>
              <w:jc w:val="right"/>
              <w:rPr>
                <w:rFonts w:ascii="Arial" w:hAnsi="Arial" w:cs="Arial"/>
                <w:bCs/>
                <w:color w:val="000000"/>
                <w:sz w:val="14"/>
                <w:szCs w:val="14"/>
              </w:rPr>
            </w:pPr>
            <w:r w:rsidRPr="0029440E">
              <w:rPr>
                <w:rFonts w:ascii="Arial" w:hAnsi="Arial" w:cs="Arial"/>
                <w:color w:val="000000"/>
                <w:sz w:val="14"/>
                <w:szCs w:val="14"/>
              </w:rPr>
              <w:t>--</w:t>
            </w:r>
          </w:p>
        </w:tc>
        <w:tc>
          <w:tcPr>
            <w:tcW w:w="1646" w:type="dxa"/>
            <w:vAlign w:val="center"/>
          </w:tcPr>
          <w:p w14:paraId="179A5444" w14:textId="77777777" w:rsidR="00DD01E4" w:rsidRPr="0029440E" w:rsidRDefault="00DD01E4">
            <w:pPr>
              <w:spacing w:after="0" w:line="240" w:lineRule="auto"/>
              <w:jc w:val="right"/>
              <w:rPr>
                <w:rFonts w:ascii="Arial" w:hAnsi="Arial" w:cs="Arial"/>
                <w:bCs/>
                <w:color w:val="000000"/>
                <w:sz w:val="14"/>
                <w:szCs w:val="14"/>
              </w:rPr>
            </w:pPr>
            <w:r w:rsidRPr="0029440E">
              <w:rPr>
                <w:rFonts w:ascii="Arial" w:hAnsi="Arial" w:cs="Arial"/>
                <w:color w:val="000000"/>
                <w:sz w:val="14"/>
                <w:szCs w:val="14"/>
              </w:rPr>
              <w:t>--</w:t>
            </w:r>
          </w:p>
        </w:tc>
        <w:tc>
          <w:tcPr>
            <w:tcW w:w="1009" w:type="dxa"/>
            <w:vAlign w:val="center"/>
          </w:tcPr>
          <w:p w14:paraId="169F7AD7" w14:textId="77777777" w:rsidR="00DD01E4" w:rsidRPr="0029440E" w:rsidRDefault="00DD01E4">
            <w:pPr>
              <w:spacing w:after="0" w:line="240" w:lineRule="auto"/>
              <w:jc w:val="right"/>
              <w:rPr>
                <w:rFonts w:ascii="Arial" w:hAnsi="Arial" w:cs="Arial"/>
                <w:bCs/>
                <w:color w:val="000000"/>
                <w:sz w:val="14"/>
                <w:szCs w:val="14"/>
              </w:rPr>
            </w:pPr>
            <w:r w:rsidRPr="0029440E">
              <w:rPr>
                <w:rFonts w:ascii="Arial" w:hAnsi="Arial" w:cs="Arial"/>
                <w:color w:val="000000"/>
                <w:sz w:val="14"/>
                <w:szCs w:val="14"/>
              </w:rPr>
              <w:t>--</w:t>
            </w:r>
          </w:p>
        </w:tc>
        <w:tc>
          <w:tcPr>
            <w:tcW w:w="1666" w:type="dxa"/>
            <w:vAlign w:val="center"/>
          </w:tcPr>
          <w:p w14:paraId="7F383E2D" w14:textId="77777777" w:rsidR="00DD01E4" w:rsidRPr="0029440E" w:rsidRDefault="00DD01E4">
            <w:pPr>
              <w:spacing w:after="0" w:line="240" w:lineRule="auto"/>
              <w:jc w:val="right"/>
              <w:rPr>
                <w:rFonts w:ascii="Arial" w:hAnsi="Arial" w:cs="Arial"/>
                <w:bCs/>
                <w:color w:val="000000"/>
                <w:sz w:val="14"/>
                <w:szCs w:val="14"/>
              </w:rPr>
            </w:pPr>
            <w:r w:rsidRPr="0029440E">
              <w:rPr>
                <w:rFonts w:ascii="Arial" w:hAnsi="Arial" w:cs="Arial"/>
                <w:color w:val="000000"/>
                <w:sz w:val="14"/>
                <w:szCs w:val="14"/>
              </w:rPr>
              <w:t>--</w:t>
            </w:r>
          </w:p>
        </w:tc>
        <w:tc>
          <w:tcPr>
            <w:tcW w:w="1376" w:type="dxa"/>
            <w:vAlign w:val="center"/>
          </w:tcPr>
          <w:p w14:paraId="2BB64DC5" w14:textId="77777777" w:rsidR="00DD01E4" w:rsidRPr="0029440E" w:rsidRDefault="00DD01E4">
            <w:pPr>
              <w:spacing w:after="0" w:line="240" w:lineRule="auto"/>
              <w:jc w:val="right"/>
              <w:rPr>
                <w:rFonts w:ascii="Arial" w:hAnsi="Arial" w:cs="Arial"/>
                <w:bCs/>
                <w:color w:val="000000"/>
                <w:sz w:val="14"/>
                <w:szCs w:val="14"/>
              </w:rPr>
            </w:pPr>
            <w:r w:rsidRPr="0029440E">
              <w:rPr>
                <w:rFonts w:ascii="Arial" w:hAnsi="Arial" w:cs="Arial"/>
                <w:color w:val="000000"/>
                <w:sz w:val="14"/>
                <w:szCs w:val="14"/>
              </w:rPr>
              <w:t>72</w:t>
            </w:r>
          </w:p>
        </w:tc>
        <w:tc>
          <w:tcPr>
            <w:tcW w:w="1017" w:type="dxa"/>
            <w:vAlign w:val="center"/>
          </w:tcPr>
          <w:p w14:paraId="0BD23724" w14:textId="77777777" w:rsidR="00DD01E4" w:rsidRPr="008E5F15" w:rsidRDefault="00DD01E4">
            <w:pPr>
              <w:spacing w:after="0" w:line="240" w:lineRule="auto"/>
              <w:jc w:val="right"/>
              <w:rPr>
                <w:rFonts w:ascii="Arial" w:hAnsi="Arial" w:cs="Arial"/>
                <w:b/>
                <w:bCs/>
                <w:color w:val="000000"/>
                <w:sz w:val="14"/>
                <w:szCs w:val="14"/>
              </w:rPr>
            </w:pPr>
            <w:r w:rsidRPr="008E5F15">
              <w:rPr>
                <w:rFonts w:ascii="Arial" w:hAnsi="Arial" w:cs="Arial"/>
                <w:b/>
                <w:bCs/>
                <w:color w:val="000000"/>
                <w:sz w:val="14"/>
                <w:szCs w:val="14"/>
              </w:rPr>
              <w:t>72</w:t>
            </w:r>
          </w:p>
        </w:tc>
      </w:tr>
      <w:tr w:rsidR="00DD01E4" w:rsidRPr="00455E07" w14:paraId="4D829516" w14:textId="77777777">
        <w:trPr>
          <w:trHeight w:val="238"/>
        </w:trPr>
        <w:tc>
          <w:tcPr>
            <w:tcW w:w="4889" w:type="dxa"/>
            <w:vAlign w:val="center"/>
          </w:tcPr>
          <w:p w14:paraId="24B91714" w14:textId="77777777" w:rsidR="00DD01E4" w:rsidRPr="0029440E" w:rsidRDefault="00DD01E4">
            <w:pPr>
              <w:keepNext/>
              <w:keepLines/>
              <w:spacing w:before="40" w:after="40" w:line="240" w:lineRule="auto"/>
              <w:ind w:left="113"/>
              <w:rPr>
                <w:rFonts w:ascii="Arial" w:eastAsia="Times New Roman" w:hAnsi="Arial" w:cs="Arial"/>
                <w:spacing w:val="-2"/>
                <w:sz w:val="14"/>
                <w:szCs w:val="14"/>
                <w:lang w:eastAsia="pt-BR"/>
              </w:rPr>
            </w:pPr>
            <w:r w:rsidRPr="0029440E">
              <w:rPr>
                <w:rFonts w:ascii="Arial" w:eastAsia="Times New Roman" w:hAnsi="Arial" w:cs="Arial"/>
                <w:spacing w:val="-2"/>
                <w:sz w:val="14"/>
                <w:szCs w:val="14"/>
                <w:lang w:eastAsia="pt-BR"/>
              </w:rPr>
              <w:t xml:space="preserve">Lucro </w:t>
            </w:r>
            <w:r>
              <w:rPr>
                <w:rFonts w:ascii="Arial" w:eastAsia="Times New Roman" w:hAnsi="Arial" w:cs="Arial"/>
                <w:spacing w:val="-2"/>
                <w:sz w:val="14"/>
                <w:szCs w:val="14"/>
                <w:lang w:eastAsia="pt-BR"/>
              </w:rPr>
              <w:t>l</w:t>
            </w:r>
            <w:r w:rsidRPr="0029440E">
              <w:rPr>
                <w:rFonts w:ascii="Arial" w:eastAsia="Times New Roman" w:hAnsi="Arial" w:cs="Arial"/>
                <w:spacing w:val="-2"/>
                <w:sz w:val="14"/>
                <w:szCs w:val="14"/>
                <w:lang w:eastAsia="pt-BR"/>
              </w:rPr>
              <w:t xml:space="preserve">íquido do </w:t>
            </w:r>
            <w:r>
              <w:rPr>
                <w:rFonts w:ascii="Arial" w:eastAsia="Times New Roman" w:hAnsi="Arial" w:cs="Arial"/>
                <w:spacing w:val="-2"/>
                <w:sz w:val="14"/>
                <w:szCs w:val="14"/>
                <w:lang w:eastAsia="pt-BR"/>
              </w:rPr>
              <w:t>e</w:t>
            </w:r>
            <w:r w:rsidRPr="0029440E">
              <w:rPr>
                <w:rFonts w:ascii="Arial" w:eastAsia="Times New Roman" w:hAnsi="Arial" w:cs="Arial"/>
                <w:spacing w:val="-2"/>
                <w:sz w:val="14"/>
                <w:szCs w:val="14"/>
                <w:lang w:eastAsia="pt-BR"/>
              </w:rPr>
              <w:t>xercício</w:t>
            </w:r>
          </w:p>
        </w:tc>
        <w:tc>
          <w:tcPr>
            <w:tcW w:w="716" w:type="dxa"/>
            <w:shd w:val="clear" w:color="auto" w:fill="auto"/>
            <w:vAlign w:val="center"/>
          </w:tcPr>
          <w:p w14:paraId="6BB71B9A" w14:textId="77777777" w:rsidR="00DD01E4" w:rsidRPr="0029440E" w:rsidRDefault="00DD01E4">
            <w:pPr>
              <w:keepNext/>
              <w:keepLines/>
              <w:spacing w:before="40" w:after="40" w:line="240" w:lineRule="auto"/>
              <w:jc w:val="right"/>
              <w:rPr>
                <w:rFonts w:ascii="Arial" w:eastAsia="Times New Roman" w:hAnsi="Arial" w:cs="Arial"/>
                <w:spacing w:val="-2"/>
                <w:sz w:val="14"/>
                <w:szCs w:val="14"/>
                <w:lang w:eastAsia="pt-BR"/>
              </w:rPr>
            </w:pPr>
          </w:p>
        </w:tc>
        <w:tc>
          <w:tcPr>
            <w:tcW w:w="894" w:type="dxa"/>
            <w:shd w:val="clear" w:color="auto" w:fill="auto"/>
            <w:vAlign w:val="center"/>
          </w:tcPr>
          <w:p w14:paraId="6AAACBC5" w14:textId="77777777" w:rsidR="00DD01E4" w:rsidRPr="0029440E" w:rsidRDefault="00DD01E4">
            <w:pPr>
              <w:spacing w:after="0" w:line="240" w:lineRule="auto"/>
              <w:jc w:val="right"/>
              <w:rPr>
                <w:rFonts w:ascii="Arial" w:hAnsi="Arial" w:cs="Arial"/>
                <w:color w:val="000000"/>
                <w:sz w:val="14"/>
                <w:szCs w:val="14"/>
              </w:rPr>
            </w:pPr>
            <w:r w:rsidRPr="0029440E">
              <w:rPr>
                <w:rFonts w:ascii="Arial" w:hAnsi="Arial" w:cs="Arial"/>
                <w:color w:val="000000"/>
                <w:sz w:val="14"/>
                <w:szCs w:val="14"/>
              </w:rPr>
              <w:t>--</w:t>
            </w:r>
          </w:p>
        </w:tc>
        <w:tc>
          <w:tcPr>
            <w:tcW w:w="968" w:type="dxa"/>
            <w:vAlign w:val="center"/>
          </w:tcPr>
          <w:p w14:paraId="355822E7" w14:textId="77777777" w:rsidR="00DD01E4" w:rsidRPr="0029440E" w:rsidRDefault="00DD01E4">
            <w:pPr>
              <w:spacing w:after="0" w:line="240" w:lineRule="auto"/>
              <w:jc w:val="right"/>
              <w:rPr>
                <w:rFonts w:ascii="Arial" w:hAnsi="Arial" w:cs="Arial"/>
                <w:color w:val="000000"/>
                <w:sz w:val="14"/>
                <w:szCs w:val="14"/>
              </w:rPr>
            </w:pPr>
            <w:r w:rsidRPr="0029440E">
              <w:rPr>
                <w:rFonts w:ascii="Arial" w:hAnsi="Arial" w:cs="Arial"/>
                <w:color w:val="000000"/>
                <w:sz w:val="14"/>
                <w:szCs w:val="14"/>
              </w:rPr>
              <w:t>--</w:t>
            </w:r>
          </w:p>
        </w:tc>
        <w:tc>
          <w:tcPr>
            <w:tcW w:w="1128" w:type="dxa"/>
            <w:vAlign w:val="center"/>
          </w:tcPr>
          <w:p w14:paraId="113FC5B2" w14:textId="77777777" w:rsidR="00DD01E4" w:rsidRPr="0029440E" w:rsidRDefault="00DD01E4">
            <w:pPr>
              <w:spacing w:after="0" w:line="240" w:lineRule="auto"/>
              <w:jc w:val="right"/>
              <w:rPr>
                <w:rFonts w:ascii="Arial" w:hAnsi="Arial" w:cs="Arial"/>
                <w:color w:val="000000"/>
                <w:sz w:val="14"/>
                <w:szCs w:val="14"/>
              </w:rPr>
            </w:pPr>
            <w:r w:rsidRPr="0029440E">
              <w:rPr>
                <w:rFonts w:ascii="Arial" w:hAnsi="Arial" w:cs="Arial"/>
                <w:color w:val="000000"/>
                <w:sz w:val="14"/>
                <w:szCs w:val="14"/>
              </w:rPr>
              <w:t>--</w:t>
            </w:r>
          </w:p>
        </w:tc>
        <w:tc>
          <w:tcPr>
            <w:tcW w:w="1646" w:type="dxa"/>
            <w:vAlign w:val="center"/>
          </w:tcPr>
          <w:p w14:paraId="569005F8" w14:textId="77777777" w:rsidR="00DD01E4" w:rsidRPr="0029440E" w:rsidRDefault="00DD01E4">
            <w:pPr>
              <w:spacing w:after="0" w:line="240" w:lineRule="auto"/>
              <w:jc w:val="right"/>
              <w:rPr>
                <w:rFonts w:ascii="Arial" w:hAnsi="Arial" w:cs="Arial"/>
                <w:color w:val="000000"/>
                <w:sz w:val="14"/>
                <w:szCs w:val="14"/>
              </w:rPr>
            </w:pPr>
            <w:r w:rsidRPr="0029440E">
              <w:rPr>
                <w:rFonts w:ascii="Arial" w:hAnsi="Arial" w:cs="Arial"/>
                <w:color w:val="000000"/>
                <w:sz w:val="14"/>
                <w:szCs w:val="14"/>
              </w:rPr>
              <w:t>--</w:t>
            </w:r>
          </w:p>
        </w:tc>
        <w:tc>
          <w:tcPr>
            <w:tcW w:w="1009" w:type="dxa"/>
            <w:vAlign w:val="center"/>
          </w:tcPr>
          <w:p w14:paraId="6E41DFCB" w14:textId="77777777" w:rsidR="00DD01E4" w:rsidRPr="0029440E" w:rsidRDefault="00DD01E4">
            <w:pPr>
              <w:spacing w:after="0" w:line="240" w:lineRule="auto"/>
              <w:jc w:val="right"/>
              <w:rPr>
                <w:rFonts w:ascii="Arial" w:hAnsi="Arial" w:cs="Arial"/>
                <w:color w:val="000000"/>
                <w:sz w:val="14"/>
                <w:szCs w:val="14"/>
              </w:rPr>
            </w:pPr>
            <w:r w:rsidRPr="0029440E">
              <w:rPr>
                <w:rFonts w:ascii="Arial" w:hAnsi="Arial" w:cs="Arial"/>
                <w:color w:val="000000"/>
                <w:sz w:val="14"/>
                <w:szCs w:val="14"/>
              </w:rPr>
              <w:t>--</w:t>
            </w:r>
          </w:p>
        </w:tc>
        <w:tc>
          <w:tcPr>
            <w:tcW w:w="1666" w:type="dxa"/>
            <w:vAlign w:val="center"/>
          </w:tcPr>
          <w:p w14:paraId="703373BE" w14:textId="77777777" w:rsidR="00DD01E4" w:rsidRPr="0029440E" w:rsidRDefault="00DD01E4">
            <w:pPr>
              <w:spacing w:after="0" w:line="240" w:lineRule="auto"/>
              <w:jc w:val="right"/>
              <w:rPr>
                <w:rFonts w:ascii="Arial" w:hAnsi="Arial" w:cs="Arial"/>
                <w:color w:val="000000"/>
                <w:sz w:val="14"/>
                <w:szCs w:val="14"/>
              </w:rPr>
            </w:pPr>
            <w:r w:rsidRPr="0029440E">
              <w:rPr>
                <w:rFonts w:ascii="Arial" w:hAnsi="Arial" w:cs="Arial"/>
                <w:color w:val="000000"/>
                <w:sz w:val="14"/>
                <w:szCs w:val="14"/>
              </w:rPr>
              <w:t>--</w:t>
            </w:r>
          </w:p>
        </w:tc>
        <w:tc>
          <w:tcPr>
            <w:tcW w:w="1376" w:type="dxa"/>
            <w:vAlign w:val="center"/>
          </w:tcPr>
          <w:p w14:paraId="00EC29C0" w14:textId="77777777" w:rsidR="00DD01E4" w:rsidRPr="0029440E" w:rsidRDefault="00DD01E4">
            <w:pPr>
              <w:spacing w:after="0" w:line="240" w:lineRule="auto"/>
              <w:jc w:val="right"/>
              <w:rPr>
                <w:rFonts w:ascii="Arial" w:hAnsi="Arial" w:cs="Arial"/>
                <w:color w:val="000000"/>
                <w:sz w:val="14"/>
                <w:szCs w:val="14"/>
              </w:rPr>
            </w:pPr>
            <w:r w:rsidRPr="0029440E">
              <w:rPr>
                <w:rFonts w:ascii="Arial" w:hAnsi="Arial" w:cs="Arial"/>
                <w:color w:val="000000"/>
                <w:sz w:val="14"/>
                <w:szCs w:val="14"/>
              </w:rPr>
              <w:t>7.947.203</w:t>
            </w:r>
          </w:p>
        </w:tc>
        <w:tc>
          <w:tcPr>
            <w:tcW w:w="1017" w:type="dxa"/>
            <w:vAlign w:val="center"/>
          </w:tcPr>
          <w:p w14:paraId="7F0A699C" w14:textId="77777777" w:rsidR="00DD01E4" w:rsidRPr="008E5F15" w:rsidRDefault="00DD01E4">
            <w:pPr>
              <w:spacing w:after="0" w:line="240" w:lineRule="auto"/>
              <w:jc w:val="right"/>
              <w:rPr>
                <w:rFonts w:ascii="Arial" w:hAnsi="Arial" w:cs="Arial"/>
                <w:b/>
                <w:bCs/>
                <w:color w:val="000000"/>
                <w:sz w:val="14"/>
                <w:szCs w:val="14"/>
              </w:rPr>
            </w:pPr>
            <w:r w:rsidRPr="008E5F15">
              <w:rPr>
                <w:rFonts w:ascii="Arial" w:hAnsi="Arial" w:cs="Arial"/>
                <w:b/>
                <w:bCs/>
                <w:color w:val="000000"/>
                <w:sz w:val="14"/>
                <w:szCs w:val="14"/>
              </w:rPr>
              <w:t>7.947.203</w:t>
            </w:r>
          </w:p>
        </w:tc>
      </w:tr>
      <w:tr w:rsidR="00DD01E4" w:rsidRPr="00455E07" w14:paraId="4C8BE348" w14:textId="77777777">
        <w:trPr>
          <w:trHeight w:val="238"/>
        </w:trPr>
        <w:tc>
          <w:tcPr>
            <w:tcW w:w="4889" w:type="dxa"/>
            <w:vAlign w:val="center"/>
          </w:tcPr>
          <w:p w14:paraId="259E4556" w14:textId="77777777" w:rsidR="00DD01E4" w:rsidRPr="0029440E" w:rsidRDefault="00DD01E4">
            <w:pPr>
              <w:keepNext/>
              <w:keepLines/>
              <w:spacing w:before="40" w:after="40" w:line="240" w:lineRule="auto"/>
              <w:ind w:left="113"/>
              <w:rPr>
                <w:rFonts w:ascii="Arial" w:eastAsia="Times New Roman" w:hAnsi="Arial" w:cs="Arial"/>
                <w:spacing w:val="-2"/>
                <w:sz w:val="14"/>
                <w:szCs w:val="14"/>
                <w:lang w:eastAsia="pt-BR"/>
              </w:rPr>
            </w:pPr>
            <w:r w:rsidRPr="0029440E">
              <w:rPr>
                <w:rFonts w:ascii="Arial" w:eastAsia="Times New Roman" w:hAnsi="Arial" w:cs="Arial"/>
                <w:spacing w:val="-2"/>
                <w:sz w:val="14"/>
                <w:szCs w:val="14"/>
                <w:lang w:eastAsia="pt-BR"/>
              </w:rPr>
              <w:t>Destinações - Reservas de Lucros</w:t>
            </w:r>
          </w:p>
        </w:tc>
        <w:tc>
          <w:tcPr>
            <w:tcW w:w="716" w:type="dxa"/>
            <w:shd w:val="clear" w:color="auto" w:fill="auto"/>
            <w:vAlign w:val="center"/>
          </w:tcPr>
          <w:p w14:paraId="43D6ADA3" w14:textId="77777777" w:rsidR="00DD01E4" w:rsidRPr="0029440E" w:rsidRDefault="00DD01E4">
            <w:pPr>
              <w:keepNext/>
              <w:keepLines/>
              <w:spacing w:before="40" w:after="40" w:line="240" w:lineRule="auto"/>
              <w:jc w:val="right"/>
              <w:rPr>
                <w:rFonts w:ascii="Arial" w:eastAsia="Times New Roman" w:hAnsi="Arial" w:cs="Arial"/>
                <w:spacing w:val="-2"/>
                <w:sz w:val="14"/>
                <w:szCs w:val="14"/>
                <w:lang w:eastAsia="pt-BR"/>
              </w:rPr>
            </w:pPr>
          </w:p>
        </w:tc>
        <w:tc>
          <w:tcPr>
            <w:tcW w:w="894" w:type="dxa"/>
            <w:shd w:val="clear" w:color="auto" w:fill="auto"/>
            <w:vAlign w:val="center"/>
          </w:tcPr>
          <w:p w14:paraId="1DD0254D" w14:textId="77777777" w:rsidR="00DD01E4" w:rsidRPr="0029440E" w:rsidRDefault="00DD01E4">
            <w:pPr>
              <w:spacing w:after="0" w:line="240" w:lineRule="auto"/>
              <w:jc w:val="right"/>
              <w:rPr>
                <w:rFonts w:ascii="Arial" w:hAnsi="Arial" w:cs="Arial"/>
                <w:color w:val="000000"/>
                <w:sz w:val="14"/>
                <w:szCs w:val="14"/>
              </w:rPr>
            </w:pPr>
            <w:r w:rsidRPr="0029440E">
              <w:rPr>
                <w:rFonts w:ascii="Arial" w:hAnsi="Arial" w:cs="Arial"/>
                <w:color w:val="000000"/>
                <w:sz w:val="14"/>
                <w:szCs w:val="14"/>
              </w:rPr>
              <w:t>--</w:t>
            </w:r>
          </w:p>
        </w:tc>
        <w:tc>
          <w:tcPr>
            <w:tcW w:w="968" w:type="dxa"/>
            <w:vAlign w:val="center"/>
          </w:tcPr>
          <w:p w14:paraId="5533C1B4" w14:textId="77777777" w:rsidR="00DD01E4" w:rsidRPr="0029440E" w:rsidRDefault="00DD01E4">
            <w:pPr>
              <w:spacing w:after="0" w:line="240" w:lineRule="auto"/>
              <w:jc w:val="right"/>
              <w:rPr>
                <w:rFonts w:ascii="Arial" w:hAnsi="Arial" w:cs="Arial"/>
                <w:color w:val="000000"/>
                <w:sz w:val="14"/>
                <w:szCs w:val="14"/>
              </w:rPr>
            </w:pPr>
            <w:r w:rsidRPr="0029440E">
              <w:rPr>
                <w:rFonts w:ascii="Arial" w:hAnsi="Arial" w:cs="Arial"/>
                <w:color w:val="000000"/>
                <w:sz w:val="14"/>
                <w:szCs w:val="14"/>
              </w:rPr>
              <w:t>--</w:t>
            </w:r>
          </w:p>
        </w:tc>
        <w:tc>
          <w:tcPr>
            <w:tcW w:w="1128" w:type="dxa"/>
            <w:vAlign w:val="center"/>
          </w:tcPr>
          <w:p w14:paraId="3D9B0237" w14:textId="77777777" w:rsidR="00DD01E4" w:rsidRPr="0029440E" w:rsidRDefault="00DD01E4">
            <w:pPr>
              <w:spacing w:after="0" w:line="240" w:lineRule="auto"/>
              <w:jc w:val="right"/>
              <w:rPr>
                <w:rFonts w:ascii="Arial" w:hAnsi="Arial" w:cs="Arial"/>
                <w:color w:val="000000"/>
                <w:sz w:val="14"/>
                <w:szCs w:val="14"/>
              </w:rPr>
            </w:pPr>
            <w:r w:rsidRPr="0029440E">
              <w:rPr>
                <w:rFonts w:ascii="Arial" w:hAnsi="Arial" w:cs="Arial"/>
                <w:color w:val="000000"/>
                <w:sz w:val="14"/>
                <w:szCs w:val="14"/>
              </w:rPr>
              <w:t>397.360</w:t>
            </w:r>
          </w:p>
        </w:tc>
        <w:tc>
          <w:tcPr>
            <w:tcW w:w="1646" w:type="dxa"/>
            <w:vAlign w:val="center"/>
          </w:tcPr>
          <w:p w14:paraId="7EB0BA10" w14:textId="77777777" w:rsidR="00DD01E4" w:rsidRPr="0029440E" w:rsidRDefault="00DD01E4">
            <w:pPr>
              <w:spacing w:after="0" w:line="240" w:lineRule="auto"/>
              <w:jc w:val="right"/>
              <w:rPr>
                <w:rFonts w:ascii="Arial" w:hAnsi="Arial" w:cs="Arial"/>
                <w:color w:val="000000"/>
                <w:sz w:val="14"/>
                <w:szCs w:val="14"/>
              </w:rPr>
            </w:pPr>
            <w:r w:rsidRPr="0029440E">
              <w:rPr>
                <w:rFonts w:ascii="Arial" w:hAnsi="Arial" w:cs="Arial"/>
                <w:color w:val="000000"/>
                <w:sz w:val="14"/>
                <w:szCs w:val="14"/>
              </w:rPr>
              <w:t>2.520.416</w:t>
            </w:r>
          </w:p>
        </w:tc>
        <w:tc>
          <w:tcPr>
            <w:tcW w:w="1009" w:type="dxa"/>
            <w:vAlign w:val="center"/>
          </w:tcPr>
          <w:p w14:paraId="5CDEFFF5" w14:textId="77777777" w:rsidR="00DD01E4" w:rsidRPr="0029440E" w:rsidRDefault="00DD01E4">
            <w:pPr>
              <w:spacing w:after="0" w:line="240" w:lineRule="auto"/>
              <w:jc w:val="right"/>
              <w:rPr>
                <w:rFonts w:ascii="Arial" w:hAnsi="Arial" w:cs="Arial"/>
                <w:color w:val="000000"/>
                <w:sz w:val="14"/>
                <w:szCs w:val="14"/>
              </w:rPr>
            </w:pPr>
            <w:r w:rsidRPr="0029440E">
              <w:rPr>
                <w:rFonts w:ascii="Arial" w:hAnsi="Arial" w:cs="Arial"/>
                <w:color w:val="000000"/>
                <w:sz w:val="14"/>
                <w:szCs w:val="14"/>
              </w:rPr>
              <w:t>--</w:t>
            </w:r>
          </w:p>
        </w:tc>
        <w:tc>
          <w:tcPr>
            <w:tcW w:w="1666" w:type="dxa"/>
            <w:vAlign w:val="center"/>
          </w:tcPr>
          <w:p w14:paraId="720E357D" w14:textId="77777777" w:rsidR="00DD01E4" w:rsidRPr="0029440E" w:rsidRDefault="00DD01E4">
            <w:pPr>
              <w:spacing w:after="0" w:line="240" w:lineRule="auto"/>
              <w:jc w:val="right"/>
              <w:rPr>
                <w:rFonts w:ascii="Arial" w:hAnsi="Arial" w:cs="Arial"/>
                <w:color w:val="000000"/>
                <w:sz w:val="14"/>
                <w:szCs w:val="14"/>
              </w:rPr>
            </w:pPr>
            <w:r w:rsidRPr="0029440E">
              <w:rPr>
                <w:rFonts w:ascii="Arial" w:hAnsi="Arial" w:cs="Arial"/>
                <w:color w:val="000000"/>
                <w:sz w:val="14"/>
                <w:szCs w:val="14"/>
              </w:rPr>
              <w:t>--</w:t>
            </w:r>
          </w:p>
        </w:tc>
        <w:tc>
          <w:tcPr>
            <w:tcW w:w="1376" w:type="dxa"/>
            <w:vAlign w:val="center"/>
          </w:tcPr>
          <w:p w14:paraId="2626F44C" w14:textId="77777777" w:rsidR="00DD01E4" w:rsidRPr="0029440E" w:rsidRDefault="00DD01E4">
            <w:pPr>
              <w:spacing w:after="0" w:line="240" w:lineRule="auto"/>
              <w:jc w:val="right"/>
              <w:rPr>
                <w:rFonts w:ascii="Arial" w:hAnsi="Arial" w:cs="Arial"/>
                <w:color w:val="000000"/>
                <w:sz w:val="14"/>
                <w:szCs w:val="14"/>
              </w:rPr>
            </w:pPr>
            <w:r w:rsidRPr="0029440E">
              <w:rPr>
                <w:rFonts w:ascii="Arial" w:hAnsi="Arial" w:cs="Arial"/>
                <w:color w:val="000000"/>
                <w:sz w:val="14"/>
                <w:szCs w:val="14"/>
              </w:rPr>
              <w:t>(2.917.776)</w:t>
            </w:r>
          </w:p>
        </w:tc>
        <w:tc>
          <w:tcPr>
            <w:tcW w:w="1017" w:type="dxa"/>
            <w:vAlign w:val="center"/>
          </w:tcPr>
          <w:p w14:paraId="3F76D310" w14:textId="77777777" w:rsidR="00DD01E4" w:rsidRPr="008E5F15" w:rsidRDefault="00DD01E4">
            <w:pPr>
              <w:spacing w:after="0" w:line="240" w:lineRule="auto"/>
              <w:jc w:val="right"/>
              <w:rPr>
                <w:rFonts w:ascii="Arial" w:hAnsi="Arial" w:cs="Arial"/>
                <w:b/>
                <w:bCs/>
                <w:color w:val="000000"/>
                <w:sz w:val="14"/>
                <w:szCs w:val="14"/>
              </w:rPr>
            </w:pPr>
            <w:r w:rsidRPr="008E5F15">
              <w:rPr>
                <w:rFonts w:ascii="Arial" w:hAnsi="Arial" w:cs="Arial"/>
                <w:b/>
                <w:bCs/>
                <w:color w:val="000000"/>
                <w:sz w:val="14"/>
                <w:szCs w:val="14"/>
              </w:rPr>
              <w:t>--</w:t>
            </w:r>
          </w:p>
        </w:tc>
      </w:tr>
      <w:tr w:rsidR="00DD01E4" w:rsidRPr="00455E07" w14:paraId="4DFDC242" w14:textId="77777777">
        <w:trPr>
          <w:trHeight w:val="238"/>
        </w:trPr>
        <w:tc>
          <w:tcPr>
            <w:tcW w:w="4889" w:type="dxa"/>
            <w:vAlign w:val="center"/>
          </w:tcPr>
          <w:p w14:paraId="2D9B0C29" w14:textId="77777777" w:rsidR="00DD01E4" w:rsidRPr="0029440E" w:rsidRDefault="00DD01E4">
            <w:pPr>
              <w:keepNext/>
              <w:keepLines/>
              <w:spacing w:before="40" w:after="40" w:line="240" w:lineRule="auto"/>
              <w:ind w:left="113"/>
              <w:rPr>
                <w:rFonts w:ascii="Arial" w:eastAsia="Times New Roman" w:hAnsi="Arial" w:cs="Arial"/>
                <w:spacing w:val="-2"/>
                <w:sz w:val="14"/>
                <w:szCs w:val="14"/>
                <w:lang w:eastAsia="pt-BR"/>
              </w:rPr>
            </w:pPr>
            <w:r w:rsidRPr="0029440E">
              <w:rPr>
                <w:rFonts w:ascii="Arial" w:eastAsia="Times New Roman" w:hAnsi="Arial" w:cs="Arial"/>
                <w:spacing w:val="-2"/>
                <w:sz w:val="14"/>
                <w:szCs w:val="14"/>
                <w:lang w:eastAsia="pt-BR"/>
              </w:rPr>
              <w:t xml:space="preserve">                      - Dividendos intercalares pagos </w:t>
            </w:r>
          </w:p>
        </w:tc>
        <w:tc>
          <w:tcPr>
            <w:tcW w:w="716" w:type="dxa"/>
            <w:shd w:val="clear" w:color="auto" w:fill="auto"/>
            <w:vAlign w:val="center"/>
          </w:tcPr>
          <w:p w14:paraId="302E53EB" w14:textId="77777777" w:rsidR="00DD01E4" w:rsidRPr="0029440E" w:rsidRDefault="00DD01E4">
            <w:pPr>
              <w:keepNext/>
              <w:keepLines/>
              <w:spacing w:before="40" w:after="40" w:line="240" w:lineRule="auto"/>
              <w:jc w:val="right"/>
              <w:rPr>
                <w:rFonts w:ascii="Arial" w:eastAsia="Times New Roman" w:hAnsi="Arial" w:cs="Arial"/>
                <w:spacing w:val="-2"/>
                <w:sz w:val="14"/>
                <w:szCs w:val="14"/>
                <w:lang w:eastAsia="pt-BR"/>
              </w:rPr>
            </w:pPr>
          </w:p>
        </w:tc>
        <w:tc>
          <w:tcPr>
            <w:tcW w:w="894" w:type="dxa"/>
            <w:shd w:val="clear" w:color="auto" w:fill="auto"/>
            <w:vAlign w:val="center"/>
          </w:tcPr>
          <w:p w14:paraId="7C561BBC" w14:textId="77777777" w:rsidR="00DD01E4" w:rsidRPr="0029440E" w:rsidRDefault="00DD01E4">
            <w:pPr>
              <w:spacing w:after="0" w:line="240" w:lineRule="auto"/>
              <w:jc w:val="right"/>
              <w:rPr>
                <w:rFonts w:ascii="Arial" w:hAnsi="Arial" w:cs="Arial"/>
                <w:color w:val="000000"/>
                <w:sz w:val="14"/>
                <w:szCs w:val="14"/>
              </w:rPr>
            </w:pPr>
            <w:r w:rsidRPr="0029440E">
              <w:rPr>
                <w:rFonts w:ascii="Arial" w:hAnsi="Arial" w:cs="Arial"/>
                <w:color w:val="000000"/>
                <w:sz w:val="14"/>
                <w:szCs w:val="14"/>
              </w:rPr>
              <w:t>--</w:t>
            </w:r>
          </w:p>
        </w:tc>
        <w:tc>
          <w:tcPr>
            <w:tcW w:w="968" w:type="dxa"/>
            <w:vAlign w:val="center"/>
          </w:tcPr>
          <w:p w14:paraId="0E72F270" w14:textId="77777777" w:rsidR="00DD01E4" w:rsidRPr="0029440E" w:rsidRDefault="00DD01E4">
            <w:pPr>
              <w:spacing w:after="0" w:line="240" w:lineRule="auto"/>
              <w:jc w:val="right"/>
              <w:rPr>
                <w:rFonts w:ascii="Arial" w:hAnsi="Arial" w:cs="Arial"/>
                <w:color w:val="000000"/>
                <w:sz w:val="14"/>
                <w:szCs w:val="14"/>
              </w:rPr>
            </w:pPr>
            <w:r w:rsidRPr="0029440E">
              <w:rPr>
                <w:rFonts w:ascii="Arial" w:hAnsi="Arial" w:cs="Arial"/>
                <w:color w:val="000000"/>
                <w:sz w:val="14"/>
                <w:szCs w:val="14"/>
              </w:rPr>
              <w:t>--</w:t>
            </w:r>
          </w:p>
        </w:tc>
        <w:tc>
          <w:tcPr>
            <w:tcW w:w="1128" w:type="dxa"/>
            <w:vAlign w:val="center"/>
          </w:tcPr>
          <w:p w14:paraId="6ACB5EF8" w14:textId="77777777" w:rsidR="00DD01E4" w:rsidRPr="0029440E" w:rsidRDefault="00DD01E4">
            <w:pPr>
              <w:spacing w:after="0" w:line="240" w:lineRule="auto"/>
              <w:jc w:val="right"/>
              <w:rPr>
                <w:rFonts w:ascii="Arial" w:hAnsi="Arial" w:cs="Arial"/>
                <w:color w:val="000000"/>
                <w:sz w:val="14"/>
                <w:szCs w:val="14"/>
              </w:rPr>
            </w:pPr>
            <w:r w:rsidRPr="0029440E">
              <w:rPr>
                <w:rFonts w:ascii="Arial" w:hAnsi="Arial" w:cs="Arial"/>
                <w:color w:val="000000"/>
                <w:sz w:val="14"/>
                <w:szCs w:val="14"/>
              </w:rPr>
              <w:t>--</w:t>
            </w:r>
          </w:p>
        </w:tc>
        <w:tc>
          <w:tcPr>
            <w:tcW w:w="1646" w:type="dxa"/>
            <w:vAlign w:val="center"/>
          </w:tcPr>
          <w:p w14:paraId="17073759" w14:textId="77777777" w:rsidR="00DD01E4" w:rsidRPr="0029440E" w:rsidRDefault="00DD01E4">
            <w:pPr>
              <w:spacing w:after="0" w:line="240" w:lineRule="auto"/>
              <w:jc w:val="right"/>
              <w:rPr>
                <w:rFonts w:ascii="Arial" w:hAnsi="Arial" w:cs="Arial"/>
                <w:color w:val="000000"/>
                <w:sz w:val="14"/>
                <w:szCs w:val="14"/>
              </w:rPr>
            </w:pPr>
            <w:r w:rsidRPr="0029440E">
              <w:rPr>
                <w:rFonts w:ascii="Arial" w:hAnsi="Arial" w:cs="Arial"/>
                <w:color w:val="000000"/>
                <w:sz w:val="14"/>
                <w:szCs w:val="14"/>
              </w:rPr>
              <w:t>--</w:t>
            </w:r>
          </w:p>
        </w:tc>
        <w:tc>
          <w:tcPr>
            <w:tcW w:w="1009" w:type="dxa"/>
            <w:vAlign w:val="center"/>
          </w:tcPr>
          <w:p w14:paraId="0AE31080" w14:textId="77777777" w:rsidR="00DD01E4" w:rsidRPr="0029440E" w:rsidRDefault="00DD01E4">
            <w:pPr>
              <w:spacing w:after="0" w:line="240" w:lineRule="auto"/>
              <w:jc w:val="right"/>
              <w:rPr>
                <w:rFonts w:ascii="Arial" w:hAnsi="Arial" w:cs="Arial"/>
                <w:color w:val="000000"/>
                <w:sz w:val="14"/>
                <w:szCs w:val="14"/>
              </w:rPr>
            </w:pPr>
            <w:r w:rsidRPr="0029440E">
              <w:rPr>
                <w:rFonts w:ascii="Arial" w:hAnsi="Arial" w:cs="Arial"/>
                <w:color w:val="000000"/>
                <w:sz w:val="14"/>
                <w:szCs w:val="14"/>
              </w:rPr>
              <w:t>--</w:t>
            </w:r>
          </w:p>
        </w:tc>
        <w:tc>
          <w:tcPr>
            <w:tcW w:w="1666" w:type="dxa"/>
            <w:vAlign w:val="center"/>
          </w:tcPr>
          <w:p w14:paraId="43FCB6B2" w14:textId="77777777" w:rsidR="00DD01E4" w:rsidRPr="0029440E" w:rsidRDefault="00DD01E4">
            <w:pPr>
              <w:spacing w:after="0" w:line="240" w:lineRule="auto"/>
              <w:jc w:val="right"/>
              <w:rPr>
                <w:rFonts w:ascii="Arial" w:hAnsi="Arial" w:cs="Arial"/>
                <w:color w:val="000000"/>
                <w:sz w:val="14"/>
                <w:szCs w:val="14"/>
              </w:rPr>
            </w:pPr>
            <w:r w:rsidRPr="0029440E">
              <w:rPr>
                <w:rFonts w:ascii="Arial" w:hAnsi="Arial" w:cs="Arial"/>
                <w:color w:val="000000"/>
                <w:sz w:val="14"/>
                <w:szCs w:val="14"/>
              </w:rPr>
              <w:t>--</w:t>
            </w:r>
          </w:p>
        </w:tc>
        <w:tc>
          <w:tcPr>
            <w:tcW w:w="1376" w:type="dxa"/>
            <w:vAlign w:val="center"/>
          </w:tcPr>
          <w:p w14:paraId="50F9AD58" w14:textId="77777777" w:rsidR="00DD01E4" w:rsidRPr="0029440E" w:rsidRDefault="00DD01E4">
            <w:pPr>
              <w:spacing w:after="0" w:line="240" w:lineRule="auto"/>
              <w:jc w:val="right"/>
              <w:rPr>
                <w:rFonts w:ascii="Arial" w:hAnsi="Arial" w:cs="Arial"/>
                <w:color w:val="000000"/>
                <w:sz w:val="14"/>
                <w:szCs w:val="14"/>
              </w:rPr>
            </w:pPr>
            <w:r w:rsidRPr="0029440E">
              <w:rPr>
                <w:rFonts w:ascii="Arial" w:hAnsi="Arial" w:cs="Arial"/>
                <w:color w:val="000000"/>
                <w:sz w:val="14"/>
                <w:szCs w:val="14"/>
              </w:rPr>
              <w:t>(3.210.050)</w:t>
            </w:r>
          </w:p>
        </w:tc>
        <w:tc>
          <w:tcPr>
            <w:tcW w:w="1017" w:type="dxa"/>
            <w:vAlign w:val="center"/>
          </w:tcPr>
          <w:p w14:paraId="157BEB47" w14:textId="77777777" w:rsidR="00DD01E4" w:rsidRPr="008E5F15" w:rsidRDefault="00DD01E4">
            <w:pPr>
              <w:spacing w:after="0" w:line="240" w:lineRule="auto"/>
              <w:jc w:val="right"/>
              <w:rPr>
                <w:rFonts w:ascii="Arial" w:hAnsi="Arial" w:cs="Arial"/>
                <w:b/>
                <w:bCs/>
                <w:color w:val="000000"/>
                <w:sz w:val="14"/>
                <w:szCs w:val="14"/>
              </w:rPr>
            </w:pPr>
            <w:r w:rsidRPr="008E5F15">
              <w:rPr>
                <w:rFonts w:ascii="Arial" w:hAnsi="Arial" w:cs="Arial"/>
                <w:b/>
                <w:bCs/>
                <w:color w:val="000000"/>
                <w:sz w:val="14"/>
                <w:szCs w:val="14"/>
              </w:rPr>
              <w:t>(3.210.050)</w:t>
            </w:r>
          </w:p>
        </w:tc>
      </w:tr>
      <w:tr w:rsidR="00DD01E4" w:rsidRPr="00455E07" w14:paraId="02C38CD5" w14:textId="77777777">
        <w:trPr>
          <w:trHeight w:val="238"/>
        </w:trPr>
        <w:tc>
          <w:tcPr>
            <w:tcW w:w="4889" w:type="dxa"/>
            <w:vAlign w:val="center"/>
          </w:tcPr>
          <w:p w14:paraId="1B12320C" w14:textId="77777777" w:rsidR="00DD01E4" w:rsidRPr="0029440E" w:rsidRDefault="00DD01E4">
            <w:pPr>
              <w:keepNext/>
              <w:keepLines/>
              <w:spacing w:before="40" w:after="40" w:line="240" w:lineRule="auto"/>
              <w:ind w:left="113"/>
              <w:rPr>
                <w:rFonts w:ascii="Arial" w:eastAsia="Times New Roman" w:hAnsi="Arial" w:cs="Arial"/>
                <w:spacing w:val="-2"/>
                <w:sz w:val="14"/>
                <w:szCs w:val="14"/>
                <w:lang w:eastAsia="pt-BR"/>
              </w:rPr>
            </w:pPr>
            <w:r w:rsidRPr="0029440E">
              <w:rPr>
                <w:rFonts w:ascii="Arial" w:eastAsia="Times New Roman" w:hAnsi="Arial" w:cs="Arial"/>
                <w:spacing w:val="-2"/>
                <w:sz w:val="14"/>
                <w:szCs w:val="14"/>
                <w:lang w:eastAsia="pt-BR"/>
              </w:rPr>
              <w:t xml:space="preserve">                      - Dividendos propostos a pagar</w:t>
            </w:r>
          </w:p>
        </w:tc>
        <w:tc>
          <w:tcPr>
            <w:tcW w:w="716" w:type="dxa"/>
            <w:shd w:val="clear" w:color="auto" w:fill="auto"/>
            <w:vAlign w:val="center"/>
          </w:tcPr>
          <w:p w14:paraId="2416C88F" w14:textId="77777777" w:rsidR="00DD01E4" w:rsidRPr="0029440E" w:rsidRDefault="00DD01E4">
            <w:pPr>
              <w:keepNext/>
              <w:keepLines/>
              <w:spacing w:before="40" w:after="40" w:line="240" w:lineRule="auto"/>
              <w:jc w:val="right"/>
              <w:rPr>
                <w:rFonts w:ascii="Arial" w:eastAsia="Times New Roman" w:hAnsi="Arial" w:cs="Arial"/>
                <w:spacing w:val="-2"/>
                <w:sz w:val="14"/>
                <w:szCs w:val="14"/>
                <w:lang w:eastAsia="pt-BR"/>
              </w:rPr>
            </w:pPr>
          </w:p>
        </w:tc>
        <w:tc>
          <w:tcPr>
            <w:tcW w:w="894" w:type="dxa"/>
            <w:shd w:val="clear" w:color="auto" w:fill="auto"/>
            <w:vAlign w:val="center"/>
          </w:tcPr>
          <w:p w14:paraId="1918D365" w14:textId="77777777" w:rsidR="00DD01E4" w:rsidRPr="0029440E" w:rsidRDefault="00DD01E4">
            <w:pPr>
              <w:spacing w:after="0" w:line="240" w:lineRule="auto"/>
              <w:jc w:val="right"/>
              <w:rPr>
                <w:rFonts w:ascii="Arial" w:hAnsi="Arial" w:cs="Arial"/>
                <w:color w:val="000000"/>
                <w:sz w:val="14"/>
                <w:szCs w:val="14"/>
              </w:rPr>
            </w:pPr>
            <w:r w:rsidRPr="0029440E">
              <w:rPr>
                <w:rFonts w:ascii="Arial" w:hAnsi="Arial" w:cs="Arial"/>
                <w:color w:val="000000"/>
                <w:sz w:val="14"/>
                <w:szCs w:val="14"/>
              </w:rPr>
              <w:t>--</w:t>
            </w:r>
          </w:p>
        </w:tc>
        <w:tc>
          <w:tcPr>
            <w:tcW w:w="968" w:type="dxa"/>
            <w:vAlign w:val="center"/>
          </w:tcPr>
          <w:p w14:paraId="68727B11" w14:textId="77777777" w:rsidR="00DD01E4" w:rsidRPr="0029440E" w:rsidRDefault="00DD01E4">
            <w:pPr>
              <w:spacing w:after="0" w:line="240" w:lineRule="auto"/>
              <w:jc w:val="right"/>
              <w:rPr>
                <w:rFonts w:ascii="Arial" w:hAnsi="Arial" w:cs="Arial"/>
                <w:color w:val="000000"/>
                <w:sz w:val="14"/>
                <w:szCs w:val="14"/>
              </w:rPr>
            </w:pPr>
            <w:r w:rsidRPr="0029440E">
              <w:rPr>
                <w:rFonts w:ascii="Arial" w:hAnsi="Arial" w:cs="Arial"/>
                <w:color w:val="000000"/>
                <w:sz w:val="14"/>
                <w:szCs w:val="14"/>
              </w:rPr>
              <w:t>--</w:t>
            </w:r>
          </w:p>
        </w:tc>
        <w:tc>
          <w:tcPr>
            <w:tcW w:w="1128" w:type="dxa"/>
            <w:vAlign w:val="center"/>
          </w:tcPr>
          <w:p w14:paraId="0AE82FEB" w14:textId="77777777" w:rsidR="00DD01E4" w:rsidRPr="0029440E" w:rsidRDefault="00DD01E4">
            <w:pPr>
              <w:spacing w:after="0" w:line="240" w:lineRule="auto"/>
              <w:jc w:val="right"/>
              <w:rPr>
                <w:rFonts w:ascii="Arial" w:hAnsi="Arial" w:cs="Arial"/>
                <w:color w:val="000000"/>
                <w:sz w:val="14"/>
                <w:szCs w:val="14"/>
              </w:rPr>
            </w:pPr>
            <w:r w:rsidRPr="0029440E">
              <w:rPr>
                <w:rFonts w:ascii="Arial" w:hAnsi="Arial" w:cs="Arial"/>
                <w:color w:val="000000"/>
                <w:sz w:val="14"/>
                <w:szCs w:val="14"/>
              </w:rPr>
              <w:t>--</w:t>
            </w:r>
          </w:p>
        </w:tc>
        <w:tc>
          <w:tcPr>
            <w:tcW w:w="1646" w:type="dxa"/>
            <w:vAlign w:val="center"/>
          </w:tcPr>
          <w:p w14:paraId="0882FDB3" w14:textId="77777777" w:rsidR="00DD01E4" w:rsidRPr="0029440E" w:rsidRDefault="00DD01E4">
            <w:pPr>
              <w:spacing w:after="0" w:line="240" w:lineRule="auto"/>
              <w:jc w:val="right"/>
              <w:rPr>
                <w:rFonts w:ascii="Arial" w:hAnsi="Arial" w:cs="Arial"/>
                <w:color w:val="000000"/>
                <w:sz w:val="14"/>
                <w:szCs w:val="14"/>
              </w:rPr>
            </w:pPr>
            <w:r w:rsidRPr="0029440E">
              <w:rPr>
                <w:rFonts w:ascii="Arial" w:hAnsi="Arial" w:cs="Arial"/>
                <w:color w:val="000000"/>
                <w:sz w:val="14"/>
                <w:szCs w:val="14"/>
              </w:rPr>
              <w:t>--</w:t>
            </w:r>
          </w:p>
        </w:tc>
        <w:tc>
          <w:tcPr>
            <w:tcW w:w="1009" w:type="dxa"/>
            <w:vAlign w:val="center"/>
          </w:tcPr>
          <w:p w14:paraId="244B7FC4" w14:textId="77777777" w:rsidR="00DD01E4" w:rsidRPr="0029440E" w:rsidRDefault="00DD01E4">
            <w:pPr>
              <w:spacing w:after="0" w:line="240" w:lineRule="auto"/>
              <w:jc w:val="right"/>
              <w:rPr>
                <w:rFonts w:ascii="Arial" w:hAnsi="Arial" w:cs="Arial"/>
                <w:color w:val="000000"/>
                <w:sz w:val="14"/>
                <w:szCs w:val="14"/>
              </w:rPr>
            </w:pPr>
            <w:r w:rsidRPr="0029440E">
              <w:rPr>
                <w:rFonts w:ascii="Arial" w:hAnsi="Arial" w:cs="Arial"/>
                <w:color w:val="000000"/>
                <w:sz w:val="14"/>
                <w:szCs w:val="14"/>
              </w:rPr>
              <w:t>--</w:t>
            </w:r>
          </w:p>
        </w:tc>
        <w:tc>
          <w:tcPr>
            <w:tcW w:w="1666" w:type="dxa"/>
            <w:vAlign w:val="center"/>
          </w:tcPr>
          <w:p w14:paraId="7F713D78" w14:textId="77777777" w:rsidR="00DD01E4" w:rsidRPr="0029440E" w:rsidRDefault="00DD01E4">
            <w:pPr>
              <w:spacing w:after="0" w:line="240" w:lineRule="auto"/>
              <w:jc w:val="right"/>
              <w:rPr>
                <w:rFonts w:ascii="Arial" w:hAnsi="Arial" w:cs="Arial"/>
                <w:color w:val="000000"/>
                <w:sz w:val="14"/>
                <w:szCs w:val="14"/>
              </w:rPr>
            </w:pPr>
            <w:r w:rsidRPr="0029440E">
              <w:rPr>
                <w:rFonts w:ascii="Arial" w:hAnsi="Arial" w:cs="Arial"/>
                <w:color w:val="000000"/>
                <w:sz w:val="14"/>
                <w:szCs w:val="14"/>
              </w:rPr>
              <w:t>--</w:t>
            </w:r>
          </w:p>
        </w:tc>
        <w:tc>
          <w:tcPr>
            <w:tcW w:w="1376" w:type="dxa"/>
            <w:vAlign w:val="center"/>
          </w:tcPr>
          <w:p w14:paraId="3650186F" w14:textId="77777777" w:rsidR="00DD01E4" w:rsidRPr="0029440E" w:rsidRDefault="00DD01E4">
            <w:pPr>
              <w:spacing w:after="0" w:line="240" w:lineRule="auto"/>
              <w:jc w:val="right"/>
              <w:rPr>
                <w:rFonts w:ascii="Arial" w:hAnsi="Arial" w:cs="Arial"/>
                <w:color w:val="000000"/>
                <w:sz w:val="14"/>
                <w:szCs w:val="14"/>
              </w:rPr>
            </w:pPr>
            <w:r w:rsidRPr="0029440E">
              <w:rPr>
                <w:rFonts w:ascii="Arial" w:hAnsi="Arial" w:cs="Arial"/>
                <w:color w:val="000000"/>
                <w:sz w:val="14"/>
                <w:szCs w:val="14"/>
              </w:rPr>
              <w:t>(2.455.023)</w:t>
            </w:r>
          </w:p>
        </w:tc>
        <w:tc>
          <w:tcPr>
            <w:tcW w:w="1017" w:type="dxa"/>
            <w:vAlign w:val="center"/>
          </w:tcPr>
          <w:p w14:paraId="39C62D45" w14:textId="77777777" w:rsidR="00DD01E4" w:rsidRPr="008E5F15" w:rsidRDefault="00DD01E4">
            <w:pPr>
              <w:spacing w:after="0" w:line="240" w:lineRule="auto"/>
              <w:jc w:val="right"/>
              <w:rPr>
                <w:rFonts w:ascii="Arial" w:hAnsi="Arial" w:cs="Arial"/>
                <w:b/>
                <w:bCs/>
                <w:color w:val="000000"/>
                <w:sz w:val="14"/>
                <w:szCs w:val="14"/>
              </w:rPr>
            </w:pPr>
            <w:r w:rsidRPr="008E5F15">
              <w:rPr>
                <w:rFonts w:ascii="Arial" w:hAnsi="Arial" w:cs="Arial"/>
                <w:b/>
                <w:bCs/>
                <w:color w:val="000000"/>
                <w:sz w:val="14"/>
                <w:szCs w:val="14"/>
              </w:rPr>
              <w:t>(2.455.023)</w:t>
            </w:r>
          </w:p>
        </w:tc>
      </w:tr>
      <w:tr w:rsidR="00DD01E4" w:rsidRPr="00F025B3" w14:paraId="6775088E" w14:textId="77777777">
        <w:trPr>
          <w:trHeight w:val="238"/>
        </w:trPr>
        <w:tc>
          <w:tcPr>
            <w:tcW w:w="4889" w:type="dxa"/>
            <w:tcBorders>
              <w:bottom w:val="single" w:sz="2" w:space="0" w:color="1F3864" w:themeColor="accent1" w:themeShade="80"/>
            </w:tcBorders>
            <w:vAlign w:val="center"/>
          </w:tcPr>
          <w:p w14:paraId="22FE75E9" w14:textId="77777777" w:rsidR="00DD01E4" w:rsidRPr="0029440E" w:rsidRDefault="00DD01E4">
            <w:pPr>
              <w:keepNext/>
              <w:keepLines/>
              <w:spacing w:before="40" w:after="40" w:line="240" w:lineRule="auto"/>
              <w:rPr>
                <w:rFonts w:ascii="Arial" w:eastAsia="Times New Roman" w:hAnsi="Arial" w:cs="Arial"/>
                <w:spacing w:val="-2"/>
                <w:sz w:val="14"/>
                <w:szCs w:val="14"/>
                <w:lang w:eastAsia="pt-BR"/>
              </w:rPr>
            </w:pPr>
            <w:r w:rsidRPr="0029440E">
              <w:rPr>
                <w:rFonts w:ascii="Arial" w:eastAsia="Times New Roman" w:hAnsi="Arial" w:cs="Arial"/>
                <w:b/>
                <w:bCs/>
                <w:spacing w:val="-2"/>
                <w:sz w:val="14"/>
                <w:szCs w:val="14"/>
                <w:lang w:eastAsia="pt-BR"/>
              </w:rPr>
              <w:t>Saldos em 31.12.2023</w:t>
            </w:r>
          </w:p>
        </w:tc>
        <w:tc>
          <w:tcPr>
            <w:tcW w:w="716" w:type="dxa"/>
            <w:tcBorders>
              <w:bottom w:val="single" w:sz="2" w:space="0" w:color="1F3864" w:themeColor="accent1" w:themeShade="80"/>
            </w:tcBorders>
            <w:vAlign w:val="center"/>
          </w:tcPr>
          <w:p w14:paraId="16FE3DC5" w14:textId="77777777" w:rsidR="00DD01E4" w:rsidRPr="0029440E" w:rsidRDefault="00DD01E4">
            <w:pPr>
              <w:keepNext/>
              <w:keepLines/>
              <w:spacing w:before="40" w:after="40" w:line="240" w:lineRule="auto"/>
              <w:jc w:val="right"/>
              <w:rPr>
                <w:rFonts w:ascii="Arial" w:eastAsia="Times New Roman" w:hAnsi="Arial" w:cs="Arial"/>
                <w:spacing w:val="-2"/>
                <w:sz w:val="14"/>
                <w:szCs w:val="14"/>
                <w:lang w:eastAsia="pt-BR"/>
              </w:rPr>
            </w:pPr>
          </w:p>
        </w:tc>
        <w:tc>
          <w:tcPr>
            <w:tcW w:w="894" w:type="dxa"/>
            <w:tcBorders>
              <w:bottom w:val="single" w:sz="2" w:space="0" w:color="1F3864" w:themeColor="accent1" w:themeShade="80"/>
            </w:tcBorders>
            <w:shd w:val="clear" w:color="auto" w:fill="auto"/>
            <w:vAlign w:val="center"/>
          </w:tcPr>
          <w:p w14:paraId="32947C0B" w14:textId="77777777" w:rsidR="00DD01E4" w:rsidRPr="0029440E" w:rsidRDefault="00DD01E4">
            <w:pPr>
              <w:keepNext/>
              <w:keepLines/>
              <w:spacing w:before="40" w:after="40" w:line="240" w:lineRule="auto"/>
              <w:jc w:val="right"/>
              <w:rPr>
                <w:rFonts w:ascii="Arial" w:hAnsi="Arial" w:cs="Arial"/>
                <w:b/>
                <w:bCs/>
                <w:color w:val="000000"/>
                <w:sz w:val="14"/>
                <w:szCs w:val="14"/>
              </w:rPr>
            </w:pPr>
            <w:r w:rsidRPr="0029440E">
              <w:rPr>
                <w:rFonts w:ascii="Arial" w:hAnsi="Arial" w:cs="Arial"/>
                <w:b/>
                <w:bCs/>
                <w:color w:val="000000"/>
                <w:sz w:val="14"/>
                <w:szCs w:val="14"/>
              </w:rPr>
              <w:t>6.269.692</w:t>
            </w:r>
          </w:p>
        </w:tc>
        <w:tc>
          <w:tcPr>
            <w:tcW w:w="968" w:type="dxa"/>
            <w:tcBorders>
              <w:bottom w:val="single" w:sz="2" w:space="0" w:color="1F3864" w:themeColor="accent1" w:themeShade="80"/>
            </w:tcBorders>
            <w:shd w:val="clear" w:color="auto" w:fill="auto"/>
            <w:vAlign w:val="center"/>
          </w:tcPr>
          <w:p w14:paraId="056784CC" w14:textId="77777777" w:rsidR="00DD01E4" w:rsidRPr="0029440E" w:rsidRDefault="00DD01E4">
            <w:pPr>
              <w:keepNext/>
              <w:keepLines/>
              <w:spacing w:before="40" w:after="40" w:line="240" w:lineRule="auto"/>
              <w:jc w:val="right"/>
              <w:rPr>
                <w:rFonts w:ascii="Arial" w:hAnsi="Arial" w:cs="Arial"/>
                <w:b/>
                <w:bCs/>
                <w:color w:val="000000"/>
                <w:sz w:val="14"/>
                <w:szCs w:val="14"/>
              </w:rPr>
            </w:pPr>
            <w:r w:rsidRPr="0029440E">
              <w:rPr>
                <w:rFonts w:ascii="Arial" w:hAnsi="Arial" w:cs="Arial"/>
                <w:b/>
                <w:bCs/>
                <w:color w:val="000000"/>
                <w:sz w:val="14"/>
                <w:szCs w:val="14"/>
              </w:rPr>
              <w:t>1.805</w:t>
            </w:r>
          </w:p>
        </w:tc>
        <w:tc>
          <w:tcPr>
            <w:tcW w:w="1128" w:type="dxa"/>
            <w:tcBorders>
              <w:bottom w:val="single" w:sz="2" w:space="0" w:color="1F3864" w:themeColor="accent1" w:themeShade="80"/>
            </w:tcBorders>
            <w:shd w:val="clear" w:color="auto" w:fill="auto"/>
            <w:vAlign w:val="center"/>
          </w:tcPr>
          <w:p w14:paraId="6F5E2E91" w14:textId="77777777" w:rsidR="00DD01E4" w:rsidRPr="0029440E" w:rsidRDefault="00DD01E4">
            <w:pPr>
              <w:keepNext/>
              <w:keepLines/>
              <w:spacing w:before="40" w:after="40" w:line="240" w:lineRule="auto"/>
              <w:jc w:val="right"/>
              <w:rPr>
                <w:rFonts w:ascii="Arial" w:hAnsi="Arial" w:cs="Arial"/>
                <w:b/>
                <w:bCs/>
                <w:color w:val="000000"/>
                <w:sz w:val="14"/>
                <w:szCs w:val="14"/>
              </w:rPr>
            </w:pPr>
            <w:r w:rsidRPr="0029440E">
              <w:rPr>
                <w:rFonts w:ascii="Arial" w:hAnsi="Arial" w:cs="Arial"/>
                <w:b/>
                <w:bCs/>
                <w:color w:val="000000"/>
                <w:sz w:val="14"/>
                <w:szCs w:val="14"/>
              </w:rPr>
              <w:t>699.589</w:t>
            </w:r>
          </w:p>
        </w:tc>
        <w:tc>
          <w:tcPr>
            <w:tcW w:w="1646" w:type="dxa"/>
            <w:tcBorders>
              <w:bottom w:val="single" w:sz="2" w:space="0" w:color="1F3864" w:themeColor="accent1" w:themeShade="80"/>
            </w:tcBorders>
            <w:shd w:val="clear" w:color="auto" w:fill="auto"/>
            <w:vAlign w:val="center"/>
          </w:tcPr>
          <w:p w14:paraId="0B2D742E" w14:textId="77777777" w:rsidR="00DD01E4" w:rsidRPr="0029440E" w:rsidRDefault="00DD01E4">
            <w:pPr>
              <w:keepNext/>
              <w:keepLines/>
              <w:spacing w:before="40" w:after="40" w:line="240" w:lineRule="auto"/>
              <w:jc w:val="right"/>
              <w:rPr>
                <w:rFonts w:ascii="Arial" w:hAnsi="Arial" w:cs="Arial"/>
                <w:b/>
                <w:bCs/>
                <w:color w:val="000000"/>
                <w:sz w:val="14"/>
                <w:szCs w:val="14"/>
              </w:rPr>
            </w:pPr>
            <w:r w:rsidRPr="0029440E">
              <w:rPr>
                <w:rFonts w:ascii="Arial" w:hAnsi="Arial" w:cs="Arial"/>
                <w:b/>
                <w:bCs/>
                <w:color w:val="000000"/>
                <w:sz w:val="14"/>
                <w:szCs w:val="14"/>
              </w:rPr>
              <w:t>3.747.247</w:t>
            </w:r>
          </w:p>
        </w:tc>
        <w:tc>
          <w:tcPr>
            <w:tcW w:w="1009" w:type="dxa"/>
            <w:tcBorders>
              <w:bottom w:val="single" w:sz="2" w:space="0" w:color="1F3864" w:themeColor="accent1" w:themeShade="80"/>
            </w:tcBorders>
            <w:shd w:val="clear" w:color="auto" w:fill="auto"/>
            <w:vAlign w:val="center"/>
          </w:tcPr>
          <w:p w14:paraId="69CEB3CB" w14:textId="77777777" w:rsidR="00DD01E4" w:rsidRPr="0029440E" w:rsidRDefault="00DD01E4">
            <w:pPr>
              <w:keepNext/>
              <w:keepLines/>
              <w:spacing w:before="40" w:after="40" w:line="240" w:lineRule="auto"/>
              <w:jc w:val="right"/>
              <w:rPr>
                <w:rFonts w:ascii="Arial" w:hAnsi="Arial" w:cs="Arial"/>
                <w:b/>
                <w:bCs/>
                <w:color w:val="000000"/>
                <w:sz w:val="14"/>
                <w:szCs w:val="14"/>
              </w:rPr>
            </w:pPr>
            <w:r w:rsidRPr="0029440E">
              <w:rPr>
                <w:rFonts w:ascii="Arial" w:hAnsi="Arial" w:cs="Arial"/>
                <w:b/>
                <w:bCs/>
                <w:color w:val="000000"/>
                <w:sz w:val="14"/>
                <w:szCs w:val="14"/>
              </w:rPr>
              <w:t>(704.030)</w:t>
            </w:r>
          </w:p>
        </w:tc>
        <w:tc>
          <w:tcPr>
            <w:tcW w:w="1666" w:type="dxa"/>
            <w:tcBorders>
              <w:bottom w:val="single" w:sz="2" w:space="0" w:color="1F3864" w:themeColor="accent1" w:themeShade="80"/>
            </w:tcBorders>
            <w:shd w:val="clear" w:color="auto" w:fill="auto"/>
            <w:vAlign w:val="center"/>
          </w:tcPr>
          <w:p w14:paraId="39D45D98" w14:textId="77777777" w:rsidR="00DD01E4" w:rsidRPr="0029440E" w:rsidRDefault="00DD01E4">
            <w:pPr>
              <w:keepNext/>
              <w:keepLines/>
              <w:spacing w:before="40" w:after="40" w:line="240" w:lineRule="auto"/>
              <w:jc w:val="right"/>
              <w:rPr>
                <w:rFonts w:ascii="Arial" w:hAnsi="Arial" w:cs="Arial"/>
                <w:b/>
                <w:bCs/>
                <w:color w:val="000000"/>
                <w:sz w:val="14"/>
                <w:szCs w:val="14"/>
              </w:rPr>
            </w:pPr>
            <w:r w:rsidRPr="0029440E">
              <w:rPr>
                <w:rFonts w:ascii="Arial" w:hAnsi="Arial" w:cs="Arial"/>
                <w:b/>
                <w:bCs/>
                <w:color w:val="000000"/>
                <w:sz w:val="14"/>
                <w:szCs w:val="14"/>
              </w:rPr>
              <w:t>(197.821)</w:t>
            </w:r>
          </w:p>
        </w:tc>
        <w:tc>
          <w:tcPr>
            <w:tcW w:w="1376" w:type="dxa"/>
            <w:tcBorders>
              <w:bottom w:val="single" w:sz="2" w:space="0" w:color="1F3864" w:themeColor="accent1" w:themeShade="80"/>
            </w:tcBorders>
            <w:shd w:val="clear" w:color="auto" w:fill="auto"/>
            <w:vAlign w:val="center"/>
          </w:tcPr>
          <w:p w14:paraId="23176ACF" w14:textId="77777777" w:rsidR="00DD01E4" w:rsidRPr="0029440E" w:rsidRDefault="00DD01E4">
            <w:pPr>
              <w:keepNext/>
              <w:keepLines/>
              <w:spacing w:before="40" w:after="40" w:line="240" w:lineRule="auto"/>
              <w:jc w:val="right"/>
              <w:rPr>
                <w:rFonts w:ascii="Arial" w:hAnsi="Arial" w:cs="Arial"/>
                <w:b/>
                <w:bCs/>
                <w:color w:val="000000"/>
                <w:sz w:val="14"/>
                <w:szCs w:val="14"/>
              </w:rPr>
            </w:pPr>
            <w:r w:rsidRPr="0029440E">
              <w:rPr>
                <w:rFonts w:ascii="Arial" w:hAnsi="Arial" w:cs="Arial"/>
                <w:b/>
                <w:bCs/>
                <w:color w:val="000000"/>
                <w:sz w:val="14"/>
                <w:szCs w:val="14"/>
              </w:rPr>
              <w:t>--</w:t>
            </w:r>
          </w:p>
        </w:tc>
        <w:tc>
          <w:tcPr>
            <w:tcW w:w="1017" w:type="dxa"/>
            <w:tcBorders>
              <w:bottom w:val="single" w:sz="2" w:space="0" w:color="1F3864" w:themeColor="accent1" w:themeShade="80"/>
            </w:tcBorders>
            <w:shd w:val="clear" w:color="auto" w:fill="auto"/>
            <w:vAlign w:val="center"/>
          </w:tcPr>
          <w:p w14:paraId="546951D4" w14:textId="77777777" w:rsidR="00DD01E4" w:rsidRPr="008E5F15" w:rsidRDefault="00DD01E4">
            <w:pPr>
              <w:keepNext/>
              <w:keepLines/>
              <w:spacing w:before="40" w:after="40" w:line="240" w:lineRule="auto"/>
              <w:jc w:val="right"/>
              <w:rPr>
                <w:rFonts w:ascii="Arial" w:hAnsi="Arial" w:cs="Arial"/>
                <w:b/>
                <w:bCs/>
                <w:color w:val="000000"/>
                <w:sz w:val="14"/>
                <w:szCs w:val="14"/>
              </w:rPr>
            </w:pPr>
            <w:r w:rsidRPr="008E5F15">
              <w:rPr>
                <w:rFonts w:ascii="Arial" w:hAnsi="Arial" w:cs="Arial"/>
                <w:b/>
                <w:bCs/>
                <w:color w:val="000000"/>
                <w:sz w:val="14"/>
                <w:szCs w:val="14"/>
              </w:rPr>
              <w:t>9.816.482</w:t>
            </w:r>
          </w:p>
        </w:tc>
      </w:tr>
      <w:tr w:rsidR="00DD01E4" w:rsidRPr="003B02D7" w14:paraId="6D86A6DB" w14:textId="77777777">
        <w:trPr>
          <w:trHeight w:val="176"/>
        </w:trPr>
        <w:tc>
          <w:tcPr>
            <w:tcW w:w="4889" w:type="dxa"/>
            <w:tcBorders>
              <w:top w:val="single" w:sz="2" w:space="0" w:color="1F3864" w:themeColor="accent1" w:themeShade="80"/>
              <w:bottom w:val="single" w:sz="2" w:space="0" w:color="1F3864" w:themeColor="accent1" w:themeShade="80"/>
            </w:tcBorders>
            <w:vAlign w:val="center"/>
          </w:tcPr>
          <w:p w14:paraId="0FD627ED" w14:textId="77777777" w:rsidR="00DD01E4" w:rsidRPr="0029440E" w:rsidRDefault="00DD01E4">
            <w:pPr>
              <w:keepNext/>
              <w:keepLines/>
              <w:spacing w:before="40" w:after="40" w:line="240" w:lineRule="auto"/>
              <w:rPr>
                <w:rFonts w:ascii="Arial" w:eastAsia="Times New Roman" w:hAnsi="Arial" w:cs="Arial"/>
                <w:spacing w:val="-2"/>
                <w:sz w:val="14"/>
                <w:szCs w:val="14"/>
                <w:highlight w:val="yellow"/>
                <w:lang w:eastAsia="pt-BR"/>
              </w:rPr>
            </w:pPr>
            <w:r w:rsidRPr="0029440E">
              <w:rPr>
                <w:rFonts w:ascii="Arial" w:eastAsia="Times New Roman" w:hAnsi="Arial" w:cs="Arial"/>
                <w:b/>
                <w:bCs/>
                <w:spacing w:val="-2"/>
                <w:sz w:val="14"/>
                <w:szCs w:val="14"/>
                <w:lang w:eastAsia="pt-BR"/>
              </w:rPr>
              <w:t>Mutações do Exercício</w:t>
            </w:r>
          </w:p>
        </w:tc>
        <w:tc>
          <w:tcPr>
            <w:tcW w:w="716" w:type="dxa"/>
            <w:tcBorders>
              <w:top w:val="single" w:sz="2" w:space="0" w:color="1F3864" w:themeColor="accent1" w:themeShade="80"/>
              <w:bottom w:val="single" w:sz="2" w:space="0" w:color="1F3864" w:themeColor="accent1" w:themeShade="80"/>
            </w:tcBorders>
            <w:vAlign w:val="center"/>
          </w:tcPr>
          <w:p w14:paraId="25C657A3" w14:textId="77777777" w:rsidR="00DD01E4" w:rsidRPr="0029440E" w:rsidRDefault="00DD01E4">
            <w:pPr>
              <w:keepNext/>
              <w:keepLines/>
              <w:spacing w:before="40" w:after="40" w:line="240" w:lineRule="auto"/>
              <w:jc w:val="right"/>
              <w:rPr>
                <w:rFonts w:ascii="Arial" w:eastAsia="Times New Roman" w:hAnsi="Arial" w:cs="Arial"/>
                <w:b/>
                <w:spacing w:val="-2"/>
                <w:sz w:val="14"/>
                <w:szCs w:val="14"/>
                <w:highlight w:val="yellow"/>
                <w:lang w:eastAsia="pt-BR"/>
              </w:rPr>
            </w:pPr>
          </w:p>
        </w:tc>
        <w:tc>
          <w:tcPr>
            <w:tcW w:w="894" w:type="dxa"/>
            <w:tcBorders>
              <w:top w:val="single" w:sz="2" w:space="0" w:color="1F3864" w:themeColor="accent1" w:themeShade="80"/>
              <w:bottom w:val="single" w:sz="2" w:space="0" w:color="1F3864" w:themeColor="accent1" w:themeShade="80"/>
            </w:tcBorders>
            <w:vAlign w:val="center"/>
          </w:tcPr>
          <w:p w14:paraId="451CC5F5" w14:textId="77777777" w:rsidR="00DD01E4" w:rsidRPr="0029440E" w:rsidRDefault="00DD01E4">
            <w:pPr>
              <w:keepNext/>
              <w:keepLines/>
              <w:spacing w:before="40" w:after="40" w:line="240" w:lineRule="auto"/>
              <w:jc w:val="right"/>
              <w:rPr>
                <w:rFonts w:ascii="Arial" w:hAnsi="Arial" w:cs="Arial"/>
                <w:b/>
                <w:bCs/>
                <w:sz w:val="14"/>
                <w:szCs w:val="14"/>
              </w:rPr>
            </w:pPr>
            <w:r w:rsidRPr="0029440E">
              <w:rPr>
                <w:rFonts w:ascii="Arial" w:hAnsi="Arial" w:cs="Arial"/>
                <w:b/>
                <w:bCs/>
                <w:sz w:val="14"/>
                <w:szCs w:val="14"/>
              </w:rPr>
              <w:t>--</w:t>
            </w:r>
          </w:p>
        </w:tc>
        <w:tc>
          <w:tcPr>
            <w:tcW w:w="968" w:type="dxa"/>
            <w:tcBorders>
              <w:top w:val="single" w:sz="2" w:space="0" w:color="1F3864" w:themeColor="accent1" w:themeShade="80"/>
              <w:bottom w:val="single" w:sz="2" w:space="0" w:color="1F3864" w:themeColor="accent1" w:themeShade="80"/>
            </w:tcBorders>
            <w:vAlign w:val="center"/>
          </w:tcPr>
          <w:p w14:paraId="7BE31540" w14:textId="77777777" w:rsidR="00DD01E4" w:rsidRPr="0029440E" w:rsidRDefault="00DD01E4">
            <w:pPr>
              <w:keepNext/>
              <w:keepLines/>
              <w:spacing w:before="40" w:after="40" w:line="240" w:lineRule="auto"/>
              <w:jc w:val="right"/>
              <w:rPr>
                <w:rFonts w:ascii="Arial" w:hAnsi="Arial" w:cs="Arial"/>
                <w:b/>
                <w:bCs/>
                <w:sz w:val="14"/>
                <w:szCs w:val="14"/>
              </w:rPr>
            </w:pPr>
            <w:r w:rsidRPr="0029440E">
              <w:rPr>
                <w:rFonts w:ascii="Arial" w:hAnsi="Arial" w:cs="Arial"/>
                <w:b/>
                <w:bCs/>
                <w:color w:val="000000"/>
                <w:sz w:val="14"/>
                <w:szCs w:val="14"/>
              </w:rPr>
              <w:t>234</w:t>
            </w:r>
          </w:p>
        </w:tc>
        <w:tc>
          <w:tcPr>
            <w:tcW w:w="1128" w:type="dxa"/>
            <w:tcBorders>
              <w:top w:val="single" w:sz="2" w:space="0" w:color="1F3864" w:themeColor="accent1" w:themeShade="80"/>
              <w:bottom w:val="single" w:sz="2" w:space="0" w:color="1F3864" w:themeColor="accent1" w:themeShade="80"/>
            </w:tcBorders>
            <w:vAlign w:val="center"/>
          </w:tcPr>
          <w:p w14:paraId="51B342DE" w14:textId="77777777" w:rsidR="00DD01E4" w:rsidRPr="0029440E" w:rsidRDefault="00DD01E4">
            <w:pPr>
              <w:keepNext/>
              <w:keepLines/>
              <w:spacing w:before="40" w:after="40" w:line="240" w:lineRule="auto"/>
              <w:jc w:val="right"/>
              <w:rPr>
                <w:rFonts w:ascii="Arial" w:hAnsi="Arial" w:cs="Arial"/>
                <w:b/>
                <w:bCs/>
                <w:sz w:val="14"/>
                <w:szCs w:val="14"/>
              </w:rPr>
            </w:pPr>
            <w:r w:rsidRPr="0029440E">
              <w:rPr>
                <w:rFonts w:ascii="Arial" w:hAnsi="Arial" w:cs="Arial"/>
                <w:b/>
                <w:bCs/>
                <w:color w:val="000000"/>
                <w:sz w:val="14"/>
                <w:szCs w:val="14"/>
              </w:rPr>
              <w:t>397.360</w:t>
            </w:r>
          </w:p>
        </w:tc>
        <w:tc>
          <w:tcPr>
            <w:tcW w:w="1646" w:type="dxa"/>
            <w:tcBorders>
              <w:top w:val="single" w:sz="2" w:space="0" w:color="1F3864" w:themeColor="accent1" w:themeShade="80"/>
              <w:bottom w:val="single" w:sz="2" w:space="0" w:color="1F3864" w:themeColor="accent1" w:themeShade="80"/>
            </w:tcBorders>
            <w:vAlign w:val="center"/>
          </w:tcPr>
          <w:p w14:paraId="651919FC" w14:textId="77777777" w:rsidR="00DD01E4" w:rsidRPr="0029440E" w:rsidRDefault="00DD01E4">
            <w:pPr>
              <w:keepNext/>
              <w:keepLines/>
              <w:spacing w:before="40" w:after="40" w:line="240" w:lineRule="auto"/>
              <w:jc w:val="right"/>
              <w:rPr>
                <w:rFonts w:ascii="Arial" w:hAnsi="Arial" w:cs="Arial"/>
                <w:b/>
                <w:bCs/>
                <w:sz w:val="14"/>
                <w:szCs w:val="14"/>
              </w:rPr>
            </w:pPr>
            <w:r w:rsidRPr="0029440E">
              <w:rPr>
                <w:rFonts w:ascii="Arial" w:hAnsi="Arial" w:cs="Arial"/>
                <w:b/>
                <w:bCs/>
                <w:color w:val="000000"/>
                <w:sz w:val="14"/>
                <w:szCs w:val="14"/>
              </w:rPr>
              <w:t>2.497.247</w:t>
            </w:r>
          </w:p>
        </w:tc>
        <w:tc>
          <w:tcPr>
            <w:tcW w:w="1009" w:type="dxa"/>
            <w:tcBorders>
              <w:top w:val="single" w:sz="2" w:space="0" w:color="1F3864" w:themeColor="accent1" w:themeShade="80"/>
              <w:bottom w:val="single" w:sz="2" w:space="0" w:color="1F3864" w:themeColor="accent1" w:themeShade="80"/>
            </w:tcBorders>
            <w:vAlign w:val="center"/>
          </w:tcPr>
          <w:p w14:paraId="0F06C280" w14:textId="77777777" w:rsidR="00DD01E4" w:rsidRPr="0029440E" w:rsidRDefault="00DD01E4">
            <w:pPr>
              <w:keepNext/>
              <w:keepLines/>
              <w:spacing w:before="40" w:after="40" w:line="240" w:lineRule="auto"/>
              <w:jc w:val="right"/>
              <w:rPr>
                <w:rFonts w:ascii="Arial" w:hAnsi="Arial" w:cs="Arial"/>
                <w:b/>
                <w:bCs/>
                <w:sz w:val="14"/>
                <w:szCs w:val="14"/>
              </w:rPr>
            </w:pPr>
            <w:r w:rsidRPr="0029440E">
              <w:rPr>
                <w:rFonts w:ascii="Arial" w:hAnsi="Arial" w:cs="Arial"/>
                <w:b/>
                <w:bCs/>
                <w:color w:val="000000"/>
                <w:sz w:val="14"/>
                <w:szCs w:val="14"/>
              </w:rPr>
              <w:t>(623.686)</w:t>
            </w:r>
          </w:p>
        </w:tc>
        <w:tc>
          <w:tcPr>
            <w:tcW w:w="1666" w:type="dxa"/>
            <w:tcBorders>
              <w:top w:val="single" w:sz="2" w:space="0" w:color="1F3864" w:themeColor="accent1" w:themeShade="80"/>
              <w:bottom w:val="single" w:sz="2" w:space="0" w:color="1F3864" w:themeColor="accent1" w:themeShade="80"/>
            </w:tcBorders>
            <w:shd w:val="clear" w:color="auto" w:fill="auto"/>
            <w:vAlign w:val="center"/>
          </w:tcPr>
          <w:p w14:paraId="116055D6" w14:textId="77777777" w:rsidR="00DD01E4" w:rsidRPr="0029440E" w:rsidRDefault="00DD01E4">
            <w:pPr>
              <w:keepNext/>
              <w:keepLines/>
              <w:spacing w:before="40" w:after="40" w:line="240" w:lineRule="auto"/>
              <w:jc w:val="right"/>
              <w:rPr>
                <w:rFonts w:ascii="Arial" w:hAnsi="Arial" w:cs="Arial"/>
                <w:b/>
                <w:bCs/>
                <w:color w:val="000000"/>
                <w:sz w:val="14"/>
                <w:szCs w:val="14"/>
              </w:rPr>
            </w:pPr>
            <w:r w:rsidRPr="0029440E">
              <w:rPr>
                <w:rFonts w:ascii="Arial" w:hAnsi="Arial" w:cs="Arial"/>
                <w:b/>
                <w:bCs/>
                <w:color w:val="000000"/>
                <w:sz w:val="14"/>
                <w:szCs w:val="14"/>
              </w:rPr>
              <w:t>144.171</w:t>
            </w:r>
          </w:p>
        </w:tc>
        <w:tc>
          <w:tcPr>
            <w:tcW w:w="1376" w:type="dxa"/>
            <w:tcBorders>
              <w:top w:val="single" w:sz="2" w:space="0" w:color="1F3864" w:themeColor="accent1" w:themeShade="80"/>
              <w:bottom w:val="single" w:sz="2" w:space="0" w:color="1F3864" w:themeColor="accent1" w:themeShade="80"/>
            </w:tcBorders>
            <w:shd w:val="clear" w:color="auto" w:fill="auto"/>
            <w:vAlign w:val="center"/>
          </w:tcPr>
          <w:p w14:paraId="37C9A219" w14:textId="77777777" w:rsidR="00DD01E4" w:rsidRPr="0029440E" w:rsidRDefault="00DD01E4">
            <w:pPr>
              <w:keepNext/>
              <w:keepLines/>
              <w:spacing w:before="40" w:after="40" w:line="240" w:lineRule="auto"/>
              <w:jc w:val="right"/>
              <w:rPr>
                <w:rFonts w:ascii="Arial" w:hAnsi="Arial" w:cs="Arial"/>
                <w:b/>
                <w:bCs/>
                <w:color w:val="000000"/>
                <w:sz w:val="14"/>
                <w:szCs w:val="14"/>
              </w:rPr>
            </w:pPr>
            <w:r w:rsidRPr="0029440E">
              <w:rPr>
                <w:rFonts w:ascii="Arial" w:hAnsi="Arial" w:cs="Arial"/>
                <w:b/>
                <w:bCs/>
                <w:color w:val="000000"/>
                <w:sz w:val="14"/>
                <w:szCs w:val="14"/>
              </w:rPr>
              <w:t>(635.574)</w:t>
            </w:r>
          </w:p>
        </w:tc>
        <w:tc>
          <w:tcPr>
            <w:tcW w:w="1017" w:type="dxa"/>
            <w:tcBorders>
              <w:top w:val="single" w:sz="2" w:space="0" w:color="1F3864" w:themeColor="accent1" w:themeShade="80"/>
              <w:bottom w:val="single" w:sz="2" w:space="0" w:color="1F3864" w:themeColor="accent1" w:themeShade="80"/>
            </w:tcBorders>
            <w:shd w:val="clear" w:color="auto" w:fill="auto"/>
            <w:vAlign w:val="center"/>
          </w:tcPr>
          <w:p w14:paraId="4D5C6B21" w14:textId="77777777" w:rsidR="00DD01E4" w:rsidRPr="0029440E" w:rsidRDefault="00DD01E4">
            <w:pPr>
              <w:keepNext/>
              <w:keepLines/>
              <w:spacing w:before="40" w:after="40" w:line="240" w:lineRule="auto"/>
              <w:jc w:val="right"/>
              <w:rPr>
                <w:rFonts w:ascii="Arial" w:hAnsi="Arial" w:cs="Arial"/>
                <w:b/>
                <w:bCs/>
                <w:color w:val="000000"/>
                <w:sz w:val="14"/>
                <w:szCs w:val="14"/>
              </w:rPr>
            </w:pPr>
            <w:r w:rsidRPr="0029440E">
              <w:rPr>
                <w:rFonts w:ascii="Arial" w:hAnsi="Arial" w:cs="Arial"/>
                <w:b/>
                <w:bCs/>
                <w:color w:val="000000"/>
                <w:sz w:val="14"/>
                <w:szCs w:val="14"/>
              </w:rPr>
              <w:t>1.779.752</w:t>
            </w:r>
          </w:p>
        </w:tc>
      </w:tr>
      <w:tr w:rsidR="00DD01E4" w:rsidRPr="004B5EA4" w14:paraId="23DB08AE" w14:textId="77777777">
        <w:trPr>
          <w:trHeight w:val="166"/>
        </w:trPr>
        <w:tc>
          <w:tcPr>
            <w:tcW w:w="4889" w:type="dxa"/>
            <w:vAlign w:val="center"/>
          </w:tcPr>
          <w:p w14:paraId="61BBFF8A" w14:textId="77777777" w:rsidR="00DD01E4" w:rsidRPr="0029440E" w:rsidRDefault="00DD01E4">
            <w:pPr>
              <w:keepNext/>
              <w:keepLines/>
              <w:spacing w:before="40" w:after="40" w:line="240" w:lineRule="auto"/>
              <w:rPr>
                <w:rFonts w:ascii="Arial" w:eastAsia="Times New Roman" w:hAnsi="Arial" w:cs="Arial"/>
                <w:b/>
                <w:bCs/>
                <w:spacing w:val="-2"/>
                <w:sz w:val="14"/>
                <w:szCs w:val="14"/>
                <w:lang w:eastAsia="pt-BR"/>
              </w:rPr>
            </w:pPr>
          </w:p>
        </w:tc>
        <w:tc>
          <w:tcPr>
            <w:tcW w:w="716" w:type="dxa"/>
            <w:vAlign w:val="center"/>
          </w:tcPr>
          <w:p w14:paraId="04474533" w14:textId="77777777" w:rsidR="00DD01E4" w:rsidRPr="0029440E" w:rsidRDefault="00DD01E4">
            <w:pPr>
              <w:keepNext/>
              <w:keepLines/>
              <w:spacing w:before="40" w:after="40" w:line="240" w:lineRule="auto"/>
              <w:jc w:val="right"/>
              <w:rPr>
                <w:rFonts w:ascii="Arial" w:eastAsia="Times New Roman" w:hAnsi="Arial" w:cs="Arial"/>
                <w:b/>
                <w:bCs/>
                <w:spacing w:val="-2"/>
                <w:sz w:val="14"/>
                <w:szCs w:val="14"/>
                <w:lang w:eastAsia="pt-BR"/>
              </w:rPr>
            </w:pPr>
          </w:p>
        </w:tc>
        <w:tc>
          <w:tcPr>
            <w:tcW w:w="894" w:type="dxa"/>
            <w:vAlign w:val="center"/>
          </w:tcPr>
          <w:p w14:paraId="3D3676DE" w14:textId="77777777" w:rsidR="00DD01E4" w:rsidRPr="0029440E" w:rsidRDefault="00DD01E4">
            <w:pPr>
              <w:spacing w:after="0" w:line="240" w:lineRule="auto"/>
              <w:jc w:val="right"/>
              <w:rPr>
                <w:rFonts w:ascii="Arial" w:hAnsi="Arial" w:cs="Arial"/>
                <w:b/>
                <w:bCs/>
                <w:color w:val="000000"/>
                <w:sz w:val="14"/>
                <w:szCs w:val="14"/>
              </w:rPr>
            </w:pPr>
          </w:p>
        </w:tc>
        <w:tc>
          <w:tcPr>
            <w:tcW w:w="968" w:type="dxa"/>
            <w:vAlign w:val="center"/>
          </w:tcPr>
          <w:p w14:paraId="6D7AE51B" w14:textId="77777777" w:rsidR="00DD01E4" w:rsidRPr="0029440E" w:rsidRDefault="00DD01E4">
            <w:pPr>
              <w:spacing w:after="0" w:line="240" w:lineRule="auto"/>
              <w:jc w:val="right"/>
              <w:rPr>
                <w:rFonts w:ascii="Arial" w:hAnsi="Arial" w:cs="Arial"/>
                <w:b/>
                <w:bCs/>
                <w:color w:val="000000"/>
                <w:sz w:val="14"/>
                <w:szCs w:val="14"/>
              </w:rPr>
            </w:pPr>
          </w:p>
        </w:tc>
        <w:tc>
          <w:tcPr>
            <w:tcW w:w="1128" w:type="dxa"/>
            <w:vAlign w:val="center"/>
          </w:tcPr>
          <w:p w14:paraId="1EB4416F" w14:textId="77777777" w:rsidR="00DD01E4" w:rsidRPr="0029440E" w:rsidRDefault="00DD01E4">
            <w:pPr>
              <w:spacing w:after="0" w:line="240" w:lineRule="auto"/>
              <w:jc w:val="right"/>
              <w:rPr>
                <w:rFonts w:ascii="Arial" w:hAnsi="Arial" w:cs="Arial"/>
                <w:b/>
                <w:bCs/>
                <w:color w:val="000000"/>
                <w:sz w:val="14"/>
                <w:szCs w:val="14"/>
              </w:rPr>
            </w:pPr>
          </w:p>
        </w:tc>
        <w:tc>
          <w:tcPr>
            <w:tcW w:w="1646" w:type="dxa"/>
            <w:vAlign w:val="center"/>
          </w:tcPr>
          <w:p w14:paraId="043F0649" w14:textId="77777777" w:rsidR="00DD01E4" w:rsidRPr="0029440E" w:rsidRDefault="00DD01E4">
            <w:pPr>
              <w:spacing w:after="0" w:line="240" w:lineRule="auto"/>
              <w:jc w:val="right"/>
              <w:rPr>
                <w:rFonts w:ascii="Arial" w:hAnsi="Arial" w:cs="Arial"/>
                <w:b/>
                <w:bCs/>
                <w:color w:val="000000"/>
                <w:sz w:val="14"/>
                <w:szCs w:val="14"/>
              </w:rPr>
            </w:pPr>
          </w:p>
        </w:tc>
        <w:tc>
          <w:tcPr>
            <w:tcW w:w="1009" w:type="dxa"/>
            <w:vAlign w:val="center"/>
          </w:tcPr>
          <w:p w14:paraId="00E0D286" w14:textId="77777777" w:rsidR="00DD01E4" w:rsidRPr="0029440E" w:rsidRDefault="00DD01E4">
            <w:pPr>
              <w:spacing w:after="0" w:line="240" w:lineRule="auto"/>
              <w:jc w:val="right"/>
              <w:rPr>
                <w:rFonts w:ascii="Arial" w:hAnsi="Arial" w:cs="Arial"/>
                <w:b/>
                <w:bCs/>
                <w:color w:val="000000"/>
                <w:sz w:val="14"/>
                <w:szCs w:val="14"/>
              </w:rPr>
            </w:pPr>
          </w:p>
        </w:tc>
        <w:tc>
          <w:tcPr>
            <w:tcW w:w="1666" w:type="dxa"/>
            <w:vAlign w:val="center"/>
          </w:tcPr>
          <w:p w14:paraId="4BF91467" w14:textId="77777777" w:rsidR="00DD01E4" w:rsidRPr="0029440E" w:rsidRDefault="00DD01E4">
            <w:pPr>
              <w:spacing w:after="0" w:line="240" w:lineRule="auto"/>
              <w:jc w:val="right"/>
              <w:rPr>
                <w:rFonts w:ascii="Arial" w:hAnsi="Arial" w:cs="Arial"/>
                <w:b/>
                <w:bCs/>
                <w:color w:val="000000"/>
                <w:sz w:val="14"/>
                <w:szCs w:val="14"/>
              </w:rPr>
            </w:pPr>
          </w:p>
        </w:tc>
        <w:tc>
          <w:tcPr>
            <w:tcW w:w="1376" w:type="dxa"/>
            <w:vAlign w:val="center"/>
          </w:tcPr>
          <w:p w14:paraId="2D909653" w14:textId="77777777" w:rsidR="00DD01E4" w:rsidRPr="0029440E" w:rsidRDefault="00DD01E4">
            <w:pPr>
              <w:spacing w:after="0" w:line="240" w:lineRule="auto"/>
              <w:jc w:val="right"/>
              <w:rPr>
                <w:rFonts w:ascii="Arial" w:hAnsi="Arial" w:cs="Arial"/>
                <w:b/>
                <w:bCs/>
                <w:color w:val="000000"/>
                <w:sz w:val="14"/>
                <w:szCs w:val="14"/>
              </w:rPr>
            </w:pPr>
          </w:p>
        </w:tc>
        <w:tc>
          <w:tcPr>
            <w:tcW w:w="1017" w:type="dxa"/>
            <w:vAlign w:val="center"/>
          </w:tcPr>
          <w:p w14:paraId="1EE3CA77" w14:textId="77777777" w:rsidR="00DD01E4" w:rsidRPr="0029440E" w:rsidRDefault="00DD01E4">
            <w:pPr>
              <w:spacing w:after="0" w:line="240" w:lineRule="auto"/>
              <w:jc w:val="right"/>
              <w:rPr>
                <w:rFonts w:ascii="Arial" w:hAnsi="Arial" w:cs="Arial"/>
                <w:b/>
                <w:bCs/>
                <w:color w:val="000000"/>
                <w:sz w:val="14"/>
                <w:szCs w:val="14"/>
              </w:rPr>
            </w:pPr>
          </w:p>
        </w:tc>
      </w:tr>
      <w:tr w:rsidR="00DD01E4" w:rsidRPr="004B5EA4" w14:paraId="1CE61E62" w14:textId="77777777">
        <w:trPr>
          <w:trHeight w:val="166"/>
        </w:trPr>
        <w:tc>
          <w:tcPr>
            <w:tcW w:w="4889" w:type="dxa"/>
            <w:vAlign w:val="center"/>
          </w:tcPr>
          <w:p w14:paraId="24E8BFB3" w14:textId="77777777" w:rsidR="00DD01E4" w:rsidRPr="0029440E" w:rsidRDefault="00DD01E4">
            <w:pPr>
              <w:keepNext/>
              <w:keepLines/>
              <w:spacing w:before="40" w:after="40" w:line="240" w:lineRule="auto"/>
              <w:rPr>
                <w:rFonts w:ascii="Arial" w:eastAsia="Times New Roman" w:hAnsi="Arial" w:cs="Arial"/>
                <w:b/>
                <w:bCs/>
                <w:spacing w:val="-2"/>
                <w:sz w:val="14"/>
                <w:szCs w:val="14"/>
                <w:lang w:eastAsia="pt-BR"/>
              </w:rPr>
            </w:pPr>
            <w:r w:rsidRPr="0029440E">
              <w:rPr>
                <w:rFonts w:ascii="Arial" w:eastAsia="Times New Roman" w:hAnsi="Arial" w:cs="Arial"/>
                <w:b/>
                <w:bCs/>
                <w:spacing w:val="-2"/>
                <w:sz w:val="14"/>
                <w:szCs w:val="14"/>
                <w:lang w:eastAsia="pt-BR"/>
              </w:rPr>
              <w:t>Saldos em 31.12.2023</w:t>
            </w:r>
          </w:p>
        </w:tc>
        <w:tc>
          <w:tcPr>
            <w:tcW w:w="716" w:type="dxa"/>
            <w:vAlign w:val="center"/>
          </w:tcPr>
          <w:p w14:paraId="100EEA41" w14:textId="77777777" w:rsidR="00DD01E4" w:rsidRPr="0029440E" w:rsidRDefault="00DD01E4">
            <w:pPr>
              <w:keepNext/>
              <w:keepLines/>
              <w:spacing w:before="40" w:after="40" w:line="240" w:lineRule="auto"/>
              <w:jc w:val="right"/>
              <w:rPr>
                <w:rFonts w:ascii="Arial" w:eastAsia="Times New Roman" w:hAnsi="Arial" w:cs="Arial"/>
                <w:b/>
                <w:bCs/>
                <w:spacing w:val="-2"/>
                <w:sz w:val="14"/>
                <w:szCs w:val="14"/>
                <w:lang w:eastAsia="pt-BR"/>
              </w:rPr>
            </w:pPr>
          </w:p>
        </w:tc>
        <w:tc>
          <w:tcPr>
            <w:tcW w:w="894" w:type="dxa"/>
            <w:vAlign w:val="center"/>
          </w:tcPr>
          <w:p w14:paraId="273D8A3E" w14:textId="77777777" w:rsidR="00DD01E4" w:rsidRPr="008E5F15" w:rsidRDefault="00DD01E4">
            <w:pPr>
              <w:spacing w:after="0" w:line="240" w:lineRule="auto"/>
              <w:jc w:val="right"/>
              <w:rPr>
                <w:rFonts w:ascii="Arial" w:hAnsi="Arial" w:cs="Arial"/>
                <w:b/>
                <w:bCs/>
                <w:color w:val="000000"/>
                <w:sz w:val="14"/>
                <w:szCs w:val="14"/>
              </w:rPr>
            </w:pPr>
            <w:r w:rsidRPr="008E5F15">
              <w:rPr>
                <w:rFonts w:ascii="Arial" w:hAnsi="Arial" w:cs="Arial"/>
                <w:b/>
                <w:bCs/>
                <w:color w:val="000000"/>
                <w:sz w:val="14"/>
                <w:szCs w:val="14"/>
              </w:rPr>
              <w:t>6.269.692</w:t>
            </w:r>
          </w:p>
        </w:tc>
        <w:tc>
          <w:tcPr>
            <w:tcW w:w="968" w:type="dxa"/>
            <w:vAlign w:val="center"/>
          </w:tcPr>
          <w:p w14:paraId="7EED4310" w14:textId="77777777" w:rsidR="00DD01E4" w:rsidRPr="008E5F15" w:rsidRDefault="00DD01E4">
            <w:pPr>
              <w:spacing w:after="0" w:line="240" w:lineRule="auto"/>
              <w:jc w:val="right"/>
              <w:rPr>
                <w:rFonts w:ascii="Arial" w:hAnsi="Arial" w:cs="Arial"/>
                <w:b/>
                <w:bCs/>
                <w:color w:val="000000"/>
                <w:sz w:val="14"/>
                <w:szCs w:val="14"/>
              </w:rPr>
            </w:pPr>
            <w:r w:rsidRPr="008E5F15">
              <w:rPr>
                <w:rFonts w:ascii="Arial" w:hAnsi="Arial" w:cs="Arial"/>
                <w:b/>
                <w:bCs/>
                <w:color w:val="000000"/>
                <w:sz w:val="14"/>
                <w:szCs w:val="14"/>
              </w:rPr>
              <w:t>1.805</w:t>
            </w:r>
          </w:p>
        </w:tc>
        <w:tc>
          <w:tcPr>
            <w:tcW w:w="1128" w:type="dxa"/>
            <w:vAlign w:val="center"/>
          </w:tcPr>
          <w:p w14:paraId="6F32B525" w14:textId="77777777" w:rsidR="00DD01E4" w:rsidRPr="0029440E" w:rsidRDefault="00DD01E4">
            <w:pPr>
              <w:spacing w:after="0" w:line="240" w:lineRule="auto"/>
              <w:jc w:val="right"/>
              <w:rPr>
                <w:rFonts w:ascii="Arial" w:hAnsi="Arial" w:cs="Arial"/>
                <w:b/>
                <w:bCs/>
                <w:color w:val="000000"/>
                <w:sz w:val="14"/>
                <w:szCs w:val="14"/>
              </w:rPr>
            </w:pPr>
            <w:r w:rsidRPr="0029440E">
              <w:rPr>
                <w:rFonts w:ascii="Arial" w:hAnsi="Arial" w:cs="Arial"/>
                <w:b/>
                <w:bCs/>
                <w:color w:val="000000"/>
                <w:sz w:val="14"/>
                <w:szCs w:val="14"/>
              </w:rPr>
              <w:t>699.589</w:t>
            </w:r>
          </w:p>
        </w:tc>
        <w:tc>
          <w:tcPr>
            <w:tcW w:w="1646" w:type="dxa"/>
            <w:vAlign w:val="center"/>
          </w:tcPr>
          <w:p w14:paraId="075C41DC" w14:textId="77777777" w:rsidR="00DD01E4" w:rsidRPr="0029440E" w:rsidRDefault="00DD01E4">
            <w:pPr>
              <w:spacing w:after="0" w:line="240" w:lineRule="auto"/>
              <w:jc w:val="right"/>
              <w:rPr>
                <w:rFonts w:ascii="Arial" w:hAnsi="Arial" w:cs="Arial"/>
                <w:b/>
                <w:bCs/>
                <w:color w:val="000000"/>
                <w:sz w:val="14"/>
                <w:szCs w:val="14"/>
              </w:rPr>
            </w:pPr>
            <w:r w:rsidRPr="0029440E">
              <w:rPr>
                <w:rFonts w:ascii="Arial" w:hAnsi="Arial" w:cs="Arial"/>
                <w:b/>
                <w:bCs/>
                <w:color w:val="000000"/>
                <w:sz w:val="14"/>
                <w:szCs w:val="14"/>
              </w:rPr>
              <w:t>3.747.247</w:t>
            </w:r>
          </w:p>
        </w:tc>
        <w:tc>
          <w:tcPr>
            <w:tcW w:w="1009" w:type="dxa"/>
            <w:vAlign w:val="center"/>
          </w:tcPr>
          <w:p w14:paraId="79573A4F" w14:textId="77777777" w:rsidR="00DD01E4" w:rsidRPr="0029440E" w:rsidRDefault="00DD01E4">
            <w:pPr>
              <w:spacing w:after="0" w:line="240" w:lineRule="auto"/>
              <w:jc w:val="right"/>
              <w:rPr>
                <w:rFonts w:ascii="Arial" w:hAnsi="Arial" w:cs="Arial"/>
                <w:b/>
                <w:bCs/>
                <w:color w:val="000000"/>
                <w:sz w:val="14"/>
                <w:szCs w:val="14"/>
              </w:rPr>
            </w:pPr>
            <w:r w:rsidRPr="0029440E">
              <w:rPr>
                <w:rFonts w:ascii="Arial" w:hAnsi="Arial" w:cs="Arial"/>
                <w:b/>
                <w:bCs/>
                <w:color w:val="000000"/>
                <w:sz w:val="14"/>
                <w:szCs w:val="14"/>
              </w:rPr>
              <w:t>(704.030)</w:t>
            </w:r>
          </w:p>
        </w:tc>
        <w:tc>
          <w:tcPr>
            <w:tcW w:w="1666" w:type="dxa"/>
            <w:vAlign w:val="center"/>
          </w:tcPr>
          <w:p w14:paraId="2264DB0B" w14:textId="77777777" w:rsidR="00DD01E4" w:rsidRPr="0029440E" w:rsidRDefault="00DD01E4">
            <w:pPr>
              <w:spacing w:after="0" w:line="240" w:lineRule="auto"/>
              <w:jc w:val="right"/>
              <w:rPr>
                <w:rFonts w:ascii="Arial" w:hAnsi="Arial" w:cs="Arial"/>
                <w:b/>
                <w:bCs/>
                <w:color w:val="000000"/>
                <w:sz w:val="14"/>
                <w:szCs w:val="14"/>
              </w:rPr>
            </w:pPr>
            <w:r w:rsidRPr="0029440E">
              <w:rPr>
                <w:rFonts w:ascii="Arial" w:hAnsi="Arial" w:cs="Arial"/>
                <w:b/>
                <w:bCs/>
                <w:color w:val="000000"/>
                <w:sz w:val="14"/>
                <w:szCs w:val="14"/>
              </w:rPr>
              <w:t>(197.821)</w:t>
            </w:r>
          </w:p>
        </w:tc>
        <w:tc>
          <w:tcPr>
            <w:tcW w:w="1376" w:type="dxa"/>
            <w:vAlign w:val="center"/>
          </w:tcPr>
          <w:p w14:paraId="1233EFAB" w14:textId="77777777" w:rsidR="00DD01E4" w:rsidRPr="0029440E" w:rsidRDefault="00DD01E4">
            <w:pPr>
              <w:spacing w:after="0" w:line="240" w:lineRule="auto"/>
              <w:jc w:val="right"/>
              <w:rPr>
                <w:rFonts w:ascii="Arial" w:hAnsi="Arial" w:cs="Arial"/>
                <w:b/>
                <w:bCs/>
                <w:color w:val="000000"/>
                <w:sz w:val="14"/>
                <w:szCs w:val="14"/>
              </w:rPr>
            </w:pPr>
            <w:r w:rsidRPr="0029440E">
              <w:rPr>
                <w:rFonts w:ascii="Arial" w:hAnsi="Arial" w:cs="Arial"/>
                <w:b/>
                <w:bCs/>
                <w:color w:val="000000"/>
                <w:sz w:val="14"/>
                <w:szCs w:val="14"/>
              </w:rPr>
              <w:t xml:space="preserve">--   </w:t>
            </w:r>
          </w:p>
        </w:tc>
        <w:tc>
          <w:tcPr>
            <w:tcW w:w="1017" w:type="dxa"/>
            <w:vAlign w:val="center"/>
          </w:tcPr>
          <w:p w14:paraId="6D7E2F36" w14:textId="77777777" w:rsidR="00DD01E4" w:rsidRPr="008E5F15" w:rsidRDefault="00DD01E4">
            <w:pPr>
              <w:spacing w:after="0" w:line="240" w:lineRule="auto"/>
              <w:jc w:val="right"/>
              <w:rPr>
                <w:rFonts w:ascii="Arial" w:hAnsi="Arial" w:cs="Arial"/>
                <w:b/>
                <w:bCs/>
                <w:color w:val="000000"/>
                <w:sz w:val="14"/>
                <w:szCs w:val="14"/>
              </w:rPr>
            </w:pPr>
            <w:r w:rsidRPr="008E5F15">
              <w:rPr>
                <w:rFonts w:ascii="Arial" w:hAnsi="Arial" w:cs="Arial"/>
                <w:b/>
                <w:bCs/>
                <w:color w:val="000000"/>
                <w:sz w:val="14"/>
                <w:szCs w:val="14"/>
              </w:rPr>
              <w:t>9.816.482</w:t>
            </w:r>
          </w:p>
        </w:tc>
      </w:tr>
      <w:tr w:rsidR="00DD01E4" w:rsidRPr="004B5EA4" w14:paraId="233F8230" w14:textId="77777777">
        <w:trPr>
          <w:trHeight w:val="98"/>
        </w:trPr>
        <w:tc>
          <w:tcPr>
            <w:tcW w:w="4889" w:type="dxa"/>
            <w:vAlign w:val="center"/>
          </w:tcPr>
          <w:p w14:paraId="43286181" w14:textId="77777777" w:rsidR="00DD01E4" w:rsidRPr="008E5F15" w:rsidRDefault="00DD01E4">
            <w:pPr>
              <w:keepNext/>
              <w:keepLines/>
              <w:spacing w:before="40" w:after="40" w:line="240" w:lineRule="auto"/>
              <w:ind w:left="113"/>
              <w:rPr>
                <w:rFonts w:ascii="Arial" w:eastAsia="Times New Roman" w:hAnsi="Arial" w:cs="Arial"/>
                <w:spacing w:val="-2"/>
                <w:sz w:val="14"/>
                <w:szCs w:val="14"/>
                <w:lang w:eastAsia="pt-BR"/>
              </w:rPr>
            </w:pPr>
            <w:r w:rsidRPr="008E5F15">
              <w:rPr>
                <w:rFonts w:ascii="Arial" w:eastAsia="Times New Roman" w:hAnsi="Arial" w:cs="Arial"/>
                <w:spacing w:val="-2"/>
                <w:sz w:val="14"/>
                <w:szCs w:val="14"/>
                <w:lang w:eastAsia="pt-BR"/>
              </w:rPr>
              <w:t>Recompra de ações</w:t>
            </w:r>
          </w:p>
        </w:tc>
        <w:tc>
          <w:tcPr>
            <w:tcW w:w="716" w:type="dxa"/>
            <w:shd w:val="clear" w:color="auto" w:fill="auto"/>
            <w:vAlign w:val="center"/>
          </w:tcPr>
          <w:p w14:paraId="7F316BC6" w14:textId="77777777" w:rsidR="00DD01E4" w:rsidRPr="008E5F15" w:rsidRDefault="00DD01E4">
            <w:pPr>
              <w:keepNext/>
              <w:keepLines/>
              <w:spacing w:before="40" w:after="40" w:line="240" w:lineRule="auto"/>
              <w:jc w:val="right"/>
              <w:rPr>
                <w:rFonts w:ascii="Arial" w:eastAsia="Times New Roman" w:hAnsi="Arial" w:cs="Arial"/>
                <w:spacing w:val="-2"/>
                <w:sz w:val="14"/>
                <w:szCs w:val="14"/>
                <w:lang w:eastAsia="pt-BR"/>
              </w:rPr>
            </w:pPr>
          </w:p>
        </w:tc>
        <w:tc>
          <w:tcPr>
            <w:tcW w:w="894" w:type="dxa"/>
            <w:shd w:val="clear" w:color="auto" w:fill="auto"/>
            <w:vAlign w:val="center"/>
          </w:tcPr>
          <w:p w14:paraId="260089EF" w14:textId="77777777" w:rsidR="00DD01E4" w:rsidRPr="008E5F15" w:rsidRDefault="00DD01E4">
            <w:pPr>
              <w:spacing w:after="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968" w:type="dxa"/>
            <w:vAlign w:val="center"/>
          </w:tcPr>
          <w:p w14:paraId="7DB86B2A" w14:textId="77777777" w:rsidR="00DD01E4" w:rsidRPr="008E5F15" w:rsidRDefault="00DD01E4">
            <w:pPr>
              <w:spacing w:after="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1128" w:type="dxa"/>
            <w:vAlign w:val="center"/>
          </w:tcPr>
          <w:p w14:paraId="26F42631" w14:textId="77777777" w:rsidR="00DD01E4" w:rsidRPr="008E5F15" w:rsidRDefault="00DD01E4">
            <w:pPr>
              <w:spacing w:after="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1646" w:type="dxa"/>
            <w:vAlign w:val="center"/>
          </w:tcPr>
          <w:p w14:paraId="7F69EA0F" w14:textId="77777777" w:rsidR="00DD01E4" w:rsidRPr="008E5F15" w:rsidRDefault="00DD01E4">
            <w:pPr>
              <w:spacing w:after="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1009" w:type="dxa"/>
            <w:vAlign w:val="center"/>
          </w:tcPr>
          <w:p w14:paraId="1D452D80" w14:textId="77777777" w:rsidR="00DD01E4" w:rsidRPr="008E5F15" w:rsidRDefault="00DD01E4">
            <w:pPr>
              <w:spacing w:after="0" w:line="240" w:lineRule="auto"/>
              <w:jc w:val="right"/>
              <w:rPr>
                <w:rFonts w:ascii="Arial" w:hAnsi="Arial" w:cs="Arial"/>
                <w:color w:val="000000"/>
                <w:sz w:val="14"/>
                <w:szCs w:val="14"/>
              </w:rPr>
            </w:pPr>
            <w:r w:rsidRPr="008E5F15">
              <w:rPr>
                <w:rFonts w:ascii="Arial" w:hAnsi="Arial" w:cs="Arial"/>
                <w:color w:val="000000"/>
                <w:sz w:val="14"/>
                <w:szCs w:val="14"/>
              </w:rPr>
              <w:t>(1.166.630)</w:t>
            </w:r>
          </w:p>
        </w:tc>
        <w:tc>
          <w:tcPr>
            <w:tcW w:w="1666" w:type="dxa"/>
            <w:vAlign w:val="center"/>
          </w:tcPr>
          <w:p w14:paraId="01EF3848" w14:textId="77777777" w:rsidR="00DD01E4" w:rsidRPr="008E5F15" w:rsidRDefault="00DD01E4">
            <w:pPr>
              <w:spacing w:after="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1376" w:type="dxa"/>
            <w:vAlign w:val="center"/>
          </w:tcPr>
          <w:p w14:paraId="514EDF26" w14:textId="77777777" w:rsidR="00DD01E4" w:rsidRPr="008E5F15" w:rsidRDefault="00DD01E4">
            <w:pPr>
              <w:spacing w:after="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1017" w:type="dxa"/>
            <w:vAlign w:val="center"/>
          </w:tcPr>
          <w:p w14:paraId="59D3891A" w14:textId="77777777" w:rsidR="00DD01E4" w:rsidRPr="008E5F15" w:rsidRDefault="00DD01E4">
            <w:pPr>
              <w:spacing w:after="0" w:line="240" w:lineRule="auto"/>
              <w:jc w:val="right"/>
              <w:rPr>
                <w:rFonts w:ascii="Arial" w:hAnsi="Arial" w:cs="Arial"/>
                <w:b/>
                <w:bCs/>
                <w:color w:val="000000"/>
                <w:sz w:val="14"/>
                <w:szCs w:val="14"/>
              </w:rPr>
            </w:pPr>
            <w:r w:rsidRPr="008E5F15">
              <w:rPr>
                <w:rFonts w:ascii="Arial" w:hAnsi="Arial" w:cs="Arial"/>
                <w:b/>
                <w:bCs/>
                <w:color w:val="000000"/>
                <w:sz w:val="14"/>
                <w:szCs w:val="14"/>
              </w:rPr>
              <w:t>(1.166.630)</w:t>
            </w:r>
          </w:p>
        </w:tc>
      </w:tr>
      <w:tr w:rsidR="00DD01E4" w:rsidRPr="004B5EA4" w14:paraId="2D0251E9" w14:textId="77777777">
        <w:trPr>
          <w:trHeight w:val="98"/>
        </w:trPr>
        <w:tc>
          <w:tcPr>
            <w:tcW w:w="4889" w:type="dxa"/>
            <w:vAlign w:val="center"/>
          </w:tcPr>
          <w:p w14:paraId="567239D0" w14:textId="77777777" w:rsidR="00DD01E4" w:rsidRPr="008E5F15" w:rsidRDefault="00DD01E4">
            <w:pPr>
              <w:keepNext/>
              <w:keepLines/>
              <w:spacing w:before="40" w:after="40" w:line="240" w:lineRule="auto"/>
              <w:ind w:left="113"/>
              <w:rPr>
                <w:rFonts w:ascii="Arial" w:eastAsia="Times New Roman" w:hAnsi="Arial" w:cs="Arial"/>
                <w:spacing w:val="-2"/>
                <w:sz w:val="14"/>
                <w:szCs w:val="14"/>
                <w:lang w:eastAsia="pt-BR"/>
              </w:rPr>
            </w:pPr>
            <w:r w:rsidRPr="008E5F15">
              <w:rPr>
                <w:rFonts w:ascii="Arial" w:eastAsia="Times New Roman" w:hAnsi="Arial" w:cs="Arial"/>
                <w:spacing w:val="-2"/>
                <w:sz w:val="14"/>
                <w:szCs w:val="14"/>
                <w:lang w:eastAsia="pt-BR"/>
              </w:rPr>
              <w:t>Transações com pagamento baseado em ações</w:t>
            </w:r>
          </w:p>
        </w:tc>
        <w:tc>
          <w:tcPr>
            <w:tcW w:w="716" w:type="dxa"/>
            <w:shd w:val="clear" w:color="auto" w:fill="auto"/>
            <w:vAlign w:val="center"/>
          </w:tcPr>
          <w:p w14:paraId="7720BA40" w14:textId="77777777" w:rsidR="00DD01E4" w:rsidRPr="008E5F15" w:rsidRDefault="00DD01E4">
            <w:pPr>
              <w:keepNext/>
              <w:keepLines/>
              <w:spacing w:before="40" w:after="40" w:line="240" w:lineRule="auto"/>
              <w:jc w:val="right"/>
              <w:rPr>
                <w:rFonts w:ascii="Arial" w:eastAsia="Times New Roman" w:hAnsi="Arial" w:cs="Arial"/>
                <w:spacing w:val="-2"/>
                <w:sz w:val="14"/>
                <w:szCs w:val="14"/>
                <w:lang w:eastAsia="pt-BR"/>
              </w:rPr>
            </w:pPr>
          </w:p>
        </w:tc>
        <w:tc>
          <w:tcPr>
            <w:tcW w:w="894" w:type="dxa"/>
            <w:shd w:val="clear" w:color="auto" w:fill="auto"/>
            <w:vAlign w:val="center"/>
          </w:tcPr>
          <w:p w14:paraId="3D961359" w14:textId="77777777" w:rsidR="00DD01E4" w:rsidRPr="008E5F15" w:rsidRDefault="00DD01E4">
            <w:pPr>
              <w:spacing w:after="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968" w:type="dxa"/>
            <w:vAlign w:val="center"/>
          </w:tcPr>
          <w:p w14:paraId="41711EF7" w14:textId="77777777" w:rsidR="00DD01E4" w:rsidRPr="008E5F15" w:rsidRDefault="00DD01E4">
            <w:pPr>
              <w:spacing w:after="0" w:line="240" w:lineRule="auto"/>
              <w:jc w:val="right"/>
              <w:rPr>
                <w:rFonts w:ascii="Arial" w:hAnsi="Arial" w:cs="Arial"/>
                <w:color w:val="000000"/>
                <w:sz w:val="14"/>
                <w:szCs w:val="14"/>
              </w:rPr>
            </w:pPr>
            <w:r w:rsidRPr="008E5F15">
              <w:rPr>
                <w:rFonts w:ascii="Arial" w:hAnsi="Arial" w:cs="Arial"/>
                <w:color w:val="000000"/>
                <w:sz w:val="14"/>
                <w:szCs w:val="14"/>
              </w:rPr>
              <w:t>(827)</w:t>
            </w:r>
          </w:p>
        </w:tc>
        <w:tc>
          <w:tcPr>
            <w:tcW w:w="1128" w:type="dxa"/>
            <w:vAlign w:val="center"/>
          </w:tcPr>
          <w:p w14:paraId="2BBDB735" w14:textId="77777777" w:rsidR="00DD01E4" w:rsidRPr="008E5F15" w:rsidRDefault="00DD01E4">
            <w:pPr>
              <w:spacing w:after="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1646" w:type="dxa"/>
            <w:vAlign w:val="center"/>
          </w:tcPr>
          <w:p w14:paraId="282A3F0D" w14:textId="77777777" w:rsidR="00DD01E4" w:rsidRPr="008E5F15" w:rsidRDefault="00DD01E4">
            <w:pPr>
              <w:spacing w:after="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1009" w:type="dxa"/>
            <w:vAlign w:val="center"/>
          </w:tcPr>
          <w:p w14:paraId="77C1A48B" w14:textId="77777777" w:rsidR="00DD01E4" w:rsidRPr="008E5F15" w:rsidRDefault="00DD01E4">
            <w:pPr>
              <w:spacing w:after="0" w:line="240" w:lineRule="auto"/>
              <w:jc w:val="right"/>
              <w:rPr>
                <w:rFonts w:ascii="Arial" w:hAnsi="Arial" w:cs="Arial"/>
                <w:color w:val="000000"/>
                <w:sz w:val="14"/>
                <w:szCs w:val="14"/>
              </w:rPr>
            </w:pPr>
            <w:r w:rsidRPr="008E5F15">
              <w:rPr>
                <w:rFonts w:ascii="Arial" w:hAnsi="Arial" w:cs="Arial"/>
                <w:color w:val="000000"/>
                <w:sz w:val="14"/>
                <w:szCs w:val="14"/>
              </w:rPr>
              <w:t>827</w:t>
            </w:r>
          </w:p>
        </w:tc>
        <w:tc>
          <w:tcPr>
            <w:tcW w:w="1666" w:type="dxa"/>
            <w:vAlign w:val="center"/>
          </w:tcPr>
          <w:p w14:paraId="5AD26BFE" w14:textId="77777777" w:rsidR="00DD01E4" w:rsidRPr="008E5F15" w:rsidRDefault="00DD01E4">
            <w:pPr>
              <w:spacing w:after="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1376" w:type="dxa"/>
            <w:vAlign w:val="center"/>
          </w:tcPr>
          <w:p w14:paraId="5585E715" w14:textId="77777777" w:rsidR="00DD01E4" w:rsidRPr="008E5F15" w:rsidRDefault="00DD01E4">
            <w:pPr>
              <w:spacing w:after="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1017" w:type="dxa"/>
            <w:vAlign w:val="center"/>
          </w:tcPr>
          <w:p w14:paraId="0CFEFB7B" w14:textId="77777777" w:rsidR="00DD01E4" w:rsidRPr="008E5F15" w:rsidRDefault="00DD01E4">
            <w:pPr>
              <w:spacing w:after="0" w:line="240" w:lineRule="auto"/>
              <w:jc w:val="right"/>
              <w:rPr>
                <w:rFonts w:ascii="Arial" w:hAnsi="Arial" w:cs="Arial"/>
                <w:b/>
                <w:bCs/>
                <w:color w:val="000000"/>
                <w:sz w:val="14"/>
                <w:szCs w:val="14"/>
              </w:rPr>
            </w:pPr>
            <w:r w:rsidRPr="008E5F15">
              <w:rPr>
                <w:rFonts w:ascii="Arial" w:hAnsi="Arial" w:cs="Arial"/>
                <w:b/>
                <w:bCs/>
                <w:color w:val="000000"/>
                <w:sz w:val="14"/>
                <w:szCs w:val="14"/>
              </w:rPr>
              <w:t>--</w:t>
            </w:r>
          </w:p>
        </w:tc>
      </w:tr>
      <w:tr w:rsidR="00DD01E4" w:rsidRPr="004B5EA4" w14:paraId="6802769A" w14:textId="77777777">
        <w:trPr>
          <w:trHeight w:val="98"/>
        </w:trPr>
        <w:tc>
          <w:tcPr>
            <w:tcW w:w="4889" w:type="dxa"/>
            <w:vAlign w:val="center"/>
          </w:tcPr>
          <w:p w14:paraId="4D0D2246" w14:textId="77777777" w:rsidR="00DD01E4" w:rsidRPr="008E5F15" w:rsidRDefault="00DD01E4">
            <w:pPr>
              <w:keepNext/>
              <w:keepLines/>
              <w:spacing w:before="40" w:after="40" w:line="240" w:lineRule="auto"/>
              <w:ind w:left="113"/>
              <w:rPr>
                <w:rFonts w:ascii="Arial" w:eastAsia="Times New Roman" w:hAnsi="Arial" w:cs="Arial"/>
                <w:spacing w:val="-2"/>
                <w:sz w:val="14"/>
                <w:szCs w:val="14"/>
                <w:lang w:eastAsia="pt-BR"/>
              </w:rPr>
            </w:pPr>
            <w:r w:rsidRPr="008E5F15">
              <w:rPr>
                <w:rFonts w:ascii="Arial" w:eastAsia="Times New Roman" w:hAnsi="Arial" w:cs="Arial"/>
                <w:spacing w:val="-2"/>
                <w:sz w:val="14"/>
                <w:szCs w:val="14"/>
                <w:lang w:eastAsia="pt-BR"/>
              </w:rPr>
              <w:t xml:space="preserve">Outros resultados abrangentes - </w:t>
            </w:r>
            <w:r w:rsidRPr="00FA1E5F">
              <w:rPr>
                <w:rFonts w:ascii="Arial" w:hAnsi="Arial" w:cs="Arial"/>
                <w:color w:val="000000"/>
                <w:sz w:val="14"/>
                <w:szCs w:val="14"/>
              </w:rPr>
              <w:t>Atualização instrumentos financeiros</w:t>
            </w:r>
          </w:p>
        </w:tc>
        <w:tc>
          <w:tcPr>
            <w:tcW w:w="716" w:type="dxa"/>
            <w:shd w:val="clear" w:color="auto" w:fill="auto"/>
            <w:vAlign w:val="center"/>
          </w:tcPr>
          <w:p w14:paraId="0BE8ADFA" w14:textId="77777777" w:rsidR="00DD01E4" w:rsidRPr="008E5F15" w:rsidRDefault="00DD01E4">
            <w:pPr>
              <w:keepNext/>
              <w:keepLines/>
              <w:spacing w:before="40" w:after="40" w:line="240" w:lineRule="auto"/>
              <w:jc w:val="right"/>
              <w:rPr>
                <w:rFonts w:ascii="Arial" w:eastAsia="Times New Roman" w:hAnsi="Arial" w:cs="Arial"/>
                <w:spacing w:val="-2"/>
                <w:sz w:val="14"/>
                <w:szCs w:val="14"/>
                <w:lang w:eastAsia="pt-BR"/>
              </w:rPr>
            </w:pPr>
            <w:r w:rsidRPr="008E5F15">
              <w:rPr>
                <w:rFonts w:ascii="Arial" w:eastAsia="Times New Roman" w:hAnsi="Arial" w:cs="Arial"/>
                <w:spacing w:val="-2"/>
                <w:sz w:val="14"/>
                <w:szCs w:val="14"/>
                <w:lang w:eastAsia="pt-BR"/>
              </w:rPr>
              <w:t>[7.b]</w:t>
            </w:r>
          </w:p>
        </w:tc>
        <w:tc>
          <w:tcPr>
            <w:tcW w:w="894" w:type="dxa"/>
            <w:shd w:val="clear" w:color="auto" w:fill="auto"/>
            <w:vAlign w:val="center"/>
          </w:tcPr>
          <w:p w14:paraId="7866FB6D" w14:textId="77777777" w:rsidR="00DD01E4" w:rsidRPr="008E5F15" w:rsidRDefault="00DD01E4">
            <w:pPr>
              <w:spacing w:after="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968" w:type="dxa"/>
            <w:vAlign w:val="center"/>
          </w:tcPr>
          <w:p w14:paraId="21C879DD" w14:textId="77777777" w:rsidR="00DD01E4" w:rsidRPr="008E5F15" w:rsidRDefault="00DD01E4">
            <w:pPr>
              <w:spacing w:after="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1128" w:type="dxa"/>
            <w:vAlign w:val="center"/>
          </w:tcPr>
          <w:p w14:paraId="22F7D11A" w14:textId="77777777" w:rsidR="00DD01E4" w:rsidRPr="008E5F15" w:rsidRDefault="00DD01E4">
            <w:pPr>
              <w:spacing w:after="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1646" w:type="dxa"/>
            <w:vAlign w:val="center"/>
          </w:tcPr>
          <w:p w14:paraId="181DA6AB" w14:textId="77777777" w:rsidR="00DD01E4" w:rsidRPr="008E5F15" w:rsidRDefault="00DD01E4">
            <w:pPr>
              <w:spacing w:after="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1009" w:type="dxa"/>
            <w:vAlign w:val="center"/>
          </w:tcPr>
          <w:p w14:paraId="448FA7E4" w14:textId="77777777" w:rsidR="00DD01E4" w:rsidRPr="008E5F15" w:rsidRDefault="00DD01E4">
            <w:pPr>
              <w:spacing w:after="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1666" w:type="dxa"/>
            <w:vAlign w:val="center"/>
          </w:tcPr>
          <w:p w14:paraId="5628B164" w14:textId="77777777" w:rsidR="00DD01E4" w:rsidRPr="008E5F15" w:rsidRDefault="00DD01E4">
            <w:pPr>
              <w:spacing w:after="0" w:line="240" w:lineRule="auto"/>
              <w:jc w:val="right"/>
              <w:rPr>
                <w:rFonts w:ascii="Arial" w:hAnsi="Arial" w:cs="Arial"/>
                <w:color w:val="000000"/>
                <w:sz w:val="14"/>
                <w:szCs w:val="14"/>
              </w:rPr>
            </w:pPr>
            <w:r w:rsidRPr="008E5F15">
              <w:rPr>
                <w:rFonts w:ascii="Arial" w:hAnsi="Arial" w:cs="Arial"/>
                <w:color w:val="000000"/>
                <w:sz w:val="14"/>
                <w:szCs w:val="14"/>
              </w:rPr>
              <w:t>(279.966)</w:t>
            </w:r>
          </w:p>
        </w:tc>
        <w:tc>
          <w:tcPr>
            <w:tcW w:w="1376" w:type="dxa"/>
            <w:vAlign w:val="center"/>
          </w:tcPr>
          <w:p w14:paraId="722A21D1" w14:textId="77777777" w:rsidR="00DD01E4" w:rsidRPr="008E5F15" w:rsidRDefault="00DD01E4">
            <w:pPr>
              <w:spacing w:after="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1017" w:type="dxa"/>
            <w:vAlign w:val="center"/>
          </w:tcPr>
          <w:p w14:paraId="55603C9F" w14:textId="77777777" w:rsidR="00DD01E4" w:rsidRPr="008E5F15" w:rsidRDefault="00DD01E4">
            <w:pPr>
              <w:spacing w:after="0" w:line="240" w:lineRule="auto"/>
              <w:jc w:val="right"/>
              <w:rPr>
                <w:rFonts w:ascii="Arial" w:hAnsi="Arial" w:cs="Arial"/>
                <w:b/>
                <w:bCs/>
                <w:color w:val="000000"/>
                <w:sz w:val="14"/>
                <w:szCs w:val="14"/>
              </w:rPr>
            </w:pPr>
            <w:r w:rsidRPr="008E5F15">
              <w:rPr>
                <w:rFonts w:ascii="Arial" w:hAnsi="Arial" w:cs="Arial"/>
                <w:b/>
                <w:bCs/>
                <w:color w:val="000000"/>
                <w:sz w:val="14"/>
                <w:szCs w:val="14"/>
              </w:rPr>
              <w:t>(279.966)</w:t>
            </w:r>
          </w:p>
        </w:tc>
      </w:tr>
      <w:tr w:rsidR="00DD01E4" w:rsidRPr="004B5EA4" w14:paraId="6E9A4F00" w14:textId="77777777">
        <w:trPr>
          <w:trHeight w:val="175"/>
        </w:trPr>
        <w:tc>
          <w:tcPr>
            <w:tcW w:w="4889" w:type="dxa"/>
            <w:vAlign w:val="center"/>
          </w:tcPr>
          <w:p w14:paraId="418CDFCA" w14:textId="77777777" w:rsidR="00DD01E4" w:rsidRPr="008E5F15" w:rsidRDefault="00DD01E4">
            <w:pPr>
              <w:keepNext/>
              <w:keepLines/>
              <w:spacing w:before="40" w:after="40" w:line="240" w:lineRule="auto"/>
              <w:ind w:left="113"/>
              <w:rPr>
                <w:rFonts w:ascii="Arial" w:eastAsia="Times New Roman" w:hAnsi="Arial" w:cs="Arial"/>
                <w:spacing w:val="-2"/>
                <w:sz w:val="14"/>
                <w:szCs w:val="14"/>
                <w:lang w:eastAsia="pt-BR"/>
              </w:rPr>
            </w:pPr>
            <w:r w:rsidRPr="008E5F15">
              <w:rPr>
                <w:rFonts w:ascii="Arial" w:eastAsia="Times New Roman" w:hAnsi="Arial" w:cs="Arial"/>
                <w:spacing w:val="-2"/>
                <w:sz w:val="14"/>
                <w:szCs w:val="14"/>
                <w:lang w:eastAsia="pt-BR"/>
              </w:rPr>
              <w:t xml:space="preserve">Outros resultados abrangentes - Efeitos CPC 50 </w:t>
            </w:r>
          </w:p>
        </w:tc>
        <w:tc>
          <w:tcPr>
            <w:tcW w:w="716" w:type="dxa"/>
            <w:shd w:val="clear" w:color="auto" w:fill="auto"/>
            <w:vAlign w:val="center"/>
          </w:tcPr>
          <w:p w14:paraId="54722D29" w14:textId="77777777" w:rsidR="00DD01E4" w:rsidRPr="008E5F15" w:rsidRDefault="00DD01E4">
            <w:pPr>
              <w:keepNext/>
              <w:keepLines/>
              <w:spacing w:before="40" w:after="40" w:line="240" w:lineRule="auto"/>
              <w:jc w:val="right"/>
              <w:rPr>
                <w:rFonts w:ascii="Arial" w:eastAsia="Times New Roman" w:hAnsi="Arial" w:cs="Arial"/>
                <w:spacing w:val="-2"/>
                <w:sz w:val="14"/>
                <w:szCs w:val="14"/>
                <w:lang w:eastAsia="pt-BR"/>
              </w:rPr>
            </w:pPr>
            <w:r w:rsidRPr="008E5F15">
              <w:rPr>
                <w:rFonts w:ascii="Arial" w:eastAsia="Times New Roman" w:hAnsi="Arial" w:cs="Arial"/>
                <w:spacing w:val="-2"/>
                <w:sz w:val="14"/>
                <w:szCs w:val="14"/>
                <w:lang w:eastAsia="pt-BR"/>
              </w:rPr>
              <w:t>[7.b]</w:t>
            </w:r>
          </w:p>
        </w:tc>
        <w:tc>
          <w:tcPr>
            <w:tcW w:w="894" w:type="dxa"/>
            <w:shd w:val="clear" w:color="auto" w:fill="auto"/>
            <w:vAlign w:val="center"/>
          </w:tcPr>
          <w:p w14:paraId="3B3B637F" w14:textId="77777777" w:rsidR="00DD01E4" w:rsidRPr="008E5F15" w:rsidRDefault="00DD01E4">
            <w:pPr>
              <w:spacing w:after="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968" w:type="dxa"/>
            <w:vAlign w:val="center"/>
          </w:tcPr>
          <w:p w14:paraId="7064E4A9" w14:textId="77777777" w:rsidR="00DD01E4" w:rsidRPr="008E5F15" w:rsidRDefault="00DD01E4">
            <w:pPr>
              <w:spacing w:after="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1128" w:type="dxa"/>
            <w:vAlign w:val="center"/>
          </w:tcPr>
          <w:p w14:paraId="69A52C51" w14:textId="77777777" w:rsidR="00DD01E4" w:rsidRPr="008E5F15" w:rsidRDefault="00DD01E4">
            <w:pPr>
              <w:spacing w:after="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1646" w:type="dxa"/>
            <w:vAlign w:val="center"/>
          </w:tcPr>
          <w:p w14:paraId="00A20243" w14:textId="77777777" w:rsidR="00DD01E4" w:rsidRPr="008E5F15" w:rsidRDefault="00DD01E4">
            <w:pPr>
              <w:spacing w:after="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1009" w:type="dxa"/>
            <w:vAlign w:val="center"/>
          </w:tcPr>
          <w:p w14:paraId="623D67DB" w14:textId="77777777" w:rsidR="00DD01E4" w:rsidRPr="008E5F15" w:rsidRDefault="00DD01E4">
            <w:pPr>
              <w:spacing w:after="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1666" w:type="dxa"/>
            <w:vAlign w:val="center"/>
          </w:tcPr>
          <w:p w14:paraId="68C61A25" w14:textId="77777777" w:rsidR="00DD01E4" w:rsidRPr="008E5F15" w:rsidRDefault="00DD01E4">
            <w:pPr>
              <w:spacing w:after="0" w:line="240" w:lineRule="auto"/>
              <w:jc w:val="right"/>
              <w:rPr>
                <w:rFonts w:ascii="Arial" w:hAnsi="Arial" w:cs="Arial"/>
                <w:color w:val="000000"/>
                <w:sz w:val="14"/>
                <w:szCs w:val="14"/>
              </w:rPr>
            </w:pPr>
            <w:r w:rsidRPr="008E5F15">
              <w:rPr>
                <w:rFonts w:ascii="Arial" w:hAnsi="Arial" w:cs="Arial"/>
                <w:color w:val="000000"/>
                <w:sz w:val="14"/>
                <w:szCs w:val="14"/>
              </w:rPr>
              <w:t>(267.064)</w:t>
            </w:r>
          </w:p>
        </w:tc>
        <w:tc>
          <w:tcPr>
            <w:tcW w:w="1376" w:type="dxa"/>
            <w:vAlign w:val="center"/>
          </w:tcPr>
          <w:p w14:paraId="12E5DDBA" w14:textId="77777777" w:rsidR="00DD01E4" w:rsidRPr="008E5F15" w:rsidRDefault="00DD01E4">
            <w:pPr>
              <w:spacing w:after="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1017" w:type="dxa"/>
            <w:vAlign w:val="center"/>
          </w:tcPr>
          <w:p w14:paraId="1777EBB5" w14:textId="77777777" w:rsidR="00DD01E4" w:rsidRPr="008E5F15" w:rsidRDefault="00DD01E4">
            <w:pPr>
              <w:spacing w:after="0" w:line="240" w:lineRule="auto"/>
              <w:jc w:val="right"/>
              <w:rPr>
                <w:rFonts w:ascii="Arial" w:hAnsi="Arial" w:cs="Arial"/>
                <w:b/>
                <w:bCs/>
                <w:color w:val="000000"/>
                <w:sz w:val="14"/>
                <w:szCs w:val="14"/>
              </w:rPr>
            </w:pPr>
            <w:r w:rsidRPr="008E5F15">
              <w:rPr>
                <w:rFonts w:ascii="Arial" w:hAnsi="Arial" w:cs="Arial"/>
                <w:b/>
                <w:bCs/>
                <w:color w:val="000000"/>
                <w:sz w:val="14"/>
                <w:szCs w:val="14"/>
              </w:rPr>
              <w:t>(267.064)</w:t>
            </w:r>
          </w:p>
        </w:tc>
      </w:tr>
      <w:tr w:rsidR="00DD01E4" w:rsidRPr="004B5EA4" w14:paraId="4D7259A9" w14:textId="77777777">
        <w:trPr>
          <w:trHeight w:val="175"/>
        </w:trPr>
        <w:tc>
          <w:tcPr>
            <w:tcW w:w="4889" w:type="dxa"/>
            <w:vAlign w:val="center"/>
          </w:tcPr>
          <w:p w14:paraId="30D5A172" w14:textId="77777777" w:rsidR="00DD01E4" w:rsidRPr="008E5F15" w:rsidRDefault="00DD01E4">
            <w:pPr>
              <w:keepNext/>
              <w:keepLines/>
              <w:spacing w:before="40" w:after="40" w:line="240" w:lineRule="auto"/>
              <w:ind w:left="113"/>
              <w:rPr>
                <w:rFonts w:ascii="Arial" w:eastAsia="Times New Roman" w:hAnsi="Arial" w:cs="Arial"/>
                <w:spacing w:val="-2"/>
                <w:sz w:val="14"/>
                <w:szCs w:val="14"/>
                <w:lang w:eastAsia="pt-BR"/>
              </w:rPr>
            </w:pPr>
            <w:r w:rsidRPr="008E5F15">
              <w:rPr>
                <w:rFonts w:ascii="Arial" w:eastAsia="Times New Roman" w:hAnsi="Arial" w:cs="Arial"/>
                <w:spacing w:val="-2"/>
                <w:sz w:val="14"/>
                <w:szCs w:val="14"/>
                <w:lang w:eastAsia="pt-BR"/>
              </w:rPr>
              <w:t>Outros resultados abrangentes</w:t>
            </w:r>
          </w:p>
        </w:tc>
        <w:tc>
          <w:tcPr>
            <w:tcW w:w="716" w:type="dxa"/>
            <w:shd w:val="clear" w:color="auto" w:fill="auto"/>
            <w:vAlign w:val="center"/>
          </w:tcPr>
          <w:p w14:paraId="0E9F625E" w14:textId="77777777" w:rsidR="00DD01E4" w:rsidRPr="008E5F15" w:rsidRDefault="00DD01E4">
            <w:pPr>
              <w:keepNext/>
              <w:keepLines/>
              <w:spacing w:before="40" w:after="40" w:line="240" w:lineRule="auto"/>
              <w:jc w:val="right"/>
              <w:rPr>
                <w:rFonts w:ascii="Arial" w:eastAsia="Times New Roman" w:hAnsi="Arial" w:cs="Arial"/>
                <w:spacing w:val="-2"/>
                <w:sz w:val="14"/>
                <w:szCs w:val="14"/>
                <w:lang w:eastAsia="pt-BR"/>
              </w:rPr>
            </w:pPr>
            <w:r w:rsidRPr="008E5F15">
              <w:rPr>
                <w:rFonts w:ascii="Arial" w:eastAsia="Times New Roman" w:hAnsi="Arial" w:cs="Arial"/>
                <w:spacing w:val="-2"/>
                <w:sz w:val="14"/>
                <w:szCs w:val="14"/>
                <w:lang w:eastAsia="pt-BR"/>
              </w:rPr>
              <w:t>[7.b]</w:t>
            </w:r>
          </w:p>
        </w:tc>
        <w:tc>
          <w:tcPr>
            <w:tcW w:w="894" w:type="dxa"/>
            <w:shd w:val="clear" w:color="auto" w:fill="auto"/>
            <w:vAlign w:val="center"/>
          </w:tcPr>
          <w:p w14:paraId="138D5C5C" w14:textId="77777777" w:rsidR="00DD01E4" w:rsidRPr="008E5F15" w:rsidRDefault="00DD01E4">
            <w:pPr>
              <w:spacing w:after="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968" w:type="dxa"/>
            <w:vAlign w:val="center"/>
          </w:tcPr>
          <w:p w14:paraId="311CEF58" w14:textId="77777777" w:rsidR="00DD01E4" w:rsidRPr="008E5F15" w:rsidRDefault="00DD01E4">
            <w:pPr>
              <w:spacing w:after="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1128" w:type="dxa"/>
            <w:vAlign w:val="center"/>
          </w:tcPr>
          <w:p w14:paraId="3E16C61B" w14:textId="77777777" w:rsidR="00DD01E4" w:rsidRPr="008E5F15" w:rsidRDefault="00DD01E4">
            <w:pPr>
              <w:spacing w:after="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1646" w:type="dxa"/>
            <w:vAlign w:val="center"/>
          </w:tcPr>
          <w:p w14:paraId="0ABACA0F" w14:textId="77777777" w:rsidR="00DD01E4" w:rsidRPr="008E5F15" w:rsidRDefault="00DD01E4">
            <w:pPr>
              <w:spacing w:after="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1009" w:type="dxa"/>
            <w:vAlign w:val="center"/>
          </w:tcPr>
          <w:p w14:paraId="3AE66988" w14:textId="77777777" w:rsidR="00DD01E4" w:rsidRPr="008E5F15" w:rsidRDefault="00DD01E4">
            <w:pPr>
              <w:spacing w:after="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1666" w:type="dxa"/>
            <w:vAlign w:val="center"/>
          </w:tcPr>
          <w:p w14:paraId="346B5635" w14:textId="77777777" w:rsidR="00DD01E4" w:rsidRPr="008E5F15" w:rsidRDefault="00DD01E4">
            <w:pPr>
              <w:spacing w:after="0" w:line="240" w:lineRule="auto"/>
              <w:jc w:val="right"/>
              <w:rPr>
                <w:rFonts w:ascii="Arial" w:hAnsi="Arial" w:cs="Arial"/>
                <w:color w:val="000000"/>
                <w:sz w:val="14"/>
                <w:szCs w:val="14"/>
              </w:rPr>
            </w:pPr>
            <w:r w:rsidRPr="008E5F15">
              <w:rPr>
                <w:rFonts w:ascii="Arial" w:hAnsi="Arial" w:cs="Arial"/>
                <w:color w:val="000000"/>
                <w:sz w:val="14"/>
                <w:szCs w:val="14"/>
              </w:rPr>
              <w:t>246</w:t>
            </w:r>
          </w:p>
        </w:tc>
        <w:tc>
          <w:tcPr>
            <w:tcW w:w="1376" w:type="dxa"/>
            <w:vAlign w:val="center"/>
          </w:tcPr>
          <w:p w14:paraId="14D6F3E4" w14:textId="77777777" w:rsidR="00DD01E4" w:rsidRPr="008E5F15" w:rsidRDefault="00DD01E4">
            <w:pPr>
              <w:spacing w:after="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1017" w:type="dxa"/>
            <w:vAlign w:val="center"/>
          </w:tcPr>
          <w:p w14:paraId="155733FE" w14:textId="77777777" w:rsidR="00DD01E4" w:rsidRPr="008E5F15" w:rsidRDefault="00DD01E4">
            <w:pPr>
              <w:spacing w:after="0" w:line="240" w:lineRule="auto"/>
              <w:jc w:val="right"/>
              <w:rPr>
                <w:rFonts w:ascii="Arial" w:hAnsi="Arial" w:cs="Arial"/>
                <w:b/>
                <w:bCs/>
                <w:color w:val="000000"/>
                <w:sz w:val="14"/>
                <w:szCs w:val="14"/>
              </w:rPr>
            </w:pPr>
            <w:r w:rsidRPr="008E5F15">
              <w:rPr>
                <w:rFonts w:ascii="Arial" w:hAnsi="Arial" w:cs="Arial"/>
                <w:b/>
                <w:bCs/>
                <w:color w:val="000000"/>
                <w:sz w:val="14"/>
                <w:szCs w:val="14"/>
              </w:rPr>
              <w:t>246</w:t>
            </w:r>
          </w:p>
        </w:tc>
      </w:tr>
      <w:tr w:rsidR="00DD01E4" w:rsidRPr="004B5EA4" w14:paraId="0E28AB06" w14:textId="77777777">
        <w:trPr>
          <w:trHeight w:val="175"/>
        </w:trPr>
        <w:tc>
          <w:tcPr>
            <w:tcW w:w="4889" w:type="dxa"/>
            <w:vAlign w:val="center"/>
          </w:tcPr>
          <w:p w14:paraId="36E67FB0" w14:textId="77777777" w:rsidR="00DD01E4" w:rsidRPr="008E5F15" w:rsidRDefault="00DD01E4">
            <w:pPr>
              <w:keepNext/>
              <w:keepLines/>
              <w:spacing w:before="40" w:after="40" w:line="240" w:lineRule="auto"/>
              <w:ind w:left="113"/>
              <w:rPr>
                <w:rFonts w:ascii="Arial" w:eastAsia="Times New Roman" w:hAnsi="Arial" w:cs="Arial"/>
                <w:spacing w:val="-2"/>
                <w:sz w:val="14"/>
                <w:szCs w:val="14"/>
                <w:lang w:eastAsia="pt-BR"/>
              </w:rPr>
            </w:pPr>
            <w:r w:rsidRPr="008E5F15">
              <w:rPr>
                <w:rFonts w:ascii="Arial" w:eastAsia="Times New Roman" w:hAnsi="Arial" w:cs="Arial"/>
                <w:spacing w:val="-2"/>
                <w:sz w:val="14"/>
                <w:szCs w:val="14"/>
                <w:lang w:eastAsia="pt-BR"/>
              </w:rPr>
              <w:t>Dividendos prescritos</w:t>
            </w:r>
          </w:p>
        </w:tc>
        <w:tc>
          <w:tcPr>
            <w:tcW w:w="716" w:type="dxa"/>
            <w:shd w:val="clear" w:color="auto" w:fill="auto"/>
            <w:vAlign w:val="center"/>
          </w:tcPr>
          <w:p w14:paraId="43BD4DDE" w14:textId="77777777" w:rsidR="00DD01E4" w:rsidRPr="008E5F15" w:rsidRDefault="00DD01E4">
            <w:pPr>
              <w:keepNext/>
              <w:keepLines/>
              <w:spacing w:before="40" w:after="40" w:line="240" w:lineRule="auto"/>
              <w:jc w:val="right"/>
              <w:rPr>
                <w:rFonts w:ascii="Arial" w:eastAsia="Times New Roman" w:hAnsi="Arial" w:cs="Arial"/>
                <w:spacing w:val="-2"/>
                <w:sz w:val="14"/>
                <w:szCs w:val="14"/>
                <w:lang w:eastAsia="pt-BR"/>
              </w:rPr>
            </w:pPr>
          </w:p>
        </w:tc>
        <w:tc>
          <w:tcPr>
            <w:tcW w:w="894" w:type="dxa"/>
            <w:shd w:val="clear" w:color="auto" w:fill="auto"/>
            <w:vAlign w:val="center"/>
          </w:tcPr>
          <w:p w14:paraId="506109B3" w14:textId="77777777" w:rsidR="00DD01E4" w:rsidRPr="008E5F15" w:rsidRDefault="00DD01E4">
            <w:pPr>
              <w:spacing w:after="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968" w:type="dxa"/>
            <w:vAlign w:val="center"/>
          </w:tcPr>
          <w:p w14:paraId="35BDFFE1" w14:textId="77777777" w:rsidR="00DD01E4" w:rsidRPr="008E5F15" w:rsidRDefault="00DD01E4">
            <w:pPr>
              <w:spacing w:after="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1128" w:type="dxa"/>
            <w:vAlign w:val="center"/>
          </w:tcPr>
          <w:p w14:paraId="550E2B23" w14:textId="77777777" w:rsidR="00DD01E4" w:rsidRPr="008E5F15" w:rsidRDefault="00DD01E4">
            <w:pPr>
              <w:spacing w:after="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1646" w:type="dxa"/>
            <w:vAlign w:val="center"/>
          </w:tcPr>
          <w:p w14:paraId="1B99B3BC" w14:textId="77777777" w:rsidR="00DD01E4" w:rsidRPr="008E5F15" w:rsidRDefault="00DD01E4">
            <w:pPr>
              <w:spacing w:after="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1009" w:type="dxa"/>
            <w:vAlign w:val="center"/>
          </w:tcPr>
          <w:p w14:paraId="7290FADA" w14:textId="77777777" w:rsidR="00DD01E4" w:rsidRPr="008E5F15" w:rsidRDefault="00DD01E4">
            <w:pPr>
              <w:spacing w:after="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1666" w:type="dxa"/>
            <w:vAlign w:val="center"/>
          </w:tcPr>
          <w:p w14:paraId="3EF468F1" w14:textId="77777777" w:rsidR="00DD01E4" w:rsidRPr="008E5F15" w:rsidRDefault="00DD01E4">
            <w:pPr>
              <w:spacing w:after="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1376" w:type="dxa"/>
            <w:vAlign w:val="center"/>
          </w:tcPr>
          <w:p w14:paraId="416AC72F" w14:textId="77777777" w:rsidR="00DD01E4" w:rsidRPr="008E5F15" w:rsidRDefault="00DD01E4">
            <w:pPr>
              <w:spacing w:after="0" w:line="240" w:lineRule="auto"/>
              <w:jc w:val="right"/>
              <w:rPr>
                <w:rFonts w:ascii="Arial" w:hAnsi="Arial" w:cs="Arial"/>
                <w:color w:val="000000"/>
                <w:sz w:val="14"/>
                <w:szCs w:val="14"/>
              </w:rPr>
            </w:pPr>
            <w:r w:rsidRPr="008E5F15">
              <w:rPr>
                <w:rFonts w:ascii="Arial" w:hAnsi="Arial" w:cs="Arial"/>
                <w:color w:val="000000"/>
                <w:sz w:val="14"/>
                <w:szCs w:val="14"/>
              </w:rPr>
              <w:t>26</w:t>
            </w:r>
          </w:p>
        </w:tc>
        <w:tc>
          <w:tcPr>
            <w:tcW w:w="1017" w:type="dxa"/>
            <w:vAlign w:val="center"/>
          </w:tcPr>
          <w:p w14:paraId="3868238D" w14:textId="77777777" w:rsidR="00DD01E4" w:rsidRPr="008E5F15" w:rsidRDefault="00DD01E4">
            <w:pPr>
              <w:spacing w:after="0" w:line="240" w:lineRule="auto"/>
              <w:jc w:val="right"/>
              <w:rPr>
                <w:rFonts w:ascii="Arial" w:hAnsi="Arial" w:cs="Arial"/>
                <w:b/>
                <w:bCs/>
                <w:color w:val="000000"/>
                <w:sz w:val="14"/>
                <w:szCs w:val="14"/>
              </w:rPr>
            </w:pPr>
            <w:r w:rsidRPr="008E5F15">
              <w:rPr>
                <w:rFonts w:ascii="Arial" w:hAnsi="Arial" w:cs="Arial"/>
                <w:b/>
                <w:bCs/>
                <w:color w:val="000000"/>
                <w:sz w:val="14"/>
                <w:szCs w:val="14"/>
              </w:rPr>
              <w:t>26</w:t>
            </w:r>
          </w:p>
        </w:tc>
      </w:tr>
      <w:tr w:rsidR="00DD01E4" w:rsidRPr="004B5EA4" w14:paraId="1B3763D8" w14:textId="77777777">
        <w:trPr>
          <w:trHeight w:val="175"/>
        </w:trPr>
        <w:tc>
          <w:tcPr>
            <w:tcW w:w="4889" w:type="dxa"/>
            <w:vAlign w:val="center"/>
          </w:tcPr>
          <w:p w14:paraId="4935ADA4" w14:textId="77777777" w:rsidR="00DD01E4" w:rsidRPr="008E5F15" w:rsidRDefault="00DD01E4">
            <w:pPr>
              <w:keepNext/>
              <w:keepLines/>
              <w:spacing w:before="40" w:after="40" w:line="240" w:lineRule="auto"/>
              <w:ind w:left="113"/>
              <w:rPr>
                <w:rFonts w:ascii="Arial" w:eastAsia="Times New Roman" w:hAnsi="Arial" w:cs="Arial"/>
                <w:spacing w:val="-2"/>
                <w:sz w:val="14"/>
                <w:szCs w:val="14"/>
                <w:lang w:eastAsia="pt-BR"/>
              </w:rPr>
            </w:pPr>
            <w:r w:rsidRPr="008E5F15">
              <w:rPr>
                <w:rFonts w:ascii="Arial" w:eastAsia="Times New Roman" w:hAnsi="Arial" w:cs="Arial"/>
                <w:spacing w:val="-2"/>
                <w:sz w:val="14"/>
                <w:szCs w:val="14"/>
                <w:lang w:eastAsia="pt-BR"/>
              </w:rPr>
              <w:t>Lucro líquido do exercício</w:t>
            </w:r>
          </w:p>
        </w:tc>
        <w:tc>
          <w:tcPr>
            <w:tcW w:w="716" w:type="dxa"/>
            <w:shd w:val="clear" w:color="auto" w:fill="auto"/>
            <w:vAlign w:val="center"/>
          </w:tcPr>
          <w:p w14:paraId="2B5349B7" w14:textId="77777777" w:rsidR="00DD01E4" w:rsidRPr="008E5F15" w:rsidRDefault="00DD01E4">
            <w:pPr>
              <w:keepNext/>
              <w:keepLines/>
              <w:spacing w:before="40" w:after="40" w:line="240" w:lineRule="auto"/>
              <w:jc w:val="right"/>
              <w:rPr>
                <w:rFonts w:ascii="Arial" w:eastAsia="Times New Roman" w:hAnsi="Arial" w:cs="Arial"/>
                <w:spacing w:val="-2"/>
                <w:sz w:val="14"/>
                <w:szCs w:val="14"/>
                <w:lang w:eastAsia="pt-BR"/>
              </w:rPr>
            </w:pPr>
          </w:p>
        </w:tc>
        <w:tc>
          <w:tcPr>
            <w:tcW w:w="894" w:type="dxa"/>
            <w:shd w:val="clear" w:color="auto" w:fill="auto"/>
            <w:vAlign w:val="center"/>
          </w:tcPr>
          <w:p w14:paraId="353FC2DB" w14:textId="77777777" w:rsidR="00DD01E4" w:rsidRPr="008E5F15" w:rsidRDefault="00DD01E4">
            <w:pPr>
              <w:spacing w:after="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968" w:type="dxa"/>
            <w:vAlign w:val="center"/>
          </w:tcPr>
          <w:p w14:paraId="6A230913" w14:textId="77777777" w:rsidR="00DD01E4" w:rsidRPr="008E5F15" w:rsidRDefault="00DD01E4">
            <w:pPr>
              <w:spacing w:after="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1128" w:type="dxa"/>
            <w:vAlign w:val="center"/>
          </w:tcPr>
          <w:p w14:paraId="5D1FFC9C" w14:textId="77777777" w:rsidR="00DD01E4" w:rsidRPr="008E5F15" w:rsidRDefault="00DD01E4">
            <w:pPr>
              <w:spacing w:after="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1646" w:type="dxa"/>
            <w:vAlign w:val="center"/>
          </w:tcPr>
          <w:p w14:paraId="2F2ADD4A" w14:textId="77777777" w:rsidR="00DD01E4" w:rsidRPr="008E5F15" w:rsidRDefault="00DD01E4">
            <w:pPr>
              <w:spacing w:after="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1009" w:type="dxa"/>
            <w:vAlign w:val="center"/>
          </w:tcPr>
          <w:p w14:paraId="1A7839F3" w14:textId="77777777" w:rsidR="00DD01E4" w:rsidRPr="008E5F15" w:rsidRDefault="00DD01E4">
            <w:pPr>
              <w:spacing w:after="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1666" w:type="dxa"/>
            <w:vAlign w:val="center"/>
          </w:tcPr>
          <w:p w14:paraId="1153DF7E" w14:textId="77777777" w:rsidR="00DD01E4" w:rsidRPr="008E5F15" w:rsidRDefault="00DD01E4">
            <w:pPr>
              <w:spacing w:after="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1376" w:type="dxa"/>
            <w:vAlign w:val="center"/>
          </w:tcPr>
          <w:p w14:paraId="59B1B1CC" w14:textId="77777777" w:rsidR="00DD01E4" w:rsidRPr="008E5F15" w:rsidRDefault="00DD01E4">
            <w:pPr>
              <w:spacing w:after="0" w:line="240" w:lineRule="auto"/>
              <w:jc w:val="right"/>
              <w:rPr>
                <w:rFonts w:ascii="Arial" w:hAnsi="Arial" w:cs="Arial"/>
                <w:color w:val="000000"/>
                <w:sz w:val="14"/>
                <w:szCs w:val="14"/>
              </w:rPr>
            </w:pPr>
            <w:r w:rsidRPr="008E5F15">
              <w:rPr>
                <w:rFonts w:ascii="Arial" w:hAnsi="Arial" w:cs="Arial"/>
                <w:color w:val="000000"/>
                <w:sz w:val="14"/>
                <w:szCs w:val="14"/>
              </w:rPr>
              <w:t>8.703.353</w:t>
            </w:r>
          </w:p>
        </w:tc>
        <w:tc>
          <w:tcPr>
            <w:tcW w:w="1017" w:type="dxa"/>
            <w:vAlign w:val="center"/>
          </w:tcPr>
          <w:p w14:paraId="10FED4D3" w14:textId="77777777" w:rsidR="00DD01E4" w:rsidRPr="008E5F15" w:rsidRDefault="00DD01E4">
            <w:pPr>
              <w:spacing w:after="0" w:line="240" w:lineRule="auto"/>
              <w:jc w:val="right"/>
              <w:rPr>
                <w:rFonts w:ascii="Arial" w:hAnsi="Arial" w:cs="Arial"/>
                <w:b/>
                <w:bCs/>
                <w:color w:val="000000"/>
                <w:sz w:val="14"/>
                <w:szCs w:val="14"/>
              </w:rPr>
            </w:pPr>
            <w:r w:rsidRPr="008E5F15">
              <w:rPr>
                <w:rFonts w:ascii="Arial" w:hAnsi="Arial" w:cs="Arial"/>
                <w:b/>
                <w:bCs/>
                <w:color w:val="000000"/>
                <w:sz w:val="14"/>
                <w:szCs w:val="14"/>
              </w:rPr>
              <w:t>8.703.353</w:t>
            </w:r>
          </w:p>
        </w:tc>
      </w:tr>
      <w:tr w:rsidR="00DD01E4" w:rsidRPr="004B5EA4" w14:paraId="75FB0A7C" w14:textId="77777777">
        <w:trPr>
          <w:trHeight w:val="175"/>
        </w:trPr>
        <w:tc>
          <w:tcPr>
            <w:tcW w:w="4889" w:type="dxa"/>
            <w:vAlign w:val="center"/>
          </w:tcPr>
          <w:p w14:paraId="36FE09FF" w14:textId="77777777" w:rsidR="00DD01E4" w:rsidRPr="008E5F15" w:rsidRDefault="00DD01E4">
            <w:pPr>
              <w:keepNext/>
              <w:keepLines/>
              <w:spacing w:before="40" w:after="40" w:line="240" w:lineRule="auto"/>
              <w:ind w:left="113"/>
              <w:rPr>
                <w:rFonts w:ascii="Arial" w:eastAsia="Times New Roman" w:hAnsi="Arial" w:cs="Arial"/>
                <w:spacing w:val="-2"/>
                <w:sz w:val="14"/>
                <w:szCs w:val="14"/>
                <w:lang w:eastAsia="pt-BR"/>
              </w:rPr>
            </w:pPr>
            <w:r w:rsidRPr="008E5F15">
              <w:rPr>
                <w:rFonts w:ascii="Arial" w:eastAsia="Times New Roman" w:hAnsi="Arial" w:cs="Arial"/>
                <w:spacing w:val="-2"/>
                <w:sz w:val="14"/>
                <w:szCs w:val="14"/>
                <w:lang w:eastAsia="pt-BR"/>
              </w:rPr>
              <w:t>Destinações - Reservas de lucros</w:t>
            </w:r>
          </w:p>
        </w:tc>
        <w:tc>
          <w:tcPr>
            <w:tcW w:w="716" w:type="dxa"/>
            <w:shd w:val="clear" w:color="auto" w:fill="auto"/>
            <w:vAlign w:val="center"/>
          </w:tcPr>
          <w:p w14:paraId="4AD23BC6" w14:textId="77777777" w:rsidR="00DD01E4" w:rsidRPr="008E5F15" w:rsidRDefault="00DD01E4">
            <w:pPr>
              <w:keepNext/>
              <w:keepLines/>
              <w:spacing w:before="40" w:after="40" w:line="240" w:lineRule="auto"/>
              <w:jc w:val="right"/>
              <w:rPr>
                <w:rFonts w:ascii="Arial" w:eastAsia="Times New Roman" w:hAnsi="Arial" w:cs="Arial"/>
                <w:spacing w:val="-2"/>
                <w:sz w:val="14"/>
                <w:szCs w:val="14"/>
                <w:lang w:eastAsia="pt-BR"/>
              </w:rPr>
            </w:pPr>
          </w:p>
        </w:tc>
        <w:tc>
          <w:tcPr>
            <w:tcW w:w="894" w:type="dxa"/>
            <w:shd w:val="clear" w:color="auto" w:fill="auto"/>
            <w:vAlign w:val="center"/>
          </w:tcPr>
          <w:p w14:paraId="7E4C0759" w14:textId="77777777" w:rsidR="00DD01E4" w:rsidRPr="008E5F15" w:rsidRDefault="00DD01E4">
            <w:pPr>
              <w:spacing w:after="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968" w:type="dxa"/>
            <w:vAlign w:val="center"/>
          </w:tcPr>
          <w:p w14:paraId="45C2DB2A" w14:textId="77777777" w:rsidR="00DD01E4" w:rsidRPr="008E5F15" w:rsidRDefault="00DD01E4">
            <w:pPr>
              <w:spacing w:after="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1128" w:type="dxa"/>
            <w:vAlign w:val="center"/>
          </w:tcPr>
          <w:p w14:paraId="5F5EC195" w14:textId="77777777" w:rsidR="00DD01E4" w:rsidRPr="008E5F15" w:rsidRDefault="00DD01E4">
            <w:pPr>
              <w:spacing w:after="0" w:line="240" w:lineRule="auto"/>
              <w:jc w:val="right"/>
              <w:rPr>
                <w:rFonts w:ascii="Arial" w:hAnsi="Arial" w:cs="Arial"/>
                <w:color w:val="000000"/>
                <w:sz w:val="14"/>
                <w:szCs w:val="14"/>
              </w:rPr>
            </w:pPr>
            <w:r w:rsidRPr="008E5F15">
              <w:rPr>
                <w:rFonts w:ascii="Arial" w:hAnsi="Arial" w:cs="Arial"/>
                <w:color w:val="000000"/>
                <w:sz w:val="14"/>
                <w:szCs w:val="14"/>
              </w:rPr>
              <w:t>435.168</w:t>
            </w:r>
          </w:p>
        </w:tc>
        <w:tc>
          <w:tcPr>
            <w:tcW w:w="1646" w:type="dxa"/>
            <w:vAlign w:val="center"/>
          </w:tcPr>
          <w:p w14:paraId="51355D79" w14:textId="77777777" w:rsidR="00DD01E4" w:rsidRPr="008E5F15" w:rsidRDefault="00DD01E4">
            <w:pPr>
              <w:spacing w:after="0" w:line="240" w:lineRule="auto"/>
              <w:jc w:val="right"/>
              <w:rPr>
                <w:rFonts w:ascii="Arial" w:hAnsi="Arial" w:cs="Arial"/>
                <w:color w:val="000000"/>
                <w:sz w:val="14"/>
                <w:szCs w:val="14"/>
              </w:rPr>
            </w:pPr>
            <w:r w:rsidRPr="008E5F15">
              <w:rPr>
                <w:rFonts w:ascii="Arial" w:hAnsi="Arial" w:cs="Arial"/>
                <w:color w:val="000000"/>
                <w:sz w:val="14"/>
                <w:szCs w:val="14"/>
              </w:rPr>
              <w:t>1.157.185</w:t>
            </w:r>
          </w:p>
        </w:tc>
        <w:tc>
          <w:tcPr>
            <w:tcW w:w="1009" w:type="dxa"/>
            <w:vAlign w:val="center"/>
          </w:tcPr>
          <w:p w14:paraId="074FDDD3" w14:textId="77777777" w:rsidR="00DD01E4" w:rsidRPr="008E5F15" w:rsidRDefault="00DD01E4">
            <w:pPr>
              <w:spacing w:after="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1666" w:type="dxa"/>
            <w:vAlign w:val="center"/>
          </w:tcPr>
          <w:p w14:paraId="1DFDAC97" w14:textId="77777777" w:rsidR="00DD01E4" w:rsidRPr="008E5F15" w:rsidRDefault="00DD01E4">
            <w:pPr>
              <w:spacing w:after="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1376" w:type="dxa"/>
            <w:vAlign w:val="center"/>
          </w:tcPr>
          <w:p w14:paraId="27D2D487" w14:textId="77777777" w:rsidR="00DD01E4" w:rsidRPr="008E5F15" w:rsidRDefault="00DD01E4">
            <w:pPr>
              <w:spacing w:after="0" w:line="240" w:lineRule="auto"/>
              <w:jc w:val="right"/>
              <w:rPr>
                <w:rFonts w:ascii="Arial" w:hAnsi="Arial" w:cs="Arial"/>
                <w:color w:val="000000"/>
                <w:sz w:val="14"/>
                <w:szCs w:val="14"/>
              </w:rPr>
            </w:pPr>
            <w:r w:rsidRPr="008E5F15">
              <w:rPr>
                <w:rFonts w:ascii="Arial" w:hAnsi="Arial" w:cs="Arial"/>
                <w:color w:val="000000"/>
                <w:sz w:val="14"/>
                <w:szCs w:val="14"/>
              </w:rPr>
              <w:t>(1.592.353)</w:t>
            </w:r>
          </w:p>
        </w:tc>
        <w:tc>
          <w:tcPr>
            <w:tcW w:w="1017" w:type="dxa"/>
            <w:vAlign w:val="center"/>
          </w:tcPr>
          <w:p w14:paraId="5E30174F" w14:textId="77777777" w:rsidR="00DD01E4" w:rsidRPr="008E5F15" w:rsidRDefault="00DD01E4">
            <w:pPr>
              <w:spacing w:after="0" w:line="240" w:lineRule="auto"/>
              <w:jc w:val="right"/>
              <w:rPr>
                <w:rFonts w:ascii="Arial" w:hAnsi="Arial" w:cs="Arial"/>
                <w:b/>
                <w:bCs/>
                <w:color w:val="000000"/>
                <w:sz w:val="14"/>
                <w:szCs w:val="14"/>
              </w:rPr>
            </w:pPr>
            <w:r w:rsidRPr="008E5F15">
              <w:rPr>
                <w:rFonts w:ascii="Arial" w:hAnsi="Arial" w:cs="Arial"/>
                <w:b/>
                <w:bCs/>
                <w:color w:val="000000"/>
                <w:sz w:val="14"/>
                <w:szCs w:val="14"/>
              </w:rPr>
              <w:t>--</w:t>
            </w:r>
          </w:p>
        </w:tc>
      </w:tr>
      <w:tr w:rsidR="00DD01E4" w:rsidRPr="004B5EA4" w14:paraId="6BBC29DA" w14:textId="77777777">
        <w:trPr>
          <w:trHeight w:val="175"/>
        </w:trPr>
        <w:tc>
          <w:tcPr>
            <w:tcW w:w="4889" w:type="dxa"/>
            <w:vAlign w:val="center"/>
          </w:tcPr>
          <w:p w14:paraId="3ACE409E" w14:textId="357EAAC0" w:rsidR="00DD01E4" w:rsidRPr="008E5F15" w:rsidRDefault="00DD01E4">
            <w:pPr>
              <w:keepNext/>
              <w:keepLines/>
              <w:spacing w:before="40" w:after="40" w:line="240" w:lineRule="auto"/>
              <w:ind w:left="113"/>
              <w:rPr>
                <w:rFonts w:ascii="Arial" w:eastAsia="Times New Roman" w:hAnsi="Arial" w:cs="Arial"/>
                <w:spacing w:val="-2"/>
                <w:sz w:val="14"/>
                <w:szCs w:val="14"/>
                <w:lang w:eastAsia="pt-BR"/>
              </w:rPr>
            </w:pPr>
            <w:r w:rsidRPr="008E5F15">
              <w:rPr>
                <w:rFonts w:ascii="Arial" w:eastAsia="Times New Roman" w:hAnsi="Arial" w:cs="Arial"/>
                <w:spacing w:val="-2"/>
                <w:sz w:val="14"/>
                <w:szCs w:val="14"/>
                <w:lang w:eastAsia="pt-BR"/>
              </w:rPr>
              <w:t xml:space="preserve">                     - Dividendos inter</w:t>
            </w:r>
            <w:r w:rsidR="00436A59">
              <w:rPr>
                <w:rFonts w:ascii="Arial" w:eastAsia="Times New Roman" w:hAnsi="Arial" w:cs="Arial"/>
                <w:spacing w:val="-2"/>
                <w:sz w:val="14"/>
                <w:szCs w:val="14"/>
                <w:lang w:eastAsia="pt-BR"/>
              </w:rPr>
              <w:t>calares</w:t>
            </w:r>
            <w:r w:rsidRPr="008E5F15">
              <w:rPr>
                <w:rFonts w:ascii="Arial" w:eastAsia="Times New Roman" w:hAnsi="Arial" w:cs="Arial"/>
                <w:spacing w:val="-2"/>
                <w:sz w:val="14"/>
                <w:szCs w:val="14"/>
                <w:lang w:eastAsia="pt-BR"/>
              </w:rPr>
              <w:t xml:space="preserve"> pagos </w:t>
            </w:r>
          </w:p>
        </w:tc>
        <w:tc>
          <w:tcPr>
            <w:tcW w:w="716" w:type="dxa"/>
            <w:shd w:val="clear" w:color="auto" w:fill="auto"/>
            <w:vAlign w:val="center"/>
          </w:tcPr>
          <w:p w14:paraId="1591B3C2" w14:textId="77777777" w:rsidR="00DD01E4" w:rsidRPr="008E5F15" w:rsidRDefault="00DD01E4">
            <w:pPr>
              <w:keepNext/>
              <w:keepLines/>
              <w:spacing w:before="40" w:after="40" w:line="240" w:lineRule="auto"/>
              <w:jc w:val="right"/>
              <w:rPr>
                <w:rFonts w:ascii="Arial" w:eastAsia="Times New Roman" w:hAnsi="Arial" w:cs="Arial"/>
                <w:spacing w:val="-2"/>
                <w:sz w:val="14"/>
                <w:szCs w:val="14"/>
                <w:lang w:eastAsia="pt-BR"/>
              </w:rPr>
            </w:pPr>
          </w:p>
        </w:tc>
        <w:tc>
          <w:tcPr>
            <w:tcW w:w="894" w:type="dxa"/>
            <w:shd w:val="clear" w:color="auto" w:fill="auto"/>
            <w:vAlign w:val="center"/>
          </w:tcPr>
          <w:p w14:paraId="11A9E276" w14:textId="77777777" w:rsidR="00DD01E4" w:rsidRPr="008E5F15" w:rsidRDefault="00DD01E4">
            <w:pPr>
              <w:spacing w:after="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968" w:type="dxa"/>
            <w:vAlign w:val="center"/>
          </w:tcPr>
          <w:p w14:paraId="3D617932" w14:textId="77777777" w:rsidR="00DD01E4" w:rsidRPr="008E5F15" w:rsidRDefault="00DD01E4">
            <w:pPr>
              <w:spacing w:after="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1128" w:type="dxa"/>
            <w:vAlign w:val="center"/>
          </w:tcPr>
          <w:p w14:paraId="5F735312" w14:textId="77777777" w:rsidR="00DD01E4" w:rsidRPr="008E5F15" w:rsidRDefault="00DD01E4">
            <w:pPr>
              <w:spacing w:after="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1646" w:type="dxa"/>
            <w:vAlign w:val="center"/>
          </w:tcPr>
          <w:p w14:paraId="6646C68F" w14:textId="77777777" w:rsidR="00DD01E4" w:rsidRPr="008E5F15" w:rsidRDefault="00DD01E4">
            <w:pPr>
              <w:spacing w:after="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1009" w:type="dxa"/>
            <w:vAlign w:val="center"/>
          </w:tcPr>
          <w:p w14:paraId="443C40CE" w14:textId="77777777" w:rsidR="00DD01E4" w:rsidRPr="008E5F15" w:rsidRDefault="00DD01E4">
            <w:pPr>
              <w:spacing w:after="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1666" w:type="dxa"/>
            <w:vAlign w:val="center"/>
          </w:tcPr>
          <w:p w14:paraId="568EE50B" w14:textId="77777777" w:rsidR="00DD01E4" w:rsidRPr="008E5F15" w:rsidRDefault="00DD01E4">
            <w:pPr>
              <w:spacing w:after="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1376" w:type="dxa"/>
            <w:vAlign w:val="center"/>
          </w:tcPr>
          <w:p w14:paraId="42F5B867" w14:textId="77777777" w:rsidR="00DD01E4" w:rsidRPr="008E5F15" w:rsidRDefault="00DD01E4">
            <w:pPr>
              <w:spacing w:after="0" w:line="240" w:lineRule="auto"/>
              <w:jc w:val="right"/>
              <w:rPr>
                <w:rFonts w:ascii="Arial" w:hAnsi="Arial" w:cs="Arial"/>
                <w:color w:val="000000"/>
                <w:sz w:val="14"/>
                <w:szCs w:val="14"/>
              </w:rPr>
            </w:pPr>
            <w:r w:rsidRPr="008E5F15">
              <w:rPr>
                <w:rFonts w:ascii="Arial" w:hAnsi="Arial" w:cs="Arial"/>
                <w:color w:val="000000"/>
                <w:sz w:val="14"/>
                <w:szCs w:val="14"/>
              </w:rPr>
              <w:t>(2.700.012)</w:t>
            </w:r>
          </w:p>
        </w:tc>
        <w:tc>
          <w:tcPr>
            <w:tcW w:w="1017" w:type="dxa"/>
            <w:vAlign w:val="center"/>
          </w:tcPr>
          <w:p w14:paraId="67B0265A" w14:textId="77777777" w:rsidR="00DD01E4" w:rsidRPr="008E5F15" w:rsidRDefault="00DD01E4">
            <w:pPr>
              <w:spacing w:after="0" w:line="240" w:lineRule="auto"/>
              <w:jc w:val="right"/>
              <w:rPr>
                <w:rFonts w:ascii="Arial" w:hAnsi="Arial" w:cs="Arial"/>
                <w:b/>
                <w:bCs/>
                <w:color w:val="000000"/>
                <w:sz w:val="14"/>
                <w:szCs w:val="14"/>
              </w:rPr>
            </w:pPr>
            <w:r w:rsidRPr="008E5F15">
              <w:rPr>
                <w:rFonts w:ascii="Arial" w:hAnsi="Arial" w:cs="Arial"/>
                <w:b/>
                <w:bCs/>
                <w:color w:val="000000"/>
                <w:sz w:val="14"/>
                <w:szCs w:val="14"/>
              </w:rPr>
              <w:t>(2.700.012)</w:t>
            </w:r>
          </w:p>
        </w:tc>
      </w:tr>
      <w:tr w:rsidR="00DD01E4" w:rsidRPr="004B5EA4" w14:paraId="2F4E8765" w14:textId="77777777">
        <w:trPr>
          <w:trHeight w:val="175"/>
        </w:trPr>
        <w:tc>
          <w:tcPr>
            <w:tcW w:w="4889" w:type="dxa"/>
            <w:vAlign w:val="center"/>
          </w:tcPr>
          <w:p w14:paraId="2C9E8443" w14:textId="77777777" w:rsidR="00DD01E4" w:rsidRPr="008E5F15" w:rsidRDefault="00DD01E4">
            <w:pPr>
              <w:keepNext/>
              <w:keepLines/>
              <w:spacing w:before="40" w:after="40" w:line="240" w:lineRule="auto"/>
              <w:ind w:left="113"/>
              <w:rPr>
                <w:rFonts w:ascii="Arial" w:eastAsia="Times New Roman" w:hAnsi="Arial" w:cs="Arial"/>
                <w:spacing w:val="-2"/>
                <w:sz w:val="14"/>
                <w:szCs w:val="14"/>
                <w:lang w:eastAsia="pt-BR"/>
              </w:rPr>
            </w:pPr>
            <w:r w:rsidRPr="008E5F15">
              <w:rPr>
                <w:rFonts w:ascii="Arial" w:eastAsia="Times New Roman" w:hAnsi="Arial" w:cs="Arial"/>
                <w:spacing w:val="-2"/>
                <w:sz w:val="14"/>
                <w:szCs w:val="14"/>
                <w:lang w:eastAsia="pt-BR"/>
              </w:rPr>
              <w:t xml:space="preserve">                     - Dividendos propostos a pagar</w:t>
            </w:r>
          </w:p>
        </w:tc>
        <w:tc>
          <w:tcPr>
            <w:tcW w:w="716" w:type="dxa"/>
            <w:shd w:val="clear" w:color="auto" w:fill="auto"/>
            <w:vAlign w:val="center"/>
          </w:tcPr>
          <w:p w14:paraId="5844BFC0" w14:textId="77777777" w:rsidR="00DD01E4" w:rsidRPr="008E5F15" w:rsidRDefault="00DD01E4">
            <w:pPr>
              <w:keepNext/>
              <w:keepLines/>
              <w:spacing w:before="40" w:after="40" w:line="240" w:lineRule="auto"/>
              <w:jc w:val="right"/>
              <w:rPr>
                <w:rFonts w:ascii="Arial" w:eastAsia="Times New Roman" w:hAnsi="Arial" w:cs="Arial"/>
                <w:spacing w:val="-2"/>
                <w:sz w:val="14"/>
                <w:szCs w:val="14"/>
                <w:lang w:eastAsia="pt-BR"/>
              </w:rPr>
            </w:pPr>
          </w:p>
        </w:tc>
        <w:tc>
          <w:tcPr>
            <w:tcW w:w="894" w:type="dxa"/>
            <w:shd w:val="clear" w:color="auto" w:fill="auto"/>
            <w:vAlign w:val="center"/>
          </w:tcPr>
          <w:p w14:paraId="607D188B" w14:textId="77777777" w:rsidR="00DD01E4" w:rsidRPr="008E5F15" w:rsidRDefault="00DD01E4">
            <w:pPr>
              <w:spacing w:after="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968" w:type="dxa"/>
            <w:vAlign w:val="center"/>
          </w:tcPr>
          <w:p w14:paraId="3A2366A3" w14:textId="77777777" w:rsidR="00DD01E4" w:rsidRPr="008E5F15" w:rsidRDefault="00DD01E4">
            <w:pPr>
              <w:spacing w:after="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1128" w:type="dxa"/>
            <w:vAlign w:val="center"/>
          </w:tcPr>
          <w:p w14:paraId="7B254265" w14:textId="77777777" w:rsidR="00DD01E4" w:rsidRPr="008E5F15" w:rsidRDefault="00DD01E4">
            <w:pPr>
              <w:spacing w:after="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1646" w:type="dxa"/>
            <w:vAlign w:val="center"/>
          </w:tcPr>
          <w:p w14:paraId="5F710BF5" w14:textId="77777777" w:rsidR="00DD01E4" w:rsidRPr="008E5F15" w:rsidRDefault="00DD01E4">
            <w:pPr>
              <w:spacing w:after="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1009" w:type="dxa"/>
            <w:vAlign w:val="center"/>
          </w:tcPr>
          <w:p w14:paraId="0EE4AC2B" w14:textId="77777777" w:rsidR="00DD01E4" w:rsidRPr="008E5F15" w:rsidRDefault="00DD01E4">
            <w:pPr>
              <w:spacing w:after="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1666" w:type="dxa"/>
            <w:vAlign w:val="center"/>
          </w:tcPr>
          <w:p w14:paraId="75ADB241" w14:textId="77777777" w:rsidR="00DD01E4" w:rsidRPr="008E5F15" w:rsidRDefault="00DD01E4">
            <w:pPr>
              <w:spacing w:after="0" w:line="240" w:lineRule="auto"/>
              <w:jc w:val="right"/>
              <w:rPr>
                <w:rFonts w:ascii="Arial" w:hAnsi="Arial" w:cs="Arial"/>
                <w:color w:val="000000"/>
                <w:sz w:val="14"/>
                <w:szCs w:val="14"/>
              </w:rPr>
            </w:pPr>
            <w:r w:rsidRPr="008E5F15">
              <w:rPr>
                <w:rFonts w:ascii="Arial" w:hAnsi="Arial" w:cs="Arial"/>
                <w:color w:val="000000"/>
                <w:sz w:val="14"/>
                <w:szCs w:val="14"/>
              </w:rPr>
              <w:t>--</w:t>
            </w:r>
          </w:p>
        </w:tc>
        <w:tc>
          <w:tcPr>
            <w:tcW w:w="1376" w:type="dxa"/>
            <w:vAlign w:val="center"/>
          </w:tcPr>
          <w:p w14:paraId="239C5024" w14:textId="77777777" w:rsidR="00DD01E4" w:rsidRPr="008E5F15" w:rsidRDefault="00DD01E4">
            <w:pPr>
              <w:spacing w:after="0" w:line="240" w:lineRule="auto"/>
              <w:jc w:val="right"/>
              <w:rPr>
                <w:rFonts w:ascii="Arial" w:hAnsi="Arial" w:cs="Arial"/>
                <w:color w:val="000000"/>
                <w:sz w:val="14"/>
                <w:szCs w:val="14"/>
              </w:rPr>
            </w:pPr>
            <w:r w:rsidRPr="008E5F15">
              <w:rPr>
                <w:rFonts w:ascii="Arial" w:hAnsi="Arial" w:cs="Arial"/>
                <w:color w:val="000000"/>
                <w:sz w:val="14"/>
                <w:szCs w:val="14"/>
              </w:rPr>
              <w:t>(4.411.014)</w:t>
            </w:r>
          </w:p>
        </w:tc>
        <w:tc>
          <w:tcPr>
            <w:tcW w:w="1017" w:type="dxa"/>
            <w:vAlign w:val="center"/>
          </w:tcPr>
          <w:p w14:paraId="3EBB378A" w14:textId="77777777" w:rsidR="00DD01E4" w:rsidRPr="008E5F15" w:rsidRDefault="00DD01E4">
            <w:pPr>
              <w:spacing w:after="0" w:line="240" w:lineRule="auto"/>
              <w:jc w:val="right"/>
              <w:rPr>
                <w:rFonts w:ascii="Arial" w:hAnsi="Arial" w:cs="Arial"/>
                <w:b/>
                <w:bCs/>
                <w:color w:val="000000"/>
                <w:sz w:val="14"/>
                <w:szCs w:val="14"/>
              </w:rPr>
            </w:pPr>
            <w:r w:rsidRPr="008E5F15">
              <w:rPr>
                <w:rFonts w:ascii="Arial" w:hAnsi="Arial" w:cs="Arial"/>
                <w:b/>
                <w:bCs/>
                <w:color w:val="000000"/>
                <w:sz w:val="14"/>
                <w:szCs w:val="14"/>
              </w:rPr>
              <w:t>(4.411.014)</w:t>
            </w:r>
          </w:p>
        </w:tc>
      </w:tr>
      <w:tr w:rsidR="00DD01E4" w:rsidRPr="004B5EA4" w14:paraId="35B39723" w14:textId="77777777">
        <w:trPr>
          <w:trHeight w:val="172"/>
        </w:trPr>
        <w:tc>
          <w:tcPr>
            <w:tcW w:w="4889" w:type="dxa"/>
            <w:tcBorders>
              <w:bottom w:val="single" w:sz="2" w:space="0" w:color="1F3864" w:themeColor="accent1" w:themeShade="80"/>
            </w:tcBorders>
            <w:vAlign w:val="center"/>
          </w:tcPr>
          <w:p w14:paraId="72ACF47F" w14:textId="77777777" w:rsidR="00DD01E4" w:rsidRPr="0029440E" w:rsidRDefault="00DD01E4">
            <w:pPr>
              <w:keepNext/>
              <w:keepLines/>
              <w:spacing w:before="40" w:after="40" w:line="240" w:lineRule="auto"/>
              <w:rPr>
                <w:rFonts w:ascii="Arial" w:eastAsia="Times New Roman" w:hAnsi="Arial" w:cs="Arial"/>
                <w:b/>
                <w:bCs/>
                <w:spacing w:val="-2"/>
                <w:sz w:val="14"/>
                <w:szCs w:val="14"/>
                <w:lang w:eastAsia="pt-BR"/>
              </w:rPr>
            </w:pPr>
            <w:r w:rsidRPr="0029440E">
              <w:rPr>
                <w:rFonts w:ascii="Arial" w:eastAsia="Times New Roman" w:hAnsi="Arial" w:cs="Arial"/>
                <w:b/>
                <w:bCs/>
                <w:spacing w:val="-2"/>
                <w:sz w:val="14"/>
                <w:szCs w:val="14"/>
                <w:lang w:eastAsia="pt-BR"/>
              </w:rPr>
              <w:t>Saldos em 3</w:t>
            </w:r>
            <w:r>
              <w:rPr>
                <w:rFonts w:ascii="Arial" w:eastAsia="Times New Roman" w:hAnsi="Arial" w:cs="Arial"/>
                <w:b/>
                <w:bCs/>
                <w:spacing w:val="-2"/>
                <w:sz w:val="14"/>
                <w:szCs w:val="14"/>
                <w:lang w:eastAsia="pt-BR"/>
              </w:rPr>
              <w:t>1</w:t>
            </w:r>
            <w:r w:rsidRPr="0029440E">
              <w:rPr>
                <w:rFonts w:ascii="Arial" w:eastAsia="Times New Roman" w:hAnsi="Arial" w:cs="Arial"/>
                <w:b/>
                <w:bCs/>
                <w:spacing w:val="-2"/>
                <w:sz w:val="14"/>
                <w:szCs w:val="14"/>
                <w:lang w:eastAsia="pt-BR"/>
              </w:rPr>
              <w:t>.</w:t>
            </w:r>
            <w:r>
              <w:rPr>
                <w:rFonts w:ascii="Arial" w:eastAsia="Times New Roman" w:hAnsi="Arial" w:cs="Arial"/>
                <w:b/>
                <w:bCs/>
                <w:spacing w:val="-2"/>
                <w:sz w:val="14"/>
                <w:szCs w:val="14"/>
                <w:lang w:eastAsia="pt-BR"/>
              </w:rPr>
              <w:t>12</w:t>
            </w:r>
            <w:r w:rsidRPr="0029440E">
              <w:rPr>
                <w:rFonts w:ascii="Arial" w:eastAsia="Times New Roman" w:hAnsi="Arial" w:cs="Arial"/>
                <w:b/>
                <w:bCs/>
                <w:spacing w:val="-2"/>
                <w:sz w:val="14"/>
                <w:szCs w:val="14"/>
                <w:lang w:eastAsia="pt-BR"/>
              </w:rPr>
              <w:t>.2024</w:t>
            </w:r>
          </w:p>
        </w:tc>
        <w:tc>
          <w:tcPr>
            <w:tcW w:w="716" w:type="dxa"/>
            <w:tcBorders>
              <w:bottom w:val="single" w:sz="2" w:space="0" w:color="1F3864" w:themeColor="accent1" w:themeShade="80"/>
            </w:tcBorders>
            <w:vAlign w:val="center"/>
          </w:tcPr>
          <w:p w14:paraId="702C9EED" w14:textId="77777777" w:rsidR="00DD01E4" w:rsidRPr="0029440E" w:rsidRDefault="00DD01E4">
            <w:pPr>
              <w:keepNext/>
              <w:keepLines/>
              <w:spacing w:before="40" w:after="40" w:line="240" w:lineRule="auto"/>
              <w:jc w:val="center"/>
              <w:rPr>
                <w:rFonts w:ascii="Arial" w:eastAsia="Times New Roman" w:hAnsi="Arial" w:cs="Arial"/>
                <w:b/>
                <w:bCs/>
                <w:spacing w:val="-2"/>
                <w:sz w:val="14"/>
                <w:szCs w:val="14"/>
                <w:lang w:eastAsia="pt-BR"/>
              </w:rPr>
            </w:pPr>
          </w:p>
        </w:tc>
        <w:tc>
          <w:tcPr>
            <w:tcW w:w="894" w:type="dxa"/>
            <w:tcBorders>
              <w:bottom w:val="single" w:sz="2" w:space="0" w:color="1F3864" w:themeColor="accent1" w:themeShade="80"/>
            </w:tcBorders>
            <w:vAlign w:val="center"/>
          </w:tcPr>
          <w:p w14:paraId="7AD9CE6C" w14:textId="77777777" w:rsidR="00DD01E4" w:rsidRPr="008E5F15" w:rsidRDefault="00DD01E4">
            <w:pPr>
              <w:spacing w:after="0" w:line="240" w:lineRule="auto"/>
              <w:jc w:val="right"/>
              <w:rPr>
                <w:rFonts w:ascii="Arial" w:hAnsi="Arial" w:cs="Arial"/>
                <w:b/>
                <w:bCs/>
                <w:color w:val="000000"/>
                <w:sz w:val="14"/>
                <w:szCs w:val="14"/>
              </w:rPr>
            </w:pPr>
            <w:r w:rsidRPr="008E5F15">
              <w:rPr>
                <w:rFonts w:ascii="Arial" w:hAnsi="Arial" w:cs="Arial"/>
                <w:b/>
                <w:bCs/>
                <w:color w:val="000000"/>
                <w:sz w:val="14"/>
                <w:szCs w:val="14"/>
              </w:rPr>
              <w:t>6.269.692</w:t>
            </w:r>
          </w:p>
        </w:tc>
        <w:tc>
          <w:tcPr>
            <w:tcW w:w="968" w:type="dxa"/>
            <w:tcBorders>
              <w:bottom w:val="single" w:sz="2" w:space="0" w:color="1F3864" w:themeColor="accent1" w:themeShade="80"/>
            </w:tcBorders>
            <w:vAlign w:val="center"/>
          </w:tcPr>
          <w:p w14:paraId="10D10DD5" w14:textId="77777777" w:rsidR="00DD01E4" w:rsidRPr="008E5F15" w:rsidRDefault="00DD01E4">
            <w:pPr>
              <w:spacing w:after="0" w:line="240" w:lineRule="auto"/>
              <w:jc w:val="right"/>
              <w:rPr>
                <w:rFonts w:ascii="Arial" w:hAnsi="Arial" w:cs="Arial"/>
                <w:b/>
                <w:bCs/>
                <w:color w:val="000000"/>
                <w:sz w:val="14"/>
                <w:szCs w:val="14"/>
              </w:rPr>
            </w:pPr>
            <w:r w:rsidRPr="008E5F15">
              <w:rPr>
                <w:rFonts w:ascii="Arial" w:hAnsi="Arial" w:cs="Arial"/>
                <w:b/>
                <w:bCs/>
                <w:color w:val="000000"/>
                <w:sz w:val="14"/>
                <w:szCs w:val="14"/>
              </w:rPr>
              <w:t>978</w:t>
            </w:r>
          </w:p>
        </w:tc>
        <w:tc>
          <w:tcPr>
            <w:tcW w:w="1128" w:type="dxa"/>
            <w:tcBorders>
              <w:bottom w:val="single" w:sz="2" w:space="0" w:color="1F3864" w:themeColor="accent1" w:themeShade="80"/>
            </w:tcBorders>
            <w:vAlign w:val="center"/>
          </w:tcPr>
          <w:p w14:paraId="3F0C5CF3" w14:textId="77777777" w:rsidR="00DD01E4" w:rsidRPr="008E5F15" w:rsidRDefault="00DD01E4">
            <w:pPr>
              <w:spacing w:after="0" w:line="240" w:lineRule="auto"/>
              <w:jc w:val="right"/>
              <w:rPr>
                <w:rFonts w:ascii="Arial" w:hAnsi="Arial" w:cs="Arial"/>
                <w:b/>
                <w:bCs/>
                <w:color w:val="000000"/>
                <w:sz w:val="14"/>
                <w:szCs w:val="14"/>
              </w:rPr>
            </w:pPr>
            <w:r w:rsidRPr="008E5F15">
              <w:rPr>
                <w:rFonts w:ascii="Arial" w:hAnsi="Arial" w:cs="Arial"/>
                <w:b/>
                <w:bCs/>
                <w:color w:val="000000"/>
                <w:sz w:val="14"/>
                <w:szCs w:val="14"/>
              </w:rPr>
              <w:t>1.134.757</w:t>
            </w:r>
          </w:p>
        </w:tc>
        <w:tc>
          <w:tcPr>
            <w:tcW w:w="1646" w:type="dxa"/>
            <w:tcBorders>
              <w:bottom w:val="single" w:sz="2" w:space="0" w:color="1F3864" w:themeColor="accent1" w:themeShade="80"/>
            </w:tcBorders>
            <w:vAlign w:val="center"/>
          </w:tcPr>
          <w:p w14:paraId="5856B56F" w14:textId="77777777" w:rsidR="00DD01E4" w:rsidRPr="008E5F15" w:rsidRDefault="00DD01E4">
            <w:pPr>
              <w:spacing w:after="0" w:line="240" w:lineRule="auto"/>
              <w:jc w:val="right"/>
              <w:rPr>
                <w:rFonts w:ascii="Arial" w:hAnsi="Arial" w:cs="Arial"/>
                <w:b/>
                <w:bCs/>
                <w:color w:val="000000"/>
                <w:sz w:val="14"/>
                <w:szCs w:val="14"/>
              </w:rPr>
            </w:pPr>
            <w:r w:rsidRPr="008E5F15">
              <w:rPr>
                <w:rFonts w:ascii="Arial" w:hAnsi="Arial" w:cs="Arial"/>
                <w:b/>
                <w:bCs/>
                <w:color w:val="000000"/>
                <w:sz w:val="14"/>
                <w:szCs w:val="14"/>
              </w:rPr>
              <w:t>4.904.432</w:t>
            </w:r>
          </w:p>
        </w:tc>
        <w:tc>
          <w:tcPr>
            <w:tcW w:w="1009" w:type="dxa"/>
            <w:tcBorders>
              <w:bottom w:val="single" w:sz="2" w:space="0" w:color="1F3864" w:themeColor="accent1" w:themeShade="80"/>
            </w:tcBorders>
            <w:vAlign w:val="center"/>
          </w:tcPr>
          <w:p w14:paraId="117B5764" w14:textId="77777777" w:rsidR="00DD01E4" w:rsidRPr="008E5F15" w:rsidRDefault="00DD01E4">
            <w:pPr>
              <w:spacing w:after="0" w:line="240" w:lineRule="auto"/>
              <w:jc w:val="right"/>
              <w:rPr>
                <w:rFonts w:ascii="Arial" w:hAnsi="Arial" w:cs="Arial"/>
                <w:b/>
                <w:bCs/>
                <w:color w:val="000000"/>
                <w:sz w:val="14"/>
                <w:szCs w:val="14"/>
              </w:rPr>
            </w:pPr>
            <w:r>
              <w:rPr>
                <w:rFonts w:ascii="Arial" w:hAnsi="Arial" w:cs="Arial"/>
                <w:b/>
                <w:bCs/>
                <w:color w:val="000000"/>
                <w:sz w:val="14"/>
                <w:szCs w:val="14"/>
              </w:rPr>
              <w:t>(</w:t>
            </w:r>
            <w:r w:rsidRPr="008E5F15">
              <w:rPr>
                <w:rFonts w:ascii="Arial" w:hAnsi="Arial" w:cs="Arial"/>
                <w:b/>
                <w:bCs/>
                <w:color w:val="000000"/>
                <w:sz w:val="14"/>
                <w:szCs w:val="14"/>
              </w:rPr>
              <w:t>1.869.833</w:t>
            </w:r>
            <w:r>
              <w:rPr>
                <w:rFonts w:ascii="Arial" w:hAnsi="Arial" w:cs="Arial"/>
                <w:b/>
                <w:bCs/>
                <w:color w:val="000000"/>
                <w:sz w:val="14"/>
                <w:szCs w:val="14"/>
              </w:rPr>
              <w:t>)</w:t>
            </w:r>
          </w:p>
        </w:tc>
        <w:tc>
          <w:tcPr>
            <w:tcW w:w="1666" w:type="dxa"/>
            <w:tcBorders>
              <w:bottom w:val="single" w:sz="2" w:space="0" w:color="1F3864" w:themeColor="accent1" w:themeShade="80"/>
            </w:tcBorders>
            <w:vAlign w:val="center"/>
          </w:tcPr>
          <w:p w14:paraId="43D458AA" w14:textId="77777777" w:rsidR="00DD01E4" w:rsidRPr="008E5F15" w:rsidRDefault="00DD01E4">
            <w:pPr>
              <w:spacing w:after="0" w:line="240" w:lineRule="auto"/>
              <w:jc w:val="right"/>
              <w:rPr>
                <w:rFonts w:ascii="Arial" w:hAnsi="Arial" w:cs="Arial"/>
                <w:b/>
                <w:bCs/>
                <w:color w:val="000000"/>
                <w:sz w:val="14"/>
                <w:szCs w:val="14"/>
              </w:rPr>
            </w:pPr>
            <w:r>
              <w:rPr>
                <w:rFonts w:ascii="Arial" w:hAnsi="Arial" w:cs="Arial"/>
                <w:b/>
                <w:bCs/>
                <w:color w:val="000000"/>
                <w:sz w:val="14"/>
                <w:szCs w:val="14"/>
              </w:rPr>
              <w:t>(</w:t>
            </w:r>
            <w:r w:rsidRPr="008E5F15">
              <w:rPr>
                <w:rFonts w:ascii="Arial" w:hAnsi="Arial" w:cs="Arial"/>
                <w:b/>
                <w:bCs/>
                <w:color w:val="000000"/>
                <w:sz w:val="14"/>
                <w:szCs w:val="14"/>
              </w:rPr>
              <w:t>744.605</w:t>
            </w:r>
            <w:r>
              <w:rPr>
                <w:rFonts w:ascii="Arial" w:hAnsi="Arial" w:cs="Arial"/>
                <w:b/>
                <w:bCs/>
                <w:color w:val="000000"/>
                <w:sz w:val="14"/>
                <w:szCs w:val="14"/>
              </w:rPr>
              <w:t>)</w:t>
            </w:r>
          </w:p>
        </w:tc>
        <w:tc>
          <w:tcPr>
            <w:tcW w:w="1376" w:type="dxa"/>
            <w:tcBorders>
              <w:bottom w:val="single" w:sz="2" w:space="0" w:color="1F3864" w:themeColor="accent1" w:themeShade="80"/>
            </w:tcBorders>
            <w:vAlign w:val="center"/>
          </w:tcPr>
          <w:p w14:paraId="445A5A95" w14:textId="77777777" w:rsidR="00DD01E4" w:rsidRPr="008E5F15" w:rsidRDefault="00DD01E4">
            <w:pPr>
              <w:spacing w:after="0" w:line="240" w:lineRule="auto"/>
              <w:jc w:val="right"/>
              <w:rPr>
                <w:rFonts w:ascii="Arial" w:hAnsi="Arial" w:cs="Arial"/>
                <w:b/>
                <w:bCs/>
                <w:color w:val="000000"/>
                <w:sz w:val="14"/>
                <w:szCs w:val="14"/>
              </w:rPr>
            </w:pPr>
            <w:r>
              <w:rPr>
                <w:rFonts w:ascii="Arial" w:hAnsi="Arial" w:cs="Arial"/>
                <w:b/>
                <w:bCs/>
                <w:color w:val="000000"/>
                <w:sz w:val="14"/>
                <w:szCs w:val="14"/>
              </w:rPr>
              <w:t>--</w:t>
            </w:r>
          </w:p>
        </w:tc>
        <w:tc>
          <w:tcPr>
            <w:tcW w:w="1017" w:type="dxa"/>
            <w:tcBorders>
              <w:bottom w:val="single" w:sz="2" w:space="0" w:color="1F3864" w:themeColor="accent1" w:themeShade="80"/>
            </w:tcBorders>
            <w:vAlign w:val="center"/>
          </w:tcPr>
          <w:p w14:paraId="5951E463" w14:textId="77777777" w:rsidR="00DD01E4" w:rsidRPr="008E5F15" w:rsidRDefault="00DD01E4">
            <w:pPr>
              <w:spacing w:after="0" w:line="240" w:lineRule="auto"/>
              <w:jc w:val="right"/>
              <w:rPr>
                <w:rFonts w:ascii="Arial" w:hAnsi="Arial" w:cs="Arial"/>
                <w:b/>
                <w:bCs/>
                <w:color w:val="000000"/>
                <w:sz w:val="14"/>
                <w:szCs w:val="14"/>
              </w:rPr>
            </w:pPr>
            <w:r w:rsidRPr="008E5F15">
              <w:rPr>
                <w:rFonts w:ascii="Arial" w:hAnsi="Arial" w:cs="Arial"/>
                <w:b/>
                <w:bCs/>
                <w:color w:val="000000"/>
                <w:sz w:val="14"/>
                <w:szCs w:val="14"/>
              </w:rPr>
              <w:t>9.695.421</w:t>
            </w:r>
          </w:p>
        </w:tc>
      </w:tr>
      <w:tr w:rsidR="00DD01E4" w:rsidRPr="004B5EA4" w14:paraId="341F1E21" w14:textId="77777777">
        <w:trPr>
          <w:trHeight w:val="218"/>
        </w:trPr>
        <w:tc>
          <w:tcPr>
            <w:tcW w:w="4889" w:type="dxa"/>
            <w:tcBorders>
              <w:top w:val="single" w:sz="2" w:space="0" w:color="1F3864" w:themeColor="accent1" w:themeShade="80"/>
              <w:bottom w:val="single" w:sz="2" w:space="0" w:color="1F3864" w:themeColor="accent1" w:themeShade="80"/>
            </w:tcBorders>
            <w:vAlign w:val="center"/>
          </w:tcPr>
          <w:p w14:paraId="45B9E624" w14:textId="77777777" w:rsidR="00DD01E4" w:rsidRPr="0029440E" w:rsidRDefault="00DD01E4">
            <w:pPr>
              <w:keepNext/>
              <w:keepLines/>
              <w:spacing w:before="40" w:after="40" w:line="240" w:lineRule="auto"/>
              <w:rPr>
                <w:rFonts w:ascii="Arial" w:eastAsia="Times New Roman" w:hAnsi="Arial" w:cs="Arial"/>
                <w:b/>
                <w:bCs/>
                <w:spacing w:val="-2"/>
                <w:sz w:val="14"/>
                <w:szCs w:val="14"/>
                <w:lang w:eastAsia="pt-BR"/>
              </w:rPr>
            </w:pPr>
            <w:r w:rsidRPr="0029440E">
              <w:rPr>
                <w:rFonts w:ascii="Arial" w:eastAsia="Times New Roman" w:hAnsi="Arial" w:cs="Arial"/>
                <w:b/>
                <w:bCs/>
                <w:spacing w:val="-2"/>
                <w:sz w:val="14"/>
                <w:szCs w:val="14"/>
                <w:lang w:eastAsia="pt-BR"/>
              </w:rPr>
              <w:t>Mutações do Período</w:t>
            </w:r>
          </w:p>
        </w:tc>
        <w:tc>
          <w:tcPr>
            <w:tcW w:w="716" w:type="dxa"/>
            <w:tcBorders>
              <w:top w:val="single" w:sz="2" w:space="0" w:color="1F3864" w:themeColor="accent1" w:themeShade="80"/>
              <w:bottom w:val="single" w:sz="2" w:space="0" w:color="1F3864" w:themeColor="accent1" w:themeShade="80"/>
            </w:tcBorders>
            <w:vAlign w:val="center"/>
          </w:tcPr>
          <w:p w14:paraId="07BED769" w14:textId="77777777" w:rsidR="00DD01E4" w:rsidRPr="0029440E" w:rsidRDefault="00DD01E4">
            <w:pPr>
              <w:keepNext/>
              <w:keepLines/>
              <w:spacing w:before="40" w:after="40" w:line="240" w:lineRule="auto"/>
              <w:jc w:val="center"/>
              <w:rPr>
                <w:rFonts w:ascii="Arial" w:eastAsia="Times New Roman" w:hAnsi="Arial" w:cs="Arial"/>
                <w:b/>
                <w:bCs/>
                <w:spacing w:val="-2"/>
                <w:sz w:val="14"/>
                <w:szCs w:val="14"/>
                <w:lang w:eastAsia="pt-BR"/>
              </w:rPr>
            </w:pPr>
          </w:p>
        </w:tc>
        <w:tc>
          <w:tcPr>
            <w:tcW w:w="894" w:type="dxa"/>
            <w:tcBorders>
              <w:top w:val="single" w:sz="2" w:space="0" w:color="1F3864" w:themeColor="accent1" w:themeShade="80"/>
              <w:bottom w:val="single" w:sz="2" w:space="0" w:color="1F3864" w:themeColor="accent1" w:themeShade="80"/>
            </w:tcBorders>
            <w:vAlign w:val="center"/>
          </w:tcPr>
          <w:p w14:paraId="3F5A92F0" w14:textId="191FC3EE" w:rsidR="00DD01E4" w:rsidRPr="008E5F15" w:rsidRDefault="00DF168A">
            <w:pPr>
              <w:spacing w:after="0" w:line="240" w:lineRule="auto"/>
              <w:jc w:val="right"/>
              <w:rPr>
                <w:rFonts w:ascii="Arial" w:hAnsi="Arial" w:cs="Arial"/>
                <w:b/>
                <w:bCs/>
                <w:color w:val="000000"/>
                <w:sz w:val="14"/>
                <w:szCs w:val="14"/>
              </w:rPr>
            </w:pPr>
            <w:r>
              <w:rPr>
                <w:rFonts w:ascii="Arial" w:hAnsi="Arial" w:cs="Arial"/>
                <w:b/>
                <w:bCs/>
                <w:color w:val="000000"/>
                <w:sz w:val="14"/>
                <w:szCs w:val="14"/>
              </w:rPr>
              <w:t>--</w:t>
            </w:r>
          </w:p>
        </w:tc>
        <w:tc>
          <w:tcPr>
            <w:tcW w:w="968" w:type="dxa"/>
            <w:tcBorders>
              <w:top w:val="single" w:sz="2" w:space="0" w:color="1F3864" w:themeColor="accent1" w:themeShade="80"/>
              <w:bottom w:val="single" w:sz="2" w:space="0" w:color="1F3864" w:themeColor="accent1" w:themeShade="80"/>
            </w:tcBorders>
            <w:vAlign w:val="center"/>
          </w:tcPr>
          <w:p w14:paraId="10C3D915" w14:textId="77777777" w:rsidR="00DD01E4" w:rsidRPr="008E5F15" w:rsidRDefault="00DD01E4">
            <w:pPr>
              <w:spacing w:after="0" w:line="240" w:lineRule="auto"/>
              <w:jc w:val="right"/>
              <w:rPr>
                <w:rFonts w:ascii="Arial" w:hAnsi="Arial" w:cs="Arial"/>
                <w:b/>
                <w:bCs/>
                <w:color w:val="000000"/>
                <w:sz w:val="14"/>
                <w:szCs w:val="14"/>
              </w:rPr>
            </w:pPr>
            <w:r>
              <w:rPr>
                <w:rFonts w:ascii="Arial" w:hAnsi="Arial" w:cs="Arial"/>
                <w:b/>
                <w:bCs/>
                <w:color w:val="000000"/>
                <w:sz w:val="14"/>
                <w:szCs w:val="14"/>
              </w:rPr>
              <w:t>(</w:t>
            </w:r>
            <w:r w:rsidRPr="008E5F15">
              <w:rPr>
                <w:rFonts w:ascii="Arial" w:hAnsi="Arial" w:cs="Arial"/>
                <w:b/>
                <w:bCs/>
                <w:color w:val="000000"/>
                <w:sz w:val="14"/>
                <w:szCs w:val="14"/>
              </w:rPr>
              <w:t>827</w:t>
            </w:r>
            <w:r>
              <w:rPr>
                <w:rFonts w:ascii="Arial" w:hAnsi="Arial" w:cs="Arial"/>
                <w:b/>
                <w:bCs/>
                <w:color w:val="000000"/>
                <w:sz w:val="14"/>
                <w:szCs w:val="14"/>
              </w:rPr>
              <w:t>)</w:t>
            </w:r>
          </w:p>
        </w:tc>
        <w:tc>
          <w:tcPr>
            <w:tcW w:w="1128" w:type="dxa"/>
            <w:tcBorders>
              <w:top w:val="single" w:sz="2" w:space="0" w:color="1F3864" w:themeColor="accent1" w:themeShade="80"/>
              <w:bottom w:val="single" w:sz="2" w:space="0" w:color="1F3864" w:themeColor="accent1" w:themeShade="80"/>
            </w:tcBorders>
            <w:vAlign w:val="center"/>
          </w:tcPr>
          <w:p w14:paraId="446BB094" w14:textId="77777777" w:rsidR="00DD01E4" w:rsidRPr="008E5F15" w:rsidRDefault="00DD01E4">
            <w:pPr>
              <w:spacing w:after="0" w:line="240" w:lineRule="auto"/>
              <w:jc w:val="right"/>
              <w:rPr>
                <w:rFonts w:ascii="Arial" w:hAnsi="Arial" w:cs="Arial"/>
                <w:b/>
                <w:bCs/>
                <w:color w:val="000000"/>
                <w:sz w:val="14"/>
                <w:szCs w:val="14"/>
              </w:rPr>
            </w:pPr>
            <w:r w:rsidRPr="008E5F15">
              <w:rPr>
                <w:rFonts w:ascii="Arial" w:hAnsi="Arial" w:cs="Arial"/>
                <w:b/>
                <w:bCs/>
                <w:color w:val="000000"/>
                <w:sz w:val="14"/>
                <w:szCs w:val="14"/>
              </w:rPr>
              <w:t>435.168</w:t>
            </w:r>
          </w:p>
        </w:tc>
        <w:tc>
          <w:tcPr>
            <w:tcW w:w="1646" w:type="dxa"/>
            <w:tcBorders>
              <w:top w:val="single" w:sz="2" w:space="0" w:color="1F3864" w:themeColor="accent1" w:themeShade="80"/>
              <w:bottom w:val="single" w:sz="2" w:space="0" w:color="1F3864" w:themeColor="accent1" w:themeShade="80"/>
            </w:tcBorders>
            <w:vAlign w:val="center"/>
          </w:tcPr>
          <w:p w14:paraId="7261EF36" w14:textId="77777777" w:rsidR="00DD01E4" w:rsidRPr="008E5F15" w:rsidRDefault="00DD01E4">
            <w:pPr>
              <w:spacing w:after="0" w:line="240" w:lineRule="auto"/>
              <w:jc w:val="right"/>
              <w:rPr>
                <w:rFonts w:ascii="Arial" w:hAnsi="Arial" w:cs="Arial"/>
                <w:b/>
                <w:bCs/>
                <w:color w:val="000000"/>
                <w:sz w:val="14"/>
                <w:szCs w:val="14"/>
              </w:rPr>
            </w:pPr>
            <w:r w:rsidRPr="008E5F15">
              <w:rPr>
                <w:rFonts w:ascii="Arial" w:hAnsi="Arial" w:cs="Arial"/>
                <w:b/>
                <w:bCs/>
                <w:color w:val="000000"/>
                <w:sz w:val="14"/>
                <w:szCs w:val="14"/>
              </w:rPr>
              <w:t>1.157.185</w:t>
            </w:r>
          </w:p>
        </w:tc>
        <w:tc>
          <w:tcPr>
            <w:tcW w:w="1009" w:type="dxa"/>
            <w:tcBorders>
              <w:top w:val="single" w:sz="2" w:space="0" w:color="1F3864" w:themeColor="accent1" w:themeShade="80"/>
              <w:bottom w:val="single" w:sz="2" w:space="0" w:color="1F3864" w:themeColor="accent1" w:themeShade="80"/>
            </w:tcBorders>
            <w:vAlign w:val="center"/>
          </w:tcPr>
          <w:p w14:paraId="3222D577" w14:textId="77777777" w:rsidR="00DD01E4" w:rsidRPr="008E5F15" w:rsidRDefault="00DD01E4">
            <w:pPr>
              <w:spacing w:after="0" w:line="240" w:lineRule="auto"/>
              <w:jc w:val="right"/>
              <w:rPr>
                <w:rFonts w:ascii="Arial" w:hAnsi="Arial" w:cs="Arial"/>
                <w:b/>
                <w:bCs/>
                <w:color w:val="000000"/>
                <w:sz w:val="14"/>
                <w:szCs w:val="14"/>
              </w:rPr>
            </w:pPr>
            <w:r>
              <w:rPr>
                <w:rFonts w:ascii="Arial" w:hAnsi="Arial" w:cs="Arial"/>
                <w:b/>
                <w:bCs/>
                <w:color w:val="000000"/>
                <w:sz w:val="14"/>
                <w:szCs w:val="14"/>
              </w:rPr>
              <w:t>(</w:t>
            </w:r>
            <w:r w:rsidRPr="008E5F15">
              <w:rPr>
                <w:rFonts w:ascii="Arial" w:hAnsi="Arial" w:cs="Arial"/>
                <w:b/>
                <w:bCs/>
                <w:color w:val="000000"/>
                <w:sz w:val="14"/>
                <w:szCs w:val="14"/>
              </w:rPr>
              <w:t>1.165.803</w:t>
            </w:r>
            <w:r>
              <w:rPr>
                <w:rFonts w:ascii="Arial" w:hAnsi="Arial" w:cs="Arial"/>
                <w:b/>
                <w:bCs/>
                <w:color w:val="000000"/>
                <w:sz w:val="14"/>
                <w:szCs w:val="14"/>
              </w:rPr>
              <w:t>)</w:t>
            </w:r>
          </w:p>
        </w:tc>
        <w:tc>
          <w:tcPr>
            <w:tcW w:w="1666" w:type="dxa"/>
            <w:tcBorders>
              <w:top w:val="single" w:sz="2" w:space="0" w:color="1F3864" w:themeColor="accent1" w:themeShade="80"/>
              <w:bottom w:val="single" w:sz="2" w:space="0" w:color="1F3864" w:themeColor="accent1" w:themeShade="80"/>
            </w:tcBorders>
            <w:vAlign w:val="center"/>
          </w:tcPr>
          <w:p w14:paraId="7D6410F7" w14:textId="77777777" w:rsidR="00DD01E4" w:rsidRPr="008E5F15" w:rsidRDefault="00DD01E4">
            <w:pPr>
              <w:spacing w:after="0" w:line="240" w:lineRule="auto"/>
              <w:jc w:val="right"/>
              <w:rPr>
                <w:rFonts w:ascii="Arial" w:hAnsi="Arial" w:cs="Arial"/>
                <w:b/>
                <w:bCs/>
                <w:color w:val="000000"/>
                <w:sz w:val="14"/>
                <w:szCs w:val="14"/>
              </w:rPr>
            </w:pPr>
            <w:r>
              <w:rPr>
                <w:rFonts w:ascii="Arial" w:hAnsi="Arial" w:cs="Arial"/>
                <w:b/>
                <w:bCs/>
                <w:color w:val="000000"/>
                <w:sz w:val="14"/>
                <w:szCs w:val="14"/>
              </w:rPr>
              <w:t>(</w:t>
            </w:r>
            <w:r w:rsidRPr="008E5F15">
              <w:rPr>
                <w:rFonts w:ascii="Arial" w:hAnsi="Arial" w:cs="Arial"/>
                <w:b/>
                <w:bCs/>
                <w:color w:val="000000"/>
                <w:sz w:val="14"/>
                <w:szCs w:val="14"/>
              </w:rPr>
              <w:t>546.784</w:t>
            </w:r>
            <w:r>
              <w:rPr>
                <w:rFonts w:ascii="Arial" w:hAnsi="Arial" w:cs="Arial"/>
                <w:b/>
                <w:bCs/>
                <w:color w:val="000000"/>
                <w:sz w:val="14"/>
                <w:szCs w:val="14"/>
              </w:rPr>
              <w:t>)</w:t>
            </w:r>
          </w:p>
        </w:tc>
        <w:tc>
          <w:tcPr>
            <w:tcW w:w="1376" w:type="dxa"/>
            <w:tcBorders>
              <w:top w:val="single" w:sz="2" w:space="0" w:color="1F3864" w:themeColor="accent1" w:themeShade="80"/>
              <w:bottom w:val="single" w:sz="2" w:space="0" w:color="1F3864" w:themeColor="accent1" w:themeShade="80"/>
            </w:tcBorders>
            <w:vAlign w:val="center"/>
          </w:tcPr>
          <w:p w14:paraId="02EBD2AA" w14:textId="77777777" w:rsidR="00DD01E4" w:rsidRPr="008E5F15" w:rsidRDefault="00DD01E4">
            <w:pPr>
              <w:spacing w:after="0" w:line="240" w:lineRule="auto"/>
              <w:jc w:val="right"/>
              <w:rPr>
                <w:rFonts w:ascii="Arial" w:hAnsi="Arial" w:cs="Arial"/>
                <w:b/>
                <w:bCs/>
                <w:color w:val="000000"/>
                <w:sz w:val="14"/>
                <w:szCs w:val="14"/>
              </w:rPr>
            </w:pPr>
            <w:r>
              <w:rPr>
                <w:rFonts w:ascii="Arial" w:hAnsi="Arial" w:cs="Arial"/>
                <w:b/>
                <w:bCs/>
                <w:color w:val="000000"/>
                <w:sz w:val="14"/>
                <w:szCs w:val="14"/>
              </w:rPr>
              <w:t>--</w:t>
            </w:r>
          </w:p>
        </w:tc>
        <w:tc>
          <w:tcPr>
            <w:tcW w:w="1017" w:type="dxa"/>
            <w:tcBorders>
              <w:top w:val="single" w:sz="2" w:space="0" w:color="1F3864" w:themeColor="accent1" w:themeShade="80"/>
              <w:bottom w:val="single" w:sz="2" w:space="0" w:color="1F3864" w:themeColor="accent1" w:themeShade="80"/>
            </w:tcBorders>
            <w:vAlign w:val="center"/>
          </w:tcPr>
          <w:p w14:paraId="2BFD6BD9" w14:textId="77777777" w:rsidR="00DD01E4" w:rsidRPr="008E5F15" w:rsidRDefault="00DD01E4">
            <w:pPr>
              <w:spacing w:after="0" w:line="240" w:lineRule="auto"/>
              <w:jc w:val="right"/>
              <w:rPr>
                <w:rFonts w:ascii="Arial" w:hAnsi="Arial" w:cs="Arial"/>
                <w:b/>
                <w:bCs/>
                <w:color w:val="000000"/>
                <w:sz w:val="14"/>
                <w:szCs w:val="14"/>
              </w:rPr>
            </w:pPr>
            <w:r w:rsidRPr="008E5F15">
              <w:rPr>
                <w:rFonts w:ascii="Arial" w:hAnsi="Arial" w:cs="Arial"/>
                <w:b/>
                <w:bCs/>
                <w:color w:val="000000"/>
                <w:sz w:val="14"/>
                <w:szCs w:val="14"/>
              </w:rPr>
              <w:t>(121.061)</w:t>
            </w:r>
          </w:p>
        </w:tc>
      </w:tr>
    </w:tbl>
    <w:p w14:paraId="337F815B" w14:textId="77777777" w:rsidR="005D2F6F" w:rsidRPr="001904D9" w:rsidRDefault="005D2F6F" w:rsidP="00086D33">
      <w:pPr>
        <w:pStyle w:val="PargrafodaLista"/>
        <w:widowControl w:val="0"/>
        <w:numPr>
          <w:ilvl w:val="0"/>
          <w:numId w:val="51"/>
        </w:numPr>
        <w:spacing w:after="0" w:line="26" w:lineRule="atLeast"/>
        <w:ind w:left="284" w:hanging="284"/>
        <w:jc w:val="both"/>
        <w:rPr>
          <w:rFonts w:ascii="Arial" w:hAnsi="Arial" w:cs="Arial"/>
          <w:sz w:val="14"/>
          <w:szCs w:val="14"/>
        </w:rPr>
      </w:pPr>
      <w:r>
        <w:rPr>
          <w:rFonts w:ascii="Arial" w:hAnsi="Arial" w:cs="Arial"/>
          <w:sz w:val="14"/>
          <w:szCs w:val="14"/>
        </w:rPr>
        <w:t xml:space="preserve">A composição dos saldos das Reservas Estatutárias está apresentada na nota 25.e. </w:t>
      </w:r>
    </w:p>
    <w:p w14:paraId="2FF6D5CE" w14:textId="77777777" w:rsidR="008E0E70" w:rsidRDefault="00DD01E4" w:rsidP="00121650">
      <w:pPr>
        <w:widowControl w:val="0"/>
        <w:spacing w:after="0" w:line="26" w:lineRule="atLeast"/>
        <w:jc w:val="both"/>
        <w:rPr>
          <w:rFonts w:ascii="Arial" w:hAnsi="Arial" w:cs="Arial"/>
          <w:sz w:val="14"/>
          <w:szCs w:val="14"/>
        </w:rPr>
      </w:pPr>
      <w:r w:rsidRPr="004B5EA4">
        <w:rPr>
          <w:rFonts w:ascii="Arial" w:hAnsi="Arial" w:cs="Arial"/>
          <w:sz w:val="14"/>
          <w:szCs w:val="14"/>
        </w:rPr>
        <w:t>Outros resultados abrangentes estão apresentados líquidos de efeitos fiscais.</w:t>
      </w:r>
    </w:p>
    <w:p w14:paraId="16184A8F" w14:textId="2B7518A1" w:rsidR="00121650" w:rsidRPr="004B5EA4" w:rsidRDefault="00121650" w:rsidP="00121650">
      <w:pPr>
        <w:widowControl w:val="0"/>
        <w:spacing w:after="0" w:line="26" w:lineRule="atLeast"/>
        <w:jc w:val="both"/>
        <w:rPr>
          <w:rFonts w:ascii="Arial" w:hAnsi="Arial" w:cs="Arial"/>
          <w:sz w:val="14"/>
          <w:szCs w:val="14"/>
        </w:rPr>
      </w:pPr>
      <w:r w:rsidRPr="004B5EA4">
        <w:rPr>
          <w:rFonts w:ascii="Arial" w:hAnsi="Arial" w:cs="Arial"/>
          <w:sz w:val="14"/>
          <w:szCs w:val="14"/>
        </w:rPr>
        <w:t>As notas explicativas são parte integrante das demonstrações contábeis</w:t>
      </w:r>
      <w:r>
        <w:rPr>
          <w:rFonts w:ascii="Arial" w:hAnsi="Arial" w:cs="Arial"/>
          <w:sz w:val="14"/>
          <w:szCs w:val="14"/>
        </w:rPr>
        <w:t xml:space="preserve">. </w:t>
      </w:r>
      <w:r w:rsidRPr="004B5EA4">
        <w:rPr>
          <w:rFonts w:ascii="Arial" w:hAnsi="Arial" w:cs="Arial"/>
          <w:sz w:val="14"/>
          <w:szCs w:val="14"/>
        </w:rPr>
        <w:t>As reapresentações (aplicações retrospectivas) referem-se à adoção do CPC 50 [IFRS 17] – Contratos de Seguro e CPC 48 [IFRS 9] – Instrumentos Financeiros.</w:t>
      </w:r>
    </w:p>
    <w:p w14:paraId="5BDE493F" w14:textId="3CF102FA" w:rsidR="00DD01E4" w:rsidRPr="004B5EA4" w:rsidRDefault="00DD01E4" w:rsidP="00D84BF4">
      <w:pPr>
        <w:spacing w:after="0" w:line="26" w:lineRule="atLeast"/>
        <w:jc w:val="both"/>
        <w:rPr>
          <w:rFonts w:ascii="Arial" w:hAnsi="Arial" w:cs="Arial"/>
          <w:sz w:val="14"/>
          <w:szCs w:val="14"/>
        </w:rPr>
        <w:sectPr w:rsidR="00DD01E4" w:rsidRPr="004B5EA4" w:rsidSect="00DD01E4">
          <w:headerReference w:type="default" r:id="rId20"/>
          <w:pgSz w:w="16838" w:h="11906" w:orient="landscape" w:code="9"/>
          <w:pgMar w:top="1134" w:right="1134" w:bottom="1134" w:left="851" w:header="851" w:footer="284" w:gutter="0"/>
          <w:cols w:space="708"/>
          <w:docGrid w:linePitch="360"/>
        </w:sectPr>
      </w:pPr>
    </w:p>
    <w:p w14:paraId="275C0CFB" w14:textId="77777777" w:rsidR="007D4AB0" w:rsidRPr="00BF2AAF" w:rsidRDefault="007D4AB0" w:rsidP="00D47639">
      <w:pPr>
        <w:pStyle w:val="02-TtulodeNota"/>
        <w:rPr>
          <w:rFonts w:eastAsiaTheme="majorEastAsia" w:cs="Arial"/>
        </w:rPr>
      </w:pPr>
      <w:bookmarkStart w:id="20" w:name="_Toc189757063"/>
      <w:r w:rsidRPr="00BF2AAF">
        <w:rPr>
          <w:rFonts w:eastAsiaTheme="majorEastAsia" w:cs="Arial"/>
        </w:rPr>
        <w:lastRenderedPageBreak/>
        <w:t>DEMONSTRAÇÃO DO VALOR ADICIONADO</w:t>
      </w:r>
      <w:bookmarkEnd w:id="20"/>
    </w:p>
    <w:p w14:paraId="5ED2B362" w14:textId="77777777" w:rsidR="001F66DD" w:rsidRPr="00281428" w:rsidRDefault="001F66DD" w:rsidP="001F66DD">
      <w:pPr>
        <w:spacing w:after="0" w:line="240" w:lineRule="auto"/>
        <w:jc w:val="right"/>
        <w:rPr>
          <w:rFonts w:ascii="Arial" w:eastAsia="Times New Roman" w:hAnsi="Arial" w:cs="Times New Roman"/>
          <w:b/>
          <w:spacing w:val="-2"/>
          <w:sz w:val="14"/>
          <w:szCs w:val="14"/>
          <w:lang w:eastAsia="pt-BR"/>
        </w:rPr>
      </w:pPr>
      <w:bookmarkStart w:id="21" w:name="_Hlk154144093"/>
      <w:r w:rsidRPr="00281428">
        <w:rPr>
          <w:rFonts w:ascii="Arial" w:eastAsia="Times New Roman" w:hAnsi="Arial" w:cs="Times New Roman"/>
          <w:b/>
          <w:spacing w:val="-2"/>
          <w:sz w:val="14"/>
          <w:szCs w:val="14"/>
          <w:lang w:eastAsia="pt-BR"/>
        </w:rPr>
        <w:t>R$ mil</w:t>
      </w:r>
    </w:p>
    <w:tbl>
      <w:tblPr>
        <w:tblStyle w:val="TabeladeLista6Colorida-nfase5"/>
        <w:tblW w:w="10109" w:type="dxa"/>
        <w:jc w:val="center"/>
        <w:tblLayout w:type="fixed"/>
        <w:tblLook w:val="04A0" w:firstRow="1" w:lastRow="0" w:firstColumn="1" w:lastColumn="0" w:noHBand="0" w:noVBand="1"/>
      </w:tblPr>
      <w:tblGrid>
        <w:gridCol w:w="3756"/>
        <w:gridCol w:w="639"/>
        <w:gridCol w:w="1417"/>
        <w:gridCol w:w="1402"/>
        <w:gridCol w:w="6"/>
        <w:gridCol w:w="230"/>
        <w:gridCol w:w="6"/>
        <w:gridCol w:w="1191"/>
        <w:gridCol w:w="1456"/>
        <w:gridCol w:w="6"/>
      </w:tblGrid>
      <w:tr w:rsidR="001F66DD" w:rsidRPr="00281428" w14:paraId="37367B1E" w14:textId="77777777">
        <w:trPr>
          <w:gridAfter w:val="1"/>
          <w:cnfStyle w:val="100000000000" w:firstRow="1" w:lastRow="0" w:firstColumn="0" w:lastColumn="0" w:oddVBand="0" w:evenVBand="0" w:oddHBand="0" w:evenHBand="0" w:firstRowFirstColumn="0" w:firstRowLastColumn="0" w:lastRowFirstColumn="0" w:lastRowLastColumn="0"/>
          <w:wAfter w:w="6" w:type="dxa"/>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single" w:sz="2" w:space="0" w:color="1F3864" w:themeColor="accent1" w:themeShade="80"/>
              <w:bottom w:val="nil"/>
            </w:tcBorders>
            <w:shd w:val="clear" w:color="auto" w:fill="auto"/>
            <w:vAlign w:val="center"/>
          </w:tcPr>
          <w:p w14:paraId="54388F3E" w14:textId="77777777" w:rsidR="001F66DD" w:rsidRPr="00281428" w:rsidRDefault="001F66DD">
            <w:pPr>
              <w:jc w:val="center"/>
              <w:rPr>
                <w:rFonts w:ascii="Arial" w:eastAsiaTheme="minorHAnsi" w:hAnsi="Arial" w:cs="Arial"/>
                <w:sz w:val="14"/>
                <w:szCs w:val="14"/>
              </w:rPr>
            </w:pPr>
          </w:p>
        </w:tc>
        <w:tc>
          <w:tcPr>
            <w:tcW w:w="639" w:type="dxa"/>
            <w:tcBorders>
              <w:top w:val="single" w:sz="2" w:space="0" w:color="1F3864" w:themeColor="accent1" w:themeShade="80"/>
              <w:bottom w:val="nil"/>
            </w:tcBorders>
            <w:shd w:val="clear" w:color="auto" w:fill="auto"/>
            <w:vAlign w:val="center"/>
          </w:tcPr>
          <w:p w14:paraId="18DC12CB" w14:textId="77777777" w:rsidR="001F66DD" w:rsidRPr="00281428" w:rsidRDefault="001F66DD">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rPr>
            </w:pPr>
          </w:p>
        </w:tc>
        <w:tc>
          <w:tcPr>
            <w:tcW w:w="2819" w:type="dxa"/>
            <w:gridSpan w:val="2"/>
            <w:tcBorders>
              <w:top w:val="single" w:sz="2" w:space="0" w:color="1F3864" w:themeColor="accent1" w:themeShade="80"/>
              <w:bottom w:val="single" w:sz="2" w:space="0" w:color="1F3864" w:themeColor="accent1" w:themeShade="80"/>
            </w:tcBorders>
            <w:shd w:val="clear" w:color="auto" w:fill="auto"/>
            <w:vAlign w:val="center"/>
          </w:tcPr>
          <w:p w14:paraId="4DC9C458" w14:textId="77777777" w:rsidR="001F66DD" w:rsidRPr="00281428" w:rsidRDefault="001F66DD">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rPr>
            </w:pPr>
            <w:r w:rsidRPr="00281428">
              <w:rPr>
                <w:rFonts w:ascii="Arial" w:eastAsiaTheme="minorHAnsi" w:hAnsi="Arial" w:cs="Arial"/>
                <w:sz w:val="14"/>
                <w:szCs w:val="14"/>
              </w:rPr>
              <w:t>Controlador</w:t>
            </w:r>
          </w:p>
        </w:tc>
        <w:tc>
          <w:tcPr>
            <w:tcW w:w="236" w:type="dxa"/>
            <w:gridSpan w:val="2"/>
            <w:tcBorders>
              <w:top w:val="single" w:sz="2" w:space="0" w:color="1F3864" w:themeColor="accent1" w:themeShade="80"/>
              <w:bottom w:val="nil"/>
            </w:tcBorders>
            <w:shd w:val="clear" w:color="auto" w:fill="auto"/>
            <w:vAlign w:val="center"/>
          </w:tcPr>
          <w:p w14:paraId="507E5290" w14:textId="77777777" w:rsidR="001F66DD" w:rsidRPr="00281428" w:rsidRDefault="001F66DD">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rPr>
            </w:pPr>
          </w:p>
        </w:tc>
        <w:tc>
          <w:tcPr>
            <w:tcW w:w="2653" w:type="dxa"/>
            <w:gridSpan w:val="3"/>
            <w:tcBorders>
              <w:top w:val="single" w:sz="2" w:space="0" w:color="1F3864" w:themeColor="accent1" w:themeShade="80"/>
              <w:bottom w:val="single" w:sz="2" w:space="0" w:color="1F3864" w:themeColor="accent1" w:themeShade="80"/>
            </w:tcBorders>
            <w:shd w:val="clear" w:color="auto" w:fill="auto"/>
            <w:vAlign w:val="center"/>
          </w:tcPr>
          <w:p w14:paraId="19323C0D" w14:textId="77777777" w:rsidR="001F66DD" w:rsidRPr="00281428" w:rsidRDefault="001F66DD">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rPr>
            </w:pPr>
            <w:r w:rsidRPr="00281428">
              <w:rPr>
                <w:rFonts w:ascii="Arial" w:eastAsiaTheme="minorHAnsi" w:hAnsi="Arial" w:cs="Arial"/>
                <w:sz w:val="14"/>
                <w:szCs w:val="14"/>
              </w:rPr>
              <w:t>Consolidado</w:t>
            </w:r>
          </w:p>
        </w:tc>
      </w:tr>
      <w:tr w:rsidR="001F66DD" w:rsidRPr="00281428" w14:paraId="522610EB"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single" w:sz="2" w:space="0" w:color="1F3864" w:themeColor="accent1" w:themeShade="80"/>
            </w:tcBorders>
            <w:shd w:val="clear" w:color="auto" w:fill="auto"/>
            <w:vAlign w:val="center"/>
          </w:tcPr>
          <w:p w14:paraId="401DF0CF" w14:textId="77777777" w:rsidR="001F66DD" w:rsidRPr="00281428" w:rsidRDefault="001F66DD">
            <w:pPr>
              <w:keepNext/>
              <w:keepLines/>
              <w:spacing w:before="40" w:after="40"/>
              <w:rPr>
                <w:rFonts w:ascii="Arial" w:eastAsia="Times New Roman" w:hAnsi="Arial" w:cs="Arial"/>
                <w:spacing w:val="-2"/>
                <w:sz w:val="14"/>
                <w:szCs w:val="14"/>
                <w:lang w:eastAsia="pt-BR"/>
              </w:rPr>
            </w:pPr>
          </w:p>
        </w:tc>
        <w:tc>
          <w:tcPr>
            <w:tcW w:w="639" w:type="dxa"/>
            <w:tcBorders>
              <w:top w:val="nil"/>
              <w:bottom w:val="single" w:sz="2" w:space="0" w:color="1F3864" w:themeColor="accent1" w:themeShade="80"/>
            </w:tcBorders>
            <w:shd w:val="clear" w:color="auto" w:fill="auto"/>
            <w:vAlign w:val="center"/>
          </w:tcPr>
          <w:p w14:paraId="57AC16E8" w14:textId="77777777" w:rsidR="001F66DD" w:rsidRPr="00281428" w:rsidRDefault="001F66DD">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281428">
              <w:rPr>
                <w:rFonts w:ascii="Arial" w:eastAsia="Times New Roman" w:hAnsi="Arial" w:cs="Arial"/>
                <w:b/>
                <w:spacing w:val="-2"/>
                <w:sz w:val="14"/>
                <w:szCs w:val="14"/>
                <w:lang w:eastAsia="pt-BR"/>
              </w:rPr>
              <w:t>Nota</w:t>
            </w:r>
          </w:p>
        </w:tc>
        <w:tc>
          <w:tcPr>
            <w:tcW w:w="1417" w:type="dxa"/>
            <w:tcBorders>
              <w:top w:val="single" w:sz="2" w:space="0" w:color="1F3864" w:themeColor="accent1" w:themeShade="80"/>
              <w:bottom w:val="single" w:sz="2" w:space="0" w:color="1F3864" w:themeColor="accent1" w:themeShade="80"/>
            </w:tcBorders>
            <w:shd w:val="clear" w:color="auto" w:fill="auto"/>
            <w:vAlign w:val="center"/>
          </w:tcPr>
          <w:p w14:paraId="7FF796B9" w14:textId="77777777" w:rsidR="001F66DD" w:rsidRPr="00536D42" w:rsidRDefault="001F66DD">
            <w:pPr>
              <w:keepNext/>
              <w:keepLines/>
              <w:spacing w:before="40" w:after="40"/>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bCs/>
                <w:sz w:val="14"/>
                <w:szCs w:val="14"/>
              </w:rPr>
            </w:pPr>
            <w:r w:rsidRPr="00536D42">
              <w:rPr>
                <w:rFonts w:ascii="Arial" w:hAnsi="Arial" w:cs="Arial"/>
                <w:b/>
                <w:bCs/>
                <w:sz w:val="14"/>
                <w:szCs w:val="14"/>
              </w:rPr>
              <w:t>Exercício 2024</w:t>
            </w:r>
          </w:p>
        </w:tc>
        <w:tc>
          <w:tcPr>
            <w:tcW w:w="1408" w:type="dxa"/>
            <w:gridSpan w:val="2"/>
            <w:tcBorders>
              <w:top w:val="single" w:sz="2" w:space="0" w:color="1F3864" w:themeColor="accent1" w:themeShade="80"/>
              <w:bottom w:val="single" w:sz="2" w:space="0" w:color="1F3864" w:themeColor="accent1" w:themeShade="80"/>
            </w:tcBorders>
            <w:shd w:val="clear" w:color="auto" w:fill="auto"/>
          </w:tcPr>
          <w:p w14:paraId="585E2C3E" w14:textId="77777777" w:rsidR="001F66DD" w:rsidRPr="00536D42" w:rsidRDefault="001F66DD">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536D42">
              <w:rPr>
                <w:rFonts w:ascii="Arial" w:hAnsi="Arial" w:cs="Arial"/>
                <w:b/>
                <w:bCs/>
                <w:sz w:val="14"/>
                <w:szCs w:val="14"/>
              </w:rPr>
              <w:t>Exercício 2023</w:t>
            </w:r>
          </w:p>
        </w:tc>
        <w:tc>
          <w:tcPr>
            <w:tcW w:w="236" w:type="dxa"/>
            <w:gridSpan w:val="2"/>
            <w:tcBorders>
              <w:top w:val="nil"/>
              <w:bottom w:val="single" w:sz="2" w:space="0" w:color="1F3864" w:themeColor="accent1" w:themeShade="80"/>
            </w:tcBorders>
            <w:shd w:val="clear" w:color="auto" w:fill="auto"/>
            <w:vAlign w:val="center"/>
          </w:tcPr>
          <w:p w14:paraId="2FD43C3D" w14:textId="77777777" w:rsidR="001F66DD" w:rsidRPr="00536D42" w:rsidRDefault="001F66DD">
            <w:pPr>
              <w:keepNext/>
              <w:keepLines/>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c>
          <w:tcPr>
            <w:tcW w:w="1191" w:type="dxa"/>
            <w:tcBorders>
              <w:top w:val="single" w:sz="2" w:space="0" w:color="1F3864" w:themeColor="accent1" w:themeShade="80"/>
              <w:bottom w:val="single" w:sz="2" w:space="0" w:color="1F3864" w:themeColor="accent1" w:themeShade="80"/>
            </w:tcBorders>
            <w:shd w:val="clear" w:color="auto" w:fill="auto"/>
          </w:tcPr>
          <w:p w14:paraId="7C17B158" w14:textId="77777777" w:rsidR="001F66DD" w:rsidRPr="00536D42" w:rsidRDefault="001F66D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536D42">
              <w:rPr>
                <w:rFonts w:ascii="Arial" w:hAnsi="Arial" w:cs="Arial"/>
                <w:b/>
                <w:bCs/>
                <w:sz w:val="14"/>
                <w:szCs w:val="14"/>
              </w:rPr>
              <w:t>Exercício 2024</w:t>
            </w:r>
          </w:p>
        </w:tc>
        <w:tc>
          <w:tcPr>
            <w:tcW w:w="1462" w:type="dxa"/>
            <w:gridSpan w:val="2"/>
            <w:tcBorders>
              <w:top w:val="single" w:sz="2" w:space="0" w:color="1F3864" w:themeColor="accent1" w:themeShade="80"/>
              <w:bottom w:val="single" w:sz="2" w:space="0" w:color="1F3864" w:themeColor="accent1" w:themeShade="80"/>
            </w:tcBorders>
            <w:shd w:val="clear" w:color="auto" w:fill="auto"/>
          </w:tcPr>
          <w:p w14:paraId="33FB7E39" w14:textId="77777777" w:rsidR="001F66DD" w:rsidRPr="00536D42" w:rsidRDefault="001F66D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536D42">
              <w:rPr>
                <w:rFonts w:ascii="Arial" w:hAnsi="Arial" w:cs="Arial"/>
                <w:b/>
                <w:bCs/>
                <w:sz w:val="14"/>
                <w:szCs w:val="14"/>
              </w:rPr>
              <w:t>Exercício 2023</w:t>
            </w:r>
          </w:p>
        </w:tc>
      </w:tr>
      <w:tr w:rsidR="001F66DD" w:rsidRPr="00B454CC" w14:paraId="01CEF7E5"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single" w:sz="2" w:space="0" w:color="1F3864" w:themeColor="accent1" w:themeShade="80"/>
              <w:bottom w:val="nil"/>
            </w:tcBorders>
            <w:shd w:val="clear" w:color="auto" w:fill="auto"/>
            <w:vAlign w:val="center"/>
          </w:tcPr>
          <w:p w14:paraId="1963FAC3" w14:textId="77777777" w:rsidR="001F66DD" w:rsidRPr="00B454CC" w:rsidRDefault="001F66DD">
            <w:pPr>
              <w:keepNext/>
              <w:keepLines/>
              <w:spacing w:before="40" w:after="40"/>
              <w:rPr>
                <w:rFonts w:ascii="Arial" w:eastAsia="Times New Roman" w:hAnsi="Arial" w:cs="Times New Roman"/>
                <w:spacing w:val="-2"/>
                <w:sz w:val="14"/>
                <w:szCs w:val="14"/>
                <w:lang w:eastAsia="pt-BR"/>
              </w:rPr>
            </w:pPr>
            <w:r w:rsidRPr="00B454CC">
              <w:rPr>
                <w:rFonts w:ascii="Arial" w:eastAsia="Times New Roman" w:hAnsi="Arial" w:cs="Times New Roman"/>
                <w:spacing w:val="-2"/>
                <w:sz w:val="14"/>
                <w:szCs w:val="14"/>
                <w:lang w:eastAsia="pt-BR"/>
              </w:rPr>
              <w:t>Receitas</w:t>
            </w:r>
          </w:p>
        </w:tc>
        <w:tc>
          <w:tcPr>
            <w:tcW w:w="639" w:type="dxa"/>
            <w:tcBorders>
              <w:top w:val="single" w:sz="2" w:space="0" w:color="1F3864" w:themeColor="accent1" w:themeShade="80"/>
              <w:bottom w:val="nil"/>
            </w:tcBorders>
            <w:shd w:val="clear" w:color="auto" w:fill="auto"/>
            <w:vAlign w:val="center"/>
          </w:tcPr>
          <w:p w14:paraId="2B97DA31" w14:textId="77777777" w:rsidR="001F66DD" w:rsidRPr="00B454CC" w:rsidRDefault="001F66DD">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4"/>
                <w:lang w:eastAsia="pt-BR"/>
              </w:rPr>
            </w:pPr>
          </w:p>
        </w:tc>
        <w:tc>
          <w:tcPr>
            <w:tcW w:w="1417" w:type="dxa"/>
            <w:tcBorders>
              <w:top w:val="single" w:sz="2" w:space="0" w:color="1F3864" w:themeColor="accent1" w:themeShade="80"/>
              <w:bottom w:val="nil"/>
            </w:tcBorders>
            <w:shd w:val="clear" w:color="auto" w:fill="auto"/>
            <w:vAlign w:val="center"/>
          </w:tcPr>
          <w:p w14:paraId="7B9A4AFC" w14:textId="77777777" w:rsidR="001F66DD" w:rsidRPr="00B454CC" w:rsidRDefault="001F66D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3.888</w:t>
            </w:r>
          </w:p>
        </w:tc>
        <w:tc>
          <w:tcPr>
            <w:tcW w:w="1408" w:type="dxa"/>
            <w:gridSpan w:val="2"/>
            <w:tcBorders>
              <w:top w:val="single" w:sz="2" w:space="0" w:color="1F3864" w:themeColor="accent1" w:themeShade="80"/>
              <w:bottom w:val="nil"/>
            </w:tcBorders>
            <w:shd w:val="clear" w:color="auto" w:fill="auto"/>
            <w:vAlign w:val="bottom"/>
          </w:tcPr>
          <w:p w14:paraId="693BA6CC" w14:textId="77777777" w:rsidR="001F66DD" w:rsidRPr="00800642" w:rsidRDefault="001F66D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6.237</w:t>
            </w:r>
          </w:p>
        </w:tc>
        <w:tc>
          <w:tcPr>
            <w:tcW w:w="236" w:type="dxa"/>
            <w:gridSpan w:val="2"/>
            <w:tcBorders>
              <w:top w:val="single" w:sz="2" w:space="0" w:color="1F3864" w:themeColor="accent1" w:themeShade="80"/>
              <w:bottom w:val="nil"/>
            </w:tcBorders>
            <w:shd w:val="clear" w:color="auto" w:fill="auto"/>
            <w:vAlign w:val="bottom"/>
          </w:tcPr>
          <w:p w14:paraId="307AC6B0" w14:textId="77777777" w:rsidR="001F66DD" w:rsidRPr="00B454CC" w:rsidRDefault="001F66D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191" w:type="dxa"/>
            <w:tcBorders>
              <w:top w:val="single" w:sz="2" w:space="0" w:color="1F3864" w:themeColor="accent1" w:themeShade="80"/>
              <w:bottom w:val="nil"/>
            </w:tcBorders>
            <w:shd w:val="clear" w:color="auto" w:fill="auto"/>
            <w:vAlign w:val="bottom"/>
          </w:tcPr>
          <w:p w14:paraId="71251AF6" w14:textId="77777777" w:rsidR="001F66DD" w:rsidRPr="00B454CC" w:rsidRDefault="001F66D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5.526.069</w:t>
            </w:r>
          </w:p>
        </w:tc>
        <w:tc>
          <w:tcPr>
            <w:tcW w:w="1462" w:type="dxa"/>
            <w:gridSpan w:val="2"/>
            <w:tcBorders>
              <w:top w:val="single" w:sz="2" w:space="0" w:color="1F3864" w:themeColor="accent1" w:themeShade="80"/>
              <w:bottom w:val="nil"/>
            </w:tcBorders>
            <w:shd w:val="clear" w:color="auto" w:fill="auto"/>
            <w:vAlign w:val="bottom"/>
          </w:tcPr>
          <w:p w14:paraId="37884515" w14:textId="77777777" w:rsidR="001F66DD" w:rsidRPr="00800642" w:rsidRDefault="001F66D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eastAsia="Times New Roman" w:hAnsi="Arial" w:cs="Arial"/>
                <w:b/>
                <w:spacing w:val="-2"/>
                <w:sz w:val="14"/>
                <w:szCs w:val="14"/>
                <w:lang w:eastAsia="pt-BR"/>
              </w:rPr>
              <w:t>5.017.914</w:t>
            </w:r>
          </w:p>
        </w:tc>
      </w:tr>
      <w:tr w:rsidR="001F66DD" w:rsidRPr="00281428" w14:paraId="07AAD9C9"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7C08C7AE" w14:textId="77777777" w:rsidR="001F66DD" w:rsidRPr="00281428" w:rsidRDefault="001F66DD">
            <w:pPr>
              <w:keepNext/>
              <w:keepLines/>
              <w:spacing w:before="40" w:after="40"/>
              <w:ind w:left="113"/>
              <w:rPr>
                <w:rFonts w:ascii="Arial" w:eastAsia="Times New Roman" w:hAnsi="Arial" w:cs="Times New Roman"/>
                <w:b w:val="0"/>
                <w:bCs w:val="0"/>
                <w:spacing w:val="-2"/>
                <w:sz w:val="14"/>
                <w:szCs w:val="14"/>
                <w:lang w:eastAsia="pt-BR"/>
              </w:rPr>
            </w:pPr>
            <w:r w:rsidRPr="00281428">
              <w:rPr>
                <w:rFonts w:ascii="Arial" w:eastAsia="Times New Roman" w:hAnsi="Arial" w:cs="Times New Roman"/>
                <w:b w:val="0"/>
                <w:bCs w:val="0"/>
                <w:spacing w:val="-2"/>
                <w:sz w:val="14"/>
                <w:szCs w:val="14"/>
                <w:lang w:eastAsia="pt-BR"/>
              </w:rPr>
              <w:t>Receitas de comissões</w:t>
            </w:r>
          </w:p>
        </w:tc>
        <w:tc>
          <w:tcPr>
            <w:tcW w:w="639" w:type="dxa"/>
            <w:tcBorders>
              <w:top w:val="nil"/>
              <w:bottom w:val="nil"/>
            </w:tcBorders>
            <w:shd w:val="clear" w:color="auto" w:fill="auto"/>
            <w:vAlign w:val="center"/>
          </w:tcPr>
          <w:p w14:paraId="77E166F4" w14:textId="77777777" w:rsidR="001F66DD" w:rsidRPr="00281428" w:rsidRDefault="001F66DD">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r w:rsidRPr="00281428">
              <w:rPr>
                <w:rFonts w:ascii="Arial" w:eastAsia="Times New Roman" w:hAnsi="Arial" w:cs="Times New Roman"/>
                <w:spacing w:val="-2"/>
                <w:sz w:val="14"/>
                <w:szCs w:val="14"/>
                <w:lang w:eastAsia="pt-BR"/>
              </w:rPr>
              <w:t>[8]</w:t>
            </w:r>
          </w:p>
        </w:tc>
        <w:tc>
          <w:tcPr>
            <w:tcW w:w="1417" w:type="dxa"/>
            <w:tcBorders>
              <w:top w:val="nil"/>
              <w:bottom w:val="nil"/>
            </w:tcBorders>
            <w:shd w:val="clear" w:color="auto" w:fill="auto"/>
            <w:vAlign w:val="center"/>
          </w:tcPr>
          <w:p w14:paraId="1D37A271" w14:textId="77777777" w:rsidR="001F66DD" w:rsidRPr="0088741B" w:rsidRDefault="001F66D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408" w:type="dxa"/>
            <w:gridSpan w:val="2"/>
            <w:tcBorders>
              <w:top w:val="nil"/>
              <w:bottom w:val="nil"/>
            </w:tcBorders>
            <w:shd w:val="clear" w:color="auto" w:fill="auto"/>
            <w:vAlign w:val="bottom"/>
          </w:tcPr>
          <w:p w14:paraId="7A5F9001" w14:textId="77777777" w:rsidR="001F66DD" w:rsidRPr="00800642" w:rsidRDefault="001F66D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236" w:type="dxa"/>
            <w:gridSpan w:val="2"/>
            <w:tcBorders>
              <w:top w:val="nil"/>
              <w:bottom w:val="nil"/>
            </w:tcBorders>
            <w:shd w:val="clear" w:color="auto" w:fill="auto"/>
            <w:vAlign w:val="bottom"/>
          </w:tcPr>
          <w:p w14:paraId="3F247717" w14:textId="77777777" w:rsidR="001F66DD" w:rsidRPr="00281428" w:rsidRDefault="001F66D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191" w:type="dxa"/>
            <w:tcBorders>
              <w:top w:val="nil"/>
              <w:bottom w:val="nil"/>
            </w:tcBorders>
            <w:shd w:val="clear" w:color="auto" w:fill="auto"/>
            <w:vAlign w:val="bottom"/>
          </w:tcPr>
          <w:p w14:paraId="74F98997" w14:textId="77777777" w:rsidR="001F66DD" w:rsidRPr="0088741B" w:rsidRDefault="001F66D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5.505.722</w:t>
            </w:r>
          </w:p>
        </w:tc>
        <w:tc>
          <w:tcPr>
            <w:tcW w:w="1462" w:type="dxa"/>
            <w:gridSpan w:val="2"/>
            <w:tcBorders>
              <w:top w:val="nil"/>
              <w:bottom w:val="nil"/>
            </w:tcBorders>
            <w:shd w:val="clear" w:color="auto" w:fill="auto"/>
            <w:vAlign w:val="bottom"/>
          </w:tcPr>
          <w:p w14:paraId="242056B3" w14:textId="77777777" w:rsidR="001F66DD" w:rsidRPr="00800642" w:rsidRDefault="001F66D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Pr>
                <w:rFonts w:ascii="Arial" w:eastAsia="Times New Roman" w:hAnsi="Arial" w:cs="Arial"/>
                <w:spacing w:val="-2"/>
                <w:sz w:val="14"/>
                <w:szCs w:val="14"/>
                <w:lang w:eastAsia="pt-BR"/>
              </w:rPr>
              <w:t>5.001.687</w:t>
            </w:r>
          </w:p>
        </w:tc>
      </w:tr>
      <w:tr w:rsidR="001F66DD" w:rsidRPr="00281428" w14:paraId="4D252BA3"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4071B5CF" w14:textId="77777777" w:rsidR="001F66DD" w:rsidRPr="00281428" w:rsidRDefault="001F66DD">
            <w:pPr>
              <w:keepNext/>
              <w:keepLines/>
              <w:spacing w:before="40" w:after="40"/>
              <w:ind w:left="113"/>
              <w:rPr>
                <w:rFonts w:ascii="Arial" w:eastAsia="Times New Roman" w:hAnsi="Arial" w:cs="Times New Roman"/>
                <w:b w:val="0"/>
                <w:bCs w:val="0"/>
                <w:spacing w:val="-2"/>
                <w:sz w:val="14"/>
                <w:szCs w:val="14"/>
                <w:lang w:eastAsia="pt-BR"/>
              </w:rPr>
            </w:pPr>
            <w:r w:rsidRPr="00281428">
              <w:rPr>
                <w:rFonts w:ascii="Arial" w:eastAsia="Times New Roman" w:hAnsi="Arial" w:cs="Times New Roman"/>
                <w:b w:val="0"/>
                <w:bCs w:val="0"/>
                <w:spacing w:val="-2"/>
                <w:sz w:val="14"/>
                <w:szCs w:val="14"/>
                <w:lang w:eastAsia="pt-BR"/>
              </w:rPr>
              <w:t>Outras receitas</w:t>
            </w:r>
          </w:p>
        </w:tc>
        <w:tc>
          <w:tcPr>
            <w:tcW w:w="639" w:type="dxa"/>
            <w:tcBorders>
              <w:top w:val="nil"/>
              <w:bottom w:val="nil"/>
            </w:tcBorders>
            <w:shd w:val="clear" w:color="auto" w:fill="auto"/>
            <w:vAlign w:val="center"/>
          </w:tcPr>
          <w:p w14:paraId="65588C1B" w14:textId="77777777" w:rsidR="001F66DD" w:rsidRPr="00281428" w:rsidRDefault="001F66DD">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p>
        </w:tc>
        <w:tc>
          <w:tcPr>
            <w:tcW w:w="1417" w:type="dxa"/>
            <w:tcBorders>
              <w:top w:val="nil"/>
              <w:bottom w:val="nil"/>
            </w:tcBorders>
            <w:shd w:val="clear" w:color="auto" w:fill="auto"/>
            <w:vAlign w:val="center"/>
          </w:tcPr>
          <w:p w14:paraId="1103D3B5" w14:textId="77777777" w:rsidR="001F66DD" w:rsidRPr="0088741B" w:rsidRDefault="001F66D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3.888</w:t>
            </w:r>
          </w:p>
        </w:tc>
        <w:tc>
          <w:tcPr>
            <w:tcW w:w="1408" w:type="dxa"/>
            <w:gridSpan w:val="2"/>
            <w:tcBorders>
              <w:top w:val="nil"/>
              <w:bottom w:val="nil"/>
            </w:tcBorders>
            <w:shd w:val="clear" w:color="auto" w:fill="auto"/>
            <w:vAlign w:val="bottom"/>
          </w:tcPr>
          <w:p w14:paraId="5ADD8FCF" w14:textId="77777777" w:rsidR="001F66DD" w:rsidRPr="00800642" w:rsidRDefault="001F66D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6.237</w:t>
            </w:r>
          </w:p>
        </w:tc>
        <w:tc>
          <w:tcPr>
            <w:tcW w:w="236" w:type="dxa"/>
            <w:gridSpan w:val="2"/>
            <w:tcBorders>
              <w:top w:val="nil"/>
              <w:bottom w:val="nil"/>
            </w:tcBorders>
            <w:shd w:val="clear" w:color="auto" w:fill="auto"/>
            <w:vAlign w:val="bottom"/>
          </w:tcPr>
          <w:p w14:paraId="00E2D5DD" w14:textId="77777777" w:rsidR="001F66DD" w:rsidRPr="00281428" w:rsidRDefault="001F66D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191" w:type="dxa"/>
            <w:tcBorders>
              <w:top w:val="nil"/>
              <w:bottom w:val="nil"/>
            </w:tcBorders>
            <w:shd w:val="clear" w:color="auto" w:fill="auto"/>
            <w:vAlign w:val="bottom"/>
          </w:tcPr>
          <w:p w14:paraId="193334B6" w14:textId="77777777" w:rsidR="001F66DD" w:rsidRPr="0088741B" w:rsidRDefault="001F66D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20.347</w:t>
            </w:r>
          </w:p>
        </w:tc>
        <w:tc>
          <w:tcPr>
            <w:tcW w:w="1462" w:type="dxa"/>
            <w:gridSpan w:val="2"/>
            <w:tcBorders>
              <w:top w:val="nil"/>
              <w:bottom w:val="nil"/>
            </w:tcBorders>
            <w:shd w:val="clear" w:color="auto" w:fill="auto"/>
            <w:vAlign w:val="bottom"/>
          </w:tcPr>
          <w:p w14:paraId="5C79F126" w14:textId="77777777" w:rsidR="001F66DD" w:rsidRPr="00800642" w:rsidRDefault="001F66D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eastAsia="Times New Roman" w:hAnsi="Arial" w:cs="Arial"/>
                <w:spacing w:val="-2"/>
                <w:sz w:val="14"/>
                <w:szCs w:val="14"/>
                <w:lang w:eastAsia="pt-BR"/>
              </w:rPr>
              <w:t>16.227</w:t>
            </w:r>
          </w:p>
        </w:tc>
      </w:tr>
      <w:tr w:rsidR="001F66DD" w:rsidRPr="00281428" w14:paraId="510CE067"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2607F2DE" w14:textId="77777777" w:rsidR="001F66DD" w:rsidRPr="00281428" w:rsidRDefault="001F66DD">
            <w:pPr>
              <w:keepNext/>
              <w:keepLines/>
              <w:spacing w:before="40" w:after="40"/>
              <w:ind w:left="113"/>
              <w:rPr>
                <w:rFonts w:ascii="Arial" w:eastAsia="Times New Roman" w:hAnsi="Arial" w:cs="Times New Roman"/>
                <w:spacing w:val="-2"/>
                <w:sz w:val="14"/>
                <w:szCs w:val="14"/>
                <w:lang w:eastAsia="pt-BR"/>
              </w:rPr>
            </w:pPr>
          </w:p>
        </w:tc>
        <w:tc>
          <w:tcPr>
            <w:tcW w:w="639" w:type="dxa"/>
            <w:tcBorders>
              <w:top w:val="nil"/>
              <w:bottom w:val="nil"/>
            </w:tcBorders>
            <w:shd w:val="clear" w:color="auto" w:fill="auto"/>
            <w:vAlign w:val="center"/>
          </w:tcPr>
          <w:p w14:paraId="19FD02A5" w14:textId="77777777" w:rsidR="001F66DD" w:rsidRPr="00281428" w:rsidRDefault="001F66DD">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p>
        </w:tc>
        <w:tc>
          <w:tcPr>
            <w:tcW w:w="1417" w:type="dxa"/>
            <w:tcBorders>
              <w:top w:val="nil"/>
              <w:bottom w:val="nil"/>
            </w:tcBorders>
            <w:shd w:val="clear" w:color="auto" w:fill="auto"/>
            <w:vAlign w:val="center"/>
          </w:tcPr>
          <w:p w14:paraId="1A5B3F2C" w14:textId="77777777" w:rsidR="001F66DD" w:rsidRPr="0088741B" w:rsidRDefault="001F66D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08" w:type="dxa"/>
            <w:gridSpan w:val="2"/>
            <w:tcBorders>
              <w:top w:val="nil"/>
              <w:bottom w:val="nil"/>
            </w:tcBorders>
            <w:shd w:val="clear" w:color="auto" w:fill="auto"/>
            <w:vAlign w:val="bottom"/>
          </w:tcPr>
          <w:p w14:paraId="39933C8C" w14:textId="77777777" w:rsidR="001F66DD" w:rsidRPr="00800642" w:rsidRDefault="001F66D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236" w:type="dxa"/>
            <w:gridSpan w:val="2"/>
            <w:tcBorders>
              <w:top w:val="nil"/>
              <w:bottom w:val="nil"/>
            </w:tcBorders>
            <w:shd w:val="clear" w:color="auto" w:fill="auto"/>
            <w:vAlign w:val="bottom"/>
          </w:tcPr>
          <w:p w14:paraId="60869E39" w14:textId="77777777" w:rsidR="001F66DD" w:rsidRPr="00281428" w:rsidRDefault="001F66D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191" w:type="dxa"/>
            <w:tcBorders>
              <w:top w:val="nil"/>
              <w:bottom w:val="nil"/>
            </w:tcBorders>
            <w:shd w:val="clear" w:color="auto" w:fill="auto"/>
            <w:vAlign w:val="bottom"/>
          </w:tcPr>
          <w:p w14:paraId="2770E8F8" w14:textId="77777777" w:rsidR="001F66DD" w:rsidRPr="0088741B" w:rsidRDefault="001F66D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62" w:type="dxa"/>
            <w:gridSpan w:val="2"/>
            <w:tcBorders>
              <w:top w:val="nil"/>
              <w:bottom w:val="nil"/>
            </w:tcBorders>
            <w:shd w:val="clear" w:color="auto" w:fill="auto"/>
            <w:vAlign w:val="bottom"/>
          </w:tcPr>
          <w:p w14:paraId="31A63A07" w14:textId="77777777" w:rsidR="001F66DD" w:rsidRPr="00800642" w:rsidRDefault="001F66D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p>
        </w:tc>
      </w:tr>
      <w:tr w:rsidR="001F66DD" w:rsidRPr="00B454CC" w14:paraId="6BBF8506"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7609C2A8" w14:textId="77777777" w:rsidR="001F66DD" w:rsidRPr="00B454CC" w:rsidRDefault="001F66DD">
            <w:pPr>
              <w:keepNext/>
              <w:keepLines/>
              <w:spacing w:before="40" w:after="40"/>
              <w:rPr>
                <w:rFonts w:ascii="Arial" w:eastAsia="Times New Roman" w:hAnsi="Arial" w:cs="Times New Roman"/>
                <w:spacing w:val="-2"/>
                <w:sz w:val="14"/>
                <w:szCs w:val="14"/>
                <w:lang w:eastAsia="pt-BR"/>
              </w:rPr>
            </w:pPr>
            <w:r w:rsidRPr="00B454CC">
              <w:rPr>
                <w:rFonts w:ascii="Arial" w:eastAsia="Times New Roman" w:hAnsi="Arial" w:cs="Times New Roman"/>
                <w:spacing w:val="-2"/>
                <w:sz w:val="14"/>
                <w:szCs w:val="14"/>
                <w:lang w:eastAsia="pt-BR"/>
              </w:rPr>
              <w:t>Insumos Adquiridos de Terceiros</w:t>
            </w:r>
          </w:p>
        </w:tc>
        <w:tc>
          <w:tcPr>
            <w:tcW w:w="639" w:type="dxa"/>
            <w:tcBorders>
              <w:top w:val="nil"/>
              <w:bottom w:val="nil"/>
            </w:tcBorders>
            <w:shd w:val="clear" w:color="auto" w:fill="auto"/>
            <w:vAlign w:val="center"/>
          </w:tcPr>
          <w:p w14:paraId="6F7D8ECE" w14:textId="77777777" w:rsidR="001F66DD" w:rsidRPr="00B454CC" w:rsidRDefault="001F66DD">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4"/>
                <w:lang w:eastAsia="pt-BR"/>
              </w:rPr>
            </w:pPr>
          </w:p>
        </w:tc>
        <w:tc>
          <w:tcPr>
            <w:tcW w:w="1417" w:type="dxa"/>
            <w:tcBorders>
              <w:top w:val="nil"/>
              <w:bottom w:val="nil"/>
            </w:tcBorders>
            <w:shd w:val="clear" w:color="auto" w:fill="auto"/>
            <w:vAlign w:val="center"/>
          </w:tcPr>
          <w:p w14:paraId="3EDC64B4" w14:textId="77777777" w:rsidR="001F66DD" w:rsidRPr="00B454CC" w:rsidRDefault="001F66D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(5.613)</w:t>
            </w:r>
          </w:p>
        </w:tc>
        <w:tc>
          <w:tcPr>
            <w:tcW w:w="1408" w:type="dxa"/>
            <w:gridSpan w:val="2"/>
            <w:tcBorders>
              <w:top w:val="nil"/>
              <w:bottom w:val="nil"/>
            </w:tcBorders>
            <w:shd w:val="clear" w:color="auto" w:fill="auto"/>
            <w:vAlign w:val="bottom"/>
          </w:tcPr>
          <w:p w14:paraId="28102E93" w14:textId="77777777" w:rsidR="001F66DD" w:rsidRPr="00800642" w:rsidRDefault="001F66D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(3.586)</w:t>
            </w:r>
          </w:p>
        </w:tc>
        <w:tc>
          <w:tcPr>
            <w:tcW w:w="236" w:type="dxa"/>
            <w:gridSpan w:val="2"/>
            <w:tcBorders>
              <w:top w:val="nil"/>
              <w:bottom w:val="nil"/>
            </w:tcBorders>
            <w:shd w:val="clear" w:color="auto" w:fill="auto"/>
            <w:vAlign w:val="bottom"/>
          </w:tcPr>
          <w:p w14:paraId="0FD7876F" w14:textId="77777777" w:rsidR="001F66DD" w:rsidRPr="00B454CC" w:rsidRDefault="001F66D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191" w:type="dxa"/>
            <w:tcBorders>
              <w:top w:val="nil"/>
              <w:bottom w:val="nil"/>
            </w:tcBorders>
            <w:shd w:val="clear" w:color="auto" w:fill="auto"/>
            <w:vAlign w:val="bottom"/>
          </w:tcPr>
          <w:p w14:paraId="5A73727B" w14:textId="77777777" w:rsidR="001F66DD" w:rsidRPr="00B454CC" w:rsidRDefault="001F66D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(314.062)</w:t>
            </w:r>
          </w:p>
        </w:tc>
        <w:tc>
          <w:tcPr>
            <w:tcW w:w="1462" w:type="dxa"/>
            <w:gridSpan w:val="2"/>
            <w:tcBorders>
              <w:top w:val="nil"/>
              <w:bottom w:val="nil"/>
            </w:tcBorders>
            <w:shd w:val="clear" w:color="auto" w:fill="auto"/>
            <w:vAlign w:val="bottom"/>
          </w:tcPr>
          <w:p w14:paraId="19FBCBA0" w14:textId="77777777" w:rsidR="001F66DD" w:rsidRPr="00800642" w:rsidRDefault="001F66D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eastAsia="Times New Roman" w:hAnsi="Arial" w:cs="Arial"/>
                <w:b/>
                <w:spacing w:val="-2"/>
                <w:sz w:val="14"/>
                <w:szCs w:val="14"/>
                <w:lang w:eastAsia="pt-BR"/>
              </w:rPr>
              <w:t>(298.950)</w:t>
            </w:r>
          </w:p>
        </w:tc>
      </w:tr>
      <w:tr w:rsidR="001F66DD" w:rsidRPr="00281428" w14:paraId="2632F393"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2D5F3775" w14:textId="77777777" w:rsidR="001F66DD" w:rsidRPr="00281428" w:rsidRDefault="001F66DD">
            <w:pPr>
              <w:keepNext/>
              <w:keepLines/>
              <w:spacing w:before="40" w:after="40"/>
              <w:ind w:left="113"/>
              <w:rPr>
                <w:rFonts w:ascii="Arial" w:eastAsia="Times New Roman" w:hAnsi="Arial" w:cs="Times New Roman"/>
                <w:b w:val="0"/>
                <w:bCs w:val="0"/>
                <w:spacing w:val="-2"/>
                <w:sz w:val="14"/>
                <w:szCs w:val="14"/>
                <w:lang w:eastAsia="pt-BR"/>
              </w:rPr>
            </w:pPr>
            <w:r w:rsidRPr="00281428">
              <w:rPr>
                <w:rFonts w:ascii="Arial" w:eastAsia="Times New Roman" w:hAnsi="Arial" w:cs="Times New Roman"/>
                <w:b w:val="0"/>
                <w:bCs w:val="0"/>
                <w:spacing w:val="-2"/>
                <w:sz w:val="14"/>
                <w:szCs w:val="14"/>
                <w:lang w:eastAsia="pt-BR"/>
              </w:rPr>
              <w:t>Despesas administrativas e com vendas</w:t>
            </w:r>
          </w:p>
        </w:tc>
        <w:tc>
          <w:tcPr>
            <w:tcW w:w="639" w:type="dxa"/>
            <w:tcBorders>
              <w:top w:val="nil"/>
              <w:bottom w:val="nil"/>
            </w:tcBorders>
            <w:shd w:val="clear" w:color="auto" w:fill="auto"/>
            <w:vAlign w:val="center"/>
          </w:tcPr>
          <w:p w14:paraId="38DF5C25" w14:textId="77777777" w:rsidR="001F66DD" w:rsidRPr="00281428" w:rsidRDefault="001F66DD">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p>
        </w:tc>
        <w:tc>
          <w:tcPr>
            <w:tcW w:w="1417" w:type="dxa"/>
            <w:tcBorders>
              <w:top w:val="nil"/>
              <w:bottom w:val="nil"/>
            </w:tcBorders>
            <w:shd w:val="clear" w:color="auto" w:fill="auto"/>
            <w:vAlign w:val="center"/>
          </w:tcPr>
          <w:p w14:paraId="6BDECCB5" w14:textId="77777777" w:rsidR="001F66DD" w:rsidRPr="0088741B" w:rsidRDefault="001F66D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(3.220)</w:t>
            </w:r>
          </w:p>
        </w:tc>
        <w:tc>
          <w:tcPr>
            <w:tcW w:w="1408" w:type="dxa"/>
            <w:gridSpan w:val="2"/>
            <w:tcBorders>
              <w:top w:val="nil"/>
              <w:bottom w:val="nil"/>
            </w:tcBorders>
            <w:shd w:val="clear" w:color="auto" w:fill="auto"/>
            <w:vAlign w:val="bottom"/>
          </w:tcPr>
          <w:p w14:paraId="5D6030B7" w14:textId="77777777" w:rsidR="001F66DD" w:rsidRPr="00800642" w:rsidRDefault="001F66D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(2.914)</w:t>
            </w:r>
          </w:p>
        </w:tc>
        <w:tc>
          <w:tcPr>
            <w:tcW w:w="236" w:type="dxa"/>
            <w:gridSpan w:val="2"/>
            <w:tcBorders>
              <w:top w:val="nil"/>
              <w:bottom w:val="nil"/>
            </w:tcBorders>
            <w:shd w:val="clear" w:color="auto" w:fill="auto"/>
            <w:vAlign w:val="bottom"/>
          </w:tcPr>
          <w:p w14:paraId="4E39CB26" w14:textId="77777777" w:rsidR="001F66DD" w:rsidRPr="00281428" w:rsidRDefault="001F66D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191" w:type="dxa"/>
            <w:tcBorders>
              <w:top w:val="nil"/>
              <w:bottom w:val="nil"/>
            </w:tcBorders>
            <w:shd w:val="clear" w:color="auto" w:fill="auto"/>
            <w:vAlign w:val="bottom"/>
          </w:tcPr>
          <w:p w14:paraId="1A335583" w14:textId="77777777" w:rsidR="001F66DD" w:rsidRPr="0088741B" w:rsidRDefault="001F66D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(103.770)</w:t>
            </w:r>
          </w:p>
        </w:tc>
        <w:tc>
          <w:tcPr>
            <w:tcW w:w="1462" w:type="dxa"/>
            <w:gridSpan w:val="2"/>
            <w:tcBorders>
              <w:top w:val="nil"/>
              <w:bottom w:val="nil"/>
            </w:tcBorders>
            <w:shd w:val="clear" w:color="auto" w:fill="auto"/>
            <w:vAlign w:val="bottom"/>
          </w:tcPr>
          <w:p w14:paraId="3E643ADD" w14:textId="77777777" w:rsidR="001F66DD" w:rsidRPr="00800642" w:rsidRDefault="001F66D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Pr>
                <w:rFonts w:ascii="Arial" w:eastAsia="Times New Roman" w:hAnsi="Arial" w:cs="Arial"/>
                <w:spacing w:val="-2"/>
                <w:sz w:val="14"/>
                <w:szCs w:val="14"/>
                <w:lang w:eastAsia="pt-BR"/>
              </w:rPr>
              <w:t>(85.294)</w:t>
            </w:r>
          </w:p>
        </w:tc>
      </w:tr>
      <w:tr w:rsidR="001F66DD" w:rsidRPr="00281428" w14:paraId="4B2D91CF"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0BB7063A" w14:textId="77777777" w:rsidR="001F66DD" w:rsidRPr="00281428" w:rsidRDefault="001F66DD">
            <w:pPr>
              <w:keepNext/>
              <w:keepLines/>
              <w:spacing w:before="40" w:after="40"/>
              <w:ind w:left="113"/>
              <w:rPr>
                <w:rFonts w:ascii="Arial" w:eastAsia="Times New Roman" w:hAnsi="Arial" w:cs="Times New Roman"/>
                <w:b w:val="0"/>
                <w:bCs w:val="0"/>
                <w:spacing w:val="-2"/>
                <w:sz w:val="14"/>
                <w:szCs w:val="14"/>
                <w:lang w:eastAsia="pt-BR"/>
              </w:rPr>
            </w:pPr>
            <w:r w:rsidRPr="00281428">
              <w:rPr>
                <w:rFonts w:ascii="Arial" w:eastAsia="Times New Roman" w:hAnsi="Arial" w:cs="Times New Roman"/>
                <w:b w:val="0"/>
                <w:bCs w:val="0"/>
                <w:spacing w:val="-2"/>
                <w:sz w:val="14"/>
                <w:szCs w:val="14"/>
                <w:lang w:eastAsia="pt-BR"/>
              </w:rPr>
              <w:t>Custos dos serviços prestados</w:t>
            </w:r>
          </w:p>
        </w:tc>
        <w:tc>
          <w:tcPr>
            <w:tcW w:w="639" w:type="dxa"/>
            <w:tcBorders>
              <w:top w:val="nil"/>
              <w:bottom w:val="nil"/>
            </w:tcBorders>
            <w:shd w:val="clear" w:color="auto" w:fill="auto"/>
            <w:vAlign w:val="center"/>
          </w:tcPr>
          <w:p w14:paraId="07769EEA" w14:textId="77777777" w:rsidR="001F66DD" w:rsidRPr="00281428" w:rsidRDefault="001F66DD">
            <w:pPr>
              <w:keepNext/>
              <w:keepLines/>
              <w:spacing w:before="40" w:after="40"/>
              <w:ind w:left="113"/>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r w:rsidRPr="00281428">
              <w:rPr>
                <w:rFonts w:ascii="Arial" w:eastAsia="Times New Roman" w:hAnsi="Arial" w:cs="Times New Roman"/>
                <w:spacing w:val="-2"/>
                <w:sz w:val="14"/>
                <w:szCs w:val="14"/>
                <w:lang w:eastAsia="pt-BR"/>
              </w:rPr>
              <w:t>[9]</w:t>
            </w:r>
          </w:p>
        </w:tc>
        <w:tc>
          <w:tcPr>
            <w:tcW w:w="1417" w:type="dxa"/>
            <w:tcBorders>
              <w:top w:val="nil"/>
              <w:bottom w:val="nil"/>
            </w:tcBorders>
            <w:shd w:val="clear" w:color="auto" w:fill="auto"/>
            <w:vAlign w:val="center"/>
          </w:tcPr>
          <w:p w14:paraId="6CBB2131" w14:textId="77777777" w:rsidR="001F66DD" w:rsidRPr="0088741B" w:rsidRDefault="001F66D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408" w:type="dxa"/>
            <w:gridSpan w:val="2"/>
            <w:tcBorders>
              <w:top w:val="nil"/>
              <w:bottom w:val="nil"/>
            </w:tcBorders>
            <w:shd w:val="clear" w:color="auto" w:fill="auto"/>
            <w:vAlign w:val="bottom"/>
          </w:tcPr>
          <w:p w14:paraId="61F538C1" w14:textId="77777777" w:rsidR="001F66DD" w:rsidRPr="00800642" w:rsidRDefault="001F66DD">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236" w:type="dxa"/>
            <w:gridSpan w:val="2"/>
            <w:tcBorders>
              <w:top w:val="nil"/>
              <w:bottom w:val="nil"/>
            </w:tcBorders>
            <w:shd w:val="clear" w:color="auto" w:fill="auto"/>
            <w:vAlign w:val="bottom"/>
          </w:tcPr>
          <w:p w14:paraId="178F29F2" w14:textId="77777777" w:rsidR="001F66DD" w:rsidRPr="00281428" w:rsidRDefault="001F66DD">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191" w:type="dxa"/>
            <w:tcBorders>
              <w:top w:val="nil"/>
              <w:bottom w:val="nil"/>
            </w:tcBorders>
            <w:shd w:val="clear" w:color="auto" w:fill="auto"/>
            <w:vAlign w:val="bottom"/>
          </w:tcPr>
          <w:p w14:paraId="6A48D69E" w14:textId="77777777" w:rsidR="001F66DD" w:rsidRPr="0088741B" w:rsidRDefault="001F66D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(172.198)</w:t>
            </w:r>
          </w:p>
        </w:tc>
        <w:tc>
          <w:tcPr>
            <w:tcW w:w="1462" w:type="dxa"/>
            <w:gridSpan w:val="2"/>
            <w:tcBorders>
              <w:top w:val="nil"/>
              <w:bottom w:val="nil"/>
            </w:tcBorders>
            <w:shd w:val="clear" w:color="auto" w:fill="auto"/>
            <w:vAlign w:val="bottom"/>
          </w:tcPr>
          <w:p w14:paraId="075E63F6" w14:textId="77777777" w:rsidR="001F66DD" w:rsidRPr="00800642" w:rsidRDefault="001F66D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eastAsia="Times New Roman" w:hAnsi="Arial" w:cs="Arial"/>
                <w:spacing w:val="-2"/>
                <w:sz w:val="14"/>
                <w:szCs w:val="14"/>
                <w:lang w:eastAsia="pt-BR"/>
              </w:rPr>
              <w:t>(188.792)</w:t>
            </w:r>
          </w:p>
        </w:tc>
      </w:tr>
      <w:tr w:rsidR="001F66DD" w:rsidRPr="00281428" w14:paraId="2AA6D662"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2E3F89F1" w14:textId="77777777" w:rsidR="001F66DD" w:rsidRPr="00281428" w:rsidRDefault="001F66DD">
            <w:pPr>
              <w:keepNext/>
              <w:keepLines/>
              <w:spacing w:before="40" w:after="40"/>
              <w:ind w:left="113"/>
              <w:rPr>
                <w:rFonts w:ascii="Arial" w:eastAsia="Times New Roman" w:hAnsi="Arial" w:cs="Times New Roman"/>
                <w:b w:val="0"/>
                <w:bCs w:val="0"/>
                <w:spacing w:val="-2"/>
                <w:sz w:val="14"/>
                <w:szCs w:val="14"/>
                <w:lang w:eastAsia="pt-BR"/>
              </w:rPr>
            </w:pPr>
            <w:r w:rsidRPr="00281428">
              <w:rPr>
                <w:rFonts w:ascii="Arial" w:eastAsia="Times New Roman" w:hAnsi="Arial" w:cs="Times New Roman"/>
                <w:b w:val="0"/>
                <w:bCs w:val="0"/>
                <w:spacing w:val="-2"/>
                <w:sz w:val="14"/>
                <w:szCs w:val="14"/>
                <w:lang w:eastAsia="pt-BR"/>
              </w:rPr>
              <w:t>Outras</w:t>
            </w:r>
          </w:p>
        </w:tc>
        <w:tc>
          <w:tcPr>
            <w:tcW w:w="639" w:type="dxa"/>
            <w:tcBorders>
              <w:top w:val="nil"/>
              <w:bottom w:val="nil"/>
            </w:tcBorders>
            <w:shd w:val="clear" w:color="auto" w:fill="auto"/>
            <w:vAlign w:val="center"/>
          </w:tcPr>
          <w:p w14:paraId="569BB0ED" w14:textId="77777777" w:rsidR="001F66DD" w:rsidRPr="00281428" w:rsidRDefault="001F66DD">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p>
        </w:tc>
        <w:tc>
          <w:tcPr>
            <w:tcW w:w="1417" w:type="dxa"/>
            <w:tcBorders>
              <w:top w:val="nil"/>
              <w:bottom w:val="nil"/>
            </w:tcBorders>
            <w:shd w:val="clear" w:color="auto" w:fill="auto"/>
            <w:vAlign w:val="center"/>
          </w:tcPr>
          <w:p w14:paraId="2DDF4DCA" w14:textId="77777777" w:rsidR="001F66DD" w:rsidRPr="0088741B" w:rsidRDefault="001F66D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(2.393)</w:t>
            </w:r>
          </w:p>
        </w:tc>
        <w:tc>
          <w:tcPr>
            <w:tcW w:w="1408" w:type="dxa"/>
            <w:gridSpan w:val="2"/>
            <w:tcBorders>
              <w:top w:val="nil"/>
              <w:bottom w:val="nil"/>
            </w:tcBorders>
            <w:shd w:val="clear" w:color="auto" w:fill="auto"/>
            <w:vAlign w:val="bottom"/>
          </w:tcPr>
          <w:p w14:paraId="6AB8021E" w14:textId="77777777" w:rsidR="001F66DD" w:rsidRPr="00800642" w:rsidRDefault="001F66D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(672)</w:t>
            </w:r>
          </w:p>
        </w:tc>
        <w:tc>
          <w:tcPr>
            <w:tcW w:w="236" w:type="dxa"/>
            <w:gridSpan w:val="2"/>
            <w:tcBorders>
              <w:top w:val="nil"/>
              <w:bottom w:val="nil"/>
            </w:tcBorders>
            <w:shd w:val="clear" w:color="auto" w:fill="auto"/>
            <w:vAlign w:val="bottom"/>
          </w:tcPr>
          <w:p w14:paraId="30361A88" w14:textId="77777777" w:rsidR="001F66DD" w:rsidRPr="00281428" w:rsidRDefault="001F66D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191" w:type="dxa"/>
            <w:tcBorders>
              <w:top w:val="nil"/>
              <w:bottom w:val="nil"/>
            </w:tcBorders>
            <w:shd w:val="clear" w:color="auto" w:fill="auto"/>
            <w:vAlign w:val="bottom"/>
          </w:tcPr>
          <w:p w14:paraId="26A4A0E2" w14:textId="77777777" w:rsidR="001F66DD" w:rsidRPr="0088741B" w:rsidRDefault="001F66D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(38.094)</w:t>
            </w:r>
          </w:p>
        </w:tc>
        <w:tc>
          <w:tcPr>
            <w:tcW w:w="1462" w:type="dxa"/>
            <w:gridSpan w:val="2"/>
            <w:tcBorders>
              <w:top w:val="nil"/>
              <w:bottom w:val="nil"/>
            </w:tcBorders>
            <w:shd w:val="clear" w:color="auto" w:fill="auto"/>
            <w:vAlign w:val="bottom"/>
          </w:tcPr>
          <w:p w14:paraId="14BCD0E6" w14:textId="77777777" w:rsidR="001F66DD" w:rsidRPr="00800642" w:rsidRDefault="001F66D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Pr>
                <w:rFonts w:ascii="Arial" w:eastAsia="Times New Roman" w:hAnsi="Arial" w:cs="Arial"/>
                <w:spacing w:val="-2"/>
                <w:sz w:val="14"/>
                <w:szCs w:val="14"/>
                <w:lang w:eastAsia="pt-BR"/>
              </w:rPr>
              <w:t>(24.864)</w:t>
            </w:r>
          </w:p>
        </w:tc>
      </w:tr>
      <w:tr w:rsidR="001F66DD" w:rsidRPr="00281428" w14:paraId="28F0C8AA"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5D7B245F" w14:textId="77777777" w:rsidR="001F66DD" w:rsidRPr="00281428" w:rsidRDefault="001F66DD">
            <w:pPr>
              <w:keepNext/>
              <w:keepLines/>
              <w:spacing w:before="40" w:after="40"/>
              <w:rPr>
                <w:rFonts w:ascii="Arial" w:eastAsia="Times New Roman" w:hAnsi="Arial" w:cs="Times New Roman"/>
                <w:spacing w:val="-2"/>
                <w:sz w:val="14"/>
                <w:szCs w:val="14"/>
                <w:lang w:eastAsia="pt-BR"/>
              </w:rPr>
            </w:pPr>
          </w:p>
        </w:tc>
        <w:tc>
          <w:tcPr>
            <w:tcW w:w="639" w:type="dxa"/>
            <w:tcBorders>
              <w:top w:val="nil"/>
              <w:bottom w:val="nil"/>
            </w:tcBorders>
            <w:shd w:val="clear" w:color="auto" w:fill="auto"/>
            <w:vAlign w:val="center"/>
          </w:tcPr>
          <w:p w14:paraId="582F483F" w14:textId="77777777" w:rsidR="001F66DD" w:rsidRPr="00281428" w:rsidRDefault="001F66DD">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p>
        </w:tc>
        <w:tc>
          <w:tcPr>
            <w:tcW w:w="1417" w:type="dxa"/>
            <w:tcBorders>
              <w:top w:val="nil"/>
              <w:bottom w:val="nil"/>
            </w:tcBorders>
            <w:shd w:val="clear" w:color="auto" w:fill="auto"/>
            <w:vAlign w:val="center"/>
          </w:tcPr>
          <w:p w14:paraId="28F37CC5" w14:textId="77777777" w:rsidR="001F66DD" w:rsidRPr="0088741B" w:rsidRDefault="001F66D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08" w:type="dxa"/>
            <w:gridSpan w:val="2"/>
            <w:tcBorders>
              <w:top w:val="nil"/>
              <w:bottom w:val="nil"/>
            </w:tcBorders>
            <w:shd w:val="clear" w:color="auto" w:fill="auto"/>
            <w:vAlign w:val="bottom"/>
          </w:tcPr>
          <w:p w14:paraId="200649EA" w14:textId="77777777" w:rsidR="001F66DD" w:rsidRPr="00800642" w:rsidRDefault="001F66D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236" w:type="dxa"/>
            <w:gridSpan w:val="2"/>
            <w:tcBorders>
              <w:top w:val="nil"/>
              <w:bottom w:val="nil"/>
            </w:tcBorders>
            <w:shd w:val="clear" w:color="auto" w:fill="auto"/>
            <w:vAlign w:val="bottom"/>
          </w:tcPr>
          <w:p w14:paraId="2C4E6043" w14:textId="77777777" w:rsidR="001F66DD" w:rsidRPr="00281428" w:rsidRDefault="001F66D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191" w:type="dxa"/>
            <w:tcBorders>
              <w:top w:val="nil"/>
              <w:bottom w:val="nil"/>
            </w:tcBorders>
            <w:shd w:val="clear" w:color="auto" w:fill="auto"/>
            <w:vAlign w:val="bottom"/>
          </w:tcPr>
          <w:p w14:paraId="55CFC467" w14:textId="77777777" w:rsidR="001F66DD" w:rsidRPr="0088741B" w:rsidRDefault="001F66D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62" w:type="dxa"/>
            <w:gridSpan w:val="2"/>
            <w:tcBorders>
              <w:top w:val="nil"/>
              <w:bottom w:val="nil"/>
            </w:tcBorders>
            <w:shd w:val="clear" w:color="auto" w:fill="auto"/>
            <w:vAlign w:val="bottom"/>
          </w:tcPr>
          <w:p w14:paraId="1EAE89FF" w14:textId="77777777" w:rsidR="001F66DD" w:rsidRPr="00800642" w:rsidRDefault="001F66D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r>
      <w:tr w:rsidR="001F66DD" w:rsidRPr="00B454CC" w14:paraId="18FC76BA"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384EF11C" w14:textId="77777777" w:rsidR="001F66DD" w:rsidRPr="00B454CC" w:rsidRDefault="001F66DD">
            <w:pPr>
              <w:keepNext/>
              <w:keepLines/>
              <w:spacing w:before="40" w:after="40"/>
              <w:rPr>
                <w:rFonts w:ascii="Arial" w:eastAsia="Times New Roman" w:hAnsi="Arial" w:cs="Times New Roman"/>
                <w:spacing w:val="-2"/>
                <w:sz w:val="14"/>
                <w:szCs w:val="14"/>
                <w:lang w:eastAsia="pt-BR"/>
              </w:rPr>
            </w:pPr>
            <w:r w:rsidRPr="00B454CC">
              <w:rPr>
                <w:rFonts w:ascii="Arial" w:eastAsia="Times New Roman" w:hAnsi="Arial" w:cs="Times New Roman"/>
                <w:spacing w:val="-2"/>
                <w:sz w:val="14"/>
                <w:szCs w:val="14"/>
                <w:lang w:eastAsia="pt-BR"/>
              </w:rPr>
              <w:t>Valor Adicionado Bruto</w:t>
            </w:r>
          </w:p>
        </w:tc>
        <w:tc>
          <w:tcPr>
            <w:tcW w:w="639" w:type="dxa"/>
            <w:tcBorders>
              <w:top w:val="nil"/>
              <w:bottom w:val="nil"/>
            </w:tcBorders>
            <w:shd w:val="clear" w:color="auto" w:fill="auto"/>
            <w:vAlign w:val="center"/>
          </w:tcPr>
          <w:p w14:paraId="4784805C" w14:textId="77777777" w:rsidR="001F66DD" w:rsidRPr="00B454CC" w:rsidRDefault="001F66DD">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4"/>
                <w:lang w:eastAsia="pt-BR"/>
              </w:rPr>
            </w:pPr>
          </w:p>
        </w:tc>
        <w:tc>
          <w:tcPr>
            <w:tcW w:w="1417" w:type="dxa"/>
            <w:tcBorders>
              <w:top w:val="nil"/>
              <w:bottom w:val="nil"/>
            </w:tcBorders>
            <w:shd w:val="clear" w:color="auto" w:fill="auto"/>
            <w:vAlign w:val="center"/>
          </w:tcPr>
          <w:p w14:paraId="413D244F" w14:textId="77777777" w:rsidR="001F66DD" w:rsidRPr="00B454CC" w:rsidRDefault="001F66D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(1.725)</w:t>
            </w:r>
          </w:p>
        </w:tc>
        <w:tc>
          <w:tcPr>
            <w:tcW w:w="1408" w:type="dxa"/>
            <w:gridSpan w:val="2"/>
            <w:tcBorders>
              <w:top w:val="nil"/>
              <w:bottom w:val="nil"/>
            </w:tcBorders>
            <w:shd w:val="clear" w:color="auto" w:fill="auto"/>
            <w:vAlign w:val="bottom"/>
          </w:tcPr>
          <w:p w14:paraId="61A6D133" w14:textId="77777777" w:rsidR="001F66DD" w:rsidRPr="00800642" w:rsidRDefault="001F66D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2.651</w:t>
            </w:r>
          </w:p>
        </w:tc>
        <w:tc>
          <w:tcPr>
            <w:tcW w:w="236" w:type="dxa"/>
            <w:gridSpan w:val="2"/>
            <w:tcBorders>
              <w:top w:val="nil"/>
              <w:bottom w:val="nil"/>
            </w:tcBorders>
            <w:shd w:val="clear" w:color="auto" w:fill="auto"/>
            <w:vAlign w:val="bottom"/>
          </w:tcPr>
          <w:p w14:paraId="57B47DF3" w14:textId="77777777" w:rsidR="001F66DD" w:rsidRPr="00B454CC" w:rsidRDefault="001F66D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191" w:type="dxa"/>
            <w:tcBorders>
              <w:top w:val="nil"/>
              <w:bottom w:val="nil"/>
            </w:tcBorders>
            <w:shd w:val="clear" w:color="auto" w:fill="auto"/>
            <w:vAlign w:val="bottom"/>
          </w:tcPr>
          <w:p w14:paraId="4250A6BF" w14:textId="77777777" w:rsidR="001F66DD" w:rsidRPr="00B454CC" w:rsidRDefault="001F66D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5.212.007</w:t>
            </w:r>
          </w:p>
        </w:tc>
        <w:tc>
          <w:tcPr>
            <w:tcW w:w="1462" w:type="dxa"/>
            <w:gridSpan w:val="2"/>
            <w:tcBorders>
              <w:top w:val="nil"/>
              <w:bottom w:val="nil"/>
            </w:tcBorders>
            <w:shd w:val="clear" w:color="auto" w:fill="auto"/>
            <w:vAlign w:val="bottom"/>
          </w:tcPr>
          <w:p w14:paraId="2B19D491" w14:textId="77777777" w:rsidR="001F66DD" w:rsidRPr="00800642" w:rsidRDefault="001F66D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Pr>
                <w:rFonts w:ascii="Arial" w:eastAsia="Times New Roman" w:hAnsi="Arial" w:cs="Arial"/>
                <w:b/>
                <w:spacing w:val="-2"/>
                <w:sz w:val="14"/>
                <w:szCs w:val="14"/>
                <w:lang w:eastAsia="pt-BR"/>
              </w:rPr>
              <w:t>4.718.964</w:t>
            </w:r>
          </w:p>
        </w:tc>
      </w:tr>
      <w:tr w:rsidR="001F66DD" w:rsidRPr="00B454CC" w14:paraId="5BD138B1"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28636BF4" w14:textId="77777777" w:rsidR="001F66DD" w:rsidRPr="00B454CC" w:rsidRDefault="001F66DD">
            <w:pPr>
              <w:keepNext/>
              <w:keepLines/>
              <w:spacing w:before="40" w:after="40"/>
              <w:rPr>
                <w:rFonts w:ascii="Arial" w:eastAsia="Times New Roman" w:hAnsi="Arial" w:cs="Times New Roman"/>
                <w:spacing w:val="-2"/>
                <w:sz w:val="14"/>
                <w:szCs w:val="14"/>
                <w:lang w:eastAsia="pt-BR"/>
              </w:rPr>
            </w:pPr>
          </w:p>
        </w:tc>
        <w:tc>
          <w:tcPr>
            <w:tcW w:w="639" w:type="dxa"/>
            <w:tcBorders>
              <w:top w:val="nil"/>
              <w:bottom w:val="nil"/>
            </w:tcBorders>
            <w:shd w:val="clear" w:color="auto" w:fill="auto"/>
            <w:vAlign w:val="center"/>
          </w:tcPr>
          <w:p w14:paraId="093133D4" w14:textId="77777777" w:rsidR="001F66DD" w:rsidRPr="00B454CC" w:rsidRDefault="001F66DD">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bCs/>
                <w:spacing w:val="-2"/>
                <w:sz w:val="14"/>
                <w:szCs w:val="14"/>
                <w:lang w:eastAsia="pt-BR"/>
              </w:rPr>
            </w:pPr>
          </w:p>
        </w:tc>
        <w:tc>
          <w:tcPr>
            <w:tcW w:w="1417" w:type="dxa"/>
            <w:tcBorders>
              <w:top w:val="nil"/>
              <w:bottom w:val="nil"/>
            </w:tcBorders>
            <w:shd w:val="clear" w:color="auto" w:fill="auto"/>
            <w:vAlign w:val="center"/>
          </w:tcPr>
          <w:p w14:paraId="3F9E0ABB" w14:textId="77777777" w:rsidR="001F66DD" w:rsidRPr="00B454CC" w:rsidRDefault="001F66D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408" w:type="dxa"/>
            <w:gridSpan w:val="2"/>
            <w:tcBorders>
              <w:top w:val="nil"/>
              <w:bottom w:val="nil"/>
            </w:tcBorders>
            <w:shd w:val="clear" w:color="auto" w:fill="auto"/>
            <w:vAlign w:val="bottom"/>
          </w:tcPr>
          <w:p w14:paraId="2D0E830C" w14:textId="77777777" w:rsidR="001F66DD" w:rsidRPr="00800642" w:rsidRDefault="001F66DD">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236" w:type="dxa"/>
            <w:gridSpan w:val="2"/>
            <w:tcBorders>
              <w:top w:val="nil"/>
              <w:bottom w:val="nil"/>
            </w:tcBorders>
            <w:shd w:val="clear" w:color="auto" w:fill="auto"/>
            <w:vAlign w:val="bottom"/>
          </w:tcPr>
          <w:p w14:paraId="20C63868" w14:textId="77777777" w:rsidR="001F66DD" w:rsidRPr="00B454CC" w:rsidRDefault="001F66DD">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191" w:type="dxa"/>
            <w:tcBorders>
              <w:top w:val="nil"/>
              <w:bottom w:val="nil"/>
            </w:tcBorders>
            <w:shd w:val="clear" w:color="auto" w:fill="auto"/>
            <w:vAlign w:val="bottom"/>
          </w:tcPr>
          <w:p w14:paraId="6F6EA779" w14:textId="77777777" w:rsidR="001F66DD" w:rsidRPr="00B454CC" w:rsidRDefault="001F66D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462" w:type="dxa"/>
            <w:gridSpan w:val="2"/>
            <w:tcBorders>
              <w:top w:val="nil"/>
              <w:bottom w:val="nil"/>
            </w:tcBorders>
            <w:shd w:val="clear" w:color="auto" w:fill="auto"/>
            <w:vAlign w:val="bottom"/>
          </w:tcPr>
          <w:p w14:paraId="031BC7EB" w14:textId="77777777" w:rsidR="001F66DD" w:rsidRPr="00800642" w:rsidRDefault="001F66D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r>
      <w:tr w:rsidR="001F66DD" w:rsidRPr="00B454CC" w14:paraId="5770AF86"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0478D299" w14:textId="77777777" w:rsidR="001F66DD" w:rsidRPr="00B454CC" w:rsidRDefault="001F66DD">
            <w:pPr>
              <w:keepNext/>
              <w:keepLines/>
              <w:spacing w:before="40" w:after="40"/>
              <w:rPr>
                <w:rFonts w:ascii="Arial" w:eastAsia="Times New Roman" w:hAnsi="Arial" w:cs="Times New Roman"/>
                <w:spacing w:val="-2"/>
                <w:sz w:val="14"/>
                <w:szCs w:val="14"/>
                <w:lang w:eastAsia="pt-BR"/>
              </w:rPr>
            </w:pPr>
            <w:r w:rsidRPr="00B454CC">
              <w:rPr>
                <w:rFonts w:ascii="Arial" w:eastAsia="Times New Roman" w:hAnsi="Arial" w:cs="Times New Roman"/>
                <w:spacing w:val="-2"/>
                <w:sz w:val="14"/>
                <w:szCs w:val="14"/>
                <w:lang w:eastAsia="pt-BR"/>
              </w:rPr>
              <w:t>Depreciação e amortização</w:t>
            </w:r>
          </w:p>
        </w:tc>
        <w:tc>
          <w:tcPr>
            <w:tcW w:w="639" w:type="dxa"/>
            <w:tcBorders>
              <w:top w:val="nil"/>
              <w:bottom w:val="nil"/>
            </w:tcBorders>
            <w:shd w:val="clear" w:color="auto" w:fill="auto"/>
            <w:vAlign w:val="center"/>
          </w:tcPr>
          <w:p w14:paraId="2A33D81A" w14:textId="77777777" w:rsidR="001F66DD" w:rsidRPr="00B454CC" w:rsidRDefault="001F66DD">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4"/>
                <w:lang w:eastAsia="pt-BR"/>
              </w:rPr>
            </w:pPr>
            <w:r w:rsidRPr="00B454CC">
              <w:rPr>
                <w:rFonts w:ascii="Arial" w:eastAsia="Times New Roman" w:hAnsi="Arial" w:cs="Times New Roman"/>
                <w:b/>
                <w:spacing w:val="-2"/>
                <w:sz w:val="14"/>
                <w:szCs w:val="14"/>
                <w:lang w:eastAsia="pt-BR"/>
              </w:rPr>
              <w:t>[13]</w:t>
            </w:r>
          </w:p>
        </w:tc>
        <w:tc>
          <w:tcPr>
            <w:tcW w:w="1417" w:type="dxa"/>
            <w:tcBorders>
              <w:top w:val="nil"/>
              <w:bottom w:val="nil"/>
            </w:tcBorders>
            <w:shd w:val="clear" w:color="auto" w:fill="auto"/>
            <w:vAlign w:val="center"/>
          </w:tcPr>
          <w:p w14:paraId="21F630D8" w14:textId="77777777" w:rsidR="001F66DD" w:rsidRPr="00F940A9" w:rsidRDefault="001F66D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Pr>
                <w:rFonts w:ascii="Arial" w:eastAsia="Times New Roman" w:hAnsi="Arial" w:cs="Arial"/>
                <w:b/>
                <w:bCs/>
                <w:spacing w:val="-2"/>
                <w:sz w:val="14"/>
                <w:szCs w:val="14"/>
                <w:lang w:eastAsia="pt-BR"/>
              </w:rPr>
              <w:t>(162)</w:t>
            </w:r>
          </w:p>
        </w:tc>
        <w:tc>
          <w:tcPr>
            <w:tcW w:w="1408" w:type="dxa"/>
            <w:gridSpan w:val="2"/>
            <w:tcBorders>
              <w:top w:val="nil"/>
              <w:bottom w:val="nil"/>
            </w:tcBorders>
            <w:shd w:val="clear" w:color="auto" w:fill="auto"/>
            <w:vAlign w:val="bottom"/>
          </w:tcPr>
          <w:p w14:paraId="7CBC884F" w14:textId="77777777" w:rsidR="001F66DD" w:rsidRPr="00F940A9" w:rsidRDefault="001F66D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Pr>
                <w:rFonts w:ascii="Arial" w:eastAsia="Times New Roman" w:hAnsi="Arial" w:cs="Arial"/>
                <w:b/>
                <w:bCs/>
                <w:spacing w:val="-2"/>
                <w:sz w:val="14"/>
                <w:szCs w:val="14"/>
                <w:lang w:eastAsia="pt-BR"/>
              </w:rPr>
              <w:t>(167)</w:t>
            </w:r>
          </w:p>
        </w:tc>
        <w:tc>
          <w:tcPr>
            <w:tcW w:w="236" w:type="dxa"/>
            <w:gridSpan w:val="2"/>
            <w:tcBorders>
              <w:top w:val="nil"/>
              <w:bottom w:val="nil"/>
            </w:tcBorders>
            <w:shd w:val="clear" w:color="auto" w:fill="auto"/>
            <w:vAlign w:val="bottom"/>
          </w:tcPr>
          <w:p w14:paraId="67C64797" w14:textId="77777777" w:rsidR="001F66DD" w:rsidRPr="00F940A9" w:rsidRDefault="001F66D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c>
          <w:tcPr>
            <w:tcW w:w="1191" w:type="dxa"/>
            <w:tcBorders>
              <w:top w:val="nil"/>
              <w:bottom w:val="nil"/>
            </w:tcBorders>
            <w:shd w:val="clear" w:color="auto" w:fill="auto"/>
            <w:vAlign w:val="bottom"/>
          </w:tcPr>
          <w:p w14:paraId="3CB566AA" w14:textId="77777777" w:rsidR="001F66DD" w:rsidRPr="00F940A9" w:rsidRDefault="001F66D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Pr>
                <w:rFonts w:ascii="Arial" w:eastAsia="Times New Roman" w:hAnsi="Arial" w:cs="Arial"/>
                <w:b/>
                <w:bCs/>
                <w:spacing w:val="-2"/>
                <w:sz w:val="14"/>
                <w:szCs w:val="14"/>
                <w:lang w:eastAsia="pt-BR"/>
              </w:rPr>
              <w:t>(1.268)</w:t>
            </w:r>
          </w:p>
        </w:tc>
        <w:tc>
          <w:tcPr>
            <w:tcW w:w="1462" w:type="dxa"/>
            <w:gridSpan w:val="2"/>
            <w:tcBorders>
              <w:top w:val="nil"/>
              <w:bottom w:val="nil"/>
            </w:tcBorders>
            <w:shd w:val="clear" w:color="auto" w:fill="auto"/>
            <w:vAlign w:val="bottom"/>
          </w:tcPr>
          <w:p w14:paraId="1630566F" w14:textId="77777777" w:rsidR="001F66DD" w:rsidRPr="00F940A9" w:rsidRDefault="001F66D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Pr>
                <w:rFonts w:ascii="Arial" w:eastAsia="Times New Roman" w:hAnsi="Arial" w:cs="Arial"/>
                <w:b/>
                <w:bCs/>
                <w:spacing w:val="-2"/>
                <w:sz w:val="14"/>
                <w:szCs w:val="14"/>
                <w:lang w:eastAsia="pt-BR"/>
              </w:rPr>
              <w:t>(1.303)</w:t>
            </w:r>
          </w:p>
        </w:tc>
      </w:tr>
      <w:tr w:rsidR="001F66DD" w:rsidRPr="00B454CC" w14:paraId="5415D18C"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190A814C" w14:textId="77777777" w:rsidR="001F66DD" w:rsidRPr="00B454CC" w:rsidRDefault="001F66DD">
            <w:pPr>
              <w:keepNext/>
              <w:keepLines/>
              <w:spacing w:before="40" w:after="40"/>
              <w:rPr>
                <w:rFonts w:ascii="Arial" w:eastAsia="Times New Roman" w:hAnsi="Arial" w:cs="Times New Roman"/>
                <w:spacing w:val="-2"/>
                <w:sz w:val="14"/>
                <w:szCs w:val="14"/>
                <w:lang w:eastAsia="pt-BR"/>
              </w:rPr>
            </w:pPr>
          </w:p>
        </w:tc>
        <w:tc>
          <w:tcPr>
            <w:tcW w:w="639" w:type="dxa"/>
            <w:tcBorders>
              <w:top w:val="nil"/>
              <w:bottom w:val="nil"/>
            </w:tcBorders>
            <w:shd w:val="clear" w:color="auto" w:fill="auto"/>
            <w:vAlign w:val="center"/>
          </w:tcPr>
          <w:p w14:paraId="430EFD60" w14:textId="77777777" w:rsidR="001F66DD" w:rsidRPr="00B454CC" w:rsidRDefault="001F66DD">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bCs/>
                <w:spacing w:val="-2"/>
                <w:sz w:val="14"/>
                <w:szCs w:val="14"/>
                <w:lang w:eastAsia="pt-BR"/>
              </w:rPr>
            </w:pPr>
          </w:p>
        </w:tc>
        <w:tc>
          <w:tcPr>
            <w:tcW w:w="1417" w:type="dxa"/>
            <w:tcBorders>
              <w:top w:val="nil"/>
              <w:bottom w:val="nil"/>
            </w:tcBorders>
            <w:shd w:val="clear" w:color="auto" w:fill="auto"/>
            <w:vAlign w:val="center"/>
          </w:tcPr>
          <w:p w14:paraId="311B31A1" w14:textId="77777777" w:rsidR="001F66DD" w:rsidRPr="00B454CC" w:rsidRDefault="001F66D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408" w:type="dxa"/>
            <w:gridSpan w:val="2"/>
            <w:tcBorders>
              <w:top w:val="nil"/>
              <w:bottom w:val="nil"/>
            </w:tcBorders>
            <w:shd w:val="clear" w:color="auto" w:fill="auto"/>
            <w:vAlign w:val="bottom"/>
          </w:tcPr>
          <w:p w14:paraId="7B4BBA96" w14:textId="77777777" w:rsidR="001F66DD" w:rsidRPr="00800642" w:rsidRDefault="001F66DD">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236" w:type="dxa"/>
            <w:gridSpan w:val="2"/>
            <w:tcBorders>
              <w:top w:val="nil"/>
              <w:bottom w:val="nil"/>
            </w:tcBorders>
            <w:shd w:val="clear" w:color="auto" w:fill="auto"/>
            <w:vAlign w:val="bottom"/>
          </w:tcPr>
          <w:p w14:paraId="2342092D" w14:textId="77777777" w:rsidR="001F66DD" w:rsidRPr="00B454CC" w:rsidRDefault="001F66DD">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191" w:type="dxa"/>
            <w:tcBorders>
              <w:top w:val="nil"/>
              <w:bottom w:val="nil"/>
            </w:tcBorders>
            <w:shd w:val="clear" w:color="auto" w:fill="auto"/>
            <w:vAlign w:val="bottom"/>
          </w:tcPr>
          <w:p w14:paraId="3766C06A" w14:textId="77777777" w:rsidR="001F66DD" w:rsidRPr="00B454CC" w:rsidRDefault="001F66D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462" w:type="dxa"/>
            <w:gridSpan w:val="2"/>
            <w:tcBorders>
              <w:top w:val="nil"/>
              <w:bottom w:val="nil"/>
            </w:tcBorders>
            <w:shd w:val="clear" w:color="auto" w:fill="auto"/>
            <w:vAlign w:val="bottom"/>
          </w:tcPr>
          <w:p w14:paraId="7BF07DC4" w14:textId="77777777" w:rsidR="001F66DD" w:rsidRPr="00800642" w:rsidRDefault="001F66D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r>
      <w:tr w:rsidR="001F66DD" w:rsidRPr="00B454CC" w14:paraId="5C52BE17"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6414BFC0" w14:textId="77777777" w:rsidR="001F66DD" w:rsidRPr="00B454CC" w:rsidRDefault="001F66DD">
            <w:pPr>
              <w:keepNext/>
              <w:keepLines/>
              <w:spacing w:before="40" w:after="40"/>
              <w:rPr>
                <w:rFonts w:ascii="Arial" w:eastAsia="Times New Roman" w:hAnsi="Arial" w:cs="Times New Roman"/>
                <w:spacing w:val="-2"/>
                <w:sz w:val="14"/>
                <w:szCs w:val="14"/>
                <w:lang w:eastAsia="pt-BR"/>
              </w:rPr>
            </w:pPr>
            <w:r w:rsidRPr="00B454CC">
              <w:rPr>
                <w:rFonts w:ascii="Arial" w:eastAsia="Times New Roman" w:hAnsi="Arial" w:cs="Times New Roman"/>
                <w:spacing w:val="-2"/>
                <w:sz w:val="14"/>
                <w:szCs w:val="14"/>
                <w:lang w:eastAsia="pt-BR"/>
              </w:rPr>
              <w:t>Valor Adicionado Líquido Produzido pela Entidade</w:t>
            </w:r>
          </w:p>
        </w:tc>
        <w:tc>
          <w:tcPr>
            <w:tcW w:w="639" w:type="dxa"/>
            <w:tcBorders>
              <w:top w:val="nil"/>
              <w:bottom w:val="nil"/>
            </w:tcBorders>
            <w:shd w:val="clear" w:color="auto" w:fill="auto"/>
            <w:vAlign w:val="center"/>
          </w:tcPr>
          <w:p w14:paraId="0B0D0511" w14:textId="77777777" w:rsidR="001F66DD" w:rsidRPr="00B454CC" w:rsidRDefault="001F66DD">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4"/>
                <w:lang w:eastAsia="pt-BR"/>
              </w:rPr>
            </w:pPr>
          </w:p>
        </w:tc>
        <w:tc>
          <w:tcPr>
            <w:tcW w:w="1417" w:type="dxa"/>
            <w:tcBorders>
              <w:top w:val="nil"/>
              <w:bottom w:val="nil"/>
            </w:tcBorders>
            <w:shd w:val="clear" w:color="auto" w:fill="auto"/>
            <w:vAlign w:val="center"/>
          </w:tcPr>
          <w:p w14:paraId="0D880843" w14:textId="77777777" w:rsidR="001F66DD" w:rsidRPr="00B454CC" w:rsidRDefault="001F66D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(1.887)</w:t>
            </w:r>
          </w:p>
        </w:tc>
        <w:tc>
          <w:tcPr>
            <w:tcW w:w="1408" w:type="dxa"/>
            <w:gridSpan w:val="2"/>
            <w:tcBorders>
              <w:top w:val="nil"/>
              <w:bottom w:val="nil"/>
            </w:tcBorders>
            <w:shd w:val="clear" w:color="auto" w:fill="auto"/>
            <w:vAlign w:val="bottom"/>
          </w:tcPr>
          <w:p w14:paraId="36B1B6D3" w14:textId="77777777" w:rsidR="001F66DD" w:rsidRPr="00800642" w:rsidRDefault="001F66D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2.484</w:t>
            </w:r>
          </w:p>
        </w:tc>
        <w:tc>
          <w:tcPr>
            <w:tcW w:w="236" w:type="dxa"/>
            <w:gridSpan w:val="2"/>
            <w:tcBorders>
              <w:top w:val="nil"/>
              <w:bottom w:val="nil"/>
            </w:tcBorders>
            <w:shd w:val="clear" w:color="auto" w:fill="auto"/>
            <w:vAlign w:val="bottom"/>
          </w:tcPr>
          <w:p w14:paraId="5ABF973D" w14:textId="77777777" w:rsidR="001F66DD" w:rsidRPr="00B454CC" w:rsidRDefault="001F66D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191" w:type="dxa"/>
            <w:tcBorders>
              <w:top w:val="nil"/>
              <w:bottom w:val="nil"/>
            </w:tcBorders>
            <w:shd w:val="clear" w:color="auto" w:fill="auto"/>
            <w:vAlign w:val="bottom"/>
          </w:tcPr>
          <w:p w14:paraId="0319F028" w14:textId="77777777" w:rsidR="001F66DD" w:rsidRPr="00B454CC" w:rsidRDefault="001F66D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5.210.739</w:t>
            </w:r>
          </w:p>
        </w:tc>
        <w:tc>
          <w:tcPr>
            <w:tcW w:w="1462" w:type="dxa"/>
            <w:gridSpan w:val="2"/>
            <w:tcBorders>
              <w:top w:val="nil"/>
              <w:bottom w:val="nil"/>
            </w:tcBorders>
            <w:shd w:val="clear" w:color="auto" w:fill="auto"/>
            <w:vAlign w:val="bottom"/>
          </w:tcPr>
          <w:p w14:paraId="151EDEB7" w14:textId="77777777" w:rsidR="001F66DD" w:rsidRPr="00800642" w:rsidRDefault="001F66D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Pr>
                <w:rFonts w:ascii="Arial" w:eastAsia="Times New Roman" w:hAnsi="Arial" w:cs="Arial"/>
                <w:b/>
                <w:spacing w:val="-2"/>
                <w:sz w:val="14"/>
                <w:szCs w:val="14"/>
                <w:lang w:eastAsia="pt-BR"/>
              </w:rPr>
              <w:t>4.717.661</w:t>
            </w:r>
          </w:p>
        </w:tc>
      </w:tr>
      <w:tr w:rsidR="001F66DD" w:rsidRPr="00B454CC" w14:paraId="20655D09"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6D535E41" w14:textId="77777777" w:rsidR="001F66DD" w:rsidRPr="00B454CC" w:rsidRDefault="001F66DD">
            <w:pPr>
              <w:keepNext/>
              <w:keepLines/>
              <w:spacing w:before="40" w:after="40"/>
              <w:rPr>
                <w:rFonts w:ascii="Arial" w:eastAsia="Times New Roman" w:hAnsi="Arial" w:cs="Times New Roman"/>
                <w:spacing w:val="-2"/>
                <w:sz w:val="14"/>
                <w:szCs w:val="14"/>
                <w:lang w:eastAsia="pt-BR"/>
              </w:rPr>
            </w:pPr>
          </w:p>
        </w:tc>
        <w:tc>
          <w:tcPr>
            <w:tcW w:w="639" w:type="dxa"/>
            <w:tcBorders>
              <w:top w:val="nil"/>
              <w:bottom w:val="nil"/>
            </w:tcBorders>
            <w:shd w:val="clear" w:color="auto" w:fill="auto"/>
            <w:vAlign w:val="center"/>
          </w:tcPr>
          <w:p w14:paraId="3253E504" w14:textId="77777777" w:rsidR="001F66DD" w:rsidRPr="00B454CC" w:rsidRDefault="001F66DD">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4"/>
                <w:lang w:eastAsia="pt-BR"/>
              </w:rPr>
            </w:pPr>
          </w:p>
        </w:tc>
        <w:tc>
          <w:tcPr>
            <w:tcW w:w="1417" w:type="dxa"/>
            <w:tcBorders>
              <w:top w:val="nil"/>
              <w:bottom w:val="nil"/>
            </w:tcBorders>
            <w:shd w:val="clear" w:color="auto" w:fill="auto"/>
            <w:vAlign w:val="center"/>
          </w:tcPr>
          <w:p w14:paraId="5785989A" w14:textId="77777777" w:rsidR="001F66DD" w:rsidRPr="00B454CC" w:rsidRDefault="001F66D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408" w:type="dxa"/>
            <w:gridSpan w:val="2"/>
            <w:tcBorders>
              <w:top w:val="nil"/>
              <w:bottom w:val="nil"/>
            </w:tcBorders>
            <w:shd w:val="clear" w:color="auto" w:fill="auto"/>
            <w:vAlign w:val="bottom"/>
          </w:tcPr>
          <w:p w14:paraId="3B3C3718" w14:textId="77777777" w:rsidR="001F66DD" w:rsidRPr="00800642" w:rsidRDefault="001F66DD">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236" w:type="dxa"/>
            <w:gridSpan w:val="2"/>
            <w:tcBorders>
              <w:top w:val="nil"/>
              <w:bottom w:val="nil"/>
            </w:tcBorders>
            <w:shd w:val="clear" w:color="auto" w:fill="auto"/>
            <w:vAlign w:val="bottom"/>
          </w:tcPr>
          <w:p w14:paraId="101A63D2" w14:textId="77777777" w:rsidR="001F66DD" w:rsidRPr="00B454CC" w:rsidRDefault="001F66DD">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191" w:type="dxa"/>
            <w:tcBorders>
              <w:top w:val="nil"/>
              <w:bottom w:val="nil"/>
            </w:tcBorders>
            <w:shd w:val="clear" w:color="auto" w:fill="auto"/>
            <w:vAlign w:val="bottom"/>
          </w:tcPr>
          <w:p w14:paraId="5F74296F" w14:textId="77777777" w:rsidR="001F66DD" w:rsidRPr="00B454CC" w:rsidRDefault="001F66D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462" w:type="dxa"/>
            <w:gridSpan w:val="2"/>
            <w:tcBorders>
              <w:top w:val="nil"/>
              <w:bottom w:val="nil"/>
            </w:tcBorders>
            <w:shd w:val="clear" w:color="auto" w:fill="auto"/>
            <w:vAlign w:val="bottom"/>
          </w:tcPr>
          <w:p w14:paraId="06665F5E" w14:textId="77777777" w:rsidR="001F66DD" w:rsidRPr="00800642" w:rsidRDefault="001F66D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r>
      <w:tr w:rsidR="001F66DD" w:rsidRPr="00B454CC" w14:paraId="217F8AC7"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6BAEEB79" w14:textId="77777777" w:rsidR="001F66DD" w:rsidRPr="00B454CC" w:rsidRDefault="001F66DD">
            <w:pPr>
              <w:keepNext/>
              <w:keepLines/>
              <w:spacing w:before="40" w:after="40"/>
              <w:rPr>
                <w:rFonts w:ascii="Arial" w:eastAsia="Times New Roman" w:hAnsi="Arial" w:cs="Times New Roman"/>
                <w:spacing w:val="-2"/>
                <w:sz w:val="14"/>
                <w:szCs w:val="14"/>
                <w:lang w:eastAsia="pt-BR"/>
              </w:rPr>
            </w:pPr>
            <w:r w:rsidRPr="00B454CC">
              <w:rPr>
                <w:rFonts w:ascii="Arial" w:eastAsia="Times New Roman" w:hAnsi="Arial" w:cs="Times New Roman"/>
                <w:spacing w:val="-2"/>
                <w:sz w:val="14"/>
                <w:szCs w:val="14"/>
                <w:lang w:eastAsia="pt-BR"/>
              </w:rPr>
              <w:t>Valor Adicionado Recebido em Transferência</w:t>
            </w:r>
          </w:p>
        </w:tc>
        <w:tc>
          <w:tcPr>
            <w:tcW w:w="639" w:type="dxa"/>
            <w:tcBorders>
              <w:top w:val="nil"/>
              <w:bottom w:val="nil"/>
            </w:tcBorders>
            <w:shd w:val="clear" w:color="auto" w:fill="auto"/>
            <w:vAlign w:val="center"/>
          </w:tcPr>
          <w:p w14:paraId="308C6C8E" w14:textId="77777777" w:rsidR="001F66DD" w:rsidRPr="00B454CC" w:rsidRDefault="001F66DD">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4"/>
                <w:lang w:eastAsia="pt-BR"/>
              </w:rPr>
            </w:pPr>
          </w:p>
        </w:tc>
        <w:tc>
          <w:tcPr>
            <w:tcW w:w="1417" w:type="dxa"/>
            <w:tcBorders>
              <w:top w:val="nil"/>
              <w:bottom w:val="nil"/>
            </w:tcBorders>
            <w:shd w:val="clear" w:color="auto" w:fill="auto"/>
            <w:vAlign w:val="center"/>
          </w:tcPr>
          <w:p w14:paraId="162D5722" w14:textId="77777777" w:rsidR="001F66DD" w:rsidRPr="00B454CC" w:rsidRDefault="001F66D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8.772.858</w:t>
            </w:r>
          </w:p>
        </w:tc>
        <w:tc>
          <w:tcPr>
            <w:tcW w:w="1408" w:type="dxa"/>
            <w:gridSpan w:val="2"/>
            <w:tcBorders>
              <w:top w:val="nil"/>
              <w:bottom w:val="nil"/>
            </w:tcBorders>
            <w:shd w:val="clear" w:color="auto" w:fill="auto"/>
            <w:vAlign w:val="bottom"/>
          </w:tcPr>
          <w:p w14:paraId="64747B22" w14:textId="77777777" w:rsidR="001F66DD" w:rsidRPr="00861223" w:rsidRDefault="001F66D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8.058.803</w:t>
            </w:r>
          </w:p>
        </w:tc>
        <w:tc>
          <w:tcPr>
            <w:tcW w:w="236" w:type="dxa"/>
            <w:gridSpan w:val="2"/>
            <w:tcBorders>
              <w:top w:val="nil"/>
              <w:bottom w:val="nil"/>
            </w:tcBorders>
            <w:shd w:val="clear" w:color="auto" w:fill="auto"/>
            <w:vAlign w:val="bottom"/>
          </w:tcPr>
          <w:p w14:paraId="63A4A1A3" w14:textId="77777777" w:rsidR="001F66DD" w:rsidRPr="00B454CC" w:rsidRDefault="001F66D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191" w:type="dxa"/>
            <w:tcBorders>
              <w:top w:val="nil"/>
              <w:bottom w:val="nil"/>
            </w:tcBorders>
            <w:shd w:val="clear" w:color="auto" w:fill="auto"/>
            <w:vAlign w:val="bottom"/>
          </w:tcPr>
          <w:p w14:paraId="3DD9E5B2" w14:textId="77777777" w:rsidR="001F66DD" w:rsidRPr="00B454CC" w:rsidRDefault="001F66D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6.008.324</w:t>
            </w:r>
          </w:p>
        </w:tc>
        <w:tc>
          <w:tcPr>
            <w:tcW w:w="1462" w:type="dxa"/>
            <w:gridSpan w:val="2"/>
            <w:tcBorders>
              <w:top w:val="nil"/>
              <w:bottom w:val="nil"/>
            </w:tcBorders>
            <w:shd w:val="clear" w:color="auto" w:fill="auto"/>
            <w:vAlign w:val="bottom"/>
          </w:tcPr>
          <w:p w14:paraId="6B4DC4B0" w14:textId="77777777" w:rsidR="001F66DD" w:rsidRPr="00246913" w:rsidRDefault="001F66D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Pr>
                <w:rFonts w:ascii="Arial" w:eastAsia="Times New Roman" w:hAnsi="Arial" w:cs="Arial"/>
                <w:b/>
                <w:spacing w:val="-2"/>
                <w:sz w:val="14"/>
                <w:szCs w:val="14"/>
                <w:lang w:eastAsia="pt-BR"/>
              </w:rPr>
              <w:t>5.561.389</w:t>
            </w:r>
          </w:p>
        </w:tc>
      </w:tr>
      <w:tr w:rsidR="001F66DD" w:rsidRPr="00281428" w14:paraId="318C742F"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34FBAB11" w14:textId="77777777" w:rsidR="001F66DD" w:rsidRPr="00281428" w:rsidRDefault="001F66DD">
            <w:pPr>
              <w:keepNext/>
              <w:keepLines/>
              <w:spacing w:before="40" w:after="40"/>
              <w:ind w:left="113"/>
              <w:rPr>
                <w:rFonts w:ascii="Arial" w:eastAsia="Times New Roman" w:hAnsi="Arial" w:cs="Times New Roman"/>
                <w:b w:val="0"/>
                <w:bCs w:val="0"/>
                <w:spacing w:val="-2"/>
                <w:sz w:val="14"/>
                <w:szCs w:val="14"/>
                <w:lang w:eastAsia="pt-BR"/>
              </w:rPr>
            </w:pPr>
            <w:r w:rsidRPr="00281428">
              <w:rPr>
                <w:rFonts w:ascii="Arial" w:eastAsia="Times New Roman" w:hAnsi="Arial" w:cs="Times New Roman"/>
                <w:b w:val="0"/>
                <w:bCs w:val="0"/>
                <w:spacing w:val="-2"/>
                <w:sz w:val="14"/>
                <w:szCs w:val="14"/>
                <w:lang w:eastAsia="pt-BR"/>
              </w:rPr>
              <w:t>Resultado de investimentos em participações societárias</w:t>
            </w:r>
          </w:p>
        </w:tc>
        <w:tc>
          <w:tcPr>
            <w:tcW w:w="639" w:type="dxa"/>
            <w:tcBorders>
              <w:top w:val="nil"/>
              <w:bottom w:val="nil"/>
            </w:tcBorders>
            <w:shd w:val="clear" w:color="auto" w:fill="auto"/>
            <w:vAlign w:val="center"/>
          </w:tcPr>
          <w:p w14:paraId="35DE7C8D" w14:textId="77777777" w:rsidR="001F66DD" w:rsidRPr="00281428" w:rsidRDefault="001F66DD">
            <w:pPr>
              <w:keepNext/>
              <w:keepLines/>
              <w:spacing w:before="40" w:after="40"/>
              <w:ind w:left="113"/>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r w:rsidRPr="00281428">
              <w:rPr>
                <w:rFonts w:ascii="Arial" w:eastAsia="Times New Roman" w:hAnsi="Arial" w:cs="Times New Roman"/>
                <w:spacing w:val="-2"/>
                <w:sz w:val="14"/>
                <w:szCs w:val="14"/>
                <w:lang w:eastAsia="pt-BR"/>
              </w:rPr>
              <w:t>[7.b]</w:t>
            </w:r>
          </w:p>
        </w:tc>
        <w:tc>
          <w:tcPr>
            <w:tcW w:w="1417" w:type="dxa"/>
            <w:tcBorders>
              <w:top w:val="nil"/>
              <w:bottom w:val="nil"/>
            </w:tcBorders>
            <w:shd w:val="clear" w:color="auto" w:fill="auto"/>
            <w:vAlign w:val="center"/>
          </w:tcPr>
          <w:p w14:paraId="335CEABD" w14:textId="77777777" w:rsidR="001F66DD" w:rsidRPr="0088741B" w:rsidRDefault="001F66D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8.683.817</w:t>
            </w:r>
          </w:p>
        </w:tc>
        <w:tc>
          <w:tcPr>
            <w:tcW w:w="1408" w:type="dxa"/>
            <w:gridSpan w:val="2"/>
            <w:tcBorders>
              <w:top w:val="nil"/>
              <w:bottom w:val="nil"/>
            </w:tcBorders>
            <w:shd w:val="clear" w:color="auto" w:fill="auto"/>
            <w:vAlign w:val="bottom"/>
          </w:tcPr>
          <w:p w14:paraId="0EA6335F" w14:textId="77777777" w:rsidR="001F66DD" w:rsidRPr="00861223" w:rsidRDefault="001F66DD">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7.925.903</w:t>
            </w:r>
          </w:p>
        </w:tc>
        <w:tc>
          <w:tcPr>
            <w:tcW w:w="236" w:type="dxa"/>
            <w:gridSpan w:val="2"/>
            <w:tcBorders>
              <w:top w:val="nil"/>
              <w:bottom w:val="nil"/>
            </w:tcBorders>
            <w:shd w:val="clear" w:color="auto" w:fill="auto"/>
            <w:vAlign w:val="bottom"/>
          </w:tcPr>
          <w:p w14:paraId="190D8DC5" w14:textId="77777777" w:rsidR="001F66DD" w:rsidRPr="00281428" w:rsidRDefault="001F66DD">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191" w:type="dxa"/>
            <w:tcBorders>
              <w:top w:val="nil"/>
              <w:bottom w:val="nil"/>
            </w:tcBorders>
            <w:shd w:val="clear" w:color="auto" w:fill="auto"/>
            <w:vAlign w:val="bottom"/>
          </w:tcPr>
          <w:p w14:paraId="38047245" w14:textId="77777777" w:rsidR="001F66DD" w:rsidRPr="0088741B" w:rsidRDefault="001F66D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5.311.964</w:t>
            </w:r>
          </w:p>
        </w:tc>
        <w:tc>
          <w:tcPr>
            <w:tcW w:w="1462" w:type="dxa"/>
            <w:gridSpan w:val="2"/>
            <w:tcBorders>
              <w:top w:val="nil"/>
              <w:bottom w:val="nil"/>
            </w:tcBorders>
            <w:shd w:val="clear" w:color="auto" w:fill="auto"/>
            <w:vAlign w:val="bottom"/>
          </w:tcPr>
          <w:p w14:paraId="1DA08148" w14:textId="77777777" w:rsidR="001F66DD" w:rsidRPr="00246913" w:rsidRDefault="001F66D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eastAsia="Times New Roman" w:hAnsi="Arial" w:cs="Arial"/>
                <w:spacing w:val="-2"/>
                <w:sz w:val="14"/>
                <w:szCs w:val="14"/>
                <w:lang w:eastAsia="pt-BR"/>
              </w:rPr>
              <w:t>4.890.456</w:t>
            </w:r>
          </w:p>
        </w:tc>
      </w:tr>
      <w:tr w:rsidR="001F66DD" w:rsidRPr="00281428" w14:paraId="28A5132E"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7451FE6C" w14:textId="77777777" w:rsidR="001F66DD" w:rsidRPr="00281428" w:rsidRDefault="001F66DD">
            <w:pPr>
              <w:keepNext/>
              <w:keepLines/>
              <w:spacing w:before="40" w:after="40"/>
              <w:ind w:left="113"/>
              <w:rPr>
                <w:rFonts w:ascii="Arial" w:eastAsia="Times New Roman" w:hAnsi="Arial" w:cs="Times New Roman"/>
                <w:b w:val="0"/>
                <w:bCs w:val="0"/>
                <w:spacing w:val="-2"/>
                <w:sz w:val="14"/>
                <w:szCs w:val="14"/>
                <w:lang w:eastAsia="pt-BR"/>
              </w:rPr>
            </w:pPr>
            <w:r w:rsidRPr="00281428">
              <w:rPr>
                <w:rFonts w:ascii="Arial" w:eastAsia="Times New Roman" w:hAnsi="Arial" w:cs="Times New Roman"/>
                <w:b w:val="0"/>
                <w:bCs w:val="0"/>
                <w:spacing w:val="-2"/>
                <w:sz w:val="14"/>
                <w:szCs w:val="14"/>
                <w:lang w:eastAsia="pt-BR"/>
              </w:rPr>
              <w:t>Receitas financeiras</w:t>
            </w:r>
          </w:p>
        </w:tc>
        <w:tc>
          <w:tcPr>
            <w:tcW w:w="639" w:type="dxa"/>
            <w:tcBorders>
              <w:top w:val="nil"/>
              <w:bottom w:val="nil"/>
            </w:tcBorders>
            <w:shd w:val="clear" w:color="auto" w:fill="auto"/>
            <w:vAlign w:val="center"/>
          </w:tcPr>
          <w:p w14:paraId="089A5CCA" w14:textId="77777777" w:rsidR="001F66DD" w:rsidRPr="00281428" w:rsidRDefault="001F66DD">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r w:rsidRPr="00281428">
              <w:rPr>
                <w:rFonts w:ascii="Arial" w:eastAsia="Times New Roman" w:hAnsi="Arial" w:cs="Times New Roman"/>
                <w:spacing w:val="-2"/>
                <w:sz w:val="14"/>
                <w:szCs w:val="14"/>
                <w:lang w:eastAsia="pt-BR"/>
              </w:rPr>
              <w:t>[14]</w:t>
            </w:r>
          </w:p>
        </w:tc>
        <w:tc>
          <w:tcPr>
            <w:tcW w:w="1417" w:type="dxa"/>
            <w:tcBorders>
              <w:top w:val="nil"/>
              <w:bottom w:val="nil"/>
            </w:tcBorders>
            <w:shd w:val="clear" w:color="auto" w:fill="auto"/>
            <w:vAlign w:val="center"/>
          </w:tcPr>
          <w:p w14:paraId="24E6660F" w14:textId="77777777" w:rsidR="001F66DD" w:rsidRPr="0088741B" w:rsidRDefault="001F66D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89.041</w:t>
            </w:r>
          </w:p>
        </w:tc>
        <w:tc>
          <w:tcPr>
            <w:tcW w:w="1408" w:type="dxa"/>
            <w:gridSpan w:val="2"/>
            <w:tcBorders>
              <w:top w:val="nil"/>
              <w:bottom w:val="nil"/>
            </w:tcBorders>
            <w:shd w:val="clear" w:color="auto" w:fill="auto"/>
            <w:vAlign w:val="bottom"/>
          </w:tcPr>
          <w:p w14:paraId="35E61B87" w14:textId="77777777" w:rsidR="001F66DD" w:rsidRPr="00861223" w:rsidRDefault="001F66D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132.900</w:t>
            </w:r>
          </w:p>
        </w:tc>
        <w:tc>
          <w:tcPr>
            <w:tcW w:w="236" w:type="dxa"/>
            <w:gridSpan w:val="2"/>
            <w:tcBorders>
              <w:top w:val="nil"/>
              <w:bottom w:val="nil"/>
            </w:tcBorders>
            <w:shd w:val="clear" w:color="auto" w:fill="auto"/>
            <w:vAlign w:val="bottom"/>
          </w:tcPr>
          <w:p w14:paraId="57BAC7DC" w14:textId="77777777" w:rsidR="001F66DD" w:rsidRPr="00281428" w:rsidRDefault="001F66D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191" w:type="dxa"/>
            <w:tcBorders>
              <w:top w:val="nil"/>
              <w:bottom w:val="nil"/>
            </w:tcBorders>
            <w:shd w:val="clear" w:color="auto" w:fill="auto"/>
            <w:vAlign w:val="bottom"/>
          </w:tcPr>
          <w:p w14:paraId="33921724" w14:textId="77777777" w:rsidR="001F66DD" w:rsidRPr="0088741B" w:rsidRDefault="001F66D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696.360</w:t>
            </w:r>
          </w:p>
        </w:tc>
        <w:tc>
          <w:tcPr>
            <w:tcW w:w="1462" w:type="dxa"/>
            <w:gridSpan w:val="2"/>
            <w:tcBorders>
              <w:top w:val="nil"/>
              <w:bottom w:val="nil"/>
            </w:tcBorders>
            <w:shd w:val="clear" w:color="auto" w:fill="auto"/>
            <w:vAlign w:val="bottom"/>
          </w:tcPr>
          <w:p w14:paraId="068EA037" w14:textId="77777777" w:rsidR="001F66DD" w:rsidRPr="00246913" w:rsidRDefault="001F66D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Pr>
                <w:rFonts w:ascii="Arial" w:eastAsia="Times New Roman" w:hAnsi="Arial" w:cs="Arial"/>
                <w:spacing w:val="-2"/>
                <w:sz w:val="14"/>
                <w:szCs w:val="14"/>
                <w:lang w:eastAsia="pt-BR"/>
              </w:rPr>
              <w:t>670.933</w:t>
            </w:r>
          </w:p>
        </w:tc>
      </w:tr>
      <w:tr w:rsidR="001F66DD" w:rsidRPr="00281428" w14:paraId="319B1C5C"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5FDDA433" w14:textId="77777777" w:rsidR="001F66DD" w:rsidRPr="00281428" w:rsidRDefault="001F66DD">
            <w:pPr>
              <w:keepNext/>
              <w:keepLines/>
              <w:spacing w:before="40" w:after="40"/>
              <w:rPr>
                <w:rFonts w:ascii="Arial" w:eastAsia="Times New Roman" w:hAnsi="Arial" w:cs="Times New Roman"/>
                <w:spacing w:val="-2"/>
                <w:sz w:val="14"/>
                <w:szCs w:val="14"/>
                <w:lang w:eastAsia="pt-BR"/>
              </w:rPr>
            </w:pPr>
          </w:p>
        </w:tc>
        <w:tc>
          <w:tcPr>
            <w:tcW w:w="639" w:type="dxa"/>
            <w:tcBorders>
              <w:top w:val="nil"/>
              <w:bottom w:val="nil"/>
            </w:tcBorders>
            <w:shd w:val="clear" w:color="auto" w:fill="auto"/>
            <w:vAlign w:val="center"/>
          </w:tcPr>
          <w:p w14:paraId="54F12639" w14:textId="77777777" w:rsidR="001F66DD" w:rsidRPr="00281428" w:rsidRDefault="001F66DD">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p>
        </w:tc>
        <w:tc>
          <w:tcPr>
            <w:tcW w:w="1417" w:type="dxa"/>
            <w:tcBorders>
              <w:top w:val="nil"/>
              <w:bottom w:val="nil"/>
            </w:tcBorders>
            <w:shd w:val="clear" w:color="auto" w:fill="auto"/>
            <w:vAlign w:val="center"/>
          </w:tcPr>
          <w:p w14:paraId="42542F8D" w14:textId="77777777" w:rsidR="001F66DD" w:rsidRPr="0088741B" w:rsidRDefault="001F66D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08" w:type="dxa"/>
            <w:gridSpan w:val="2"/>
            <w:tcBorders>
              <w:top w:val="nil"/>
              <w:bottom w:val="nil"/>
            </w:tcBorders>
            <w:shd w:val="clear" w:color="auto" w:fill="auto"/>
            <w:vAlign w:val="bottom"/>
          </w:tcPr>
          <w:p w14:paraId="32B0FBB5" w14:textId="77777777" w:rsidR="001F66DD" w:rsidRPr="00861223" w:rsidRDefault="001F66D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236" w:type="dxa"/>
            <w:gridSpan w:val="2"/>
            <w:tcBorders>
              <w:top w:val="nil"/>
              <w:bottom w:val="nil"/>
            </w:tcBorders>
            <w:shd w:val="clear" w:color="auto" w:fill="auto"/>
            <w:vAlign w:val="bottom"/>
          </w:tcPr>
          <w:p w14:paraId="4AB50D2B" w14:textId="77777777" w:rsidR="001F66DD" w:rsidRPr="00281428" w:rsidRDefault="001F66D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191" w:type="dxa"/>
            <w:tcBorders>
              <w:top w:val="nil"/>
              <w:bottom w:val="nil"/>
            </w:tcBorders>
            <w:shd w:val="clear" w:color="auto" w:fill="auto"/>
            <w:vAlign w:val="bottom"/>
          </w:tcPr>
          <w:p w14:paraId="1EC7103A" w14:textId="77777777" w:rsidR="001F66DD" w:rsidRPr="0088741B" w:rsidRDefault="001F66D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62" w:type="dxa"/>
            <w:gridSpan w:val="2"/>
            <w:tcBorders>
              <w:top w:val="nil"/>
              <w:bottom w:val="nil"/>
            </w:tcBorders>
            <w:shd w:val="clear" w:color="auto" w:fill="auto"/>
            <w:vAlign w:val="bottom"/>
          </w:tcPr>
          <w:p w14:paraId="55C6403C" w14:textId="77777777" w:rsidR="001F66DD" w:rsidRPr="00246913" w:rsidRDefault="001F66D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r>
      <w:tr w:rsidR="001F66DD" w:rsidRPr="00B454CC" w14:paraId="700DB746"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269BB1BE" w14:textId="77777777" w:rsidR="001F66DD" w:rsidRPr="00B454CC" w:rsidRDefault="001F66DD">
            <w:pPr>
              <w:keepNext/>
              <w:keepLines/>
              <w:spacing w:before="40" w:after="40"/>
              <w:rPr>
                <w:rFonts w:ascii="Arial" w:eastAsia="Times New Roman" w:hAnsi="Arial" w:cs="Times New Roman"/>
                <w:spacing w:val="-2"/>
                <w:sz w:val="14"/>
                <w:szCs w:val="14"/>
                <w:lang w:eastAsia="pt-BR"/>
              </w:rPr>
            </w:pPr>
            <w:r w:rsidRPr="00B454CC">
              <w:rPr>
                <w:rFonts w:ascii="Arial" w:eastAsia="Times New Roman" w:hAnsi="Arial" w:cs="Times New Roman"/>
                <w:spacing w:val="-2"/>
                <w:sz w:val="14"/>
                <w:szCs w:val="14"/>
                <w:lang w:eastAsia="pt-BR"/>
              </w:rPr>
              <w:t>Valor Adicionado Total a Distribuir</w:t>
            </w:r>
          </w:p>
        </w:tc>
        <w:tc>
          <w:tcPr>
            <w:tcW w:w="639" w:type="dxa"/>
            <w:tcBorders>
              <w:top w:val="nil"/>
              <w:bottom w:val="nil"/>
            </w:tcBorders>
            <w:shd w:val="clear" w:color="auto" w:fill="auto"/>
            <w:vAlign w:val="center"/>
          </w:tcPr>
          <w:p w14:paraId="3DFE81F7" w14:textId="77777777" w:rsidR="001F66DD" w:rsidRPr="00B454CC" w:rsidRDefault="001F66DD">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4"/>
                <w:lang w:eastAsia="pt-BR"/>
              </w:rPr>
            </w:pPr>
          </w:p>
        </w:tc>
        <w:tc>
          <w:tcPr>
            <w:tcW w:w="1417" w:type="dxa"/>
            <w:tcBorders>
              <w:top w:val="nil"/>
              <w:bottom w:val="nil"/>
            </w:tcBorders>
            <w:shd w:val="clear" w:color="auto" w:fill="auto"/>
            <w:vAlign w:val="center"/>
          </w:tcPr>
          <w:p w14:paraId="67CCC68E" w14:textId="77777777" w:rsidR="001F66DD" w:rsidRPr="00B454CC" w:rsidRDefault="001F66D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8.770.971</w:t>
            </w:r>
          </w:p>
        </w:tc>
        <w:tc>
          <w:tcPr>
            <w:tcW w:w="1408" w:type="dxa"/>
            <w:gridSpan w:val="2"/>
            <w:tcBorders>
              <w:top w:val="nil"/>
              <w:bottom w:val="nil"/>
            </w:tcBorders>
            <w:shd w:val="clear" w:color="auto" w:fill="auto"/>
            <w:vAlign w:val="bottom"/>
          </w:tcPr>
          <w:p w14:paraId="35EA3005" w14:textId="77777777" w:rsidR="001F66DD" w:rsidRPr="00861223" w:rsidRDefault="001F66D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8.061.287</w:t>
            </w:r>
          </w:p>
        </w:tc>
        <w:tc>
          <w:tcPr>
            <w:tcW w:w="236" w:type="dxa"/>
            <w:gridSpan w:val="2"/>
            <w:tcBorders>
              <w:top w:val="nil"/>
              <w:bottom w:val="nil"/>
            </w:tcBorders>
            <w:shd w:val="clear" w:color="auto" w:fill="auto"/>
            <w:vAlign w:val="bottom"/>
          </w:tcPr>
          <w:p w14:paraId="74410203" w14:textId="77777777" w:rsidR="001F66DD" w:rsidRPr="00B454CC" w:rsidRDefault="001F66D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191" w:type="dxa"/>
            <w:tcBorders>
              <w:top w:val="nil"/>
              <w:bottom w:val="nil"/>
            </w:tcBorders>
            <w:shd w:val="clear" w:color="auto" w:fill="auto"/>
            <w:vAlign w:val="bottom"/>
          </w:tcPr>
          <w:p w14:paraId="7CF710E4" w14:textId="77777777" w:rsidR="001F66DD" w:rsidRPr="00B454CC" w:rsidRDefault="001F66D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11.219.063</w:t>
            </w:r>
          </w:p>
        </w:tc>
        <w:tc>
          <w:tcPr>
            <w:tcW w:w="1462" w:type="dxa"/>
            <w:gridSpan w:val="2"/>
            <w:tcBorders>
              <w:top w:val="nil"/>
              <w:bottom w:val="nil"/>
            </w:tcBorders>
            <w:shd w:val="clear" w:color="auto" w:fill="auto"/>
            <w:vAlign w:val="bottom"/>
          </w:tcPr>
          <w:p w14:paraId="2D4FF8EF" w14:textId="77777777" w:rsidR="001F66DD" w:rsidRPr="00246913" w:rsidRDefault="001F66D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Pr>
                <w:rFonts w:ascii="Arial" w:eastAsia="Times New Roman" w:hAnsi="Arial" w:cs="Arial"/>
                <w:b/>
                <w:spacing w:val="-2"/>
                <w:sz w:val="14"/>
                <w:szCs w:val="14"/>
                <w:lang w:eastAsia="pt-BR"/>
              </w:rPr>
              <w:t>10.279.050</w:t>
            </w:r>
          </w:p>
        </w:tc>
      </w:tr>
      <w:tr w:rsidR="001F66DD" w:rsidRPr="00B454CC" w14:paraId="450CB061"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593CD916" w14:textId="77777777" w:rsidR="001F66DD" w:rsidRPr="00B454CC" w:rsidRDefault="001F66DD">
            <w:pPr>
              <w:keepNext/>
              <w:keepLines/>
              <w:spacing w:before="40" w:after="40"/>
              <w:rPr>
                <w:rFonts w:ascii="Arial" w:eastAsia="Times New Roman" w:hAnsi="Arial" w:cs="Times New Roman"/>
                <w:spacing w:val="-2"/>
                <w:sz w:val="14"/>
                <w:szCs w:val="14"/>
                <w:lang w:eastAsia="pt-BR"/>
              </w:rPr>
            </w:pPr>
          </w:p>
        </w:tc>
        <w:tc>
          <w:tcPr>
            <w:tcW w:w="639" w:type="dxa"/>
            <w:tcBorders>
              <w:top w:val="nil"/>
              <w:bottom w:val="nil"/>
            </w:tcBorders>
            <w:shd w:val="clear" w:color="auto" w:fill="auto"/>
            <w:vAlign w:val="center"/>
          </w:tcPr>
          <w:p w14:paraId="0E61071F" w14:textId="77777777" w:rsidR="001F66DD" w:rsidRPr="00B454CC" w:rsidRDefault="001F66DD">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4"/>
                <w:lang w:eastAsia="pt-BR"/>
              </w:rPr>
            </w:pPr>
          </w:p>
        </w:tc>
        <w:tc>
          <w:tcPr>
            <w:tcW w:w="1417" w:type="dxa"/>
            <w:tcBorders>
              <w:top w:val="nil"/>
              <w:bottom w:val="nil"/>
            </w:tcBorders>
            <w:shd w:val="clear" w:color="auto" w:fill="auto"/>
            <w:vAlign w:val="center"/>
          </w:tcPr>
          <w:p w14:paraId="3B5AF9D8" w14:textId="77777777" w:rsidR="001F66DD" w:rsidRPr="00B454CC" w:rsidRDefault="001F66D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408" w:type="dxa"/>
            <w:gridSpan w:val="2"/>
            <w:tcBorders>
              <w:top w:val="nil"/>
              <w:bottom w:val="nil"/>
            </w:tcBorders>
            <w:shd w:val="clear" w:color="auto" w:fill="auto"/>
            <w:vAlign w:val="bottom"/>
          </w:tcPr>
          <w:p w14:paraId="2C2F952F" w14:textId="77777777" w:rsidR="001F66DD" w:rsidRPr="00861223" w:rsidRDefault="001F66D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236" w:type="dxa"/>
            <w:gridSpan w:val="2"/>
            <w:tcBorders>
              <w:top w:val="nil"/>
              <w:bottom w:val="nil"/>
            </w:tcBorders>
            <w:shd w:val="clear" w:color="auto" w:fill="auto"/>
            <w:vAlign w:val="bottom"/>
          </w:tcPr>
          <w:p w14:paraId="387AEB04" w14:textId="77777777" w:rsidR="001F66DD" w:rsidRPr="00B454CC" w:rsidRDefault="001F66D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191" w:type="dxa"/>
            <w:tcBorders>
              <w:top w:val="nil"/>
              <w:bottom w:val="nil"/>
            </w:tcBorders>
            <w:shd w:val="clear" w:color="auto" w:fill="auto"/>
            <w:vAlign w:val="bottom"/>
          </w:tcPr>
          <w:p w14:paraId="5E96C21B" w14:textId="77777777" w:rsidR="001F66DD" w:rsidRPr="00B454CC" w:rsidRDefault="001F66D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462" w:type="dxa"/>
            <w:gridSpan w:val="2"/>
            <w:tcBorders>
              <w:top w:val="nil"/>
              <w:bottom w:val="nil"/>
            </w:tcBorders>
            <w:shd w:val="clear" w:color="auto" w:fill="auto"/>
            <w:vAlign w:val="bottom"/>
          </w:tcPr>
          <w:p w14:paraId="58A174DA" w14:textId="77777777" w:rsidR="001F66DD" w:rsidRPr="00246913" w:rsidRDefault="001F66D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r>
      <w:tr w:rsidR="001F66DD" w:rsidRPr="00B454CC" w14:paraId="38548325"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12D74345" w14:textId="77777777" w:rsidR="001F66DD" w:rsidRPr="00B454CC" w:rsidRDefault="001F66DD">
            <w:pPr>
              <w:keepNext/>
              <w:keepLines/>
              <w:spacing w:before="40" w:after="40"/>
              <w:rPr>
                <w:rFonts w:ascii="Arial" w:eastAsia="Times New Roman" w:hAnsi="Arial" w:cs="Times New Roman"/>
                <w:spacing w:val="-2"/>
                <w:sz w:val="14"/>
                <w:szCs w:val="14"/>
                <w:lang w:eastAsia="pt-BR"/>
              </w:rPr>
            </w:pPr>
            <w:r w:rsidRPr="00B454CC">
              <w:rPr>
                <w:rFonts w:ascii="Arial" w:eastAsia="Times New Roman" w:hAnsi="Arial" w:cs="Times New Roman"/>
                <w:spacing w:val="-2"/>
                <w:sz w:val="14"/>
                <w:szCs w:val="14"/>
                <w:lang w:eastAsia="pt-BR"/>
              </w:rPr>
              <w:t>Distribuição do Valor Adicionado</w:t>
            </w:r>
          </w:p>
        </w:tc>
        <w:tc>
          <w:tcPr>
            <w:tcW w:w="639" w:type="dxa"/>
            <w:tcBorders>
              <w:top w:val="nil"/>
              <w:bottom w:val="nil"/>
            </w:tcBorders>
            <w:shd w:val="clear" w:color="auto" w:fill="auto"/>
            <w:vAlign w:val="center"/>
          </w:tcPr>
          <w:p w14:paraId="673C7339" w14:textId="77777777" w:rsidR="001F66DD" w:rsidRPr="00B454CC" w:rsidRDefault="001F66DD">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4"/>
                <w:lang w:eastAsia="pt-BR"/>
              </w:rPr>
            </w:pPr>
          </w:p>
        </w:tc>
        <w:tc>
          <w:tcPr>
            <w:tcW w:w="1417" w:type="dxa"/>
            <w:tcBorders>
              <w:top w:val="nil"/>
              <w:bottom w:val="nil"/>
            </w:tcBorders>
            <w:shd w:val="clear" w:color="auto" w:fill="auto"/>
            <w:vAlign w:val="center"/>
          </w:tcPr>
          <w:p w14:paraId="151D44A6" w14:textId="77777777" w:rsidR="001F66DD" w:rsidRPr="00B454CC" w:rsidRDefault="001F66D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8.770.971</w:t>
            </w:r>
          </w:p>
        </w:tc>
        <w:tc>
          <w:tcPr>
            <w:tcW w:w="1408" w:type="dxa"/>
            <w:gridSpan w:val="2"/>
            <w:tcBorders>
              <w:top w:val="nil"/>
              <w:bottom w:val="nil"/>
            </w:tcBorders>
            <w:shd w:val="clear" w:color="auto" w:fill="auto"/>
            <w:vAlign w:val="bottom"/>
          </w:tcPr>
          <w:p w14:paraId="1EDF6036" w14:textId="77777777" w:rsidR="001F66DD" w:rsidRPr="00861223" w:rsidRDefault="001F66D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8.061.287</w:t>
            </w:r>
          </w:p>
        </w:tc>
        <w:tc>
          <w:tcPr>
            <w:tcW w:w="236" w:type="dxa"/>
            <w:gridSpan w:val="2"/>
            <w:tcBorders>
              <w:top w:val="nil"/>
              <w:bottom w:val="nil"/>
            </w:tcBorders>
            <w:shd w:val="clear" w:color="auto" w:fill="auto"/>
            <w:vAlign w:val="bottom"/>
          </w:tcPr>
          <w:p w14:paraId="7A7AAB2A" w14:textId="77777777" w:rsidR="001F66DD" w:rsidRPr="00B454CC" w:rsidRDefault="001F66D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191" w:type="dxa"/>
            <w:tcBorders>
              <w:top w:val="nil"/>
              <w:bottom w:val="nil"/>
            </w:tcBorders>
            <w:shd w:val="clear" w:color="auto" w:fill="auto"/>
            <w:vAlign w:val="bottom"/>
          </w:tcPr>
          <w:p w14:paraId="4F056943" w14:textId="77777777" w:rsidR="001F66DD" w:rsidRPr="00B454CC" w:rsidRDefault="001F66D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11.219.063</w:t>
            </w:r>
          </w:p>
        </w:tc>
        <w:tc>
          <w:tcPr>
            <w:tcW w:w="1462" w:type="dxa"/>
            <w:gridSpan w:val="2"/>
            <w:tcBorders>
              <w:top w:val="nil"/>
              <w:bottom w:val="nil"/>
            </w:tcBorders>
            <w:shd w:val="clear" w:color="auto" w:fill="auto"/>
            <w:vAlign w:val="bottom"/>
          </w:tcPr>
          <w:p w14:paraId="1DA404B0" w14:textId="77777777" w:rsidR="001F66DD" w:rsidRPr="00246913" w:rsidRDefault="001F66D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Pr>
                <w:rFonts w:ascii="Arial" w:eastAsia="Times New Roman" w:hAnsi="Arial" w:cs="Arial"/>
                <w:b/>
                <w:spacing w:val="-2"/>
                <w:sz w:val="14"/>
                <w:szCs w:val="14"/>
                <w:lang w:eastAsia="pt-BR"/>
              </w:rPr>
              <w:t>10.279.050</w:t>
            </w:r>
          </w:p>
        </w:tc>
      </w:tr>
      <w:tr w:rsidR="001F66DD" w:rsidRPr="0054321A" w14:paraId="2AA0339D"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1D37E68E" w14:textId="77777777" w:rsidR="001F66DD" w:rsidRPr="0054321A" w:rsidRDefault="001F66DD">
            <w:pPr>
              <w:keepNext/>
              <w:keepLines/>
              <w:spacing w:before="40" w:after="40"/>
              <w:ind w:left="113"/>
              <w:rPr>
                <w:rFonts w:ascii="Arial" w:eastAsia="Times New Roman" w:hAnsi="Arial" w:cs="Times New Roman"/>
                <w:bCs w:val="0"/>
                <w:spacing w:val="-2"/>
                <w:sz w:val="14"/>
                <w:szCs w:val="14"/>
                <w:lang w:eastAsia="pt-BR"/>
              </w:rPr>
            </w:pPr>
            <w:r w:rsidRPr="0054321A">
              <w:rPr>
                <w:rFonts w:ascii="Arial" w:eastAsia="Times New Roman" w:hAnsi="Arial" w:cs="Times New Roman"/>
                <w:bCs w:val="0"/>
                <w:spacing w:val="-2"/>
                <w:sz w:val="14"/>
                <w:szCs w:val="14"/>
                <w:lang w:eastAsia="pt-BR"/>
              </w:rPr>
              <w:t>Pessoal</w:t>
            </w:r>
          </w:p>
        </w:tc>
        <w:tc>
          <w:tcPr>
            <w:tcW w:w="639" w:type="dxa"/>
            <w:tcBorders>
              <w:top w:val="nil"/>
              <w:bottom w:val="nil"/>
            </w:tcBorders>
            <w:shd w:val="clear" w:color="auto" w:fill="auto"/>
            <w:vAlign w:val="center"/>
          </w:tcPr>
          <w:p w14:paraId="04948D56" w14:textId="77777777" w:rsidR="001F66DD" w:rsidRPr="0054321A" w:rsidRDefault="001F66DD">
            <w:pPr>
              <w:keepNext/>
              <w:keepLines/>
              <w:spacing w:before="40" w:after="40"/>
              <w:ind w:left="113"/>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4"/>
                <w:lang w:eastAsia="pt-BR"/>
              </w:rPr>
            </w:pPr>
          </w:p>
        </w:tc>
        <w:tc>
          <w:tcPr>
            <w:tcW w:w="1417" w:type="dxa"/>
            <w:tcBorders>
              <w:top w:val="nil"/>
              <w:bottom w:val="nil"/>
            </w:tcBorders>
            <w:shd w:val="clear" w:color="auto" w:fill="auto"/>
            <w:vAlign w:val="center"/>
          </w:tcPr>
          <w:p w14:paraId="51FED51D" w14:textId="77777777" w:rsidR="001F66DD" w:rsidRPr="0054321A" w:rsidRDefault="001F66D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10.311</w:t>
            </w:r>
          </w:p>
        </w:tc>
        <w:tc>
          <w:tcPr>
            <w:tcW w:w="1408" w:type="dxa"/>
            <w:gridSpan w:val="2"/>
            <w:tcBorders>
              <w:top w:val="nil"/>
              <w:bottom w:val="nil"/>
            </w:tcBorders>
            <w:shd w:val="clear" w:color="auto" w:fill="auto"/>
            <w:vAlign w:val="bottom"/>
          </w:tcPr>
          <w:p w14:paraId="38428E34" w14:textId="77777777" w:rsidR="001F66DD" w:rsidRPr="00800642" w:rsidRDefault="001F66D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highlight w:val="yellow"/>
                <w:lang w:eastAsia="pt-BR"/>
              </w:rPr>
            </w:pPr>
            <w:r>
              <w:rPr>
                <w:rFonts w:ascii="Arial" w:eastAsia="Times New Roman" w:hAnsi="Arial" w:cs="Arial"/>
                <w:b/>
                <w:spacing w:val="-2"/>
                <w:sz w:val="14"/>
                <w:szCs w:val="14"/>
                <w:lang w:eastAsia="pt-BR"/>
              </w:rPr>
              <w:t>11.380</w:t>
            </w:r>
          </w:p>
        </w:tc>
        <w:tc>
          <w:tcPr>
            <w:tcW w:w="236" w:type="dxa"/>
            <w:gridSpan w:val="2"/>
            <w:tcBorders>
              <w:top w:val="nil"/>
              <w:bottom w:val="nil"/>
            </w:tcBorders>
            <w:shd w:val="clear" w:color="auto" w:fill="auto"/>
            <w:vAlign w:val="bottom"/>
          </w:tcPr>
          <w:p w14:paraId="6C564478" w14:textId="77777777" w:rsidR="001F66DD" w:rsidRPr="0054321A" w:rsidRDefault="001F66DD">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191" w:type="dxa"/>
            <w:tcBorders>
              <w:top w:val="nil"/>
              <w:bottom w:val="nil"/>
            </w:tcBorders>
            <w:shd w:val="clear" w:color="auto" w:fill="auto"/>
            <w:vAlign w:val="bottom"/>
          </w:tcPr>
          <w:p w14:paraId="448D98CB" w14:textId="77777777" w:rsidR="001F66DD" w:rsidRPr="0054321A" w:rsidRDefault="001F66D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77.867</w:t>
            </w:r>
          </w:p>
        </w:tc>
        <w:tc>
          <w:tcPr>
            <w:tcW w:w="1462" w:type="dxa"/>
            <w:gridSpan w:val="2"/>
            <w:tcBorders>
              <w:top w:val="nil"/>
              <w:bottom w:val="nil"/>
            </w:tcBorders>
            <w:shd w:val="clear" w:color="auto" w:fill="auto"/>
            <w:vAlign w:val="bottom"/>
          </w:tcPr>
          <w:p w14:paraId="072B7E7D" w14:textId="77777777" w:rsidR="001F66DD" w:rsidRPr="00246913" w:rsidRDefault="001F66D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eastAsia="Times New Roman" w:hAnsi="Arial" w:cs="Arial"/>
                <w:b/>
                <w:spacing w:val="-2"/>
                <w:sz w:val="14"/>
                <w:szCs w:val="14"/>
                <w:lang w:eastAsia="pt-BR"/>
              </w:rPr>
              <w:t>74.446</w:t>
            </w:r>
          </w:p>
        </w:tc>
      </w:tr>
      <w:tr w:rsidR="001F66DD" w:rsidRPr="00281428" w14:paraId="2B2B4CA0"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5EE8DC55" w14:textId="77777777" w:rsidR="001F66DD" w:rsidRPr="00281428" w:rsidRDefault="001F66DD">
            <w:pPr>
              <w:keepNext/>
              <w:keepLines/>
              <w:spacing w:before="40" w:after="40"/>
              <w:ind w:left="113" w:firstLine="61"/>
              <w:rPr>
                <w:rFonts w:ascii="Arial" w:eastAsia="Times New Roman" w:hAnsi="Arial" w:cs="Times New Roman"/>
                <w:b w:val="0"/>
                <w:bCs w:val="0"/>
                <w:spacing w:val="-2"/>
                <w:sz w:val="14"/>
                <w:szCs w:val="14"/>
                <w:highlight w:val="yellow"/>
                <w:lang w:eastAsia="pt-BR"/>
              </w:rPr>
            </w:pPr>
            <w:r w:rsidRPr="00281428">
              <w:rPr>
                <w:rFonts w:ascii="Arial" w:eastAsia="Times New Roman" w:hAnsi="Arial" w:cs="Times New Roman"/>
                <w:b w:val="0"/>
                <w:bCs w:val="0"/>
                <w:spacing w:val="-2"/>
                <w:sz w:val="14"/>
                <w:szCs w:val="14"/>
                <w:lang w:eastAsia="pt-BR"/>
              </w:rPr>
              <w:t>Remuneração direta – Proventos e honorários</w:t>
            </w:r>
          </w:p>
        </w:tc>
        <w:tc>
          <w:tcPr>
            <w:tcW w:w="639" w:type="dxa"/>
            <w:tcBorders>
              <w:top w:val="nil"/>
              <w:bottom w:val="nil"/>
            </w:tcBorders>
            <w:shd w:val="clear" w:color="auto" w:fill="auto"/>
            <w:vAlign w:val="center"/>
          </w:tcPr>
          <w:p w14:paraId="2659A1F7" w14:textId="77777777" w:rsidR="001F66DD" w:rsidRPr="00281428" w:rsidRDefault="001F66DD">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p>
        </w:tc>
        <w:tc>
          <w:tcPr>
            <w:tcW w:w="1417" w:type="dxa"/>
            <w:tcBorders>
              <w:top w:val="nil"/>
              <w:bottom w:val="nil"/>
            </w:tcBorders>
            <w:shd w:val="clear" w:color="auto" w:fill="auto"/>
            <w:vAlign w:val="center"/>
          </w:tcPr>
          <w:p w14:paraId="57A74896" w14:textId="77777777" w:rsidR="001F66DD" w:rsidRPr="0088741B" w:rsidRDefault="001F66D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7.451</w:t>
            </w:r>
          </w:p>
        </w:tc>
        <w:tc>
          <w:tcPr>
            <w:tcW w:w="1408" w:type="dxa"/>
            <w:gridSpan w:val="2"/>
            <w:tcBorders>
              <w:top w:val="nil"/>
              <w:bottom w:val="nil"/>
            </w:tcBorders>
            <w:shd w:val="clear" w:color="auto" w:fill="auto"/>
            <w:vAlign w:val="bottom"/>
          </w:tcPr>
          <w:p w14:paraId="479883C0" w14:textId="77777777" w:rsidR="001F66DD" w:rsidRPr="00800642" w:rsidRDefault="001F66D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Pr>
                <w:rFonts w:ascii="Arial" w:eastAsia="Times New Roman" w:hAnsi="Arial" w:cs="Arial"/>
                <w:spacing w:val="-2"/>
                <w:sz w:val="14"/>
                <w:szCs w:val="14"/>
                <w:lang w:eastAsia="pt-BR"/>
              </w:rPr>
              <w:t>8.041</w:t>
            </w:r>
          </w:p>
        </w:tc>
        <w:tc>
          <w:tcPr>
            <w:tcW w:w="236" w:type="dxa"/>
            <w:gridSpan w:val="2"/>
            <w:tcBorders>
              <w:top w:val="nil"/>
              <w:bottom w:val="nil"/>
            </w:tcBorders>
            <w:shd w:val="clear" w:color="auto" w:fill="auto"/>
            <w:vAlign w:val="bottom"/>
          </w:tcPr>
          <w:p w14:paraId="41032DBF" w14:textId="77777777" w:rsidR="001F66DD" w:rsidRPr="00281428" w:rsidRDefault="001F66D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191" w:type="dxa"/>
            <w:tcBorders>
              <w:top w:val="nil"/>
              <w:bottom w:val="nil"/>
            </w:tcBorders>
            <w:shd w:val="clear" w:color="auto" w:fill="auto"/>
            <w:vAlign w:val="bottom"/>
          </w:tcPr>
          <w:p w14:paraId="31FEDFCA" w14:textId="77777777" w:rsidR="001F66DD" w:rsidRPr="0088741B" w:rsidRDefault="001F66D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55.127</w:t>
            </w:r>
          </w:p>
        </w:tc>
        <w:tc>
          <w:tcPr>
            <w:tcW w:w="1462" w:type="dxa"/>
            <w:gridSpan w:val="2"/>
            <w:tcBorders>
              <w:top w:val="nil"/>
              <w:bottom w:val="nil"/>
            </w:tcBorders>
            <w:shd w:val="clear" w:color="auto" w:fill="auto"/>
            <w:vAlign w:val="bottom"/>
          </w:tcPr>
          <w:p w14:paraId="19DC1556" w14:textId="77777777" w:rsidR="001F66DD" w:rsidRPr="00246913" w:rsidRDefault="001F66D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Pr>
                <w:rFonts w:ascii="Arial" w:eastAsia="Times New Roman" w:hAnsi="Arial" w:cs="Arial"/>
                <w:spacing w:val="-2"/>
                <w:sz w:val="14"/>
                <w:szCs w:val="14"/>
                <w:lang w:eastAsia="pt-BR"/>
              </w:rPr>
              <w:t>53.041</w:t>
            </w:r>
          </w:p>
        </w:tc>
      </w:tr>
      <w:tr w:rsidR="001F66DD" w:rsidRPr="00281428" w14:paraId="4613581B"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37275B6F" w14:textId="77777777" w:rsidR="001F66DD" w:rsidRPr="00281428" w:rsidRDefault="001F66DD">
            <w:pPr>
              <w:keepNext/>
              <w:keepLines/>
              <w:spacing w:before="40" w:after="40"/>
              <w:ind w:left="113" w:firstLine="61"/>
              <w:rPr>
                <w:rFonts w:ascii="Arial" w:eastAsia="Times New Roman" w:hAnsi="Arial" w:cs="Times New Roman"/>
                <w:b w:val="0"/>
                <w:bCs w:val="0"/>
                <w:spacing w:val="-2"/>
                <w:sz w:val="14"/>
                <w:szCs w:val="14"/>
                <w:lang w:eastAsia="pt-BR"/>
              </w:rPr>
            </w:pPr>
            <w:r w:rsidRPr="00281428">
              <w:rPr>
                <w:rFonts w:ascii="Arial" w:eastAsia="Times New Roman" w:hAnsi="Arial" w:cs="Times New Roman"/>
                <w:b w:val="0"/>
                <w:bCs w:val="0"/>
                <w:spacing w:val="-2"/>
                <w:sz w:val="14"/>
                <w:szCs w:val="14"/>
                <w:lang w:eastAsia="pt-BR"/>
              </w:rPr>
              <w:t>Benefícios e capacitação</w:t>
            </w:r>
          </w:p>
        </w:tc>
        <w:tc>
          <w:tcPr>
            <w:tcW w:w="639" w:type="dxa"/>
            <w:tcBorders>
              <w:top w:val="nil"/>
              <w:bottom w:val="nil"/>
            </w:tcBorders>
            <w:shd w:val="clear" w:color="auto" w:fill="auto"/>
            <w:vAlign w:val="center"/>
          </w:tcPr>
          <w:p w14:paraId="7BEB8BD6" w14:textId="77777777" w:rsidR="001F66DD" w:rsidRPr="00281428" w:rsidRDefault="001F66DD">
            <w:pPr>
              <w:keepNext/>
              <w:keepLines/>
              <w:spacing w:before="40" w:after="40"/>
              <w:ind w:left="113"/>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p>
        </w:tc>
        <w:tc>
          <w:tcPr>
            <w:tcW w:w="1417" w:type="dxa"/>
            <w:tcBorders>
              <w:top w:val="nil"/>
              <w:bottom w:val="nil"/>
            </w:tcBorders>
            <w:shd w:val="clear" w:color="auto" w:fill="auto"/>
            <w:vAlign w:val="center"/>
          </w:tcPr>
          <w:p w14:paraId="16607AC5" w14:textId="77777777" w:rsidR="001F66DD" w:rsidRPr="0088741B" w:rsidRDefault="001F66D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1.697</w:t>
            </w:r>
          </w:p>
        </w:tc>
        <w:tc>
          <w:tcPr>
            <w:tcW w:w="1408" w:type="dxa"/>
            <w:gridSpan w:val="2"/>
            <w:tcBorders>
              <w:top w:val="nil"/>
              <w:bottom w:val="nil"/>
            </w:tcBorders>
            <w:shd w:val="clear" w:color="auto" w:fill="auto"/>
            <w:vAlign w:val="bottom"/>
          </w:tcPr>
          <w:p w14:paraId="0E528BF2" w14:textId="77777777" w:rsidR="001F66DD" w:rsidRPr="00800642" w:rsidRDefault="001F66DD">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Pr>
                <w:rFonts w:ascii="Arial" w:eastAsia="Times New Roman" w:hAnsi="Arial" w:cs="Arial"/>
                <w:spacing w:val="-2"/>
                <w:sz w:val="14"/>
                <w:szCs w:val="14"/>
                <w:lang w:eastAsia="pt-BR"/>
              </w:rPr>
              <w:t>1.846</w:t>
            </w:r>
          </w:p>
        </w:tc>
        <w:tc>
          <w:tcPr>
            <w:tcW w:w="236" w:type="dxa"/>
            <w:gridSpan w:val="2"/>
            <w:tcBorders>
              <w:top w:val="nil"/>
              <w:bottom w:val="nil"/>
            </w:tcBorders>
            <w:shd w:val="clear" w:color="auto" w:fill="auto"/>
            <w:vAlign w:val="bottom"/>
          </w:tcPr>
          <w:p w14:paraId="0FCF751F" w14:textId="77777777" w:rsidR="001F66DD" w:rsidRPr="00281428" w:rsidRDefault="001F66DD">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191" w:type="dxa"/>
            <w:tcBorders>
              <w:top w:val="nil"/>
              <w:bottom w:val="nil"/>
            </w:tcBorders>
            <w:shd w:val="clear" w:color="auto" w:fill="auto"/>
            <w:vAlign w:val="bottom"/>
          </w:tcPr>
          <w:p w14:paraId="24CCCE33" w14:textId="77777777" w:rsidR="001F66DD" w:rsidRPr="0088741B" w:rsidRDefault="001F66D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14.127</w:t>
            </w:r>
          </w:p>
        </w:tc>
        <w:tc>
          <w:tcPr>
            <w:tcW w:w="1462" w:type="dxa"/>
            <w:gridSpan w:val="2"/>
            <w:tcBorders>
              <w:top w:val="nil"/>
              <w:bottom w:val="nil"/>
            </w:tcBorders>
            <w:shd w:val="clear" w:color="auto" w:fill="auto"/>
            <w:vAlign w:val="bottom"/>
          </w:tcPr>
          <w:p w14:paraId="600F4D3F" w14:textId="77777777" w:rsidR="001F66DD" w:rsidRPr="00246913" w:rsidRDefault="001F66D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eastAsia="Times New Roman" w:hAnsi="Arial" w:cs="Arial"/>
                <w:spacing w:val="-2"/>
                <w:sz w:val="14"/>
                <w:szCs w:val="14"/>
                <w:lang w:eastAsia="pt-BR"/>
              </w:rPr>
              <w:t>13.082</w:t>
            </w:r>
          </w:p>
        </w:tc>
      </w:tr>
      <w:tr w:rsidR="001F66DD" w:rsidRPr="00281428" w14:paraId="7E11C6B3"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6F27E510" w14:textId="77777777" w:rsidR="001F66DD" w:rsidRPr="00281428" w:rsidRDefault="001F66DD">
            <w:pPr>
              <w:keepNext/>
              <w:keepLines/>
              <w:spacing w:before="40" w:after="40"/>
              <w:ind w:left="113" w:firstLine="61"/>
              <w:rPr>
                <w:rFonts w:ascii="Arial" w:eastAsia="Times New Roman" w:hAnsi="Arial" w:cs="Times New Roman"/>
                <w:b w:val="0"/>
                <w:bCs w:val="0"/>
                <w:spacing w:val="-2"/>
                <w:sz w:val="14"/>
                <w:szCs w:val="14"/>
                <w:lang w:eastAsia="pt-BR"/>
              </w:rPr>
            </w:pPr>
            <w:r w:rsidRPr="00281428">
              <w:rPr>
                <w:rFonts w:ascii="Arial" w:eastAsia="Times New Roman" w:hAnsi="Arial" w:cs="Times New Roman"/>
                <w:b w:val="0"/>
                <w:bCs w:val="0"/>
                <w:spacing w:val="-2"/>
                <w:sz w:val="14"/>
                <w:szCs w:val="14"/>
                <w:lang w:eastAsia="pt-BR"/>
              </w:rPr>
              <w:t>FGTS</w:t>
            </w:r>
          </w:p>
        </w:tc>
        <w:tc>
          <w:tcPr>
            <w:tcW w:w="639" w:type="dxa"/>
            <w:tcBorders>
              <w:top w:val="nil"/>
              <w:bottom w:val="nil"/>
            </w:tcBorders>
            <w:shd w:val="clear" w:color="auto" w:fill="auto"/>
            <w:vAlign w:val="center"/>
          </w:tcPr>
          <w:p w14:paraId="688B8E2C" w14:textId="77777777" w:rsidR="001F66DD" w:rsidRPr="00281428" w:rsidRDefault="001F66DD">
            <w:pPr>
              <w:keepNext/>
              <w:keepLines/>
              <w:spacing w:before="40" w:after="40"/>
              <w:ind w:left="113" w:firstLine="6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4"/>
                <w:lang w:eastAsia="pt-BR"/>
              </w:rPr>
            </w:pPr>
          </w:p>
        </w:tc>
        <w:tc>
          <w:tcPr>
            <w:tcW w:w="1417" w:type="dxa"/>
            <w:tcBorders>
              <w:top w:val="nil"/>
              <w:bottom w:val="nil"/>
            </w:tcBorders>
            <w:shd w:val="clear" w:color="auto" w:fill="auto"/>
            <w:vAlign w:val="center"/>
          </w:tcPr>
          <w:p w14:paraId="4CDA1576" w14:textId="77777777" w:rsidR="001F66DD" w:rsidRPr="0088741B" w:rsidRDefault="001F66D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458</w:t>
            </w:r>
          </w:p>
        </w:tc>
        <w:tc>
          <w:tcPr>
            <w:tcW w:w="1408" w:type="dxa"/>
            <w:gridSpan w:val="2"/>
            <w:tcBorders>
              <w:top w:val="nil"/>
              <w:bottom w:val="nil"/>
            </w:tcBorders>
            <w:shd w:val="clear" w:color="auto" w:fill="auto"/>
            <w:vAlign w:val="bottom"/>
          </w:tcPr>
          <w:p w14:paraId="657623C9" w14:textId="77777777" w:rsidR="001F66DD" w:rsidRPr="00800642" w:rsidRDefault="001F66D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Pr>
                <w:rFonts w:ascii="Arial" w:eastAsia="Times New Roman" w:hAnsi="Arial" w:cs="Arial"/>
                <w:spacing w:val="-2"/>
                <w:sz w:val="14"/>
                <w:szCs w:val="14"/>
                <w:lang w:eastAsia="pt-BR"/>
              </w:rPr>
              <w:t>474</w:t>
            </w:r>
          </w:p>
        </w:tc>
        <w:tc>
          <w:tcPr>
            <w:tcW w:w="236" w:type="dxa"/>
            <w:gridSpan w:val="2"/>
            <w:tcBorders>
              <w:top w:val="nil"/>
              <w:bottom w:val="nil"/>
            </w:tcBorders>
            <w:shd w:val="clear" w:color="auto" w:fill="auto"/>
            <w:vAlign w:val="bottom"/>
          </w:tcPr>
          <w:p w14:paraId="0047C0A6" w14:textId="77777777" w:rsidR="001F66DD" w:rsidRPr="00281428" w:rsidRDefault="001F66D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191" w:type="dxa"/>
            <w:tcBorders>
              <w:top w:val="nil"/>
              <w:bottom w:val="nil"/>
            </w:tcBorders>
            <w:shd w:val="clear" w:color="auto" w:fill="auto"/>
            <w:vAlign w:val="bottom"/>
          </w:tcPr>
          <w:p w14:paraId="5BB63FA0" w14:textId="77777777" w:rsidR="001F66DD" w:rsidRPr="0088741B" w:rsidRDefault="001F66D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3.536</w:t>
            </w:r>
          </w:p>
        </w:tc>
        <w:tc>
          <w:tcPr>
            <w:tcW w:w="1462" w:type="dxa"/>
            <w:gridSpan w:val="2"/>
            <w:tcBorders>
              <w:top w:val="nil"/>
              <w:bottom w:val="nil"/>
            </w:tcBorders>
            <w:shd w:val="clear" w:color="auto" w:fill="auto"/>
            <w:vAlign w:val="bottom"/>
          </w:tcPr>
          <w:p w14:paraId="79B3B41D" w14:textId="77777777" w:rsidR="001F66DD" w:rsidRPr="00246913" w:rsidRDefault="001F66D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Pr>
                <w:rFonts w:ascii="Arial" w:eastAsia="Times New Roman" w:hAnsi="Arial" w:cs="Arial"/>
                <w:spacing w:val="-2"/>
                <w:sz w:val="14"/>
                <w:szCs w:val="14"/>
                <w:lang w:eastAsia="pt-BR"/>
              </w:rPr>
              <w:t>3.305</w:t>
            </w:r>
          </w:p>
        </w:tc>
      </w:tr>
      <w:tr w:rsidR="001F66DD" w:rsidRPr="00281428" w14:paraId="527F20EE"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0B00BF23" w14:textId="77777777" w:rsidR="001F66DD" w:rsidRPr="00281428" w:rsidRDefault="001F66DD">
            <w:pPr>
              <w:keepNext/>
              <w:keepLines/>
              <w:spacing w:before="40" w:after="40"/>
              <w:ind w:left="113" w:firstLine="61"/>
              <w:rPr>
                <w:rFonts w:ascii="Arial" w:eastAsia="Times New Roman" w:hAnsi="Arial" w:cs="Times New Roman"/>
                <w:b w:val="0"/>
                <w:bCs w:val="0"/>
                <w:spacing w:val="-2"/>
                <w:sz w:val="14"/>
                <w:szCs w:val="14"/>
                <w:lang w:eastAsia="pt-BR"/>
              </w:rPr>
            </w:pPr>
            <w:r w:rsidRPr="00281428">
              <w:rPr>
                <w:rFonts w:ascii="Arial" w:eastAsia="Times New Roman" w:hAnsi="Arial" w:cs="Times New Roman"/>
                <w:b w:val="0"/>
                <w:bCs w:val="0"/>
                <w:spacing w:val="-2"/>
                <w:sz w:val="14"/>
                <w:szCs w:val="14"/>
                <w:lang w:eastAsia="pt-BR"/>
              </w:rPr>
              <w:t>Outros encargos</w:t>
            </w:r>
          </w:p>
        </w:tc>
        <w:tc>
          <w:tcPr>
            <w:tcW w:w="639" w:type="dxa"/>
            <w:tcBorders>
              <w:top w:val="nil"/>
              <w:bottom w:val="nil"/>
            </w:tcBorders>
            <w:shd w:val="clear" w:color="auto" w:fill="auto"/>
            <w:vAlign w:val="center"/>
          </w:tcPr>
          <w:p w14:paraId="36B149CD" w14:textId="77777777" w:rsidR="001F66DD" w:rsidRPr="00281428" w:rsidRDefault="001F66DD">
            <w:pPr>
              <w:keepNext/>
              <w:keepLines/>
              <w:spacing w:before="40" w:after="40"/>
              <w:ind w:left="113" w:firstLine="61"/>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4"/>
                <w:lang w:eastAsia="pt-BR"/>
              </w:rPr>
            </w:pPr>
          </w:p>
        </w:tc>
        <w:tc>
          <w:tcPr>
            <w:tcW w:w="1417" w:type="dxa"/>
            <w:tcBorders>
              <w:top w:val="nil"/>
              <w:bottom w:val="nil"/>
            </w:tcBorders>
            <w:shd w:val="clear" w:color="auto" w:fill="auto"/>
            <w:vAlign w:val="center"/>
          </w:tcPr>
          <w:p w14:paraId="4A691E21" w14:textId="77777777" w:rsidR="001F66DD" w:rsidRPr="0088741B" w:rsidRDefault="001F66D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705</w:t>
            </w:r>
          </w:p>
        </w:tc>
        <w:tc>
          <w:tcPr>
            <w:tcW w:w="1408" w:type="dxa"/>
            <w:gridSpan w:val="2"/>
            <w:tcBorders>
              <w:top w:val="nil"/>
              <w:bottom w:val="nil"/>
            </w:tcBorders>
            <w:shd w:val="clear" w:color="auto" w:fill="auto"/>
            <w:vAlign w:val="bottom"/>
          </w:tcPr>
          <w:p w14:paraId="3DB5BDF7" w14:textId="77777777" w:rsidR="001F66DD" w:rsidRPr="00800642" w:rsidRDefault="001F66D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Pr>
                <w:rFonts w:ascii="Arial" w:eastAsia="Times New Roman" w:hAnsi="Arial" w:cs="Arial"/>
                <w:spacing w:val="-2"/>
                <w:sz w:val="14"/>
                <w:szCs w:val="14"/>
                <w:lang w:eastAsia="pt-BR"/>
              </w:rPr>
              <w:t>1.019</w:t>
            </w:r>
          </w:p>
        </w:tc>
        <w:tc>
          <w:tcPr>
            <w:tcW w:w="236" w:type="dxa"/>
            <w:gridSpan w:val="2"/>
            <w:tcBorders>
              <w:top w:val="nil"/>
              <w:bottom w:val="nil"/>
            </w:tcBorders>
            <w:shd w:val="clear" w:color="auto" w:fill="auto"/>
            <w:vAlign w:val="bottom"/>
          </w:tcPr>
          <w:p w14:paraId="00458EBE" w14:textId="77777777" w:rsidR="001F66DD" w:rsidRPr="00281428" w:rsidRDefault="001F66D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191" w:type="dxa"/>
            <w:tcBorders>
              <w:top w:val="nil"/>
              <w:bottom w:val="nil"/>
            </w:tcBorders>
            <w:shd w:val="clear" w:color="auto" w:fill="auto"/>
            <w:vAlign w:val="bottom"/>
          </w:tcPr>
          <w:p w14:paraId="0781B29E" w14:textId="77777777" w:rsidR="001F66DD" w:rsidRPr="0088741B" w:rsidRDefault="001F66D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5.077</w:t>
            </w:r>
          </w:p>
        </w:tc>
        <w:tc>
          <w:tcPr>
            <w:tcW w:w="1462" w:type="dxa"/>
            <w:gridSpan w:val="2"/>
            <w:tcBorders>
              <w:top w:val="nil"/>
              <w:bottom w:val="nil"/>
            </w:tcBorders>
            <w:shd w:val="clear" w:color="auto" w:fill="auto"/>
            <w:vAlign w:val="bottom"/>
          </w:tcPr>
          <w:p w14:paraId="15AE1598" w14:textId="77777777" w:rsidR="001F66DD" w:rsidRPr="00246913" w:rsidRDefault="001F66D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eastAsia="Times New Roman" w:hAnsi="Arial" w:cs="Arial"/>
                <w:spacing w:val="-2"/>
                <w:sz w:val="14"/>
                <w:szCs w:val="14"/>
                <w:lang w:eastAsia="pt-BR"/>
              </w:rPr>
              <w:t>5.018</w:t>
            </w:r>
          </w:p>
        </w:tc>
      </w:tr>
      <w:tr w:rsidR="001F66DD" w:rsidRPr="00B454CC" w14:paraId="0C4F7400"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721F284E" w14:textId="77777777" w:rsidR="001F66DD" w:rsidRPr="00B454CC" w:rsidRDefault="001F66DD">
            <w:pPr>
              <w:keepNext/>
              <w:keepLines/>
              <w:spacing w:before="40" w:after="40"/>
              <w:ind w:left="113"/>
              <w:rPr>
                <w:rFonts w:ascii="Arial" w:eastAsia="Times New Roman" w:hAnsi="Arial" w:cs="Times New Roman"/>
                <w:spacing w:val="-2"/>
                <w:sz w:val="14"/>
                <w:szCs w:val="14"/>
                <w:lang w:eastAsia="pt-BR"/>
              </w:rPr>
            </w:pPr>
            <w:r w:rsidRPr="00B454CC">
              <w:rPr>
                <w:rFonts w:ascii="Arial" w:eastAsia="Times New Roman" w:hAnsi="Arial" w:cs="Times New Roman"/>
                <w:spacing w:val="-2"/>
                <w:sz w:val="14"/>
                <w:szCs w:val="14"/>
                <w:lang w:eastAsia="pt-BR"/>
              </w:rPr>
              <w:t>Impostos, taxas e contribuições</w:t>
            </w:r>
          </w:p>
        </w:tc>
        <w:tc>
          <w:tcPr>
            <w:tcW w:w="639" w:type="dxa"/>
            <w:tcBorders>
              <w:top w:val="nil"/>
              <w:bottom w:val="nil"/>
            </w:tcBorders>
            <w:shd w:val="clear" w:color="auto" w:fill="auto"/>
            <w:vAlign w:val="center"/>
          </w:tcPr>
          <w:p w14:paraId="305A38C4" w14:textId="77777777" w:rsidR="001F66DD" w:rsidRPr="00B454CC" w:rsidRDefault="001F66DD">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4"/>
                <w:lang w:eastAsia="pt-BR"/>
              </w:rPr>
            </w:pPr>
          </w:p>
        </w:tc>
        <w:tc>
          <w:tcPr>
            <w:tcW w:w="1417" w:type="dxa"/>
            <w:tcBorders>
              <w:top w:val="nil"/>
              <w:bottom w:val="nil"/>
            </w:tcBorders>
            <w:shd w:val="clear" w:color="auto" w:fill="auto"/>
            <w:vAlign w:val="center"/>
          </w:tcPr>
          <w:p w14:paraId="10407792" w14:textId="77777777" w:rsidR="001F66DD" w:rsidRPr="00B454CC" w:rsidRDefault="001F66D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15.617</w:t>
            </w:r>
          </w:p>
        </w:tc>
        <w:tc>
          <w:tcPr>
            <w:tcW w:w="1408" w:type="dxa"/>
            <w:gridSpan w:val="2"/>
            <w:tcBorders>
              <w:top w:val="nil"/>
              <w:bottom w:val="nil"/>
            </w:tcBorders>
            <w:shd w:val="clear" w:color="auto" w:fill="auto"/>
            <w:vAlign w:val="bottom"/>
          </w:tcPr>
          <w:p w14:paraId="1437D0A4" w14:textId="77777777" w:rsidR="001F66DD" w:rsidRPr="00800642" w:rsidRDefault="001F66D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highlight w:val="yellow"/>
                <w:lang w:eastAsia="pt-BR"/>
              </w:rPr>
            </w:pPr>
            <w:r>
              <w:rPr>
                <w:rFonts w:ascii="Arial" w:eastAsia="Times New Roman" w:hAnsi="Arial" w:cs="Arial"/>
                <w:b/>
                <w:spacing w:val="-2"/>
                <w:sz w:val="14"/>
                <w:szCs w:val="14"/>
                <w:lang w:eastAsia="pt-BR"/>
              </w:rPr>
              <w:t>20.168</w:t>
            </w:r>
          </w:p>
        </w:tc>
        <w:tc>
          <w:tcPr>
            <w:tcW w:w="236" w:type="dxa"/>
            <w:gridSpan w:val="2"/>
            <w:tcBorders>
              <w:top w:val="nil"/>
              <w:bottom w:val="nil"/>
            </w:tcBorders>
            <w:shd w:val="clear" w:color="auto" w:fill="auto"/>
            <w:vAlign w:val="bottom"/>
          </w:tcPr>
          <w:p w14:paraId="3C4BEAB0" w14:textId="77777777" w:rsidR="001F66DD" w:rsidRPr="00B454CC" w:rsidRDefault="001F66D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191" w:type="dxa"/>
            <w:tcBorders>
              <w:top w:val="nil"/>
              <w:bottom w:val="nil"/>
            </w:tcBorders>
            <w:shd w:val="clear" w:color="auto" w:fill="auto"/>
            <w:vAlign w:val="bottom"/>
          </w:tcPr>
          <w:p w14:paraId="477723E0" w14:textId="77777777" w:rsidR="001F66DD" w:rsidRPr="00B454CC" w:rsidRDefault="001F66D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2.391.477</w:t>
            </w:r>
          </w:p>
        </w:tc>
        <w:tc>
          <w:tcPr>
            <w:tcW w:w="1462" w:type="dxa"/>
            <w:gridSpan w:val="2"/>
            <w:tcBorders>
              <w:top w:val="nil"/>
              <w:bottom w:val="nil"/>
            </w:tcBorders>
            <w:shd w:val="clear" w:color="auto" w:fill="auto"/>
            <w:vAlign w:val="bottom"/>
          </w:tcPr>
          <w:p w14:paraId="40A81C38" w14:textId="77777777" w:rsidR="001F66DD" w:rsidRPr="00246913" w:rsidRDefault="001F66D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Pr>
                <w:rFonts w:ascii="Arial" w:eastAsia="Times New Roman" w:hAnsi="Arial" w:cs="Arial"/>
                <w:b/>
                <w:spacing w:val="-2"/>
                <w:sz w:val="14"/>
                <w:szCs w:val="14"/>
                <w:lang w:eastAsia="pt-BR"/>
              </w:rPr>
              <w:t>2.170.755</w:t>
            </w:r>
          </w:p>
        </w:tc>
      </w:tr>
      <w:tr w:rsidR="001F66DD" w:rsidRPr="00281428" w14:paraId="4074CB93"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5F21EDCE" w14:textId="77777777" w:rsidR="001F66DD" w:rsidRPr="00281428" w:rsidRDefault="001F66DD">
            <w:pPr>
              <w:keepNext/>
              <w:keepLines/>
              <w:spacing w:before="40" w:after="40"/>
              <w:ind w:left="113" w:firstLine="61"/>
              <w:rPr>
                <w:rFonts w:ascii="Arial" w:eastAsia="Times New Roman" w:hAnsi="Arial" w:cs="Times New Roman"/>
                <w:b w:val="0"/>
                <w:bCs w:val="0"/>
                <w:spacing w:val="-2"/>
                <w:sz w:val="14"/>
                <w:szCs w:val="14"/>
                <w:lang w:eastAsia="pt-BR"/>
              </w:rPr>
            </w:pPr>
            <w:r w:rsidRPr="00281428">
              <w:rPr>
                <w:rFonts w:ascii="Arial" w:eastAsia="Times New Roman" w:hAnsi="Arial" w:cs="Times New Roman"/>
                <w:b w:val="0"/>
                <w:bCs w:val="0"/>
                <w:spacing w:val="-2"/>
                <w:sz w:val="14"/>
                <w:szCs w:val="14"/>
                <w:lang w:eastAsia="pt-BR"/>
              </w:rPr>
              <w:t>Federais</w:t>
            </w:r>
          </w:p>
        </w:tc>
        <w:tc>
          <w:tcPr>
            <w:tcW w:w="639" w:type="dxa"/>
            <w:tcBorders>
              <w:top w:val="nil"/>
              <w:bottom w:val="nil"/>
            </w:tcBorders>
            <w:shd w:val="clear" w:color="auto" w:fill="auto"/>
            <w:vAlign w:val="center"/>
          </w:tcPr>
          <w:p w14:paraId="33ACCE74" w14:textId="77777777" w:rsidR="001F66DD" w:rsidRPr="00281428" w:rsidRDefault="001F66DD">
            <w:pPr>
              <w:keepNext/>
              <w:keepLines/>
              <w:spacing w:before="40" w:after="40"/>
              <w:ind w:left="113"/>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p>
        </w:tc>
        <w:tc>
          <w:tcPr>
            <w:tcW w:w="1417" w:type="dxa"/>
            <w:tcBorders>
              <w:top w:val="nil"/>
              <w:bottom w:val="nil"/>
            </w:tcBorders>
            <w:shd w:val="clear" w:color="auto" w:fill="auto"/>
            <w:vAlign w:val="center"/>
          </w:tcPr>
          <w:p w14:paraId="07791116" w14:textId="77777777" w:rsidR="001F66DD" w:rsidRPr="0088741B" w:rsidRDefault="001F66DD">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15.617</w:t>
            </w:r>
          </w:p>
        </w:tc>
        <w:tc>
          <w:tcPr>
            <w:tcW w:w="1408" w:type="dxa"/>
            <w:gridSpan w:val="2"/>
            <w:tcBorders>
              <w:top w:val="nil"/>
              <w:bottom w:val="nil"/>
            </w:tcBorders>
            <w:shd w:val="clear" w:color="auto" w:fill="auto"/>
            <w:vAlign w:val="bottom"/>
          </w:tcPr>
          <w:p w14:paraId="4A911D68" w14:textId="77777777" w:rsidR="001F66DD" w:rsidRPr="00800642" w:rsidRDefault="001F66D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Pr>
                <w:rFonts w:ascii="Arial" w:eastAsia="Times New Roman" w:hAnsi="Arial" w:cs="Arial"/>
                <w:spacing w:val="-2"/>
                <w:sz w:val="14"/>
                <w:szCs w:val="14"/>
                <w:lang w:eastAsia="pt-BR"/>
              </w:rPr>
              <w:t>20.168</w:t>
            </w:r>
          </w:p>
        </w:tc>
        <w:tc>
          <w:tcPr>
            <w:tcW w:w="236" w:type="dxa"/>
            <w:gridSpan w:val="2"/>
            <w:tcBorders>
              <w:top w:val="nil"/>
              <w:bottom w:val="nil"/>
            </w:tcBorders>
            <w:shd w:val="clear" w:color="auto" w:fill="auto"/>
            <w:vAlign w:val="bottom"/>
          </w:tcPr>
          <w:p w14:paraId="3C220343" w14:textId="77777777" w:rsidR="001F66DD" w:rsidRPr="00281428" w:rsidRDefault="001F66D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191" w:type="dxa"/>
            <w:tcBorders>
              <w:top w:val="nil"/>
              <w:bottom w:val="nil"/>
            </w:tcBorders>
            <w:shd w:val="clear" w:color="auto" w:fill="auto"/>
            <w:vAlign w:val="bottom"/>
          </w:tcPr>
          <w:p w14:paraId="7FE3EB11" w14:textId="77777777" w:rsidR="001F66DD" w:rsidRPr="0088741B" w:rsidRDefault="001F66D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2.264.557</w:t>
            </w:r>
          </w:p>
        </w:tc>
        <w:tc>
          <w:tcPr>
            <w:tcW w:w="1462" w:type="dxa"/>
            <w:gridSpan w:val="2"/>
            <w:tcBorders>
              <w:top w:val="nil"/>
              <w:bottom w:val="nil"/>
            </w:tcBorders>
            <w:shd w:val="clear" w:color="auto" w:fill="auto"/>
            <w:vAlign w:val="bottom"/>
          </w:tcPr>
          <w:p w14:paraId="65BDE130" w14:textId="77777777" w:rsidR="001F66DD" w:rsidRPr="00246913" w:rsidRDefault="001F66D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eastAsia="Times New Roman" w:hAnsi="Arial" w:cs="Arial"/>
                <w:spacing w:val="-2"/>
                <w:sz w:val="14"/>
                <w:szCs w:val="14"/>
                <w:lang w:eastAsia="pt-BR"/>
              </w:rPr>
              <w:t>2.055.178</w:t>
            </w:r>
          </w:p>
        </w:tc>
      </w:tr>
      <w:tr w:rsidR="001F66DD" w:rsidRPr="00281428" w14:paraId="6A1F202E"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5BB297C6" w14:textId="77777777" w:rsidR="001F66DD" w:rsidRPr="00A10845" w:rsidRDefault="001F66DD">
            <w:pPr>
              <w:keepNext/>
              <w:keepLines/>
              <w:spacing w:before="40" w:after="40"/>
              <w:ind w:left="113" w:firstLine="61"/>
              <w:rPr>
                <w:rFonts w:ascii="Arial" w:eastAsia="Times New Roman" w:hAnsi="Arial" w:cs="Times New Roman"/>
                <w:b w:val="0"/>
                <w:bCs w:val="0"/>
                <w:spacing w:val="-2"/>
                <w:sz w:val="14"/>
                <w:szCs w:val="14"/>
                <w:lang w:eastAsia="pt-BR"/>
              </w:rPr>
            </w:pPr>
            <w:r w:rsidRPr="00A10845">
              <w:rPr>
                <w:rFonts w:ascii="Arial" w:eastAsia="Times New Roman" w:hAnsi="Arial" w:cs="Times New Roman"/>
                <w:b w:val="0"/>
                <w:bCs w:val="0"/>
                <w:spacing w:val="-2"/>
                <w:sz w:val="14"/>
                <w:szCs w:val="14"/>
                <w:lang w:eastAsia="pt-BR"/>
              </w:rPr>
              <w:t>Municipais</w:t>
            </w:r>
          </w:p>
        </w:tc>
        <w:tc>
          <w:tcPr>
            <w:tcW w:w="639" w:type="dxa"/>
            <w:tcBorders>
              <w:top w:val="nil"/>
              <w:bottom w:val="nil"/>
            </w:tcBorders>
            <w:shd w:val="clear" w:color="auto" w:fill="auto"/>
            <w:vAlign w:val="center"/>
          </w:tcPr>
          <w:p w14:paraId="6D756ACF" w14:textId="77777777" w:rsidR="001F66DD" w:rsidRPr="00A10845" w:rsidRDefault="001F66DD">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p>
        </w:tc>
        <w:tc>
          <w:tcPr>
            <w:tcW w:w="1417" w:type="dxa"/>
            <w:tcBorders>
              <w:top w:val="nil"/>
              <w:bottom w:val="nil"/>
            </w:tcBorders>
            <w:shd w:val="clear" w:color="auto" w:fill="auto"/>
            <w:vAlign w:val="center"/>
          </w:tcPr>
          <w:p w14:paraId="4C8F65E8" w14:textId="77777777" w:rsidR="001F66DD" w:rsidRPr="0088741B" w:rsidRDefault="001F66D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408" w:type="dxa"/>
            <w:gridSpan w:val="2"/>
            <w:tcBorders>
              <w:top w:val="nil"/>
              <w:bottom w:val="nil"/>
            </w:tcBorders>
            <w:shd w:val="clear" w:color="auto" w:fill="auto"/>
            <w:vAlign w:val="bottom"/>
          </w:tcPr>
          <w:p w14:paraId="344565E6" w14:textId="77777777" w:rsidR="001F66DD" w:rsidRPr="00800642" w:rsidRDefault="001F66D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236" w:type="dxa"/>
            <w:gridSpan w:val="2"/>
            <w:tcBorders>
              <w:top w:val="nil"/>
              <w:bottom w:val="nil"/>
            </w:tcBorders>
            <w:shd w:val="clear" w:color="auto" w:fill="auto"/>
            <w:vAlign w:val="bottom"/>
          </w:tcPr>
          <w:p w14:paraId="6563029E" w14:textId="77777777" w:rsidR="001F66DD" w:rsidRPr="00A10845" w:rsidRDefault="001F66D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191" w:type="dxa"/>
            <w:tcBorders>
              <w:top w:val="nil"/>
              <w:bottom w:val="nil"/>
            </w:tcBorders>
            <w:shd w:val="clear" w:color="auto" w:fill="auto"/>
            <w:vAlign w:val="bottom"/>
          </w:tcPr>
          <w:p w14:paraId="22684DFA" w14:textId="77777777" w:rsidR="001F66DD" w:rsidRPr="0088741B" w:rsidRDefault="001F66D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126.920</w:t>
            </w:r>
          </w:p>
        </w:tc>
        <w:tc>
          <w:tcPr>
            <w:tcW w:w="1462" w:type="dxa"/>
            <w:gridSpan w:val="2"/>
            <w:tcBorders>
              <w:top w:val="nil"/>
              <w:bottom w:val="nil"/>
            </w:tcBorders>
            <w:shd w:val="clear" w:color="auto" w:fill="auto"/>
            <w:vAlign w:val="bottom"/>
          </w:tcPr>
          <w:p w14:paraId="16843CD9" w14:textId="77777777" w:rsidR="001F66DD" w:rsidRPr="00246913" w:rsidRDefault="001F66D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Pr>
                <w:rFonts w:ascii="Arial" w:eastAsia="Times New Roman" w:hAnsi="Arial" w:cs="Arial"/>
                <w:spacing w:val="-2"/>
                <w:sz w:val="14"/>
                <w:szCs w:val="14"/>
                <w:lang w:eastAsia="pt-BR"/>
              </w:rPr>
              <w:t>115.577</w:t>
            </w:r>
          </w:p>
        </w:tc>
      </w:tr>
      <w:tr w:rsidR="001F66DD" w:rsidRPr="00B454CC" w14:paraId="2B30E2AF"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47226C43" w14:textId="77777777" w:rsidR="001F66DD" w:rsidRPr="00B454CC" w:rsidRDefault="001F66DD">
            <w:pPr>
              <w:keepNext/>
              <w:keepLines/>
              <w:spacing w:before="40" w:after="40"/>
              <w:ind w:left="113"/>
              <w:rPr>
                <w:rFonts w:ascii="Arial" w:eastAsia="Times New Roman" w:hAnsi="Arial" w:cs="Times New Roman"/>
                <w:spacing w:val="-2"/>
                <w:sz w:val="14"/>
                <w:szCs w:val="14"/>
                <w:lang w:eastAsia="pt-BR"/>
              </w:rPr>
            </w:pPr>
            <w:r w:rsidRPr="00B454CC">
              <w:rPr>
                <w:rFonts w:ascii="Arial" w:eastAsia="Times New Roman" w:hAnsi="Arial" w:cs="Times New Roman"/>
                <w:spacing w:val="-2"/>
                <w:sz w:val="14"/>
                <w:szCs w:val="14"/>
                <w:lang w:eastAsia="pt-BR"/>
              </w:rPr>
              <w:t>Remuneração de capitais de terceiros</w:t>
            </w:r>
          </w:p>
        </w:tc>
        <w:tc>
          <w:tcPr>
            <w:tcW w:w="639" w:type="dxa"/>
            <w:tcBorders>
              <w:top w:val="nil"/>
              <w:bottom w:val="nil"/>
            </w:tcBorders>
            <w:shd w:val="clear" w:color="auto" w:fill="auto"/>
            <w:vAlign w:val="center"/>
          </w:tcPr>
          <w:p w14:paraId="0EA0213B" w14:textId="77777777" w:rsidR="001F66DD" w:rsidRPr="00B454CC" w:rsidRDefault="001F66DD">
            <w:pPr>
              <w:keepNext/>
              <w:keepLines/>
              <w:spacing w:before="40" w:after="40"/>
              <w:ind w:left="113"/>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4"/>
                <w:lang w:eastAsia="pt-BR"/>
              </w:rPr>
            </w:pPr>
          </w:p>
        </w:tc>
        <w:tc>
          <w:tcPr>
            <w:tcW w:w="1417" w:type="dxa"/>
            <w:tcBorders>
              <w:top w:val="nil"/>
              <w:bottom w:val="nil"/>
            </w:tcBorders>
            <w:shd w:val="clear" w:color="auto" w:fill="auto"/>
            <w:vAlign w:val="center"/>
          </w:tcPr>
          <w:p w14:paraId="30279493" w14:textId="77777777" w:rsidR="001F66DD" w:rsidRPr="00B454CC" w:rsidRDefault="001F66DD">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41.690</w:t>
            </w:r>
          </w:p>
        </w:tc>
        <w:tc>
          <w:tcPr>
            <w:tcW w:w="1408" w:type="dxa"/>
            <w:gridSpan w:val="2"/>
            <w:tcBorders>
              <w:top w:val="nil"/>
              <w:bottom w:val="nil"/>
            </w:tcBorders>
            <w:shd w:val="clear" w:color="auto" w:fill="auto"/>
            <w:vAlign w:val="bottom"/>
          </w:tcPr>
          <w:p w14:paraId="797B9175" w14:textId="77777777" w:rsidR="001F66DD" w:rsidRPr="00800642" w:rsidRDefault="001F66D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highlight w:val="yellow"/>
                <w:lang w:eastAsia="pt-BR"/>
              </w:rPr>
            </w:pPr>
            <w:r>
              <w:rPr>
                <w:rFonts w:ascii="Arial" w:eastAsia="Times New Roman" w:hAnsi="Arial" w:cs="Arial"/>
                <w:b/>
                <w:spacing w:val="-2"/>
                <w:sz w:val="14"/>
                <w:szCs w:val="14"/>
                <w:lang w:eastAsia="pt-BR"/>
              </w:rPr>
              <w:t>82.536</w:t>
            </w:r>
          </w:p>
        </w:tc>
        <w:tc>
          <w:tcPr>
            <w:tcW w:w="236" w:type="dxa"/>
            <w:gridSpan w:val="2"/>
            <w:tcBorders>
              <w:top w:val="nil"/>
              <w:bottom w:val="nil"/>
            </w:tcBorders>
            <w:shd w:val="clear" w:color="auto" w:fill="auto"/>
            <w:vAlign w:val="bottom"/>
          </w:tcPr>
          <w:p w14:paraId="14882F57" w14:textId="77777777" w:rsidR="001F66DD" w:rsidRPr="00B454CC" w:rsidRDefault="001F66D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191" w:type="dxa"/>
            <w:tcBorders>
              <w:top w:val="nil"/>
              <w:bottom w:val="nil"/>
            </w:tcBorders>
            <w:shd w:val="clear" w:color="auto" w:fill="auto"/>
            <w:vAlign w:val="bottom"/>
          </w:tcPr>
          <w:p w14:paraId="478CDD91" w14:textId="77777777" w:rsidR="001F66DD" w:rsidRPr="00B454CC" w:rsidRDefault="001F66D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46.366</w:t>
            </w:r>
          </w:p>
        </w:tc>
        <w:tc>
          <w:tcPr>
            <w:tcW w:w="1462" w:type="dxa"/>
            <w:gridSpan w:val="2"/>
            <w:tcBorders>
              <w:top w:val="nil"/>
              <w:bottom w:val="nil"/>
            </w:tcBorders>
            <w:shd w:val="clear" w:color="auto" w:fill="auto"/>
            <w:vAlign w:val="bottom"/>
          </w:tcPr>
          <w:p w14:paraId="021CF007" w14:textId="77777777" w:rsidR="001F66DD" w:rsidRPr="00246913" w:rsidRDefault="001F66D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eastAsia="Times New Roman" w:hAnsi="Arial" w:cs="Arial"/>
                <w:b/>
                <w:spacing w:val="-2"/>
                <w:sz w:val="14"/>
                <w:szCs w:val="14"/>
                <w:lang w:eastAsia="pt-BR"/>
              </w:rPr>
              <w:t>86.646</w:t>
            </w:r>
          </w:p>
        </w:tc>
      </w:tr>
      <w:tr w:rsidR="001F66DD" w:rsidRPr="0032084B" w14:paraId="185D96FA"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0D751884" w14:textId="77777777" w:rsidR="001F66DD" w:rsidRPr="0032084B" w:rsidRDefault="001F66DD">
            <w:pPr>
              <w:keepNext/>
              <w:keepLines/>
              <w:spacing w:before="40" w:after="40"/>
              <w:ind w:left="113" w:firstLine="61"/>
              <w:rPr>
                <w:rFonts w:ascii="Arial" w:eastAsia="Times New Roman" w:hAnsi="Arial" w:cs="Times New Roman"/>
                <w:b w:val="0"/>
                <w:bCs w:val="0"/>
                <w:spacing w:val="-2"/>
                <w:sz w:val="14"/>
                <w:szCs w:val="14"/>
                <w:lang w:eastAsia="pt-BR"/>
              </w:rPr>
            </w:pPr>
            <w:r w:rsidRPr="0032084B">
              <w:rPr>
                <w:rFonts w:ascii="Arial" w:eastAsia="Times New Roman" w:hAnsi="Arial" w:cs="Times New Roman"/>
                <w:b w:val="0"/>
                <w:bCs w:val="0"/>
                <w:spacing w:val="-2"/>
                <w:sz w:val="14"/>
                <w:szCs w:val="14"/>
                <w:lang w:eastAsia="pt-BR"/>
              </w:rPr>
              <w:t>Juros</w:t>
            </w:r>
          </w:p>
        </w:tc>
        <w:tc>
          <w:tcPr>
            <w:tcW w:w="639" w:type="dxa"/>
            <w:tcBorders>
              <w:top w:val="nil"/>
              <w:bottom w:val="nil"/>
            </w:tcBorders>
            <w:shd w:val="clear" w:color="auto" w:fill="auto"/>
            <w:vAlign w:val="center"/>
          </w:tcPr>
          <w:p w14:paraId="603A2843" w14:textId="77777777" w:rsidR="001F66DD" w:rsidRPr="0032084B" w:rsidRDefault="001F66DD">
            <w:pPr>
              <w:keepNext/>
              <w:keepLines/>
              <w:spacing w:before="40" w:after="40"/>
              <w:ind w:left="113" w:firstLine="6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r w:rsidRPr="0032084B">
              <w:rPr>
                <w:rFonts w:ascii="Arial" w:eastAsia="Times New Roman" w:hAnsi="Arial" w:cs="Times New Roman"/>
                <w:spacing w:val="-2"/>
                <w:sz w:val="14"/>
                <w:szCs w:val="14"/>
                <w:lang w:eastAsia="pt-BR"/>
              </w:rPr>
              <w:t>[14]</w:t>
            </w:r>
          </w:p>
        </w:tc>
        <w:tc>
          <w:tcPr>
            <w:tcW w:w="1417" w:type="dxa"/>
            <w:tcBorders>
              <w:top w:val="nil"/>
              <w:bottom w:val="nil"/>
            </w:tcBorders>
            <w:shd w:val="clear" w:color="auto" w:fill="auto"/>
            <w:vAlign w:val="center"/>
          </w:tcPr>
          <w:p w14:paraId="322787E7" w14:textId="77777777" w:rsidR="001F66DD" w:rsidRPr="0088741B" w:rsidRDefault="001F66DD">
            <w:pPr>
              <w:keepNext/>
              <w:keepLines/>
              <w:spacing w:before="40" w:after="40"/>
              <w:ind w:left="113" w:firstLine="6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41.020</w:t>
            </w:r>
          </w:p>
        </w:tc>
        <w:tc>
          <w:tcPr>
            <w:tcW w:w="1408" w:type="dxa"/>
            <w:gridSpan w:val="2"/>
            <w:tcBorders>
              <w:top w:val="nil"/>
              <w:bottom w:val="nil"/>
            </w:tcBorders>
            <w:shd w:val="clear" w:color="auto" w:fill="auto"/>
            <w:vAlign w:val="bottom"/>
          </w:tcPr>
          <w:p w14:paraId="31958289" w14:textId="77777777" w:rsidR="001F66DD" w:rsidRPr="00800642" w:rsidRDefault="001F66DD">
            <w:pPr>
              <w:keepNext/>
              <w:keepLines/>
              <w:spacing w:before="40" w:after="40"/>
              <w:ind w:left="113" w:firstLine="6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81.861</w:t>
            </w:r>
          </w:p>
        </w:tc>
        <w:tc>
          <w:tcPr>
            <w:tcW w:w="236" w:type="dxa"/>
            <w:gridSpan w:val="2"/>
            <w:tcBorders>
              <w:top w:val="nil"/>
              <w:bottom w:val="nil"/>
            </w:tcBorders>
            <w:shd w:val="clear" w:color="auto" w:fill="auto"/>
            <w:vAlign w:val="bottom"/>
          </w:tcPr>
          <w:p w14:paraId="4FBD7E89" w14:textId="77777777" w:rsidR="001F66DD" w:rsidRPr="0032084B" w:rsidRDefault="001F66DD">
            <w:pPr>
              <w:keepNext/>
              <w:keepLines/>
              <w:spacing w:before="40" w:after="40"/>
              <w:ind w:left="113" w:firstLine="6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p>
        </w:tc>
        <w:tc>
          <w:tcPr>
            <w:tcW w:w="1191" w:type="dxa"/>
            <w:tcBorders>
              <w:top w:val="nil"/>
              <w:bottom w:val="nil"/>
            </w:tcBorders>
            <w:shd w:val="clear" w:color="auto" w:fill="auto"/>
            <w:vAlign w:val="bottom"/>
          </w:tcPr>
          <w:p w14:paraId="33AC3386" w14:textId="77777777" w:rsidR="001F66DD" w:rsidRPr="0088741B" w:rsidRDefault="001F66DD">
            <w:pPr>
              <w:keepNext/>
              <w:keepLines/>
              <w:spacing w:before="40" w:after="40"/>
              <w:ind w:left="113" w:firstLine="6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42.638</w:t>
            </w:r>
          </w:p>
        </w:tc>
        <w:tc>
          <w:tcPr>
            <w:tcW w:w="1462" w:type="dxa"/>
            <w:gridSpan w:val="2"/>
            <w:tcBorders>
              <w:top w:val="nil"/>
              <w:bottom w:val="nil"/>
            </w:tcBorders>
            <w:shd w:val="clear" w:color="auto" w:fill="auto"/>
            <w:vAlign w:val="bottom"/>
          </w:tcPr>
          <w:p w14:paraId="704168C7" w14:textId="77777777" w:rsidR="001F66DD" w:rsidRPr="00246913" w:rsidRDefault="001F66D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Pr>
                <w:rFonts w:ascii="Arial" w:eastAsia="Times New Roman" w:hAnsi="Arial" w:cs="Arial"/>
                <w:spacing w:val="-2"/>
                <w:sz w:val="14"/>
                <w:szCs w:val="14"/>
                <w:lang w:eastAsia="pt-BR"/>
              </w:rPr>
              <w:t>83.386</w:t>
            </w:r>
          </w:p>
        </w:tc>
      </w:tr>
      <w:tr w:rsidR="001F66DD" w:rsidRPr="0032084B" w14:paraId="47A34FD6"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5975B1E3" w14:textId="77777777" w:rsidR="001F66DD" w:rsidRPr="0032084B" w:rsidRDefault="001F66DD">
            <w:pPr>
              <w:keepNext/>
              <w:keepLines/>
              <w:spacing w:before="40" w:after="40"/>
              <w:ind w:left="113" w:firstLine="61"/>
              <w:rPr>
                <w:rFonts w:ascii="Arial" w:eastAsia="Times New Roman" w:hAnsi="Arial" w:cs="Times New Roman"/>
                <w:b w:val="0"/>
                <w:bCs w:val="0"/>
                <w:spacing w:val="-2"/>
                <w:sz w:val="14"/>
                <w:szCs w:val="14"/>
                <w:lang w:eastAsia="pt-BR"/>
              </w:rPr>
            </w:pPr>
            <w:r w:rsidRPr="0032084B">
              <w:rPr>
                <w:rFonts w:ascii="Arial" w:eastAsia="Times New Roman" w:hAnsi="Arial" w:cs="Times New Roman"/>
                <w:b w:val="0"/>
                <w:bCs w:val="0"/>
                <w:spacing w:val="-2"/>
                <w:sz w:val="14"/>
                <w:szCs w:val="14"/>
                <w:lang w:eastAsia="pt-BR"/>
              </w:rPr>
              <w:t>Aluguéis</w:t>
            </w:r>
          </w:p>
        </w:tc>
        <w:tc>
          <w:tcPr>
            <w:tcW w:w="639" w:type="dxa"/>
            <w:tcBorders>
              <w:top w:val="nil"/>
              <w:bottom w:val="nil"/>
            </w:tcBorders>
            <w:shd w:val="clear" w:color="auto" w:fill="auto"/>
            <w:vAlign w:val="center"/>
          </w:tcPr>
          <w:p w14:paraId="13362CBB" w14:textId="77777777" w:rsidR="001F66DD" w:rsidRPr="0032084B" w:rsidRDefault="001F66DD">
            <w:pPr>
              <w:keepNext/>
              <w:keepLines/>
              <w:spacing w:before="40" w:after="40"/>
              <w:ind w:left="113" w:firstLine="61"/>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p>
        </w:tc>
        <w:tc>
          <w:tcPr>
            <w:tcW w:w="1417" w:type="dxa"/>
            <w:tcBorders>
              <w:top w:val="nil"/>
              <w:bottom w:val="nil"/>
            </w:tcBorders>
            <w:shd w:val="clear" w:color="auto" w:fill="auto"/>
            <w:vAlign w:val="center"/>
          </w:tcPr>
          <w:p w14:paraId="205EBE8E" w14:textId="77777777" w:rsidR="001F66DD" w:rsidRPr="0088741B" w:rsidRDefault="001F66DD">
            <w:pPr>
              <w:keepNext/>
              <w:keepLines/>
              <w:spacing w:before="40" w:after="40"/>
              <w:ind w:left="113" w:firstLine="61"/>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670</w:t>
            </w:r>
          </w:p>
        </w:tc>
        <w:tc>
          <w:tcPr>
            <w:tcW w:w="1408" w:type="dxa"/>
            <w:gridSpan w:val="2"/>
            <w:tcBorders>
              <w:top w:val="nil"/>
              <w:bottom w:val="nil"/>
            </w:tcBorders>
            <w:shd w:val="clear" w:color="auto" w:fill="auto"/>
            <w:vAlign w:val="bottom"/>
          </w:tcPr>
          <w:p w14:paraId="6DC0FF09" w14:textId="77777777" w:rsidR="001F66DD" w:rsidRPr="00800642" w:rsidRDefault="001F66DD">
            <w:pPr>
              <w:keepNext/>
              <w:keepLines/>
              <w:spacing w:before="40" w:after="40"/>
              <w:ind w:left="113" w:firstLine="61"/>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Pr>
                <w:rFonts w:ascii="Arial" w:eastAsia="Times New Roman" w:hAnsi="Arial" w:cs="Arial"/>
                <w:spacing w:val="-2"/>
                <w:sz w:val="14"/>
                <w:szCs w:val="14"/>
                <w:lang w:eastAsia="pt-BR"/>
              </w:rPr>
              <w:t>675</w:t>
            </w:r>
          </w:p>
        </w:tc>
        <w:tc>
          <w:tcPr>
            <w:tcW w:w="236" w:type="dxa"/>
            <w:gridSpan w:val="2"/>
            <w:tcBorders>
              <w:top w:val="nil"/>
              <w:bottom w:val="nil"/>
            </w:tcBorders>
            <w:shd w:val="clear" w:color="auto" w:fill="auto"/>
            <w:vAlign w:val="bottom"/>
          </w:tcPr>
          <w:p w14:paraId="2004F7FA" w14:textId="77777777" w:rsidR="001F66DD" w:rsidRPr="0032084B" w:rsidRDefault="001F66DD">
            <w:pPr>
              <w:keepNext/>
              <w:keepLines/>
              <w:spacing w:before="40" w:after="40"/>
              <w:ind w:left="113" w:firstLine="61"/>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p>
        </w:tc>
        <w:tc>
          <w:tcPr>
            <w:tcW w:w="1191" w:type="dxa"/>
            <w:tcBorders>
              <w:top w:val="nil"/>
              <w:bottom w:val="nil"/>
            </w:tcBorders>
            <w:shd w:val="clear" w:color="auto" w:fill="auto"/>
            <w:vAlign w:val="bottom"/>
          </w:tcPr>
          <w:p w14:paraId="79AA0776" w14:textId="77777777" w:rsidR="001F66DD" w:rsidRPr="0088741B" w:rsidRDefault="001F66DD">
            <w:pPr>
              <w:keepNext/>
              <w:keepLines/>
              <w:spacing w:before="40" w:after="40"/>
              <w:ind w:left="113" w:firstLine="61"/>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3.728</w:t>
            </w:r>
          </w:p>
        </w:tc>
        <w:tc>
          <w:tcPr>
            <w:tcW w:w="1462" w:type="dxa"/>
            <w:gridSpan w:val="2"/>
            <w:tcBorders>
              <w:top w:val="nil"/>
              <w:bottom w:val="nil"/>
            </w:tcBorders>
            <w:shd w:val="clear" w:color="auto" w:fill="auto"/>
            <w:vAlign w:val="bottom"/>
          </w:tcPr>
          <w:p w14:paraId="0AED2B50" w14:textId="77777777" w:rsidR="001F66DD" w:rsidRPr="00246913" w:rsidRDefault="001F66D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eastAsia="Times New Roman" w:hAnsi="Arial" w:cs="Arial"/>
                <w:spacing w:val="-2"/>
                <w:sz w:val="14"/>
                <w:szCs w:val="14"/>
                <w:lang w:eastAsia="pt-BR"/>
              </w:rPr>
              <w:t>3.260</w:t>
            </w:r>
          </w:p>
        </w:tc>
      </w:tr>
      <w:tr w:rsidR="001F66DD" w:rsidRPr="00B454CC" w14:paraId="0549D169"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5F3AB249" w14:textId="77777777" w:rsidR="001F66DD" w:rsidRPr="00B454CC" w:rsidRDefault="001F66DD">
            <w:pPr>
              <w:keepNext/>
              <w:keepLines/>
              <w:spacing w:before="40" w:after="40"/>
              <w:ind w:left="113"/>
              <w:rPr>
                <w:rFonts w:ascii="Arial" w:eastAsia="Times New Roman" w:hAnsi="Arial" w:cs="Times New Roman"/>
                <w:spacing w:val="-2"/>
                <w:sz w:val="14"/>
                <w:szCs w:val="14"/>
                <w:lang w:eastAsia="pt-BR"/>
              </w:rPr>
            </w:pPr>
            <w:r w:rsidRPr="00B454CC">
              <w:rPr>
                <w:rFonts w:ascii="Arial" w:eastAsia="Times New Roman" w:hAnsi="Arial" w:cs="Times New Roman"/>
                <w:spacing w:val="-2"/>
                <w:sz w:val="14"/>
                <w:szCs w:val="14"/>
                <w:lang w:eastAsia="pt-BR"/>
              </w:rPr>
              <w:t>Remuneração de capitais próprios</w:t>
            </w:r>
          </w:p>
        </w:tc>
        <w:tc>
          <w:tcPr>
            <w:tcW w:w="639" w:type="dxa"/>
            <w:tcBorders>
              <w:top w:val="nil"/>
              <w:bottom w:val="nil"/>
            </w:tcBorders>
            <w:shd w:val="clear" w:color="auto" w:fill="auto"/>
            <w:vAlign w:val="center"/>
          </w:tcPr>
          <w:p w14:paraId="69D689C9" w14:textId="77777777" w:rsidR="001F66DD" w:rsidRPr="00B454CC" w:rsidRDefault="001F66DD">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4"/>
                <w:lang w:eastAsia="pt-BR"/>
              </w:rPr>
            </w:pPr>
          </w:p>
        </w:tc>
        <w:tc>
          <w:tcPr>
            <w:tcW w:w="1417" w:type="dxa"/>
            <w:tcBorders>
              <w:top w:val="nil"/>
              <w:bottom w:val="nil"/>
            </w:tcBorders>
            <w:shd w:val="clear" w:color="auto" w:fill="auto"/>
            <w:vAlign w:val="center"/>
          </w:tcPr>
          <w:p w14:paraId="6670DA1B" w14:textId="77777777" w:rsidR="001F66DD" w:rsidRPr="007C54CC" w:rsidRDefault="001F66D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8.703.353</w:t>
            </w:r>
          </w:p>
        </w:tc>
        <w:tc>
          <w:tcPr>
            <w:tcW w:w="1408" w:type="dxa"/>
            <w:gridSpan w:val="2"/>
            <w:tcBorders>
              <w:top w:val="nil"/>
              <w:bottom w:val="nil"/>
            </w:tcBorders>
            <w:shd w:val="clear" w:color="auto" w:fill="auto"/>
            <w:vAlign w:val="bottom"/>
          </w:tcPr>
          <w:p w14:paraId="126C21D7" w14:textId="77777777" w:rsidR="001F66DD" w:rsidRPr="00246913" w:rsidRDefault="001F66D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7.947.203</w:t>
            </w:r>
          </w:p>
        </w:tc>
        <w:tc>
          <w:tcPr>
            <w:tcW w:w="236" w:type="dxa"/>
            <w:gridSpan w:val="2"/>
            <w:tcBorders>
              <w:top w:val="nil"/>
              <w:bottom w:val="nil"/>
            </w:tcBorders>
            <w:shd w:val="clear" w:color="auto" w:fill="auto"/>
            <w:vAlign w:val="bottom"/>
          </w:tcPr>
          <w:p w14:paraId="595AFB63" w14:textId="77777777" w:rsidR="001F66DD" w:rsidRPr="007C54CC" w:rsidRDefault="001F66D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4"/>
                <w:lang w:eastAsia="pt-BR"/>
              </w:rPr>
            </w:pPr>
          </w:p>
        </w:tc>
        <w:tc>
          <w:tcPr>
            <w:tcW w:w="1191" w:type="dxa"/>
            <w:tcBorders>
              <w:top w:val="nil"/>
              <w:bottom w:val="nil"/>
            </w:tcBorders>
            <w:shd w:val="clear" w:color="auto" w:fill="auto"/>
            <w:vAlign w:val="bottom"/>
          </w:tcPr>
          <w:p w14:paraId="126AED58" w14:textId="77777777" w:rsidR="001F66DD" w:rsidRPr="007C54CC" w:rsidRDefault="001F66D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8.703.353</w:t>
            </w:r>
          </w:p>
        </w:tc>
        <w:tc>
          <w:tcPr>
            <w:tcW w:w="1462" w:type="dxa"/>
            <w:gridSpan w:val="2"/>
            <w:tcBorders>
              <w:top w:val="nil"/>
              <w:bottom w:val="nil"/>
            </w:tcBorders>
            <w:shd w:val="clear" w:color="auto" w:fill="auto"/>
            <w:vAlign w:val="bottom"/>
          </w:tcPr>
          <w:p w14:paraId="2B1FFD6C" w14:textId="77777777" w:rsidR="001F66DD" w:rsidRPr="00246913" w:rsidRDefault="001F66D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Pr>
                <w:rFonts w:ascii="Arial" w:eastAsia="Times New Roman" w:hAnsi="Arial" w:cs="Arial"/>
                <w:b/>
                <w:spacing w:val="-2"/>
                <w:sz w:val="14"/>
                <w:szCs w:val="14"/>
                <w:lang w:eastAsia="pt-BR"/>
              </w:rPr>
              <w:t>7.947.203</w:t>
            </w:r>
          </w:p>
        </w:tc>
      </w:tr>
      <w:tr w:rsidR="001F66DD" w:rsidRPr="0032084B" w14:paraId="2A380A7B"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7BF34CF5" w14:textId="77777777" w:rsidR="001F66DD" w:rsidRPr="0032084B" w:rsidRDefault="001F66DD">
            <w:pPr>
              <w:keepNext/>
              <w:keepLines/>
              <w:spacing w:before="40" w:after="40"/>
              <w:ind w:left="113" w:firstLine="61"/>
              <w:rPr>
                <w:rFonts w:ascii="Arial" w:eastAsia="Times New Roman" w:hAnsi="Arial" w:cs="Times New Roman"/>
                <w:b w:val="0"/>
                <w:bCs w:val="0"/>
                <w:spacing w:val="-2"/>
                <w:sz w:val="14"/>
                <w:szCs w:val="14"/>
                <w:lang w:eastAsia="pt-BR"/>
              </w:rPr>
            </w:pPr>
            <w:r w:rsidRPr="0032084B">
              <w:rPr>
                <w:rFonts w:ascii="Arial" w:eastAsia="Times New Roman" w:hAnsi="Arial" w:cs="Times New Roman"/>
                <w:b w:val="0"/>
                <w:bCs w:val="0"/>
                <w:spacing w:val="-2"/>
                <w:sz w:val="14"/>
                <w:szCs w:val="14"/>
                <w:lang w:eastAsia="pt-BR"/>
              </w:rPr>
              <w:t>Dividendos</w:t>
            </w:r>
          </w:p>
        </w:tc>
        <w:tc>
          <w:tcPr>
            <w:tcW w:w="639" w:type="dxa"/>
            <w:tcBorders>
              <w:top w:val="nil"/>
              <w:bottom w:val="nil"/>
            </w:tcBorders>
            <w:shd w:val="clear" w:color="auto" w:fill="auto"/>
            <w:vAlign w:val="center"/>
          </w:tcPr>
          <w:p w14:paraId="3FDC4C77" w14:textId="77777777" w:rsidR="001F66DD" w:rsidRPr="0032084B" w:rsidRDefault="001F66DD">
            <w:pPr>
              <w:keepNext/>
              <w:keepLines/>
              <w:spacing w:before="40" w:after="40"/>
              <w:ind w:left="113" w:firstLine="61"/>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p>
        </w:tc>
        <w:tc>
          <w:tcPr>
            <w:tcW w:w="1417" w:type="dxa"/>
            <w:tcBorders>
              <w:top w:val="nil"/>
              <w:bottom w:val="nil"/>
            </w:tcBorders>
            <w:shd w:val="clear" w:color="auto" w:fill="auto"/>
            <w:vAlign w:val="center"/>
          </w:tcPr>
          <w:p w14:paraId="016E35A5" w14:textId="77777777" w:rsidR="001F66DD" w:rsidRPr="007C54CC" w:rsidRDefault="001F66DD">
            <w:pPr>
              <w:keepNext/>
              <w:keepLines/>
              <w:spacing w:before="40" w:after="40"/>
              <w:ind w:left="113" w:firstLine="61"/>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7.111.000</w:t>
            </w:r>
          </w:p>
        </w:tc>
        <w:tc>
          <w:tcPr>
            <w:tcW w:w="1408" w:type="dxa"/>
            <w:gridSpan w:val="2"/>
            <w:tcBorders>
              <w:top w:val="nil"/>
              <w:bottom w:val="nil"/>
            </w:tcBorders>
            <w:shd w:val="clear" w:color="auto" w:fill="auto"/>
            <w:vAlign w:val="bottom"/>
          </w:tcPr>
          <w:p w14:paraId="7C0CA832" w14:textId="77777777" w:rsidR="001F66DD" w:rsidRPr="00246913" w:rsidRDefault="001F66DD">
            <w:pPr>
              <w:keepNext/>
              <w:keepLines/>
              <w:spacing w:before="40" w:after="40"/>
              <w:ind w:left="113" w:firstLine="61"/>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5.665.000</w:t>
            </w:r>
          </w:p>
        </w:tc>
        <w:tc>
          <w:tcPr>
            <w:tcW w:w="236" w:type="dxa"/>
            <w:gridSpan w:val="2"/>
            <w:tcBorders>
              <w:top w:val="nil"/>
              <w:bottom w:val="nil"/>
            </w:tcBorders>
            <w:shd w:val="clear" w:color="auto" w:fill="auto"/>
            <w:vAlign w:val="center"/>
          </w:tcPr>
          <w:p w14:paraId="0C9D7B48" w14:textId="77777777" w:rsidR="001F66DD" w:rsidRPr="007C54CC" w:rsidRDefault="001F66DD">
            <w:pPr>
              <w:keepNext/>
              <w:keepLines/>
              <w:spacing w:before="40" w:after="40"/>
              <w:ind w:left="113" w:firstLine="61"/>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p>
        </w:tc>
        <w:tc>
          <w:tcPr>
            <w:tcW w:w="1191" w:type="dxa"/>
            <w:tcBorders>
              <w:top w:val="nil"/>
              <w:bottom w:val="nil"/>
            </w:tcBorders>
            <w:shd w:val="clear" w:color="auto" w:fill="auto"/>
            <w:vAlign w:val="bottom"/>
          </w:tcPr>
          <w:p w14:paraId="108F3494" w14:textId="77777777" w:rsidR="001F66DD" w:rsidRPr="007C54CC" w:rsidRDefault="001F66DD">
            <w:pPr>
              <w:keepNext/>
              <w:keepLines/>
              <w:spacing w:before="40" w:after="40"/>
              <w:ind w:left="113" w:firstLine="61"/>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7.111.000</w:t>
            </w:r>
          </w:p>
        </w:tc>
        <w:tc>
          <w:tcPr>
            <w:tcW w:w="1462" w:type="dxa"/>
            <w:gridSpan w:val="2"/>
            <w:tcBorders>
              <w:top w:val="nil"/>
              <w:bottom w:val="nil"/>
            </w:tcBorders>
            <w:shd w:val="clear" w:color="auto" w:fill="auto"/>
            <w:vAlign w:val="bottom"/>
          </w:tcPr>
          <w:p w14:paraId="60E0C6D0" w14:textId="77777777" w:rsidR="001F66DD" w:rsidRPr="00246913" w:rsidRDefault="001F66D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eastAsia="Times New Roman" w:hAnsi="Arial" w:cs="Arial"/>
                <w:spacing w:val="-2"/>
                <w:sz w:val="14"/>
                <w:szCs w:val="14"/>
                <w:lang w:eastAsia="pt-BR"/>
              </w:rPr>
              <w:t>5.665.000</w:t>
            </w:r>
          </w:p>
        </w:tc>
      </w:tr>
      <w:tr w:rsidR="001F66DD" w:rsidRPr="0032084B" w14:paraId="182D39F0"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single" w:sz="2" w:space="0" w:color="1F3864" w:themeColor="accent1" w:themeShade="80"/>
            </w:tcBorders>
            <w:shd w:val="clear" w:color="auto" w:fill="auto"/>
            <w:vAlign w:val="center"/>
          </w:tcPr>
          <w:p w14:paraId="42F6E042" w14:textId="77777777" w:rsidR="001F66DD" w:rsidRPr="0032084B" w:rsidRDefault="001F66DD">
            <w:pPr>
              <w:keepNext/>
              <w:keepLines/>
              <w:spacing w:before="40" w:after="40"/>
              <w:ind w:left="113" w:firstLine="61"/>
              <w:rPr>
                <w:rFonts w:ascii="Arial" w:eastAsia="Times New Roman" w:hAnsi="Arial" w:cs="Times New Roman"/>
                <w:b w:val="0"/>
                <w:bCs w:val="0"/>
                <w:spacing w:val="-2"/>
                <w:sz w:val="14"/>
                <w:szCs w:val="14"/>
                <w:lang w:eastAsia="pt-BR"/>
              </w:rPr>
            </w:pPr>
            <w:r w:rsidRPr="0032084B">
              <w:rPr>
                <w:rFonts w:ascii="Arial" w:eastAsia="Times New Roman" w:hAnsi="Arial" w:cs="Times New Roman"/>
                <w:b w:val="0"/>
                <w:bCs w:val="0"/>
                <w:spacing w:val="-2"/>
                <w:sz w:val="14"/>
                <w:szCs w:val="14"/>
                <w:lang w:eastAsia="pt-BR"/>
              </w:rPr>
              <w:t>Lucros retidos do exercício</w:t>
            </w:r>
          </w:p>
        </w:tc>
        <w:tc>
          <w:tcPr>
            <w:tcW w:w="639" w:type="dxa"/>
            <w:tcBorders>
              <w:top w:val="nil"/>
              <w:bottom w:val="single" w:sz="2" w:space="0" w:color="1F3864" w:themeColor="accent1" w:themeShade="80"/>
            </w:tcBorders>
            <w:shd w:val="clear" w:color="auto" w:fill="auto"/>
            <w:vAlign w:val="center"/>
          </w:tcPr>
          <w:p w14:paraId="14061A12" w14:textId="77777777" w:rsidR="001F66DD" w:rsidRPr="0032084B" w:rsidRDefault="001F66DD">
            <w:pPr>
              <w:keepNext/>
              <w:keepLines/>
              <w:spacing w:before="40" w:after="40"/>
              <w:ind w:left="113" w:firstLine="6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p>
        </w:tc>
        <w:tc>
          <w:tcPr>
            <w:tcW w:w="1417" w:type="dxa"/>
            <w:tcBorders>
              <w:top w:val="nil"/>
              <w:bottom w:val="single" w:sz="2" w:space="0" w:color="1F3864" w:themeColor="accent1" w:themeShade="80"/>
            </w:tcBorders>
            <w:shd w:val="clear" w:color="auto" w:fill="auto"/>
            <w:vAlign w:val="center"/>
          </w:tcPr>
          <w:p w14:paraId="4922F310" w14:textId="77777777" w:rsidR="001F66DD" w:rsidRPr="007C54CC" w:rsidRDefault="001F66DD">
            <w:pPr>
              <w:keepNext/>
              <w:keepLines/>
              <w:spacing w:before="40" w:after="40"/>
              <w:ind w:left="113" w:firstLine="6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1.592.353</w:t>
            </w:r>
          </w:p>
        </w:tc>
        <w:tc>
          <w:tcPr>
            <w:tcW w:w="1408" w:type="dxa"/>
            <w:gridSpan w:val="2"/>
            <w:tcBorders>
              <w:top w:val="nil"/>
              <w:bottom w:val="single" w:sz="2" w:space="0" w:color="1F3864" w:themeColor="accent1" w:themeShade="80"/>
            </w:tcBorders>
            <w:shd w:val="clear" w:color="auto" w:fill="auto"/>
            <w:vAlign w:val="bottom"/>
          </w:tcPr>
          <w:p w14:paraId="5CD39470" w14:textId="77777777" w:rsidR="001F66DD" w:rsidRPr="00246913" w:rsidRDefault="001F66DD">
            <w:pPr>
              <w:keepNext/>
              <w:keepLines/>
              <w:spacing w:before="40" w:after="40"/>
              <w:ind w:left="113" w:firstLine="6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2.282.203</w:t>
            </w:r>
          </w:p>
        </w:tc>
        <w:tc>
          <w:tcPr>
            <w:tcW w:w="236" w:type="dxa"/>
            <w:gridSpan w:val="2"/>
            <w:tcBorders>
              <w:top w:val="nil"/>
              <w:bottom w:val="single" w:sz="2" w:space="0" w:color="1F3864" w:themeColor="accent1" w:themeShade="80"/>
            </w:tcBorders>
            <w:shd w:val="clear" w:color="auto" w:fill="auto"/>
            <w:vAlign w:val="center"/>
          </w:tcPr>
          <w:p w14:paraId="3BF26E8B" w14:textId="77777777" w:rsidR="001F66DD" w:rsidRPr="007C54CC" w:rsidRDefault="001F66DD">
            <w:pPr>
              <w:keepNext/>
              <w:keepLines/>
              <w:spacing w:before="40" w:after="40"/>
              <w:ind w:left="113" w:firstLine="6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p>
        </w:tc>
        <w:tc>
          <w:tcPr>
            <w:tcW w:w="1191" w:type="dxa"/>
            <w:tcBorders>
              <w:top w:val="nil"/>
              <w:bottom w:val="single" w:sz="2" w:space="0" w:color="1F3864" w:themeColor="accent1" w:themeShade="80"/>
            </w:tcBorders>
            <w:shd w:val="clear" w:color="auto" w:fill="auto"/>
            <w:vAlign w:val="center"/>
          </w:tcPr>
          <w:p w14:paraId="5E87ACE0" w14:textId="77777777" w:rsidR="001F66DD" w:rsidRPr="007C54CC" w:rsidRDefault="001F66DD">
            <w:pPr>
              <w:keepNext/>
              <w:keepLines/>
              <w:spacing w:before="40" w:after="40"/>
              <w:ind w:left="113" w:firstLine="6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1.592.353</w:t>
            </w:r>
          </w:p>
        </w:tc>
        <w:tc>
          <w:tcPr>
            <w:tcW w:w="1462" w:type="dxa"/>
            <w:gridSpan w:val="2"/>
            <w:tcBorders>
              <w:top w:val="nil"/>
              <w:bottom w:val="single" w:sz="2" w:space="0" w:color="1F3864" w:themeColor="accent1" w:themeShade="80"/>
            </w:tcBorders>
            <w:shd w:val="clear" w:color="auto" w:fill="auto"/>
            <w:vAlign w:val="bottom"/>
          </w:tcPr>
          <w:p w14:paraId="15FFFA2C" w14:textId="77777777" w:rsidR="001F66DD" w:rsidRPr="00246913" w:rsidRDefault="001F66D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Pr>
                <w:rFonts w:ascii="Arial" w:eastAsia="Times New Roman" w:hAnsi="Arial" w:cs="Arial"/>
                <w:spacing w:val="-2"/>
                <w:sz w:val="14"/>
                <w:szCs w:val="14"/>
                <w:lang w:eastAsia="pt-BR"/>
              </w:rPr>
              <w:t>2.282.203</w:t>
            </w:r>
          </w:p>
        </w:tc>
      </w:tr>
    </w:tbl>
    <w:bookmarkEnd w:id="21"/>
    <w:p w14:paraId="1A145866" w14:textId="7C49C503" w:rsidR="001F66DD" w:rsidRPr="00281428" w:rsidRDefault="001F66DD" w:rsidP="009D2E1C">
      <w:pPr>
        <w:spacing w:after="160" w:line="259" w:lineRule="auto"/>
        <w:ind w:left="-142"/>
        <w:jc w:val="both"/>
      </w:pPr>
      <w:r w:rsidRPr="00281428">
        <w:rPr>
          <w:rFonts w:ascii="Arial" w:eastAsiaTheme="minorHAnsi" w:hAnsi="Arial" w:cs="Arial"/>
          <w:sz w:val="14"/>
          <w:szCs w:val="14"/>
        </w:rPr>
        <w:t>As notas explicativas são parte integrante das demonstrações contábeis</w:t>
      </w:r>
      <w:r>
        <w:rPr>
          <w:rFonts w:ascii="Arial" w:eastAsiaTheme="minorHAnsi" w:hAnsi="Arial" w:cs="Arial"/>
          <w:sz w:val="14"/>
          <w:szCs w:val="14"/>
        </w:rPr>
        <w:t>.</w:t>
      </w:r>
    </w:p>
    <w:p w14:paraId="6D39D5F9" w14:textId="77777777" w:rsidR="001F66DD" w:rsidRPr="001F66DD" w:rsidRDefault="001F66DD" w:rsidP="001F66DD">
      <w:pPr>
        <w:rPr>
          <w:lang w:eastAsia="pt-BR"/>
        </w:rPr>
      </w:pPr>
    </w:p>
    <w:p w14:paraId="1FC6B0FE" w14:textId="77777777" w:rsidR="007B76FF" w:rsidRPr="00BF2AAF" w:rsidRDefault="007B76FF" w:rsidP="007B76FF">
      <w:pPr>
        <w:keepNext/>
        <w:keepLines/>
        <w:spacing w:before="40" w:after="0" w:line="259" w:lineRule="auto"/>
        <w:outlineLvl w:val="1"/>
        <w:rPr>
          <w:rFonts w:ascii="Arial" w:eastAsiaTheme="majorEastAsia" w:hAnsi="Arial" w:cs="Arial"/>
          <w:b/>
          <w:bCs/>
          <w:color w:val="1F3864" w:themeColor="accent1" w:themeShade="80"/>
          <w:sz w:val="20"/>
          <w:szCs w:val="20"/>
        </w:rPr>
      </w:pPr>
      <w:bookmarkStart w:id="22" w:name="_Hlk149148822"/>
    </w:p>
    <w:bookmarkEnd w:id="22"/>
    <w:p w14:paraId="116BFD4E" w14:textId="69A67E5C" w:rsidR="006E7795" w:rsidRPr="00BF2AAF" w:rsidRDefault="006E7795" w:rsidP="000E03DF">
      <w:pPr>
        <w:spacing w:after="160" w:line="259" w:lineRule="auto"/>
        <w:jc w:val="both"/>
        <w:rPr>
          <w:rFonts w:ascii="Arial" w:hAnsi="Arial" w:cs="Arial"/>
          <w:sz w:val="20"/>
          <w:szCs w:val="20"/>
        </w:rPr>
      </w:pPr>
      <w:r w:rsidRPr="00BF2AAF">
        <w:rPr>
          <w:rFonts w:ascii="Arial" w:hAnsi="Arial" w:cs="Arial"/>
          <w:sz w:val="20"/>
          <w:szCs w:val="20"/>
        </w:rPr>
        <w:br w:type="page"/>
      </w:r>
    </w:p>
    <w:p w14:paraId="748B7E09" w14:textId="46487416" w:rsidR="007D4AB0" w:rsidRPr="00BF2AAF" w:rsidRDefault="007D4AB0" w:rsidP="007D4AB0">
      <w:pPr>
        <w:pStyle w:val="Ttulo1"/>
        <w:spacing w:line="259" w:lineRule="auto"/>
        <w:jc w:val="both"/>
        <w:rPr>
          <w:rFonts w:ascii="Arial" w:hAnsi="Arial" w:cs="Arial"/>
          <w:b/>
          <w:color w:val="1F3864" w:themeColor="accent1" w:themeShade="80"/>
          <w:sz w:val="20"/>
          <w:szCs w:val="20"/>
        </w:rPr>
      </w:pPr>
      <w:bookmarkStart w:id="23" w:name="_Toc189757064"/>
      <w:r w:rsidRPr="00BF2AAF">
        <w:rPr>
          <w:rFonts w:ascii="Arial" w:hAnsi="Arial" w:cs="Arial"/>
          <w:b/>
          <w:color w:val="1F3864" w:themeColor="accent1" w:themeShade="80"/>
          <w:sz w:val="20"/>
          <w:szCs w:val="20"/>
        </w:rPr>
        <w:lastRenderedPageBreak/>
        <w:t>NOTAS EXPLICATIVAS ÀS DEMONSTRAÇÕES CONTÁBEIS</w:t>
      </w:r>
      <w:bookmarkEnd w:id="23"/>
    </w:p>
    <w:p w14:paraId="56462502" w14:textId="77777777" w:rsidR="007D4AB0" w:rsidRPr="00BF2AAF" w:rsidRDefault="007D4AB0" w:rsidP="00953CC6">
      <w:pPr>
        <w:pStyle w:val="Ttulo1"/>
        <w:rPr>
          <w:rFonts w:ascii="Arial" w:hAnsi="Arial" w:cs="Arial"/>
          <w:b/>
          <w:color w:val="1F3864" w:themeColor="accent1" w:themeShade="80"/>
          <w:sz w:val="20"/>
          <w:szCs w:val="20"/>
        </w:rPr>
      </w:pPr>
      <w:bookmarkStart w:id="24" w:name="_Toc189757065"/>
      <w:bookmarkStart w:id="25" w:name="_Hlk148691391"/>
      <w:bookmarkStart w:id="26" w:name="OLE_LINK1"/>
      <w:r w:rsidRPr="00BF2AAF">
        <w:rPr>
          <w:rFonts w:ascii="Arial" w:hAnsi="Arial" w:cs="Arial"/>
          <w:b/>
          <w:color w:val="1F3864" w:themeColor="accent1" w:themeShade="80"/>
          <w:sz w:val="20"/>
          <w:szCs w:val="20"/>
        </w:rPr>
        <w:t>1 – CONTEXTO OPERACIONAL</w:t>
      </w:r>
      <w:bookmarkEnd w:id="24"/>
    </w:p>
    <w:bookmarkEnd w:id="25"/>
    <w:p w14:paraId="15630A8D" w14:textId="77777777" w:rsidR="0026251A" w:rsidRPr="0026251A" w:rsidRDefault="0026251A" w:rsidP="0026251A">
      <w:pPr>
        <w:pStyle w:val="05-Textonormal"/>
        <w:rPr>
          <w:rFonts w:cs="Arial"/>
        </w:rPr>
      </w:pPr>
      <w:r w:rsidRPr="0026251A">
        <w:rPr>
          <w:rFonts w:cs="Arial"/>
        </w:rPr>
        <w:t>A BB Seguridade Participações S.A. (“BB Seguridade” ou “Companhia”) é uma empresa de participações (</w:t>
      </w:r>
      <w:r w:rsidRPr="0026251A">
        <w:rPr>
          <w:rFonts w:cs="Arial"/>
          <w:i/>
          <w:iCs/>
        </w:rPr>
        <w:t>holding</w:t>
      </w:r>
      <w:r w:rsidRPr="0026251A">
        <w:rPr>
          <w:rFonts w:cs="Arial"/>
        </w:rPr>
        <w:t>) controlada pelo Banco do Brasil S.A., constituída em 20 de dezembro de 2012, e que atua em negócios de seguridade. É uma sociedade anônima de capital aberto e tem suas ações negociadas no segmento Novo Mercado da B3 S.A. - Brasil, Bolsa, Balcão, sob o código “BBSE3”, e seus ADRs (</w:t>
      </w:r>
      <w:r w:rsidRPr="0026251A">
        <w:rPr>
          <w:rFonts w:cs="Arial"/>
          <w:i/>
        </w:rPr>
        <w:t xml:space="preserve">American Depositary </w:t>
      </w:r>
      <w:proofErr w:type="spellStart"/>
      <w:r w:rsidRPr="0026251A">
        <w:rPr>
          <w:rFonts w:cs="Arial"/>
          <w:i/>
        </w:rPr>
        <w:t>Receipts</w:t>
      </w:r>
      <w:proofErr w:type="spellEnd"/>
      <w:r w:rsidRPr="0026251A">
        <w:rPr>
          <w:rFonts w:cs="Arial"/>
        </w:rPr>
        <w:t>) no mercado de balcão dos Estados Unidos da América (</w:t>
      </w:r>
      <w:r w:rsidRPr="0026251A">
        <w:rPr>
          <w:rFonts w:cs="Arial"/>
          <w:i/>
        </w:rPr>
        <w:t>Over-</w:t>
      </w:r>
      <w:proofErr w:type="spellStart"/>
      <w:r w:rsidRPr="0026251A">
        <w:rPr>
          <w:rFonts w:cs="Arial"/>
          <w:i/>
        </w:rPr>
        <w:t>the</w:t>
      </w:r>
      <w:proofErr w:type="spellEnd"/>
      <w:r w:rsidRPr="0026251A">
        <w:rPr>
          <w:rFonts w:cs="Arial"/>
          <w:i/>
        </w:rPr>
        <w:t>-Counter</w:t>
      </w:r>
      <w:r w:rsidRPr="0026251A">
        <w:rPr>
          <w:rFonts w:cs="Arial"/>
        </w:rPr>
        <w:t>) sob o código “BBSEY”.</w:t>
      </w:r>
    </w:p>
    <w:p w14:paraId="139889F5" w14:textId="77777777" w:rsidR="0026251A" w:rsidRPr="0026251A" w:rsidRDefault="0026251A" w:rsidP="0026251A">
      <w:pPr>
        <w:pStyle w:val="05-Textonormal"/>
        <w:rPr>
          <w:rFonts w:cs="Arial"/>
        </w:rPr>
      </w:pPr>
      <w:r w:rsidRPr="0026251A">
        <w:rPr>
          <w:rFonts w:cs="Arial"/>
        </w:rPr>
        <w:t>Está inscrita no CNPJ sob o nº 17.344.597/0001-94 e sediada no Setor de Autarquias Norte, Quadra 05, Lote B, Torre Sul, 3º Andar, Edifício Banco do Brasil, Asa Norte, Brasília, Distrito Federal, Brasil.</w:t>
      </w:r>
    </w:p>
    <w:p w14:paraId="5DF14176" w14:textId="77777777" w:rsidR="0026251A" w:rsidRPr="0026251A" w:rsidRDefault="0026251A" w:rsidP="0026251A">
      <w:pPr>
        <w:pStyle w:val="05-Textonormal"/>
        <w:rPr>
          <w:rFonts w:cs="Arial"/>
        </w:rPr>
      </w:pPr>
      <w:r w:rsidRPr="0026251A">
        <w:rPr>
          <w:rFonts w:cs="Arial"/>
        </w:rPr>
        <w:t>Tem por objeto social participar em sociedades seguradoras, de capitalização, entidades abertas de previdência complementar e planos privados de assistência à saúde, bem como em outras sociedades cujo objeto social seja a corretagem e a viabilização de negócios envolvendo empresas de seguros dos ramos elementares, de vida, saúde, capitalização, previdência e administração de bens.</w:t>
      </w:r>
    </w:p>
    <w:p w14:paraId="0B693452" w14:textId="77777777" w:rsidR="0026251A" w:rsidRPr="0026251A" w:rsidRDefault="0026251A" w:rsidP="0026251A">
      <w:pPr>
        <w:pStyle w:val="05-Textonormal"/>
        <w:rPr>
          <w:rFonts w:cs="Arial"/>
        </w:rPr>
      </w:pPr>
      <w:r w:rsidRPr="0026251A">
        <w:rPr>
          <w:rFonts w:cs="Arial"/>
        </w:rPr>
        <w:t>A BB Seguridade possui duas subsidiárias integrais, BB Seguros Participações S.A. (“BB Seguros”) e BB Corretora de Seguros e Administradora de Bens S.A. (“BB Corretora”), estrutura societária que forma o Grupo BB Seguridade (“Grupo”).</w:t>
      </w:r>
    </w:p>
    <w:p w14:paraId="5E08E935" w14:textId="77777777" w:rsidR="0026251A" w:rsidRPr="0026251A" w:rsidRDefault="0026251A" w:rsidP="0026251A">
      <w:pPr>
        <w:pStyle w:val="05-Textonormal"/>
        <w:rPr>
          <w:rFonts w:cs="Arial"/>
        </w:rPr>
      </w:pPr>
      <w:bookmarkStart w:id="27" w:name="_Hlk148691482"/>
      <w:r w:rsidRPr="0026251A">
        <w:rPr>
          <w:rFonts w:cs="Arial"/>
        </w:rPr>
        <w:t xml:space="preserve">Tais participações estão, atualmente, organizadas em dois segmentos: negócios de risco e de acumulação, que operam produtos de seguros, de previdência aberta, de capitalização e de planos de assistência odontológica por meio da </w:t>
      </w:r>
      <w:r w:rsidRPr="0026251A">
        <w:rPr>
          <w:rFonts w:cs="Arial"/>
        </w:rPr>
        <w:br/>
        <w:t>BB Seguros com parceiros privados; e negócios de distribuição, que comercializam seguros, previdência aberta, títulos de capitalização e planos privados de assistência odontológica, por meio da BB Corretora, além de investida que atua na distribuição de produtos de seguridade por meio de canais digitais.</w:t>
      </w:r>
    </w:p>
    <w:p w14:paraId="16E771AB" w14:textId="77777777" w:rsidR="0026251A" w:rsidRPr="0026251A" w:rsidRDefault="0026251A" w:rsidP="0026251A">
      <w:pPr>
        <w:pStyle w:val="05-Textonormal"/>
        <w:rPr>
          <w:rFonts w:cs="Arial"/>
        </w:rPr>
      </w:pPr>
      <w:r w:rsidRPr="0026251A">
        <w:rPr>
          <w:rFonts w:cs="Arial"/>
        </w:rPr>
        <w:t xml:space="preserve">Nos negócios de risco e de acumulação, o Grupo atua por meio de participações nas empresas BB MAPFRE, Brasilprev, </w:t>
      </w:r>
      <w:proofErr w:type="spellStart"/>
      <w:r w:rsidRPr="0026251A">
        <w:rPr>
          <w:rFonts w:cs="Arial"/>
        </w:rPr>
        <w:t>Brasilcap</w:t>
      </w:r>
      <w:proofErr w:type="spellEnd"/>
      <w:r w:rsidRPr="0026251A">
        <w:rPr>
          <w:rFonts w:cs="Arial"/>
        </w:rPr>
        <w:t xml:space="preserve"> e </w:t>
      </w:r>
      <w:proofErr w:type="spellStart"/>
      <w:r w:rsidRPr="0026251A">
        <w:rPr>
          <w:rFonts w:cs="Arial"/>
        </w:rPr>
        <w:t>Brasildental</w:t>
      </w:r>
      <w:proofErr w:type="spellEnd"/>
      <w:r w:rsidRPr="0026251A">
        <w:rPr>
          <w:rFonts w:cs="Arial"/>
        </w:rPr>
        <w:t xml:space="preserve">, investidas diretas da BB Seguros, e indiretamente nas empresas </w:t>
      </w:r>
      <w:proofErr w:type="spellStart"/>
      <w:r w:rsidRPr="0026251A">
        <w:rPr>
          <w:rFonts w:cs="Arial"/>
        </w:rPr>
        <w:t>Brasilseg</w:t>
      </w:r>
      <w:proofErr w:type="spellEnd"/>
      <w:r w:rsidRPr="0026251A">
        <w:rPr>
          <w:rFonts w:cs="Arial"/>
        </w:rPr>
        <w:t xml:space="preserve"> e Aliança do Brasil Seguros, controladas da BB MAPFRE. Já nos negócios de distribuição, atua por intermédio da BB Corretora que detém participação na investida </w:t>
      </w:r>
      <w:proofErr w:type="spellStart"/>
      <w:r w:rsidRPr="0026251A">
        <w:rPr>
          <w:rFonts w:cs="Arial"/>
        </w:rPr>
        <w:t>Ciclic</w:t>
      </w:r>
      <w:proofErr w:type="spellEnd"/>
      <w:r w:rsidRPr="0026251A">
        <w:rPr>
          <w:rFonts w:cs="Arial"/>
        </w:rPr>
        <w:t>.</w:t>
      </w:r>
    </w:p>
    <w:p w14:paraId="480077AD" w14:textId="77777777" w:rsidR="0026251A" w:rsidRPr="0026251A" w:rsidRDefault="0026251A" w:rsidP="0026251A">
      <w:pPr>
        <w:pStyle w:val="05-Textonormal"/>
        <w:rPr>
          <w:rFonts w:cs="Arial"/>
        </w:rPr>
      </w:pPr>
      <w:r w:rsidRPr="0026251A">
        <w:rPr>
          <w:rFonts w:cs="Arial"/>
        </w:rPr>
        <w:t>Apresentamos, abaixo, a estrutura societária da Companhia:</w:t>
      </w:r>
    </w:p>
    <w:bookmarkEnd w:id="27"/>
    <w:p w14:paraId="54FBF76C" w14:textId="415A7C3F" w:rsidR="0026251A" w:rsidRPr="0026251A" w:rsidRDefault="004461DC" w:rsidP="0026251A">
      <w:pPr>
        <w:pStyle w:val="05-Textonormal"/>
        <w:rPr>
          <w:rFonts w:cs="Arial"/>
        </w:rPr>
      </w:pPr>
      <w:r>
        <w:rPr>
          <w:noProof/>
        </w:rPr>
        <w:drawing>
          <wp:inline distT="0" distB="0" distL="0" distR="0" wp14:anchorId="1960F8F7" wp14:editId="383BDD12">
            <wp:extent cx="6120130" cy="3695700"/>
            <wp:effectExtent l="0" t="0" r="0" b="0"/>
            <wp:docPr id="13" name="Imagem 13"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13" descr="Diagrama&#10;&#10;Descrição gerada automaticamente"/>
                    <pic:cNvPicPr/>
                  </pic:nvPicPr>
                  <pic:blipFill>
                    <a:blip r:embed="rId21"/>
                    <a:stretch>
                      <a:fillRect/>
                    </a:stretch>
                  </pic:blipFill>
                  <pic:spPr>
                    <a:xfrm>
                      <a:off x="0" y="0"/>
                      <a:ext cx="6120130" cy="3695700"/>
                    </a:xfrm>
                    <a:prstGeom prst="rect">
                      <a:avLst/>
                    </a:prstGeom>
                  </pic:spPr>
                </pic:pic>
              </a:graphicData>
            </a:graphic>
          </wp:inline>
        </w:drawing>
      </w:r>
    </w:p>
    <w:p w14:paraId="7BB12C89" w14:textId="383F07E6" w:rsidR="00953CC6" w:rsidRPr="00BF2AAF" w:rsidRDefault="0026251A" w:rsidP="00953CC6">
      <w:pPr>
        <w:pStyle w:val="05-Textonormal"/>
        <w:rPr>
          <w:rFonts w:cs="Arial"/>
        </w:rPr>
      </w:pPr>
      <w:r w:rsidRPr="0026251A">
        <w:rPr>
          <w:rFonts w:cs="Arial"/>
        </w:rPr>
        <w:t xml:space="preserve">A BB MAPFRE possui participação direta nas empresas </w:t>
      </w:r>
      <w:proofErr w:type="spellStart"/>
      <w:r w:rsidRPr="0026251A">
        <w:rPr>
          <w:rFonts w:cs="Arial"/>
        </w:rPr>
        <w:t>Brasilseg</w:t>
      </w:r>
      <w:proofErr w:type="spellEnd"/>
      <w:r w:rsidRPr="0026251A">
        <w:rPr>
          <w:rFonts w:cs="Arial"/>
        </w:rPr>
        <w:t xml:space="preserve"> Companhia de Seguros e Aliança do Brasil Seguros S.A. e indireta na empresa Broto S.A. (investida da </w:t>
      </w:r>
      <w:proofErr w:type="spellStart"/>
      <w:r w:rsidRPr="0026251A">
        <w:rPr>
          <w:rFonts w:cs="Arial"/>
        </w:rPr>
        <w:t>Brasilseg</w:t>
      </w:r>
      <w:proofErr w:type="spellEnd"/>
      <w:r w:rsidRPr="0026251A">
        <w:rPr>
          <w:rFonts w:cs="Arial"/>
        </w:rPr>
        <w:t>).</w:t>
      </w:r>
    </w:p>
    <w:p w14:paraId="2DCE528E" w14:textId="77777777" w:rsidR="00171200" w:rsidRPr="00BF2AAF" w:rsidRDefault="00171200" w:rsidP="00171200">
      <w:pPr>
        <w:pStyle w:val="05-Textonormal"/>
        <w:rPr>
          <w:rFonts w:cs="Arial"/>
          <w:highlight w:val="yellow"/>
        </w:rPr>
      </w:pPr>
      <w:r w:rsidRPr="00BF2AAF">
        <w:rPr>
          <w:rFonts w:cs="Arial"/>
          <w:highlight w:val="yellow"/>
        </w:rPr>
        <w:br w:type="page"/>
      </w:r>
    </w:p>
    <w:p w14:paraId="57317E0E" w14:textId="54FE05AE" w:rsidR="007D4AB0" w:rsidRDefault="004470DF" w:rsidP="00D30133">
      <w:pPr>
        <w:pStyle w:val="Ttulo1"/>
        <w:pageBreakBefore/>
        <w:spacing w:line="259" w:lineRule="auto"/>
        <w:jc w:val="both"/>
        <w:rPr>
          <w:rFonts w:ascii="Arial" w:hAnsi="Arial" w:cs="Arial"/>
          <w:b/>
          <w:color w:val="1F3864" w:themeColor="accent1" w:themeShade="80"/>
          <w:sz w:val="20"/>
          <w:szCs w:val="20"/>
        </w:rPr>
      </w:pPr>
      <w:bookmarkStart w:id="28" w:name="_Toc189757066"/>
      <w:bookmarkEnd w:id="26"/>
      <w:r>
        <w:rPr>
          <w:rFonts w:ascii="Arial" w:hAnsi="Arial" w:cs="Arial"/>
          <w:b/>
          <w:color w:val="1F3864" w:themeColor="accent1" w:themeShade="80"/>
          <w:sz w:val="20"/>
          <w:szCs w:val="20"/>
        </w:rPr>
        <w:lastRenderedPageBreak/>
        <w:t>2</w:t>
      </w:r>
      <w:r w:rsidR="007D4AB0" w:rsidRPr="00BF2AAF">
        <w:rPr>
          <w:rFonts w:ascii="Arial" w:hAnsi="Arial" w:cs="Arial"/>
          <w:b/>
          <w:color w:val="1F3864" w:themeColor="accent1" w:themeShade="80"/>
          <w:sz w:val="20"/>
          <w:szCs w:val="20"/>
        </w:rPr>
        <w:t xml:space="preserve"> – APRESENTAÇÃO DAS DEMONSTRAÇÕES CONTÁBEIS</w:t>
      </w:r>
      <w:bookmarkEnd w:id="28"/>
    </w:p>
    <w:p w14:paraId="110C40B4" w14:textId="77777777" w:rsidR="007B1AA1" w:rsidRPr="0046511C" w:rsidRDefault="007B1AA1" w:rsidP="007B1AA1">
      <w:pPr>
        <w:pStyle w:val="03-SubttulodeNota"/>
        <w:rPr>
          <w:color w:val="1F3864" w:themeColor="accent1" w:themeShade="80"/>
        </w:rPr>
      </w:pPr>
      <w:bookmarkStart w:id="29" w:name="_Hlk134622145"/>
      <w:r w:rsidRPr="0046511C">
        <w:rPr>
          <w:color w:val="1F3864" w:themeColor="accent1" w:themeShade="80"/>
        </w:rPr>
        <w:t>a) Declaração de Conformidade</w:t>
      </w:r>
    </w:p>
    <w:p w14:paraId="1E1B03DF" w14:textId="77777777" w:rsidR="007B1AA1" w:rsidRPr="00C17038" w:rsidRDefault="007B1AA1" w:rsidP="007B1AA1">
      <w:pPr>
        <w:pStyle w:val="05-Textonormal"/>
      </w:pPr>
      <w:r w:rsidRPr="00C17038">
        <w:t>As demonstrações contábeis</w:t>
      </w:r>
      <w:r>
        <w:t xml:space="preserve"> </w:t>
      </w:r>
      <w:r w:rsidRPr="00C17038">
        <w:t>consolidadas</w:t>
      </w:r>
      <w:r>
        <w:t xml:space="preserve"> foram elaboradas e estão sendo apresentadas </w:t>
      </w:r>
      <w:r w:rsidRPr="00C17038">
        <w:t xml:space="preserve">em conformidade com as Normas Internacionais de Relatório Financeiro (IFRS), emitidas pelo </w:t>
      </w:r>
      <w:proofErr w:type="spellStart"/>
      <w:r w:rsidRPr="005253EE">
        <w:rPr>
          <w:i/>
        </w:rPr>
        <w:t>International</w:t>
      </w:r>
      <w:proofErr w:type="spellEnd"/>
      <w:r w:rsidRPr="005253EE">
        <w:rPr>
          <w:i/>
        </w:rPr>
        <w:t xml:space="preserve"> </w:t>
      </w:r>
      <w:proofErr w:type="spellStart"/>
      <w:r w:rsidRPr="005253EE">
        <w:rPr>
          <w:i/>
        </w:rPr>
        <w:t>Accounting</w:t>
      </w:r>
      <w:proofErr w:type="spellEnd"/>
      <w:r w:rsidRPr="005253EE">
        <w:rPr>
          <w:i/>
        </w:rPr>
        <w:t xml:space="preserve"> Standards Board</w:t>
      </w:r>
      <w:r w:rsidRPr="00C17038">
        <w:t xml:space="preserve"> (IASB)</w:t>
      </w:r>
      <w:r>
        <w:t xml:space="preserve"> e com as práticas contábeis adotadas no Brasil.</w:t>
      </w:r>
    </w:p>
    <w:p w14:paraId="0D704A9F" w14:textId="77777777" w:rsidR="007B1AA1" w:rsidRPr="00C17038" w:rsidRDefault="007B1AA1" w:rsidP="007B1AA1">
      <w:pPr>
        <w:pStyle w:val="05-Textonormal"/>
      </w:pPr>
      <w:r w:rsidRPr="00C17038">
        <w:t xml:space="preserve">As </w:t>
      </w:r>
      <w:r>
        <w:t>demonstrações contábeis individuais</w:t>
      </w:r>
      <w:r w:rsidRPr="00C17038">
        <w:t xml:space="preserve"> </w:t>
      </w:r>
      <w:r>
        <w:t>foram elaboradas e estão sendo apresentadas</w:t>
      </w:r>
      <w:r w:rsidRPr="00C17038">
        <w:t xml:space="preserve"> em conformidade com as práticas contábeis adotadas no Brasil</w:t>
      </w:r>
      <w:r>
        <w:t xml:space="preserve"> (BRGAAP),</w:t>
      </w:r>
      <w:r w:rsidRPr="00C17038">
        <w:t xml:space="preserve"> que compreendem as diretrizes emanadas da Lei das Sociedades por Ações e os pronunciamentos do Comitê de Pronunciamentos Contábeis (CPC), aprovados pel</w:t>
      </w:r>
      <w:r>
        <w:t>a</w:t>
      </w:r>
      <w:r w:rsidRPr="00C17038">
        <w:t xml:space="preserve"> </w:t>
      </w:r>
      <w:r>
        <w:t>Comissão de Valores Mobiliários</w:t>
      </w:r>
      <w:r w:rsidRPr="00C17038">
        <w:t xml:space="preserve"> (</w:t>
      </w:r>
      <w:r>
        <w:t>CVM</w:t>
      </w:r>
      <w:r w:rsidRPr="00C17038">
        <w:t>).</w:t>
      </w:r>
    </w:p>
    <w:p w14:paraId="27EB699D" w14:textId="77777777" w:rsidR="007B1AA1" w:rsidRPr="00C17038" w:rsidRDefault="007B1AA1" w:rsidP="007B1AA1">
      <w:pPr>
        <w:pStyle w:val="05-Textonormal"/>
      </w:pPr>
      <w:r w:rsidRPr="00C17038">
        <w:t>Todas as informações relevantes próprias das demonstrações contábeis</w:t>
      </w:r>
      <w:r>
        <w:t xml:space="preserve"> individuais e consolidadas </w:t>
      </w:r>
      <w:r w:rsidRPr="00C17038">
        <w:t xml:space="preserve">estão evidenciadas e correspondem </w:t>
      </w:r>
      <w:r>
        <w:t>à</w:t>
      </w:r>
      <w:r w:rsidRPr="00C17038">
        <w:t>s utilizadas pela Administração</w:t>
      </w:r>
      <w:r>
        <w:t xml:space="preserve"> da Companhia</w:t>
      </w:r>
      <w:r w:rsidRPr="00C17038">
        <w:t>.</w:t>
      </w:r>
    </w:p>
    <w:p w14:paraId="0D3F7A30" w14:textId="61D51F99" w:rsidR="007B1AA1" w:rsidRDefault="007B1AA1" w:rsidP="007B1AA1">
      <w:pPr>
        <w:pStyle w:val="05-Textonormal"/>
      </w:pPr>
      <w:r w:rsidRPr="00613972">
        <w:t xml:space="preserve">Estas demonstrações contábeis individuais e consolidadas foram aprovadas, e autorizadas para divulgação, pelo Conselho de Administração da BB Seguridade em </w:t>
      </w:r>
      <w:r>
        <w:t>14</w:t>
      </w:r>
      <w:r w:rsidRPr="00613972">
        <w:t>.02.202</w:t>
      </w:r>
      <w:r>
        <w:t>5</w:t>
      </w:r>
      <w:r w:rsidRPr="00613972">
        <w:t>.</w:t>
      </w:r>
    </w:p>
    <w:p w14:paraId="573F4838" w14:textId="77777777" w:rsidR="007B1AA1" w:rsidRPr="0046511C" w:rsidRDefault="007B1AA1" w:rsidP="007B1AA1">
      <w:pPr>
        <w:pStyle w:val="03-SubttulodeNota"/>
        <w:rPr>
          <w:color w:val="1F3864" w:themeColor="accent1" w:themeShade="80"/>
        </w:rPr>
      </w:pPr>
      <w:r w:rsidRPr="0046511C">
        <w:rPr>
          <w:color w:val="1F3864" w:themeColor="accent1" w:themeShade="80"/>
        </w:rPr>
        <w:t>b) Continuidade</w:t>
      </w:r>
    </w:p>
    <w:p w14:paraId="31C282CE" w14:textId="77777777" w:rsidR="007B1AA1" w:rsidRPr="00FD38B0" w:rsidRDefault="007B1AA1" w:rsidP="007B1AA1">
      <w:pPr>
        <w:pStyle w:val="05-Textonormal"/>
      </w:pPr>
      <w:r w:rsidRPr="00FD38B0">
        <w:t xml:space="preserve">A Administração avaliou a capacidade </w:t>
      </w:r>
      <w:r>
        <w:t xml:space="preserve">da BB Seguridade </w:t>
      </w:r>
      <w:r w:rsidRPr="00FD38B0">
        <w:t>continuar operando normalmente e está convencida de que el</w:t>
      </w:r>
      <w:r w:rsidRPr="00FF2135">
        <w:t>a</w:t>
      </w:r>
      <w:r>
        <w:t xml:space="preserve"> </w:t>
      </w:r>
      <w:r w:rsidRPr="00FD38B0">
        <w:t>possui recursos para dar continuidade a</w:t>
      </w:r>
      <w:r>
        <w:t>os</w:t>
      </w:r>
      <w:r w:rsidRPr="00FD38B0">
        <w:t xml:space="preserve"> seus negócios no futuro. Adicionalmente, a Administração não</w:t>
      </w:r>
      <w:r>
        <w:t xml:space="preserve"> </w:t>
      </w:r>
      <w:r w:rsidRPr="00FD38B0">
        <w:t>tem</w:t>
      </w:r>
      <w:r>
        <w:t xml:space="preserve"> </w:t>
      </w:r>
      <w:r w:rsidRPr="00FD38B0">
        <w:t xml:space="preserve">conhecimento de nenhuma incerteza material que possa gerar dúvidas significativas sobre a sua capacidade de continuar operando. Assim, estas </w:t>
      </w:r>
      <w:r>
        <w:t xml:space="preserve">demonstrações contábeis individuais e </w:t>
      </w:r>
      <w:r w:rsidRPr="00FD38B0">
        <w:t>consolidadas foram preparadas com base no pressuposto</w:t>
      </w:r>
      <w:r>
        <w:t xml:space="preserve"> </w:t>
      </w:r>
      <w:r w:rsidRPr="00FD38B0">
        <w:t>de continuidade</w:t>
      </w:r>
      <w:r>
        <w:t xml:space="preserve"> o</w:t>
      </w:r>
      <w:r w:rsidRPr="00FD38B0">
        <w:t>peracional</w:t>
      </w:r>
      <w:r>
        <w:t>.</w:t>
      </w:r>
    </w:p>
    <w:p w14:paraId="0E20F959" w14:textId="77777777" w:rsidR="007B1AA1" w:rsidRPr="0046511C" w:rsidRDefault="007B1AA1" w:rsidP="007B1AA1">
      <w:pPr>
        <w:pStyle w:val="03-SubttulodeNota"/>
        <w:rPr>
          <w:color w:val="1F3864" w:themeColor="accent1" w:themeShade="80"/>
        </w:rPr>
      </w:pPr>
      <w:r w:rsidRPr="0046511C">
        <w:rPr>
          <w:color w:val="1F3864" w:themeColor="accent1" w:themeShade="80"/>
        </w:rPr>
        <w:t>c) Bases de Mensuração dos Ativos e dos Passivos</w:t>
      </w:r>
    </w:p>
    <w:p w14:paraId="220A7D03" w14:textId="77777777" w:rsidR="007B1AA1" w:rsidRPr="00F16C8B" w:rsidRDefault="007B1AA1" w:rsidP="007B1AA1">
      <w:pPr>
        <w:pStyle w:val="05-Textonormal"/>
      </w:pPr>
      <w:r w:rsidRPr="00F16C8B">
        <w:t xml:space="preserve">Estas </w:t>
      </w:r>
      <w:r>
        <w:t>demonstrações contábeis individuais</w:t>
      </w:r>
      <w:r w:rsidRPr="00F16C8B">
        <w:t xml:space="preserve"> e consolidadas foram preparadas utilizando o custo histórico como base de mensuração, </w:t>
      </w:r>
      <w:r>
        <w:t>exceto quando de outra forma indicado.</w:t>
      </w:r>
    </w:p>
    <w:p w14:paraId="076A9FFB" w14:textId="77777777" w:rsidR="007B1AA1" w:rsidRPr="0046511C" w:rsidRDefault="007B1AA1" w:rsidP="007B1AA1">
      <w:pPr>
        <w:pStyle w:val="03-SubttulodeNota"/>
        <w:rPr>
          <w:color w:val="1F3864" w:themeColor="accent1" w:themeShade="80"/>
        </w:rPr>
      </w:pPr>
      <w:r w:rsidRPr="0046511C">
        <w:rPr>
          <w:color w:val="1F3864" w:themeColor="accent1" w:themeShade="80"/>
        </w:rPr>
        <w:t>d) Moeda Funcional e de Apresentação</w:t>
      </w:r>
    </w:p>
    <w:p w14:paraId="20880307" w14:textId="6BBAE44D" w:rsidR="007B1AA1" w:rsidRPr="009B6AAD" w:rsidRDefault="007B1AA1" w:rsidP="007B1AA1">
      <w:pPr>
        <w:pStyle w:val="05-Textonormal"/>
      </w:pPr>
      <w:r w:rsidRPr="009B6AAD">
        <w:t>As demonstrações contábeis da BB Seguridade são apresentadas em Reais, que é a moeda funcional.</w:t>
      </w:r>
      <w:r w:rsidR="00352CB8">
        <w:t xml:space="preserve"> </w:t>
      </w:r>
      <w:r w:rsidR="00352CB8" w:rsidRPr="00352CB8">
        <w:t>Exceto quando indicado de outra forma, as informações financeiras quantitativas são apresentadas em milhares de Reais (R$ mil).</w:t>
      </w:r>
    </w:p>
    <w:p w14:paraId="1CE8E8C7" w14:textId="77777777" w:rsidR="007B1AA1" w:rsidRPr="0046511C" w:rsidRDefault="007B1AA1" w:rsidP="007B1AA1">
      <w:pPr>
        <w:pStyle w:val="03-SubttulodeNota"/>
        <w:rPr>
          <w:color w:val="1F3864" w:themeColor="accent1" w:themeShade="80"/>
        </w:rPr>
      </w:pPr>
      <w:r w:rsidRPr="0046511C">
        <w:rPr>
          <w:color w:val="1F3864" w:themeColor="accent1" w:themeShade="80"/>
        </w:rPr>
        <w:t>e) Base de Consolidação</w:t>
      </w:r>
    </w:p>
    <w:p w14:paraId="2E36EDD7" w14:textId="77777777" w:rsidR="007B1AA1" w:rsidRDefault="007B1AA1" w:rsidP="007B1AA1">
      <w:pPr>
        <w:pStyle w:val="05-Textonormal1"/>
      </w:pPr>
      <w:r>
        <w:t xml:space="preserve">As demonstrações contábeis da BB Seguridade </w:t>
      </w:r>
      <w:r w:rsidRPr="001A0BAA">
        <w:t>incluem a consolidação dos ativos e passivos da BB Seguridade e das suas controladas, conforme descrito no quadro a seguir:</w:t>
      </w:r>
    </w:p>
    <w:tbl>
      <w:tblPr>
        <w:tblW w:w="9639" w:type="dxa"/>
        <w:jc w:val="center"/>
        <w:tblBorders>
          <w:top w:val="single" w:sz="2" w:space="0" w:color="1F3864" w:themeColor="accent1" w:themeShade="80"/>
          <w:bottom w:val="single" w:sz="2" w:space="0" w:color="1F3864" w:themeColor="accent1" w:themeShade="80"/>
          <w:insideH w:val="single" w:sz="2" w:space="0" w:color="1F3864" w:themeColor="accent1" w:themeShade="80"/>
        </w:tblBorders>
        <w:tblLook w:val="04A0" w:firstRow="1" w:lastRow="0" w:firstColumn="1" w:lastColumn="0" w:noHBand="0" w:noVBand="1"/>
      </w:tblPr>
      <w:tblGrid>
        <w:gridCol w:w="3094"/>
        <w:gridCol w:w="604"/>
        <w:gridCol w:w="1411"/>
        <w:gridCol w:w="1412"/>
        <w:gridCol w:w="283"/>
        <w:gridCol w:w="1417"/>
        <w:gridCol w:w="1418"/>
      </w:tblGrid>
      <w:tr w:rsidR="007B1AA1" w:rsidRPr="0048242D" w14:paraId="7BA3F4A7" w14:textId="77777777" w:rsidTr="00B52F4D">
        <w:trPr>
          <w:trHeight w:val="238"/>
          <w:jc w:val="center"/>
        </w:trPr>
        <w:tc>
          <w:tcPr>
            <w:tcW w:w="3094" w:type="dxa"/>
            <w:vMerge w:val="restart"/>
            <w:tcBorders>
              <w:bottom w:val="nil"/>
            </w:tcBorders>
            <w:shd w:val="clear" w:color="auto" w:fill="auto"/>
            <w:vAlign w:val="center"/>
          </w:tcPr>
          <w:p w14:paraId="0C4F18E4" w14:textId="77777777" w:rsidR="007B1AA1" w:rsidRPr="0055383E" w:rsidRDefault="007B1AA1" w:rsidP="00B52F4D">
            <w:pPr>
              <w:pStyle w:val="08-Tabelageral"/>
              <w:jc w:val="left"/>
              <w:rPr>
                <w:rFonts w:cs="Arial"/>
                <w:b/>
                <w:sz w:val="18"/>
              </w:rPr>
            </w:pPr>
            <w:r w:rsidRPr="0055383E">
              <w:rPr>
                <w:rFonts w:cs="Arial"/>
                <w:b/>
              </w:rPr>
              <w:t>Empresa</w:t>
            </w:r>
          </w:p>
        </w:tc>
        <w:tc>
          <w:tcPr>
            <w:tcW w:w="604" w:type="dxa"/>
            <w:tcBorders>
              <w:bottom w:val="nil"/>
            </w:tcBorders>
            <w:shd w:val="clear" w:color="auto" w:fill="auto"/>
            <w:vAlign w:val="center"/>
          </w:tcPr>
          <w:p w14:paraId="517A96C1" w14:textId="77777777" w:rsidR="007B1AA1" w:rsidRPr="0055383E" w:rsidRDefault="007B1AA1" w:rsidP="00B52F4D">
            <w:pPr>
              <w:spacing w:after="0"/>
              <w:jc w:val="right"/>
              <w:rPr>
                <w:rFonts w:ascii="Arial" w:hAnsi="Arial" w:cs="Arial"/>
                <w:b/>
                <w:sz w:val="18"/>
                <w:szCs w:val="18"/>
              </w:rPr>
            </w:pPr>
          </w:p>
        </w:tc>
        <w:tc>
          <w:tcPr>
            <w:tcW w:w="1411" w:type="dxa"/>
            <w:vMerge w:val="restart"/>
            <w:tcBorders>
              <w:bottom w:val="nil"/>
            </w:tcBorders>
            <w:shd w:val="clear" w:color="auto" w:fill="auto"/>
            <w:vAlign w:val="center"/>
          </w:tcPr>
          <w:p w14:paraId="66F63F3B" w14:textId="77777777" w:rsidR="007B1AA1" w:rsidRPr="0055383E" w:rsidRDefault="007B1AA1" w:rsidP="00B52F4D">
            <w:pPr>
              <w:pStyle w:val="08-Tabelageral"/>
              <w:rPr>
                <w:rFonts w:cs="Arial"/>
                <w:b/>
                <w:bCs/>
              </w:rPr>
            </w:pPr>
            <w:r w:rsidRPr="0055383E">
              <w:rPr>
                <w:rFonts w:cs="Arial"/>
                <w:b/>
              </w:rPr>
              <w:t>Atividade</w:t>
            </w:r>
          </w:p>
        </w:tc>
        <w:tc>
          <w:tcPr>
            <w:tcW w:w="1412" w:type="dxa"/>
            <w:vMerge w:val="restart"/>
            <w:tcBorders>
              <w:bottom w:val="nil"/>
            </w:tcBorders>
            <w:shd w:val="clear" w:color="auto" w:fill="auto"/>
            <w:vAlign w:val="center"/>
          </w:tcPr>
          <w:p w14:paraId="0FE4A177" w14:textId="77777777" w:rsidR="007B1AA1" w:rsidRPr="0055383E" w:rsidRDefault="007B1AA1" w:rsidP="00B52F4D">
            <w:pPr>
              <w:pStyle w:val="08-Tabelageral"/>
              <w:rPr>
                <w:rFonts w:cs="Arial"/>
                <w:b/>
              </w:rPr>
            </w:pPr>
            <w:r w:rsidRPr="0055383E">
              <w:rPr>
                <w:rFonts w:cs="Arial"/>
                <w:b/>
              </w:rPr>
              <w:t>País de Constituição</w:t>
            </w:r>
          </w:p>
        </w:tc>
        <w:tc>
          <w:tcPr>
            <w:tcW w:w="283" w:type="dxa"/>
            <w:tcBorders>
              <w:bottom w:val="nil"/>
            </w:tcBorders>
            <w:shd w:val="clear" w:color="auto" w:fill="auto"/>
            <w:vAlign w:val="center"/>
          </w:tcPr>
          <w:p w14:paraId="5112FC57" w14:textId="77777777" w:rsidR="007B1AA1" w:rsidRPr="0055383E" w:rsidRDefault="007B1AA1" w:rsidP="00B52F4D">
            <w:pPr>
              <w:spacing w:after="0"/>
              <w:jc w:val="right"/>
              <w:rPr>
                <w:rFonts w:ascii="Arial" w:hAnsi="Arial" w:cs="Arial"/>
                <w:b/>
                <w:sz w:val="18"/>
                <w:szCs w:val="18"/>
              </w:rPr>
            </w:pPr>
          </w:p>
        </w:tc>
        <w:tc>
          <w:tcPr>
            <w:tcW w:w="2835" w:type="dxa"/>
            <w:gridSpan w:val="2"/>
            <w:tcBorders>
              <w:bottom w:val="nil"/>
            </w:tcBorders>
            <w:shd w:val="clear" w:color="auto" w:fill="auto"/>
            <w:vAlign w:val="center"/>
          </w:tcPr>
          <w:p w14:paraId="60677297" w14:textId="77777777" w:rsidR="007B1AA1" w:rsidRPr="0055383E" w:rsidRDefault="007B1AA1" w:rsidP="00B52F4D">
            <w:pPr>
              <w:spacing w:after="0"/>
              <w:jc w:val="center"/>
              <w:rPr>
                <w:rFonts w:ascii="Arial" w:hAnsi="Arial" w:cs="Arial"/>
                <w:b/>
                <w:sz w:val="18"/>
                <w:szCs w:val="18"/>
              </w:rPr>
            </w:pPr>
            <w:r>
              <w:rPr>
                <w:rFonts w:ascii="Arial" w:hAnsi="Arial" w:cs="Arial"/>
                <w:b/>
                <w:sz w:val="14"/>
                <w:szCs w:val="18"/>
              </w:rPr>
              <w:t>% Participação T</w:t>
            </w:r>
            <w:r w:rsidRPr="0055383E">
              <w:rPr>
                <w:rFonts w:ascii="Arial" w:hAnsi="Arial" w:cs="Arial"/>
                <w:b/>
                <w:sz w:val="14"/>
                <w:szCs w:val="18"/>
              </w:rPr>
              <w:t>otal</w:t>
            </w:r>
          </w:p>
        </w:tc>
      </w:tr>
      <w:tr w:rsidR="007B1AA1" w:rsidRPr="0048242D" w14:paraId="4955BB76" w14:textId="77777777" w:rsidTr="00B52F4D">
        <w:trPr>
          <w:trHeight w:val="238"/>
          <w:jc w:val="center"/>
        </w:trPr>
        <w:tc>
          <w:tcPr>
            <w:tcW w:w="3094" w:type="dxa"/>
            <w:vMerge/>
            <w:tcBorders>
              <w:top w:val="nil"/>
              <w:bottom w:val="single" w:sz="2" w:space="0" w:color="1F3864" w:themeColor="accent1" w:themeShade="80"/>
            </w:tcBorders>
            <w:shd w:val="clear" w:color="auto" w:fill="auto"/>
          </w:tcPr>
          <w:p w14:paraId="5BED96CA" w14:textId="77777777" w:rsidR="007B1AA1" w:rsidRPr="0055383E" w:rsidRDefault="007B1AA1" w:rsidP="00B52F4D">
            <w:pPr>
              <w:pStyle w:val="08-Tabelageral"/>
              <w:jc w:val="left"/>
              <w:rPr>
                <w:rFonts w:cs="Arial"/>
                <w:b/>
              </w:rPr>
            </w:pPr>
          </w:p>
        </w:tc>
        <w:tc>
          <w:tcPr>
            <w:tcW w:w="604" w:type="dxa"/>
            <w:tcBorders>
              <w:top w:val="nil"/>
              <w:bottom w:val="single" w:sz="2" w:space="0" w:color="1F3864" w:themeColor="accent1" w:themeShade="80"/>
            </w:tcBorders>
            <w:shd w:val="clear" w:color="auto" w:fill="auto"/>
          </w:tcPr>
          <w:p w14:paraId="44BEA16B" w14:textId="77777777" w:rsidR="007B1AA1" w:rsidRPr="0055383E" w:rsidRDefault="007B1AA1" w:rsidP="00B52F4D">
            <w:pPr>
              <w:pStyle w:val="08-Tabelageral"/>
              <w:jc w:val="center"/>
              <w:rPr>
                <w:rFonts w:cs="Arial"/>
                <w:b/>
              </w:rPr>
            </w:pPr>
          </w:p>
        </w:tc>
        <w:tc>
          <w:tcPr>
            <w:tcW w:w="1411" w:type="dxa"/>
            <w:vMerge/>
            <w:tcBorders>
              <w:top w:val="nil"/>
              <w:bottom w:val="single" w:sz="2" w:space="0" w:color="1F3864" w:themeColor="accent1" w:themeShade="80"/>
            </w:tcBorders>
            <w:shd w:val="clear" w:color="auto" w:fill="auto"/>
          </w:tcPr>
          <w:p w14:paraId="60435E23" w14:textId="77777777" w:rsidR="007B1AA1" w:rsidRPr="0055383E" w:rsidRDefault="007B1AA1" w:rsidP="00B52F4D">
            <w:pPr>
              <w:pStyle w:val="08-Tabelageral"/>
              <w:jc w:val="center"/>
              <w:rPr>
                <w:rFonts w:cs="Arial"/>
                <w:b/>
              </w:rPr>
            </w:pPr>
          </w:p>
        </w:tc>
        <w:tc>
          <w:tcPr>
            <w:tcW w:w="1412" w:type="dxa"/>
            <w:vMerge/>
            <w:tcBorders>
              <w:top w:val="nil"/>
              <w:bottom w:val="single" w:sz="2" w:space="0" w:color="1F3864" w:themeColor="accent1" w:themeShade="80"/>
            </w:tcBorders>
            <w:shd w:val="clear" w:color="auto" w:fill="auto"/>
          </w:tcPr>
          <w:p w14:paraId="137F3D82" w14:textId="77777777" w:rsidR="007B1AA1" w:rsidRPr="0055383E" w:rsidRDefault="007B1AA1" w:rsidP="00B52F4D">
            <w:pPr>
              <w:pStyle w:val="08-Tabelageral"/>
              <w:jc w:val="center"/>
              <w:rPr>
                <w:rFonts w:cs="Arial"/>
                <w:b/>
              </w:rPr>
            </w:pPr>
          </w:p>
        </w:tc>
        <w:tc>
          <w:tcPr>
            <w:tcW w:w="283" w:type="dxa"/>
            <w:tcBorders>
              <w:top w:val="nil"/>
              <w:bottom w:val="single" w:sz="2" w:space="0" w:color="1F3864" w:themeColor="accent1" w:themeShade="80"/>
            </w:tcBorders>
            <w:shd w:val="clear" w:color="auto" w:fill="auto"/>
          </w:tcPr>
          <w:p w14:paraId="13676112" w14:textId="77777777" w:rsidR="007B1AA1" w:rsidRPr="0055383E" w:rsidRDefault="007B1AA1" w:rsidP="00B52F4D">
            <w:pPr>
              <w:pStyle w:val="08-Tabelageral"/>
              <w:jc w:val="center"/>
              <w:rPr>
                <w:rFonts w:cs="Arial"/>
                <w:b/>
              </w:rPr>
            </w:pPr>
          </w:p>
        </w:tc>
        <w:tc>
          <w:tcPr>
            <w:tcW w:w="1417" w:type="dxa"/>
            <w:tcBorders>
              <w:top w:val="nil"/>
              <w:bottom w:val="single" w:sz="2" w:space="0" w:color="1F3864" w:themeColor="accent1" w:themeShade="80"/>
            </w:tcBorders>
            <w:shd w:val="clear" w:color="auto" w:fill="auto"/>
          </w:tcPr>
          <w:p w14:paraId="0003B5E7" w14:textId="77777777" w:rsidR="007B1AA1" w:rsidRPr="0055383E" w:rsidRDefault="007B1AA1" w:rsidP="00B52F4D">
            <w:pPr>
              <w:pStyle w:val="08-Tabelageral"/>
              <w:rPr>
                <w:rFonts w:cs="Arial"/>
                <w:b/>
              </w:rPr>
            </w:pPr>
            <w:r>
              <w:rPr>
                <w:rFonts w:cs="Arial"/>
                <w:b/>
              </w:rPr>
              <w:t>31.12</w:t>
            </w:r>
            <w:r w:rsidRPr="0055383E">
              <w:rPr>
                <w:rFonts w:cs="Arial"/>
                <w:b/>
              </w:rPr>
              <w:t>.202</w:t>
            </w:r>
            <w:r>
              <w:rPr>
                <w:rFonts w:cs="Arial"/>
                <w:b/>
              </w:rPr>
              <w:t>4</w:t>
            </w:r>
          </w:p>
        </w:tc>
        <w:tc>
          <w:tcPr>
            <w:tcW w:w="1418" w:type="dxa"/>
            <w:tcBorders>
              <w:top w:val="nil"/>
              <w:bottom w:val="single" w:sz="2" w:space="0" w:color="1F3864" w:themeColor="accent1" w:themeShade="80"/>
            </w:tcBorders>
            <w:shd w:val="clear" w:color="auto" w:fill="auto"/>
          </w:tcPr>
          <w:p w14:paraId="29660189" w14:textId="77777777" w:rsidR="007B1AA1" w:rsidRPr="0055383E" w:rsidRDefault="007B1AA1" w:rsidP="00B52F4D">
            <w:pPr>
              <w:pStyle w:val="08-Tabelageral"/>
              <w:rPr>
                <w:rFonts w:cs="Arial"/>
                <w:b/>
              </w:rPr>
            </w:pPr>
            <w:r w:rsidRPr="0055383E">
              <w:rPr>
                <w:rFonts w:cs="Arial"/>
                <w:b/>
              </w:rPr>
              <w:t>31.</w:t>
            </w:r>
            <w:r>
              <w:rPr>
                <w:rFonts w:cs="Arial"/>
                <w:b/>
              </w:rPr>
              <w:t>12</w:t>
            </w:r>
            <w:r w:rsidRPr="0055383E">
              <w:rPr>
                <w:rFonts w:cs="Arial"/>
                <w:b/>
              </w:rPr>
              <w:t>.20</w:t>
            </w:r>
            <w:r>
              <w:rPr>
                <w:rFonts w:cs="Arial"/>
                <w:b/>
              </w:rPr>
              <w:t>23</w:t>
            </w:r>
          </w:p>
        </w:tc>
      </w:tr>
      <w:tr w:rsidR="007B1AA1" w:rsidRPr="0048242D" w14:paraId="395F0F86" w14:textId="77777777" w:rsidTr="00B52F4D">
        <w:trPr>
          <w:trHeight w:val="238"/>
          <w:jc w:val="center"/>
        </w:trPr>
        <w:tc>
          <w:tcPr>
            <w:tcW w:w="3094" w:type="dxa"/>
            <w:tcBorders>
              <w:bottom w:val="nil"/>
            </w:tcBorders>
            <w:shd w:val="clear" w:color="auto" w:fill="auto"/>
          </w:tcPr>
          <w:p w14:paraId="79058B99" w14:textId="77777777" w:rsidR="007B1AA1" w:rsidRPr="0048242D" w:rsidRDefault="007B1AA1" w:rsidP="00B52F4D">
            <w:pPr>
              <w:pStyle w:val="08-Tabelageral"/>
              <w:jc w:val="left"/>
              <w:rPr>
                <w:rFonts w:cs="Arial"/>
                <w:b/>
                <w:bCs/>
                <w:szCs w:val="14"/>
              </w:rPr>
            </w:pPr>
            <w:r w:rsidRPr="0048242D">
              <w:rPr>
                <w:rFonts w:cs="Arial"/>
                <w:szCs w:val="14"/>
              </w:rPr>
              <w:t>BB Seguros</w:t>
            </w:r>
          </w:p>
        </w:tc>
        <w:tc>
          <w:tcPr>
            <w:tcW w:w="604" w:type="dxa"/>
            <w:tcBorders>
              <w:bottom w:val="nil"/>
            </w:tcBorders>
            <w:shd w:val="clear" w:color="auto" w:fill="auto"/>
          </w:tcPr>
          <w:p w14:paraId="64C95A20" w14:textId="77777777" w:rsidR="007B1AA1" w:rsidRPr="0048242D" w:rsidRDefault="007B1AA1" w:rsidP="00B52F4D">
            <w:pPr>
              <w:pStyle w:val="08-Tabelageral"/>
              <w:jc w:val="center"/>
              <w:rPr>
                <w:rFonts w:cs="Arial"/>
                <w:szCs w:val="14"/>
              </w:rPr>
            </w:pPr>
          </w:p>
        </w:tc>
        <w:tc>
          <w:tcPr>
            <w:tcW w:w="1411" w:type="dxa"/>
            <w:tcBorders>
              <w:bottom w:val="nil"/>
            </w:tcBorders>
            <w:shd w:val="clear" w:color="auto" w:fill="auto"/>
          </w:tcPr>
          <w:p w14:paraId="1B936D0C" w14:textId="77777777" w:rsidR="007B1AA1" w:rsidRPr="0048242D" w:rsidRDefault="007B1AA1" w:rsidP="00B52F4D">
            <w:pPr>
              <w:pStyle w:val="08-Tabelageral"/>
              <w:rPr>
                <w:rFonts w:cs="Arial"/>
                <w:szCs w:val="14"/>
              </w:rPr>
            </w:pPr>
            <w:r w:rsidRPr="0048242D">
              <w:rPr>
                <w:rFonts w:cs="Arial"/>
                <w:szCs w:val="14"/>
              </w:rPr>
              <w:t>Holding</w:t>
            </w:r>
          </w:p>
        </w:tc>
        <w:tc>
          <w:tcPr>
            <w:tcW w:w="1412" w:type="dxa"/>
            <w:tcBorders>
              <w:bottom w:val="nil"/>
            </w:tcBorders>
            <w:shd w:val="clear" w:color="auto" w:fill="auto"/>
          </w:tcPr>
          <w:p w14:paraId="01CB1CA9" w14:textId="77777777" w:rsidR="007B1AA1" w:rsidRPr="0048242D" w:rsidRDefault="007B1AA1" w:rsidP="00B52F4D">
            <w:pPr>
              <w:pStyle w:val="08-Tabelageral"/>
              <w:rPr>
                <w:rFonts w:cs="Arial"/>
              </w:rPr>
            </w:pPr>
            <w:r w:rsidRPr="0048242D">
              <w:rPr>
                <w:rFonts w:cs="Arial"/>
              </w:rPr>
              <w:t>Brasil</w:t>
            </w:r>
          </w:p>
        </w:tc>
        <w:tc>
          <w:tcPr>
            <w:tcW w:w="283" w:type="dxa"/>
            <w:tcBorders>
              <w:bottom w:val="nil"/>
            </w:tcBorders>
            <w:shd w:val="clear" w:color="auto" w:fill="auto"/>
          </w:tcPr>
          <w:p w14:paraId="681734D1" w14:textId="77777777" w:rsidR="007B1AA1" w:rsidRPr="0048242D" w:rsidRDefault="007B1AA1" w:rsidP="00B52F4D">
            <w:pPr>
              <w:pStyle w:val="08-Tabelageral"/>
              <w:rPr>
                <w:rFonts w:cs="Arial"/>
                <w:szCs w:val="14"/>
              </w:rPr>
            </w:pPr>
          </w:p>
        </w:tc>
        <w:tc>
          <w:tcPr>
            <w:tcW w:w="1417" w:type="dxa"/>
            <w:tcBorders>
              <w:bottom w:val="nil"/>
            </w:tcBorders>
            <w:shd w:val="clear" w:color="auto" w:fill="auto"/>
          </w:tcPr>
          <w:p w14:paraId="5D522352" w14:textId="77777777" w:rsidR="007B1AA1" w:rsidRPr="0048242D" w:rsidRDefault="007B1AA1" w:rsidP="00B52F4D">
            <w:pPr>
              <w:pStyle w:val="08-Tabelageral"/>
              <w:rPr>
                <w:rFonts w:cs="Arial"/>
                <w:szCs w:val="14"/>
              </w:rPr>
            </w:pPr>
            <w:r w:rsidRPr="0048242D">
              <w:rPr>
                <w:rFonts w:cs="Arial"/>
                <w:szCs w:val="14"/>
              </w:rPr>
              <w:t xml:space="preserve">100% </w:t>
            </w:r>
          </w:p>
        </w:tc>
        <w:tc>
          <w:tcPr>
            <w:tcW w:w="1418" w:type="dxa"/>
            <w:tcBorders>
              <w:bottom w:val="nil"/>
            </w:tcBorders>
            <w:shd w:val="clear" w:color="auto" w:fill="auto"/>
          </w:tcPr>
          <w:p w14:paraId="3321F920" w14:textId="77777777" w:rsidR="007B1AA1" w:rsidRPr="0048242D" w:rsidRDefault="007B1AA1" w:rsidP="00B52F4D">
            <w:pPr>
              <w:pStyle w:val="08-Tabelageral"/>
              <w:rPr>
                <w:rFonts w:cs="Arial"/>
              </w:rPr>
            </w:pPr>
            <w:r w:rsidRPr="0048242D">
              <w:rPr>
                <w:rFonts w:cs="Arial"/>
              </w:rPr>
              <w:t>100%</w:t>
            </w:r>
          </w:p>
        </w:tc>
      </w:tr>
      <w:tr w:rsidR="007B1AA1" w:rsidRPr="0048242D" w14:paraId="7892C2EE" w14:textId="77777777" w:rsidTr="00B52F4D">
        <w:trPr>
          <w:trHeight w:val="238"/>
          <w:jc w:val="center"/>
        </w:trPr>
        <w:tc>
          <w:tcPr>
            <w:tcW w:w="3094" w:type="dxa"/>
            <w:tcBorders>
              <w:top w:val="nil"/>
            </w:tcBorders>
            <w:shd w:val="clear" w:color="auto" w:fill="auto"/>
          </w:tcPr>
          <w:p w14:paraId="0EE36BCA" w14:textId="77777777" w:rsidR="007B1AA1" w:rsidRPr="005551CF" w:rsidRDefault="007B1AA1" w:rsidP="00B52F4D">
            <w:pPr>
              <w:pStyle w:val="08-Tabelageral"/>
              <w:jc w:val="left"/>
              <w:rPr>
                <w:rFonts w:cs="Arial"/>
                <w:b/>
              </w:rPr>
            </w:pPr>
            <w:r>
              <w:rPr>
                <w:rFonts w:cs="Arial"/>
              </w:rPr>
              <w:t>BB Corretora</w:t>
            </w:r>
          </w:p>
        </w:tc>
        <w:tc>
          <w:tcPr>
            <w:tcW w:w="604" w:type="dxa"/>
            <w:tcBorders>
              <w:top w:val="nil"/>
            </w:tcBorders>
            <w:shd w:val="clear" w:color="auto" w:fill="auto"/>
          </w:tcPr>
          <w:p w14:paraId="45AACB45" w14:textId="77777777" w:rsidR="007B1AA1" w:rsidRPr="0048242D" w:rsidRDefault="007B1AA1" w:rsidP="00B52F4D">
            <w:pPr>
              <w:pStyle w:val="08-Tabelageral"/>
              <w:jc w:val="center"/>
              <w:rPr>
                <w:rFonts w:cs="Arial"/>
                <w:szCs w:val="14"/>
              </w:rPr>
            </w:pPr>
          </w:p>
        </w:tc>
        <w:tc>
          <w:tcPr>
            <w:tcW w:w="1411" w:type="dxa"/>
            <w:tcBorders>
              <w:top w:val="nil"/>
            </w:tcBorders>
            <w:shd w:val="clear" w:color="auto" w:fill="auto"/>
          </w:tcPr>
          <w:p w14:paraId="4444FA52" w14:textId="77777777" w:rsidR="007B1AA1" w:rsidRPr="0048242D" w:rsidRDefault="007B1AA1" w:rsidP="00B52F4D">
            <w:pPr>
              <w:pStyle w:val="08-Tabelageral"/>
              <w:rPr>
                <w:rFonts w:cs="Arial"/>
                <w:szCs w:val="14"/>
              </w:rPr>
            </w:pPr>
            <w:r w:rsidRPr="0048242D">
              <w:rPr>
                <w:rFonts w:cs="Arial"/>
                <w:szCs w:val="14"/>
              </w:rPr>
              <w:t>Corretora</w:t>
            </w:r>
          </w:p>
        </w:tc>
        <w:tc>
          <w:tcPr>
            <w:tcW w:w="1412" w:type="dxa"/>
            <w:tcBorders>
              <w:top w:val="nil"/>
            </w:tcBorders>
            <w:shd w:val="clear" w:color="auto" w:fill="auto"/>
          </w:tcPr>
          <w:p w14:paraId="2543F6FB" w14:textId="77777777" w:rsidR="007B1AA1" w:rsidRPr="0048242D" w:rsidRDefault="007B1AA1" w:rsidP="00B52F4D">
            <w:pPr>
              <w:pStyle w:val="08-Tabelageral"/>
              <w:rPr>
                <w:rFonts w:cs="Arial"/>
              </w:rPr>
            </w:pPr>
            <w:r w:rsidRPr="0048242D">
              <w:rPr>
                <w:rFonts w:cs="Arial"/>
              </w:rPr>
              <w:t>Brasil</w:t>
            </w:r>
          </w:p>
        </w:tc>
        <w:tc>
          <w:tcPr>
            <w:tcW w:w="283" w:type="dxa"/>
            <w:tcBorders>
              <w:top w:val="nil"/>
            </w:tcBorders>
            <w:shd w:val="clear" w:color="auto" w:fill="auto"/>
          </w:tcPr>
          <w:p w14:paraId="3B66B0D5" w14:textId="77777777" w:rsidR="007B1AA1" w:rsidRPr="0048242D" w:rsidRDefault="007B1AA1" w:rsidP="00B52F4D">
            <w:pPr>
              <w:pStyle w:val="08-Tabelageral"/>
              <w:rPr>
                <w:rFonts w:cs="Arial"/>
                <w:szCs w:val="14"/>
              </w:rPr>
            </w:pPr>
          </w:p>
        </w:tc>
        <w:tc>
          <w:tcPr>
            <w:tcW w:w="1417" w:type="dxa"/>
            <w:tcBorders>
              <w:top w:val="nil"/>
            </w:tcBorders>
            <w:shd w:val="clear" w:color="auto" w:fill="auto"/>
          </w:tcPr>
          <w:p w14:paraId="6D9AB750" w14:textId="77777777" w:rsidR="007B1AA1" w:rsidRPr="0048242D" w:rsidRDefault="007B1AA1" w:rsidP="00B52F4D">
            <w:pPr>
              <w:pStyle w:val="08-Tabelageral"/>
              <w:rPr>
                <w:rFonts w:cs="Arial"/>
                <w:szCs w:val="14"/>
              </w:rPr>
            </w:pPr>
            <w:r w:rsidRPr="0048242D">
              <w:rPr>
                <w:rFonts w:cs="Arial"/>
                <w:szCs w:val="14"/>
              </w:rPr>
              <w:t>100%</w:t>
            </w:r>
          </w:p>
        </w:tc>
        <w:tc>
          <w:tcPr>
            <w:tcW w:w="1418" w:type="dxa"/>
            <w:tcBorders>
              <w:top w:val="nil"/>
            </w:tcBorders>
            <w:shd w:val="clear" w:color="auto" w:fill="auto"/>
          </w:tcPr>
          <w:p w14:paraId="63777365" w14:textId="77777777" w:rsidR="007B1AA1" w:rsidRPr="0048242D" w:rsidRDefault="007B1AA1" w:rsidP="00B52F4D">
            <w:pPr>
              <w:pStyle w:val="08-Tabelageral"/>
              <w:rPr>
                <w:rFonts w:cs="Arial"/>
              </w:rPr>
            </w:pPr>
            <w:r w:rsidRPr="0048242D">
              <w:rPr>
                <w:rFonts w:cs="Arial"/>
              </w:rPr>
              <w:t>100%</w:t>
            </w:r>
          </w:p>
        </w:tc>
      </w:tr>
    </w:tbl>
    <w:p w14:paraId="314D0B1D" w14:textId="77777777" w:rsidR="007B1AA1" w:rsidRPr="001A0BAA" w:rsidRDefault="007B1AA1" w:rsidP="007B1AA1">
      <w:pPr>
        <w:pStyle w:val="05-Textonormal1"/>
      </w:pPr>
      <w:r w:rsidRPr="001A0BAA">
        <w:t xml:space="preserve">Os saldos e transações intragrupo, assim como </w:t>
      </w:r>
      <w:r>
        <w:t>eventuais</w:t>
      </w:r>
      <w:r w:rsidRPr="001A0BAA">
        <w:t xml:space="preserve"> </w:t>
      </w:r>
      <w:r>
        <w:t>resultados</w:t>
      </w:r>
      <w:r w:rsidRPr="001A0BAA">
        <w:t xml:space="preserve"> não realizados nas transações entre as companhias do consolidado, são eliminados na preparação das demonstrações contábeis</w:t>
      </w:r>
      <w:r>
        <w:t xml:space="preserve"> </w:t>
      </w:r>
      <w:r w:rsidRPr="001A0BAA">
        <w:t>consolidadas.</w:t>
      </w:r>
    </w:p>
    <w:p w14:paraId="73B02BAD" w14:textId="77777777" w:rsidR="007B1AA1" w:rsidRPr="0046511C" w:rsidRDefault="007B1AA1" w:rsidP="007B1AA1">
      <w:pPr>
        <w:pStyle w:val="03-SubttulodeNota"/>
        <w:keepNext/>
        <w:rPr>
          <w:color w:val="1F3864" w:themeColor="accent1" w:themeShade="80"/>
        </w:rPr>
      </w:pPr>
      <w:r w:rsidRPr="0046511C">
        <w:rPr>
          <w:color w:val="1F3864" w:themeColor="accent1" w:themeShade="80"/>
        </w:rPr>
        <w:t>f) Sazonalidade das Operações</w:t>
      </w:r>
    </w:p>
    <w:p w14:paraId="48888B60" w14:textId="77777777" w:rsidR="007B1AA1" w:rsidRDefault="007B1AA1" w:rsidP="007B1AA1">
      <w:pPr>
        <w:pStyle w:val="05-Textonormal1"/>
        <w:rPr>
          <w:rFonts w:eastAsia="SimSun"/>
        </w:rPr>
      </w:pPr>
      <w:r w:rsidRPr="001A0BAA">
        <w:rPr>
          <w:rFonts w:eastAsia="SimSun"/>
        </w:rPr>
        <w:t xml:space="preserve">A BB Seguridade e suas empresas controladas consideram a natureza de suas transações como não cíclicas e não sazonais, levando em consideração </w:t>
      </w:r>
      <w:r>
        <w:rPr>
          <w:rFonts w:eastAsia="SimSun"/>
        </w:rPr>
        <w:t>suas</w:t>
      </w:r>
      <w:r w:rsidRPr="001A0BAA">
        <w:rPr>
          <w:rFonts w:eastAsia="SimSun"/>
        </w:rPr>
        <w:t xml:space="preserve"> atividades exercidas. Consequentemente, não foram fornecidas divulgações específicas nestas notas explicativas.</w:t>
      </w:r>
    </w:p>
    <w:p w14:paraId="3957C1B6" w14:textId="77777777" w:rsidR="007B1AA1" w:rsidRPr="0046511C" w:rsidRDefault="007B1AA1" w:rsidP="007B1AA1">
      <w:pPr>
        <w:pStyle w:val="03-SubttulodeNota"/>
        <w:keepNext/>
        <w:rPr>
          <w:color w:val="1F3864" w:themeColor="accent1" w:themeShade="80"/>
        </w:rPr>
      </w:pPr>
      <w:r w:rsidRPr="0046511C">
        <w:rPr>
          <w:color w:val="1F3864" w:themeColor="accent1" w:themeShade="80"/>
        </w:rPr>
        <w:t>g) Principais Julgamentos e Estimativas Contábeis</w:t>
      </w:r>
    </w:p>
    <w:p w14:paraId="76AF22CE" w14:textId="77777777" w:rsidR="007B1AA1" w:rsidRPr="00DC2AD4" w:rsidRDefault="007B1AA1" w:rsidP="007B1AA1">
      <w:pPr>
        <w:pStyle w:val="01-Textonormal2"/>
      </w:pPr>
      <w:r w:rsidRPr="00DC2AD4">
        <w:t>A preparação das demonstrações contábeis</w:t>
      </w:r>
      <w:r>
        <w:t xml:space="preserve"> </w:t>
      </w:r>
      <w:r w:rsidRPr="00DC2AD4">
        <w:t xml:space="preserve">em conformidade com </w:t>
      </w:r>
      <w:r>
        <w:t xml:space="preserve">as práticas contábeis adotadas no Brasil e com </w:t>
      </w:r>
      <w:r w:rsidRPr="00DC2AD4">
        <w:t>as IFRS requer que a Administração faça julgamentos e estimativas que afetam os valores reconhecidos de ativos, passivos, receitas e despesas. As estimativas e pre</w:t>
      </w:r>
      <w:r>
        <w:t>missas</w:t>
      </w:r>
      <w:r w:rsidRPr="00DC2AD4">
        <w:t xml:space="preserve"> adotad</w:t>
      </w:r>
      <w:r>
        <w:t>a</w:t>
      </w:r>
      <w:r w:rsidRPr="00DC2AD4">
        <w:t>s são analisad</w:t>
      </w:r>
      <w:r>
        <w:t>a</w:t>
      </w:r>
      <w:r w:rsidRPr="00DC2AD4">
        <w:t xml:space="preserve">s em uma base contínua, sendo as revisões realizadas reconhecidas no </w:t>
      </w:r>
      <w:r>
        <w:t>período</w:t>
      </w:r>
      <w:r w:rsidRPr="00DC2AD4">
        <w:t xml:space="preserve"> em que a estimativa é reavaliada, com efeitos prospectivos. Ressalta-se que os resultados realizados pode</w:t>
      </w:r>
      <w:r>
        <w:t>rão</w:t>
      </w:r>
      <w:r w:rsidRPr="00DC2AD4">
        <w:t xml:space="preserve"> ser </w:t>
      </w:r>
      <w:r>
        <w:t xml:space="preserve">significativamente </w:t>
      </w:r>
      <w:r w:rsidRPr="00DC2AD4">
        <w:t>diferentes das estimativas</w:t>
      </w:r>
      <w:r>
        <w:t xml:space="preserve"> correntes</w:t>
      </w:r>
      <w:r w:rsidRPr="00DC2AD4">
        <w:t>.</w:t>
      </w:r>
    </w:p>
    <w:p w14:paraId="37D721D0" w14:textId="77777777" w:rsidR="007B1AA1" w:rsidRPr="00DC2AD4" w:rsidRDefault="007B1AA1" w:rsidP="007B1AA1">
      <w:pPr>
        <w:pStyle w:val="01-Textonormal2"/>
      </w:pPr>
      <w:r w:rsidRPr="00DC2AD4">
        <w:t>Considerando que, em muitas situações, existem alternativas ao tratamento contábil, os resultados divulgados poderiam ser distintos, caso um tratamento diferente fosse escolhido. A Administração considera que as escolhas são apropriadas e que as demonstrações contábeis</w:t>
      </w:r>
      <w:r>
        <w:t xml:space="preserve"> a</w:t>
      </w:r>
      <w:r w:rsidRPr="00DC2AD4">
        <w:t>presentam, de forma adequ</w:t>
      </w:r>
      <w:r>
        <w:t>ada, a posição financeira da BB </w:t>
      </w:r>
      <w:r w:rsidRPr="00DC2AD4">
        <w:t>Seguridade</w:t>
      </w:r>
      <w:r>
        <w:t xml:space="preserve">, </w:t>
      </w:r>
      <w:r w:rsidRPr="00DC2AD4">
        <w:t>o resultado das suas operações</w:t>
      </w:r>
      <w:r>
        <w:t xml:space="preserve"> e os seus fluxos de caixa, individual e consolidado</w:t>
      </w:r>
      <w:r w:rsidRPr="00DC2AD4">
        <w:t>, em todos os aspectos materialmente relevantes.</w:t>
      </w:r>
    </w:p>
    <w:p w14:paraId="5338EE78" w14:textId="77777777" w:rsidR="007B1AA1" w:rsidRDefault="007B1AA1" w:rsidP="007B1AA1">
      <w:pPr>
        <w:pStyle w:val="01-Textonormal2"/>
      </w:pPr>
      <w:r w:rsidRPr="00DC2AD4">
        <w:t>Os ativos e os passivos significativos sujeitos a essas estimativas e premissas abrangem itens</w:t>
      </w:r>
      <w:r>
        <w:t xml:space="preserve"> como valor justo de instrumentos financeiros, redução ao valor recuperável (imparidade) de ativos financeiros e não financeiros, reconhecimento e avaliação de impostos diferidos e provisões e passivos contingentes.</w:t>
      </w:r>
    </w:p>
    <w:p w14:paraId="16C36C65" w14:textId="3EFF9058" w:rsidR="007D4AB0" w:rsidRPr="00BF2AAF" w:rsidRDefault="004470DF" w:rsidP="00DC73DF">
      <w:pPr>
        <w:pStyle w:val="Ttulo1"/>
        <w:pageBreakBefore/>
        <w:spacing w:line="259" w:lineRule="auto"/>
        <w:jc w:val="both"/>
        <w:rPr>
          <w:rFonts w:ascii="Arial" w:hAnsi="Arial" w:cs="Arial"/>
          <w:b/>
          <w:color w:val="1F3864" w:themeColor="accent1" w:themeShade="80"/>
          <w:sz w:val="20"/>
          <w:szCs w:val="20"/>
        </w:rPr>
      </w:pPr>
      <w:bookmarkStart w:id="30" w:name="_Toc189757067"/>
      <w:bookmarkEnd w:id="29"/>
      <w:r>
        <w:rPr>
          <w:rFonts w:ascii="Arial" w:hAnsi="Arial" w:cs="Arial"/>
          <w:b/>
          <w:color w:val="1F3864" w:themeColor="accent1" w:themeShade="80"/>
          <w:sz w:val="20"/>
          <w:szCs w:val="20"/>
        </w:rPr>
        <w:lastRenderedPageBreak/>
        <w:t>3</w:t>
      </w:r>
      <w:r w:rsidR="007D4AB0" w:rsidRPr="00BF2AAF">
        <w:rPr>
          <w:rFonts w:ascii="Arial" w:hAnsi="Arial" w:cs="Arial"/>
          <w:b/>
          <w:color w:val="1F3864" w:themeColor="accent1" w:themeShade="80"/>
          <w:sz w:val="20"/>
          <w:szCs w:val="20"/>
        </w:rPr>
        <w:t xml:space="preserve"> – RESUMO DAS PRINCIPAIS PRÁTICAS CONTÁBEIS</w:t>
      </w:r>
      <w:bookmarkEnd w:id="30"/>
    </w:p>
    <w:p w14:paraId="445A8F4B" w14:textId="77777777" w:rsidR="00D07C90" w:rsidRPr="00287C9A" w:rsidRDefault="00D07C90" w:rsidP="00D07C90">
      <w:pPr>
        <w:pStyle w:val="05-Textonormal"/>
        <w:rPr>
          <w:rFonts w:cs="Arial"/>
        </w:rPr>
      </w:pPr>
      <w:bookmarkStart w:id="31" w:name="_Hlk146881627"/>
      <w:bookmarkStart w:id="32" w:name="_Hlk165392509"/>
      <w:r>
        <w:rPr>
          <w:rFonts w:cs="Arial"/>
        </w:rPr>
        <w:t>As práticas</w:t>
      </w:r>
      <w:r w:rsidRPr="00287C9A">
        <w:rPr>
          <w:rFonts w:cs="Arial"/>
        </w:rPr>
        <w:t xml:space="preserve"> contábeis são os princípios, as bases, as convenções</w:t>
      </w:r>
      <w:r>
        <w:rPr>
          <w:rFonts w:cs="Arial"/>
        </w:rPr>
        <w:t xml:space="preserve"> e</w:t>
      </w:r>
      <w:r w:rsidRPr="00287C9A">
        <w:rPr>
          <w:rFonts w:cs="Arial"/>
        </w:rPr>
        <w:t xml:space="preserve"> as regras específicas aplicados pela BB Seguridade na elaboração e na apresentação de demonstrações contábei</w:t>
      </w:r>
      <w:r>
        <w:rPr>
          <w:rFonts w:cs="Arial"/>
        </w:rPr>
        <w:t>s</w:t>
      </w:r>
      <w:r w:rsidRPr="00287C9A">
        <w:rPr>
          <w:rFonts w:cs="Arial"/>
        </w:rPr>
        <w:t xml:space="preserve">. A BB Seguridade aplicou as </w:t>
      </w:r>
      <w:r>
        <w:rPr>
          <w:rFonts w:cs="Arial"/>
        </w:rPr>
        <w:t>práticas</w:t>
      </w:r>
      <w:r w:rsidRPr="00287C9A">
        <w:rPr>
          <w:rFonts w:cs="Arial"/>
        </w:rPr>
        <w:t xml:space="preserve"> contábeis descritas nesta nota explicativa de maneira consistente a todos os </w:t>
      </w:r>
      <w:r>
        <w:rPr>
          <w:rFonts w:cs="Arial"/>
        </w:rPr>
        <w:t>períodos</w:t>
      </w:r>
      <w:r w:rsidRPr="00287C9A">
        <w:rPr>
          <w:rFonts w:cs="Arial"/>
        </w:rPr>
        <w:t xml:space="preserve"> apresentados nestas </w:t>
      </w:r>
      <w:r>
        <w:rPr>
          <w:rFonts w:cs="Arial"/>
        </w:rPr>
        <w:t>demonstrações contábeis</w:t>
      </w:r>
      <w:r w:rsidRPr="00287C9A">
        <w:rPr>
          <w:rFonts w:cs="Arial"/>
        </w:rPr>
        <w:t>.</w:t>
      </w:r>
    </w:p>
    <w:p w14:paraId="48D22AA1" w14:textId="77777777" w:rsidR="00C00AB2" w:rsidRPr="00287C9A" w:rsidRDefault="00C00AB2" w:rsidP="00C00AB2">
      <w:pPr>
        <w:pStyle w:val="01-TtulodeNota"/>
        <w:rPr>
          <w:rFonts w:cs="Arial"/>
          <w:b w:val="0"/>
          <w:color w:val="1F3864" w:themeColor="accent1" w:themeShade="80"/>
          <w:sz w:val="18"/>
        </w:rPr>
      </w:pPr>
      <w:r w:rsidRPr="00287C9A">
        <w:rPr>
          <w:rFonts w:cs="Arial"/>
          <w:color w:val="1F3864" w:themeColor="accent1" w:themeShade="80"/>
          <w:sz w:val="18"/>
        </w:rPr>
        <w:t>a) Reconhecimento de Receitas e Despesas</w:t>
      </w:r>
    </w:p>
    <w:p w14:paraId="41BA3AFB" w14:textId="77777777" w:rsidR="00C00AB2" w:rsidRPr="00287C9A" w:rsidRDefault="00C00AB2" w:rsidP="00C00AB2">
      <w:pPr>
        <w:pStyle w:val="05-Textonormal"/>
        <w:rPr>
          <w:rFonts w:cs="Arial"/>
        </w:rPr>
      </w:pPr>
      <w:r w:rsidRPr="00287C9A">
        <w:rPr>
          <w:rFonts w:cs="Arial"/>
        </w:rPr>
        <w:t xml:space="preserve">As receitas e despesas são reconhecidas pelo regime de competência e são reportadas nas demonstrações contábeis dos </w:t>
      </w:r>
      <w:r>
        <w:rPr>
          <w:rFonts w:cs="Arial"/>
        </w:rPr>
        <w:t>períodos</w:t>
      </w:r>
      <w:r w:rsidRPr="00287C9A">
        <w:rPr>
          <w:rFonts w:cs="Arial"/>
        </w:rPr>
        <w:t xml:space="preserve"> a que se referem. Receitas são aumentos nos ativos, ou reduções nos passivos, que resultam em aumentos no patrimônio líquido, exceto aqueles referentes a contribuições de detentores de direitos sobre o patrimônio.</w:t>
      </w:r>
    </w:p>
    <w:p w14:paraId="20757685" w14:textId="77777777" w:rsidR="00C00AB2" w:rsidRPr="00287C9A" w:rsidRDefault="00C00AB2" w:rsidP="00C00AB2">
      <w:pPr>
        <w:pStyle w:val="05-Textonormal"/>
        <w:rPr>
          <w:rFonts w:cs="Arial"/>
        </w:rPr>
      </w:pPr>
      <w:r w:rsidRPr="00287C9A">
        <w:rPr>
          <w:rFonts w:cs="Arial"/>
        </w:rPr>
        <w:t>Esse conceito geral é aplicado para as principais receitas geradas pelas atividades da BB Seguridade e suas investidas, a saber:</w:t>
      </w:r>
    </w:p>
    <w:p w14:paraId="55507CCB" w14:textId="77777777" w:rsidR="00C00AB2" w:rsidRPr="00287C9A" w:rsidRDefault="00C00AB2" w:rsidP="00C00AB2">
      <w:pPr>
        <w:pStyle w:val="05-Textonormal"/>
        <w:rPr>
          <w:rFonts w:cs="Arial"/>
        </w:rPr>
      </w:pPr>
      <w:r w:rsidRPr="00287C9A">
        <w:rPr>
          <w:rFonts w:cs="Arial"/>
          <w:b/>
          <w:color w:val="1F3864" w:themeColor="accent1" w:themeShade="80"/>
        </w:rPr>
        <w:t>a.1) Receita de investimentos em participações societárias</w:t>
      </w:r>
      <w:r w:rsidRPr="00287C9A">
        <w:rPr>
          <w:rFonts w:cs="Arial"/>
        </w:rPr>
        <w:t xml:space="preserve"> – As receitas oriundas da aplicação do método da equivalência patrimonial para avaliação dos investimentos em participações societárias são reconhecidas na proporção da participação acionária detida pela BB Seguridade nos resultados gerados pelas investidas, de acordo com o CPC 18 (R2) </w:t>
      </w:r>
      <w:r>
        <w:rPr>
          <w:rFonts w:cs="Arial"/>
        </w:rPr>
        <w:t xml:space="preserve">[IAS 28] </w:t>
      </w:r>
      <w:r w:rsidRPr="00287C9A">
        <w:rPr>
          <w:rFonts w:cs="Arial"/>
        </w:rPr>
        <w:t>- Investimento em Coligada, em Controlada e em Empreendimento Controlado em Conjunto.</w:t>
      </w:r>
    </w:p>
    <w:p w14:paraId="0BD06598" w14:textId="77777777" w:rsidR="00C00AB2" w:rsidRPr="00287C9A" w:rsidRDefault="00C00AB2" w:rsidP="00C00AB2">
      <w:pPr>
        <w:pStyle w:val="05-Textonormal"/>
        <w:rPr>
          <w:rFonts w:cs="Arial"/>
        </w:rPr>
      </w:pPr>
      <w:r w:rsidRPr="00287C9A">
        <w:rPr>
          <w:rFonts w:cs="Arial"/>
          <w:b/>
          <w:color w:val="1F3864" w:themeColor="accent1" w:themeShade="80"/>
        </w:rPr>
        <w:t>a.2) Receita de comissões</w:t>
      </w:r>
      <w:r w:rsidRPr="00287C9A">
        <w:rPr>
          <w:rFonts w:cs="Arial"/>
        </w:rPr>
        <w:t xml:space="preserve"> – As receitas de comissões são </w:t>
      </w:r>
      <w:r>
        <w:rPr>
          <w:rFonts w:cs="Arial"/>
        </w:rPr>
        <w:t xml:space="preserve">tratadas </w:t>
      </w:r>
      <w:r w:rsidRPr="00287C9A">
        <w:rPr>
          <w:rFonts w:cs="Arial"/>
        </w:rPr>
        <w:t>de</w:t>
      </w:r>
      <w:r w:rsidRPr="001A3272">
        <w:rPr>
          <w:rFonts w:cs="Arial"/>
        </w:rPr>
        <w:t xml:space="preserve"> acordo com </w:t>
      </w:r>
      <w:r>
        <w:rPr>
          <w:rFonts w:cs="Arial"/>
        </w:rPr>
        <w:t>os preceitos d</w:t>
      </w:r>
      <w:r w:rsidRPr="001A3272">
        <w:rPr>
          <w:rFonts w:cs="Arial"/>
        </w:rPr>
        <w:t>o CPC 47 [IFRS15] - Receita de Contrato com Cliente.</w:t>
      </w:r>
      <w:r>
        <w:rPr>
          <w:rFonts w:cs="Arial"/>
        </w:rPr>
        <w:t xml:space="preserve"> São reconhecidas </w:t>
      </w:r>
      <w:r w:rsidRPr="00A001FB">
        <w:rPr>
          <w:rFonts w:cs="Arial"/>
          <w:i/>
          <w:iCs/>
        </w:rPr>
        <w:t>pro rata</w:t>
      </w:r>
      <w:r>
        <w:rPr>
          <w:rFonts w:cs="Arial"/>
        </w:rPr>
        <w:t xml:space="preserve"> dia, de acordo com as características dos produtos envolvidos.</w:t>
      </w:r>
    </w:p>
    <w:p w14:paraId="54D636A2" w14:textId="77777777" w:rsidR="00C00AB2" w:rsidRPr="00287C9A" w:rsidRDefault="00C00AB2" w:rsidP="00C00AB2">
      <w:pPr>
        <w:pStyle w:val="05-Textonormal"/>
        <w:rPr>
          <w:rFonts w:cs="Arial"/>
        </w:rPr>
      </w:pPr>
      <w:r w:rsidRPr="00287C9A">
        <w:rPr>
          <w:rFonts w:cs="Arial"/>
        </w:rPr>
        <w:t>Para o reconhecimento da receita</w:t>
      </w:r>
      <w:r>
        <w:rPr>
          <w:rFonts w:cs="Arial"/>
        </w:rPr>
        <w:t>,</w:t>
      </w:r>
      <w:r w:rsidRPr="00287C9A">
        <w:rPr>
          <w:rFonts w:cs="Arial"/>
        </w:rPr>
        <w:t xml:space="preserve"> a BB </w:t>
      </w:r>
      <w:r>
        <w:rPr>
          <w:rFonts w:cs="Arial"/>
        </w:rPr>
        <w:t>Corretora</w:t>
      </w:r>
      <w:r w:rsidRPr="00287C9A">
        <w:rPr>
          <w:rFonts w:cs="Arial"/>
        </w:rPr>
        <w:t xml:space="preserve"> utiliza o conceito de um modelo de cinco etapas para determinar quando reconhecer a receita: (i) identificação do contrato; (</w:t>
      </w:r>
      <w:proofErr w:type="spellStart"/>
      <w:r w:rsidRPr="00287C9A">
        <w:rPr>
          <w:rFonts w:cs="Arial"/>
        </w:rPr>
        <w:t>ii</w:t>
      </w:r>
      <w:proofErr w:type="spellEnd"/>
      <w:r w:rsidRPr="00287C9A">
        <w:rPr>
          <w:rFonts w:cs="Arial"/>
        </w:rPr>
        <w:t>) identificação das obrigações de desempenho; (</w:t>
      </w:r>
      <w:proofErr w:type="spellStart"/>
      <w:r w:rsidRPr="00287C9A">
        <w:rPr>
          <w:rFonts w:cs="Arial"/>
        </w:rPr>
        <w:t>iii</w:t>
      </w:r>
      <w:proofErr w:type="spellEnd"/>
      <w:r w:rsidRPr="00287C9A">
        <w:rPr>
          <w:rFonts w:cs="Arial"/>
        </w:rPr>
        <w:t>) determinação do preço da transação; (</w:t>
      </w:r>
      <w:proofErr w:type="spellStart"/>
      <w:r w:rsidRPr="00287C9A">
        <w:rPr>
          <w:rFonts w:cs="Arial"/>
        </w:rPr>
        <w:t>iv</w:t>
      </w:r>
      <w:proofErr w:type="spellEnd"/>
      <w:r w:rsidRPr="00287C9A">
        <w:rPr>
          <w:rFonts w:cs="Arial"/>
        </w:rPr>
        <w:t>) alocação do preço da transação</w:t>
      </w:r>
      <w:r>
        <w:rPr>
          <w:rFonts w:cs="Arial"/>
        </w:rPr>
        <w:t>;</w:t>
      </w:r>
      <w:r w:rsidRPr="00287C9A">
        <w:rPr>
          <w:rFonts w:cs="Arial"/>
        </w:rPr>
        <w:t xml:space="preserve"> e (v) reconhecimento da receita.</w:t>
      </w:r>
    </w:p>
    <w:p w14:paraId="38FACA75" w14:textId="77777777" w:rsidR="00C00AB2" w:rsidRPr="00287C9A" w:rsidRDefault="00C00AB2" w:rsidP="00C00AB2">
      <w:pPr>
        <w:pStyle w:val="05-Textonormal"/>
        <w:rPr>
          <w:rFonts w:cs="Arial"/>
        </w:rPr>
      </w:pPr>
      <w:r w:rsidRPr="00287C9A">
        <w:rPr>
          <w:rFonts w:cs="Arial"/>
        </w:rPr>
        <w:t xml:space="preserve">As receitas de comissões são reconhecidas quando (ou à medida que) a entidade satisfizer </w:t>
      </w:r>
      <w:r>
        <w:rPr>
          <w:rFonts w:cs="Arial"/>
        </w:rPr>
        <w:t>a</w:t>
      </w:r>
      <w:r w:rsidRPr="00287C9A">
        <w:rPr>
          <w:rFonts w:cs="Arial"/>
        </w:rPr>
        <w:t xml:space="preserve"> obrigação de desempenho ao transferir o bem ou serviço (ou seja, um ativo) prometido ao cliente. As receitas de comissões são provenientes dos segmentos de seguros de pessoas, ramos elementares, planos de previdência, capitalização e de saúde. Essas receitas são reconhecidas ao longo do tempo (produtos com vigência definida), em que a obrigação de desempenho é diluída de forma linear ao longo da vigência do produto/seguro, ou em momento específico (produtos mensais), em que a obrigação de desempenho ocorre mensalmente, conforme as características dos produtos.</w:t>
      </w:r>
    </w:p>
    <w:p w14:paraId="0835A9AC" w14:textId="77777777" w:rsidR="00C00AB2" w:rsidRPr="00287C9A" w:rsidRDefault="00C00AB2" w:rsidP="00C00AB2">
      <w:pPr>
        <w:pStyle w:val="05-Textonormal"/>
        <w:rPr>
          <w:rFonts w:cs="Arial"/>
        </w:rPr>
      </w:pPr>
      <w:r w:rsidRPr="00287C9A">
        <w:rPr>
          <w:rFonts w:cs="Arial"/>
        </w:rPr>
        <w:t xml:space="preserve">Em casos de devolução de </w:t>
      </w:r>
      <w:r>
        <w:rPr>
          <w:rFonts w:cs="Arial"/>
        </w:rPr>
        <w:t>p</w:t>
      </w:r>
      <w:r w:rsidRPr="00287C9A">
        <w:rPr>
          <w:rFonts w:cs="Arial"/>
        </w:rPr>
        <w:t xml:space="preserve">rêmios aos segurados, a corretora restitui à seguradora a comissão recebida na proporção do valor devolvido em função do período </w:t>
      </w:r>
      <w:r>
        <w:rPr>
          <w:rFonts w:cs="Arial"/>
        </w:rPr>
        <w:t>remanescente</w:t>
      </w:r>
      <w:r w:rsidRPr="00287C9A">
        <w:rPr>
          <w:rFonts w:cs="Arial"/>
        </w:rPr>
        <w:t xml:space="preserve"> da apólice.</w:t>
      </w:r>
    </w:p>
    <w:p w14:paraId="0DBAE3AF" w14:textId="77777777" w:rsidR="00C00AB2" w:rsidRDefault="00C00AB2" w:rsidP="00C00AB2">
      <w:pPr>
        <w:pStyle w:val="05-Textonormal"/>
        <w:rPr>
          <w:rFonts w:cs="Arial"/>
        </w:rPr>
      </w:pPr>
      <w:r w:rsidRPr="00287C9A">
        <w:rPr>
          <w:rFonts w:cs="Arial"/>
        </w:rPr>
        <w:t>Para os seguros cujo fim da vigência não é objetivamente definido (seguros mensais), o pagamento mensal das contraprestações é determinante para a continuidade da vigência das apólices, não cabendo, em geral, devolução de comissões.</w:t>
      </w:r>
    </w:p>
    <w:p w14:paraId="25FA9AB5" w14:textId="0A724978" w:rsidR="00774190" w:rsidRDefault="002B4416" w:rsidP="00C00AB2">
      <w:pPr>
        <w:pStyle w:val="05-Textonormal"/>
        <w:rPr>
          <w:rFonts w:cs="Arial"/>
        </w:rPr>
      </w:pPr>
      <w:r>
        <w:rPr>
          <w:rFonts w:cs="Arial"/>
        </w:rPr>
        <w:t xml:space="preserve">Para os planos de previdência, os valores provenientes de cancelamento são reconhecidos e devolvidos mensalmente. Adicionalmente, há a </w:t>
      </w:r>
      <w:r w:rsidRPr="007D62E4">
        <w:rPr>
          <w:rFonts w:cs="Arial"/>
        </w:rPr>
        <w:t>constituição de provisão para devolução de corretage</w:t>
      </w:r>
      <w:r>
        <w:rPr>
          <w:rFonts w:cs="Arial"/>
        </w:rPr>
        <w:t>m,</w:t>
      </w:r>
      <w:r w:rsidRPr="007D62E4">
        <w:rPr>
          <w:rFonts w:cs="Arial"/>
        </w:rPr>
        <w:t xml:space="preserve"> </w:t>
      </w:r>
      <w:r>
        <w:rPr>
          <w:rFonts w:cs="Arial"/>
        </w:rPr>
        <w:t>estimad</w:t>
      </w:r>
      <w:r w:rsidR="00F97DC7">
        <w:rPr>
          <w:rFonts w:cs="Arial"/>
        </w:rPr>
        <w:t>a</w:t>
      </w:r>
      <w:r>
        <w:rPr>
          <w:rFonts w:cs="Arial"/>
        </w:rPr>
        <w:t xml:space="preserve"> para</w:t>
      </w:r>
      <w:r w:rsidRPr="007D62E4">
        <w:rPr>
          <w:rFonts w:cs="Arial"/>
        </w:rPr>
        <w:t xml:space="preserve"> </w:t>
      </w:r>
      <w:r>
        <w:rPr>
          <w:rFonts w:cs="Arial"/>
        </w:rPr>
        <w:t>futuros c</w:t>
      </w:r>
      <w:r w:rsidRPr="007D62E4">
        <w:rPr>
          <w:rFonts w:cs="Arial"/>
        </w:rPr>
        <w:t>ancelamentos de planos</w:t>
      </w:r>
      <w:r>
        <w:rPr>
          <w:rFonts w:cs="Arial"/>
        </w:rPr>
        <w:t xml:space="preserve"> nos 12 meses subsequentes à data de comercialização, </w:t>
      </w:r>
      <w:r w:rsidRPr="007D62E4">
        <w:rPr>
          <w:rFonts w:cs="Arial"/>
        </w:rPr>
        <w:t>reconheci</w:t>
      </w:r>
      <w:r>
        <w:rPr>
          <w:rFonts w:cs="Arial"/>
        </w:rPr>
        <w:t>da no Passivo Circulante (Outros P</w:t>
      </w:r>
      <w:r w:rsidRPr="007D62E4">
        <w:rPr>
          <w:rFonts w:cs="Arial"/>
        </w:rPr>
        <w:t>assivo</w:t>
      </w:r>
      <w:r>
        <w:rPr>
          <w:rFonts w:cs="Arial"/>
        </w:rPr>
        <w:t>s)</w:t>
      </w:r>
      <w:r w:rsidRPr="007D62E4">
        <w:rPr>
          <w:rFonts w:cs="Arial"/>
        </w:rPr>
        <w:t>.</w:t>
      </w:r>
    </w:p>
    <w:p w14:paraId="55BD6CE4" w14:textId="77777777" w:rsidR="00C00AB2" w:rsidRPr="00287C9A" w:rsidRDefault="00C00AB2" w:rsidP="00C00AB2">
      <w:pPr>
        <w:pStyle w:val="05-Textonormal"/>
        <w:rPr>
          <w:rFonts w:cs="Arial"/>
        </w:rPr>
      </w:pPr>
      <w:r w:rsidRPr="00731D64">
        <w:rPr>
          <w:rFonts w:cs="Arial"/>
        </w:rPr>
        <w:t xml:space="preserve">Para o acompanhamento e controle das comissões de corretagem, a BB </w:t>
      </w:r>
      <w:r>
        <w:rPr>
          <w:rFonts w:cs="Arial"/>
        </w:rPr>
        <w:t>Corretora</w:t>
      </w:r>
      <w:r w:rsidRPr="00731D64">
        <w:rPr>
          <w:rFonts w:cs="Arial"/>
        </w:rPr>
        <w:t xml:space="preserve"> utiliza </w:t>
      </w:r>
      <w:r>
        <w:rPr>
          <w:rFonts w:cs="Arial"/>
        </w:rPr>
        <w:t>um</w:t>
      </w:r>
      <w:r w:rsidRPr="00731D64">
        <w:rPr>
          <w:rFonts w:cs="Arial"/>
        </w:rPr>
        <w:t xml:space="preserve"> sistema ERP (</w:t>
      </w:r>
      <w:r w:rsidRPr="00731D64">
        <w:rPr>
          <w:rFonts w:cs="Arial"/>
          <w:i/>
        </w:rPr>
        <w:t xml:space="preserve">Enterprise </w:t>
      </w:r>
      <w:proofErr w:type="spellStart"/>
      <w:r w:rsidRPr="00731D64">
        <w:rPr>
          <w:rFonts w:cs="Arial"/>
          <w:i/>
        </w:rPr>
        <w:t>Resource</w:t>
      </w:r>
      <w:proofErr w:type="spellEnd"/>
      <w:r w:rsidRPr="00731D64">
        <w:rPr>
          <w:rFonts w:cs="Arial"/>
          <w:i/>
        </w:rPr>
        <w:t xml:space="preserve"> Planning</w:t>
      </w:r>
      <w:r w:rsidRPr="00731D64">
        <w:rPr>
          <w:rFonts w:cs="Arial"/>
        </w:rPr>
        <w:t xml:space="preserve">), que possui módulo específico para as corretagens, denominado </w:t>
      </w:r>
      <w:r>
        <w:rPr>
          <w:rFonts w:cs="Arial"/>
        </w:rPr>
        <w:t>“</w:t>
      </w:r>
      <w:r w:rsidRPr="00731D64">
        <w:rPr>
          <w:rFonts w:cs="Arial"/>
        </w:rPr>
        <w:t>Motor de Cálculo</w:t>
      </w:r>
      <w:r>
        <w:rPr>
          <w:rFonts w:cs="Arial"/>
        </w:rPr>
        <w:t>”</w:t>
      </w:r>
      <w:r w:rsidRPr="00731D64">
        <w:rPr>
          <w:rFonts w:cs="Arial"/>
        </w:rPr>
        <w:t xml:space="preserve">. Tal módulo tem como objetivo receber de forma padronizada todas as informações necessárias das empresas investidas e do Banco do Brasil, permitindo automatizar as análises quantitativas e qualitativas dos processos de operações de vendas e operações de contas a receber dos produtos de </w:t>
      </w:r>
      <w:r w:rsidRPr="00EF0454">
        <w:rPr>
          <w:rFonts w:cs="Arial"/>
        </w:rPr>
        <w:t>seguridade, possibilitando maior controle e conciliação dos valores de corretagem, além de permitir a contabilização de forma automática.</w:t>
      </w:r>
    </w:p>
    <w:p w14:paraId="5F074922" w14:textId="77777777" w:rsidR="00C00AB2" w:rsidRPr="00287C9A" w:rsidRDefault="00C00AB2" w:rsidP="00C00AB2">
      <w:pPr>
        <w:pStyle w:val="05-Textonormal"/>
        <w:rPr>
          <w:rFonts w:cs="Arial"/>
        </w:rPr>
      </w:pPr>
      <w:r w:rsidRPr="00287C9A">
        <w:rPr>
          <w:rFonts w:cs="Arial"/>
          <w:b/>
          <w:color w:val="1F3864" w:themeColor="accent1" w:themeShade="80"/>
        </w:rPr>
        <w:t>a.3) Receitas e despesas financeiras</w:t>
      </w:r>
      <w:r w:rsidRPr="00287C9A">
        <w:rPr>
          <w:rFonts w:cs="Arial"/>
        </w:rPr>
        <w:t xml:space="preserve"> – As receitas e despesas financeiras de instrumentos financeiros decorrentes dos ativos e passivos que rendem e pagam atualização monetária e/ou juros, assim como os valores referentes à atualização a valor justo, são reconhecidas no resultado do </w:t>
      </w:r>
      <w:r>
        <w:rPr>
          <w:rFonts w:cs="Arial"/>
        </w:rPr>
        <w:t>período</w:t>
      </w:r>
      <w:r w:rsidRPr="00287C9A">
        <w:rPr>
          <w:rFonts w:cs="Arial"/>
        </w:rPr>
        <w:t xml:space="preserve"> de acordo com o regime de competência, utilizando-se o método da taxa efetiva de juros, de acordo com o CPC 48</w:t>
      </w:r>
      <w:r>
        <w:rPr>
          <w:rFonts w:cs="Arial"/>
        </w:rPr>
        <w:t xml:space="preserve"> [IFRS 9]</w:t>
      </w:r>
      <w:r w:rsidRPr="00287C9A">
        <w:rPr>
          <w:rFonts w:cs="Arial"/>
        </w:rPr>
        <w:t xml:space="preserve"> – Instrumentos Financeiros.</w:t>
      </w:r>
    </w:p>
    <w:p w14:paraId="358D832E" w14:textId="77777777" w:rsidR="00C00AB2" w:rsidRPr="00287C9A" w:rsidRDefault="00C00AB2" w:rsidP="00C00AB2">
      <w:pPr>
        <w:pStyle w:val="05-Textonormal"/>
        <w:rPr>
          <w:rFonts w:cs="Arial"/>
        </w:rPr>
      </w:pPr>
      <w:r w:rsidRPr="00287C9A">
        <w:rPr>
          <w:rFonts w:cs="Arial"/>
        </w:rPr>
        <w:t>No caso dos instrumentos avaliados a</w:t>
      </w:r>
      <w:r>
        <w:rPr>
          <w:rFonts w:cs="Arial"/>
        </w:rPr>
        <w:t>o</w:t>
      </w:r>
      <w:r w:rsidRPr="00287C9A">
        <w:rPr>
          <w:rFonts w:cs="Arial"/>
        </w:rPr>
        <w:t xml:space="preserve"> valor justo por meio do resultado (conforme alínea c.3 a seguir), a determinação do valor justo é efetuada conforme descrito na alínea c.4.</w:t>
      </w:r>
    </w:p>
    <w:p w14:paraId="10EE4FC9" w14:textId="77777777" w:rsidR="00C00AB2" w:rsidRPr="00AF6165" w:rsidRDefault="00C00AB2" w:rsidP="00C00AB2">
      <w:pPr>
        <w:pStyle w:val="01-TtulodeNota"/>
        <w:rPr>
          <w:rFonts w:cs="Arial"/>
          <w:color w:val="1F3864" w:themeColor="accent1" w:themeShade="80"/>
          <w:sz w:val="18"/>
          <w:szCs w:val="18"/>
        </w:rPr>
      </w:pPr>
      <w:r w:rsidRPr="00AF6165">
        <w:rPr>
          <w:rFonts w:cs="Arial"/>
          <w:color w:val="1F3864" w:themeColor="accent1" w:themeShade="80"/>
          <w:sz w:val="18"/>
          <w:szCs w:val="18"/>
        </w:rPr>
        <w:t>b) Caixa e Equivalentes de Caixa</w:t>
      </w:r>
    </w:p>
    <w:p w14:paraId="21777DDB" w14:textId="77777777" w:rsidR="00C00AB2" w:rsidRPr="00287C9A" w:rsidRDefault="00C00AB2" w:rsidP="00C00AB2">
      <w:pPr>
        <w:pStyle w:val="05-Textonormal"/>
        <w:rPr>
          <w:rFonts w:cs="Arial"/>
        </w:rPr>
      </w:pPr>
      <w:r w:rsidRPr="00287C9A">
        <w:rPr>
          <w:rFonts w:cs="Arial"/>
        </w:rPr>
        <w:t>Caixa e equivalentes de caixa estão representados por disponibilidades em moeda nacional</w:t>
      </w:r>
      <w:r>
        <w:rPr>
          <w:rFonts w:cs="Arial"/>
        </w:rPr>
        <w:t xml:space="preserve"> e</w:t>
      </w:r>
      <w:r w:rsidRPr="00287C9A">
        <w:rPr>
          <w:rFonts w:cs="Arial"/>
        </w:rPr>
        <w:t xml:space="preserve"> aplicações em operações compromissadas, com alta liquidez e risco insignificante de mudança de valor, com prazo de vencimento igual ou inferior a 90 dias.</w:t>
      </w:r>
    </w:p>
    <w:p w14:paraId="0023F801" w14:textId="77777777" w:rsidR="00C00AB2" w:rsidRPr="00AF6165" w:rsidRDefault="00C00AB2" w:rsidP="00E51AC2">
      <w:pPr>
        <w:pStyle w:val="01-TtulodeNota"/>
        <w:pageBreakBefore/>
        <w:rPr>
          <w:rFonts w:cs="Arial"/>
          <w:color w:val="1F3864" w:themeColor="accent1" w:themeShade="80"/>
          <w:sz w:val="18"/>
          <w:szCs w:val="18"/>
        </w:rPr>
      </w:pPr>
      <w:r w:rsidRPr="00AF6165">
        <w:rPr>
          <w:rFonts w:cs="Arial"/>
          <w:color w:val="1F3864" w:themeColor="accent1" w:themeShade="80"/>
          <w:sz w:val="18"/>
          <w:szCs w:val="18"/>
        </w:rPr>
        <w:lastRenderedPageBreak/>
        <w:t>c) Instrumentos Financeiros</w:t>
      </w:r>
    </w:p>
    <w:p w14:paraId="7EEDEFBD" w14:textId="77777777" w:rsidR="00C00AB2" w:rsidRPr="00287C9A" w:rsidRDefault="00C00AB2" w:rsidP="00C00AB2">
      <w:pPr>
        <w:pStyle w:val="05-Textonormal"/>
        <w:rPr>
          <w:rFonts w:cs="Arial"/>
        </w:rPr>
      </w:pPr>
      <w:r w:rsidRPr="00287C9A">
        <w:rPr>
          <w:rFonts w:cs="Arial"/>
        </w:rPr>
        <w:t>Os instrumentos financeiros são classificados em função do modelo de negócios e as características contratuais dos fluxos de caixas dos instrumentos de acordo com o CPC 48</w:t>
      </w:r>
      <w:r>
        <w:rPr>
          <w:rFonts w:cs="Arial"/>
        </w:rPr>
        <w:t xml:space="preserve"> [IFRS 9]</w:t>
      </w:r>
      <w:r w:rsidRPr="00287C9A">
        <w:rPr>
          <w:rFonts w:cs="Arial"/>
        </w:rPr>
        <w:t xml:space="preserve"> – Instrumentos Financeiros.</w:t>
      </w:r>
    </w:p>
    <w:p w14:paraId="09131A67" w14:textId="77777777" w:rsidR="00C00AB2" w:rsidRPr="00287C9A" w:rsidRDefault="00C00AB2" w:rsidP="00C00AB2">
      <w:pPr>
        <w:pStyle w:val="05-Textonormal"/>
        <w:rPr>
          <w:rFonts w:cs="Arial"/>
        </w:rPr>
      </w:pPr>
      <w:r w:rsidRPr="00287C9A">
        <w:rPr>
          <w:rFonts w:cs="Arial"/>
        </w:rPr>
        <w:t>Os instrumentos financeiros são mensurados</w:t>
      </w:r>
      <w:r>
        <w:rPr>
          <w:rFonts w:cs="Arial"/>
        </w:rPr>
        <w:t>,</w:t>
      </w:r>
      <w:r w:rsidRPr="00287C9A">
        <w:rPr>
          <w:rFonts w:cs="Arial"/>
        </w:rPr>
        <w:t xml:space="preserve"> inicialmente</w:t>
      </w:r>
      <w:r>
        <w:rPr>
          <w:rFonts w:cs="Arial"/>
        </w:rPr>
        <w:t>,</w:t>
      </w:r>
      <w:r w:rsidRPr="00287C9A">
        <w:rPr>
          <w:rFonts w:cs="Arial"/>
        </w:rPr>
        <w:t xml:space="preserve"> ao valor justo acrescido do custo da transação, exceto nos casos em que os ativos e passivos financeiros são registrados ao valor justo por meio do resultado.</w:t>
      </w:r>
    </w:p>
    <w:p w14:paraId="3CE8A321" w14:textId="77777777" w:rsidR="00C00AB2" w:rsidRPr="00287C9A" w:rsidRDefault="00C00AB2" w:rsidP="00C00AB2">
      <w:pPr>
        <w:pStyle w:val="05-Textonormal"/>
        <w:rPr>
          <w:rFonts w:cs="Arial"/>
        </w:rPr>
      </w:pPr>
      <w:r w:rsidRPr="00470724">
        <w:rPr>
          <w:rFonts w:cs="Arial"/>
        </w:rPr>
        <w:t>Os ativos e passivos financeiros podem ser classificados em uma das categorias: (i) instrumento financeiro mensurado ao valor justo por meio do resultado; (</w:t>
      </w:r>
      <w:proofErr w:type="spellStart"/>
      <w:r w:rsidRPr="00470724">
        <w:rPr>
          <w:rFonts w:cs="Arial"/>
        </w:rPr>
        <w:t>ii</w:t>
      </w:r>
      <w:proofErr w:type="spellEnd"/>
      <w:r w:rsidRPr="00470724">
        <w:rPr>
          <w:rFonts w:cs="Arial"/>
        </w:rPr>
        <w:t>) instrumento financeiro mensurado ao custo amortizado; e (</w:t>
      </w:r>
      <w:proofErr w:type="spellStart"/>
      <w:r w:rsidRPr="00470724">
        <w:rPr>
          <w:rFonts w:cs="Arial"/>
        </w:rPr>
        <w:t>iii</w:t>
      </w:r>
      <w:proofErr w:type="spellEnd"/>
      <w:r w:rsidRPr="00470724">
        <w:rPr>
          <w:rFonts w:cs="Arial"/>
        </w:rPr>
        <w:t>) instrumento financeiro mensurado ao valor justo por meio de outros resultados abrangentes.</w:t>
      </w:r>
    </w:p>
    <w:p w14:paraId="43C70E4B" w14:textId="77777777" w:rsidR="00C00AB2" w:rsidRDefault="00C00AB2" w:rsidP="00C00AB2">
      <w:pPr>
        <w:pStyle w:val="05-Textonormal"/>
        <w:rPr>
          <w:rFonts w:cs="Arial"/>
        </w:rPr>
      </w:pPr>
      <w:r w:rsidRPr="00287C9A">
        <w:rPr>
          <w:rFonts w:cs="Arial"/>
        </w:rPr>
        <w:t>Os principais instrumentos financeiros da BB Seguridade e suas controladas são títulos e valores mobiliários custodiados no Banco do Brasil (</w:t>
      </w:r>
      <w:r>
        <w:rPr>
          <w:rFonts w:cs="Arial"/>
        </w:rPr>
        <w:t xml:space="preserve">títulos públicos e </w:t>
      </w:r>
      <w:r w:rsidRPr="00287C9A">
        <w:rPr>
          <w:rFonts w:cs="Arial"/>
        </w:rPr>
        <w:t xml:space="preserve">operações </w:t>
      </w:r>
      <w:r w:rsidRPr="00840306">
        <w:rPr>
          <w:rFonts w:cs="Arial"/>
        </w:rPr>
        <w:t>compromissadas</w:t>
      </w:r>
      <w:r>
        <w:rPr>
          <w:rFonts w:cs="Arial"/>
        </w:rPr>
        <w:t xml:space="preserve"> lastreadas por títulos públicos federais</w:t>
      </w:r>
      <w:r w:rsidRPr="00840306">
        <w:rPr>
          <w:rFonts w:cs="Arial"/>
        </w:rPr>
        <w:t>).</w:t>
      </w:r>
      <w:r>
        <w:rPr>
          <w:rFonts w:cs="Arial"/>
        </w:rPr>
        <w:t xml:space="preserve"> </w:t>
      </w:r>
      <w:r w:rsidRPr="00840306">
        <w:rPr>
          <w:rFonts w:cs="Arial"/>
        </w:rPr>
        <w:t xml:space="preserve">No </w:t>
      </w:r>
      <w:r>
        <w:rPr>
          <w:rFonts w:cs="Arial"/>
        </w:rPr>
        <w:t>período</w:t>
      </w:r>
      <w:r w:rsidRPr="00840306">
        <w:rPr>
          <w:rFonts w:cs="Arial"/>
        </w:rPr>
        <w:t>,</w:t>
      </w:r>
      <w:r>
        <w:rPr>
          <w:rFonts w:cs="Arial"/>
        </w:rPr>
        <w:t xml:space="preserve"> não houve</w:t>
      </w:r>
      <w:r w:rsidRPr="00840306">
        <w:rPr>
          <w:rFonts w:cs="Arial"/>
        </w:rPr>
        <w:t xml:space="preserve"> o uso de instrumentos derivativos pel</w:t>
      </w:r>
      <w:r>
        <w:rPr>
          <w:rFonts w:cs="Arial"/>
        </w:rPr>
        <w:t>o</w:t>
      </w:r>
      <w:r w:rsidRPr="00840306">
        <w:rPr>
          <w:rFonts w:cs="Arial"/>
        </w:rPr>
        <w:t xml:space="preserve"> </w:t>
      </w:r>
      <w:r>
        <w:rPr>
          <w:rFonts w:cs="Arial"/>
        </w:rPr>
        <w:t>Grupo</w:t>
      </w:r>
      <w:r w:rsidRPr="00840306">
        <w:rPr>
          <w:rFonts w:cs="Arial"/>
        </w:rPr>
        <w:t>.</w:t>
      </w:r>
    </w:p>
    <w:p w14:paraId="467C1CE7" w14:textId="77777777" w:rsidR="00C00AB2" w:rsidRDefault="00C00AB2" w:rsidP="00C00AB2">
      <w:pPr>
        <w:pStyle w:val="05-Textonormal"/>
        <w:rPr>
          <w:rFonts w:cs="Arial"/>
        </w:rPr>
      </w:pPr>
      <w:r w:rsidRPr="00B47246">
        <w:rPr>
          <w:rFonts w:cs="Arial"/>
        </w:rPr>
        <w:t>Para as operadoras de planos de saúde, a ANS adotou o CPC 48 (IFRS 9) - Instrumentos Financeiros para os períodos iniciados a partir de 2023. Já para as empresas seguradoras, a SUSEP adotou a referida norma, para os períodos iniciados a partir de 2024.</w:t>
      </w:r>
    </w:p>
    <w:p w14:paraId="226D929A" w14:textId="77777777" w:rsidR="00C00AB2" w:rsidRDefault="00C00AB2" w:rsidP="00C00AB2">
      <w:pPr>
        <w:pStyle w:val="05-Textonormal"/>
        <w:rPr>
          <w:rFonts w:cs="Arial"/>
        </w:rPr>
      </w:pPr>
      <w:r w:rsidRPr="00287C9A">
        <w:rPr>
          <w:rFonts w:cs="Arial"/>
          <w:b/>
          <w:color w:val="1F3864" w:themeColor="accent1" w:themeShade="80"/>
        </w:rPr>
        <w:t>c.1) Custo Amortizado</w:t>
      </w:r>
      <w:r w:rsidRPr="00287C9A">
        <w:rPr>
          <w:rFonts w:cs="Arial"/>
          <w:color w:val="1F3864" w:themeColor="accent1" w:themeShade="80"/>
        </w:rPr>
        <w:t xml:space="preserve"> </w:t>
      </w:r>
      <w:r w:rsidRPr="00287C9A">
        <w:rPr>
          <w:rFonts w:cs="Arial"/>
        </w:rPr>
        <w:t xml:space="preserve">– </w:t>
      </w:r>
      <w:bookmarkStart w:id="33" w:name="_Hlk94625156"/>
      <w:r>
        <w:rPr>
          <w:rFonts w:cs="Arial"/>
        </w:rPr>
        <w:t>Classificam-se nesta categoria os ativos financeiros mantidos</w:t>
      </w:r>
      <w:bookmarkEnd w:id="33"/>
      <w:r w:rsidRPr="00287C9A">
        <w:rPr>
          <w:rFonts w:cs="Arial"/>
        </w:rPr>
        <w:t xml:space="preserve"> (i) com o objetivo de recebimento de seu fluxo de caixa contratual e não para venda com realização de lucros ou prejuízos</w:t>
      </w:r>
      <w:r>
        <w:rPr>
          <w:rFonts w:cs="Arial"/>
        </w:rPr>
        <w:t>;</w:t>
      </w:r>
      <w:r w:rsidRPr="00287C9A">
        <w:rPr>
          <w:rFonts w:cs="Arial"/>
        </w:rPr>
        <w:t xml:space="preserve"> e (</w:t>
      </w:r>
      <w:proofErr w:type="spellStart"/>
      <w:r w:rsidRPr="00287C9A">
        <w:rPr>
          <w:rFonts w:cs="Arial"/>
        </w:rPr>
        <w:t>ii</w:t>
      </w:r>
      <w:proofErr w:type="spellEnd"/>
      <w:r w:rsidRPr="00287C9A">
        <w:rPr>
          <w:rFonts w:cs="Arial"/>
        </w:rPr>
        <w:t>) cujos termos contratuais dão origem, em datas especificadas, a fluxos de caixa que constituam, exclusivamente, pagamentos de principal e juros sobre o valor do principal em aberto.</w:t>
      </w:r>
    </w:p>
    <w:p w14:paraId="609DD8C3" w14:textId="77777777" w:rsidR="00C00AB2" w:rsidRPr="00287C9A" w:rsidRDefault="00C00AB2" w:rsidP="00C00AB2">
      <w:pPr>
        <w:pStyle w:val="05-Textonormal"/>
        <w:rPr>
          <w:rFonts w:cs="Arial"/>
        </w:rPr>
      </w:pPr>
      <w:r w:rsidRPr="00F33F73">
        <w:rPr>
          <w:rFonts w:cs="Arial"/>
        </w:rPr>
        <w:t xml:space="preserve">As </w:t>
      </w:r>
      <w:r>
        <w:rPr>
          <w:rFonts w:cs="Arial"/>
        </w:rPr>
        <w:t xml:space="preserve">comissões a receber e as LFTs - Letras Financeiras do Tesouro </w:t>
      </w:r>
      <w:r w:rsidRPr="00F33F73">
        <w:rPr>
          <w:rFonts w:cs="Arial"/>
        </w:rPr>
        <w:t xml:space="preserve">são reconhecidas como ativos financeiros mensurados ao </w:t>
      </w:r>
      <w:r>
        <w:rPr>
          <w:rFonts w:cs="Arial"/>
        </w:rPr>
        <w:t>custo amortizado</w:t>
      </w:r>
      <w:r w:rsidRPr="00F33F73">
        <w:rPr>
          <w:rFonts w:cs="Arial"/>
        </w:rPr>
        <w:t>.</w:t>
      </w:r>
    </w:p>
    <w:p w14:paraId="2291A13C" w14:textId="77777777" w:rsidR="00C00AB2" w:rsidRPr="00287C9A" w:rsidRDefault="00C00AB2" w:rsidP="00C00AB2">
      <w:pPr>
        <w:pStyle w:val="05-Textonormal"/>
        <w:rPr>
          <w:rFonts w:cs="Arial"/>
        </w:rPr>
      </w:pPr>
      <w:r w:rsidRPr="00287C9A">
        <w:rPr>
          <w:rFonts w:cs="Arial"/>
          <w:b/>
          <w:color w:val="1F3864" w:themeColor="accent1" w:themeShade="80"/>
        </w:rPr>
        <w:t>c.2) Valor Justo por meio de Outros Resultados Abrangentes (VJORA)</w:t>
      </w:r>
      <w:r w:rsidRPr="00287C9A">
        <w:rPr>
          <w:rFonts w:cs="Arial"/>
          <w:color w:val="1F3864" w:themeColor="accent1" w:themeShade="80"/>
        </w:rPr>
        <w:t xml:space="preserve"> </w:t>
      </w:r>
      <w:r w:rsidRPr="00287C9A">
        <w:rPr>
          <w:rFonts w:cs="Arial"/>
        </w:rPr>
        <w:t xml:space="preserve">– </w:t>
      </w:r>
      <w:r>
        <w:rPr>
          <w:rFonts w:cs="Arial"/>
        </w:rPr>
        <w:t>Classificam-se nesta categoria os ativos financeiros mantidos</w:t>
      </w:r>
      <w:r w:rsidRPr="00287C9A">
        <w:rPr>
          <w:rFonts w:cs="Arial"/>
        </w:rPr>
        <w:t xml:space="preserve"> (i) tanto para o recebimento de seu fluxo de caixa contratual quanto para a venda com realização de lucros ou prejuízos e (</w:t>
      </w:r>
      <w:proofErr w:type="spellStart"/>
      <w:r w:rsidRPr="00287C9A">
        <w:rPr>
          <w:rFonts w:cs="Arial"/>
        </w:rPr>
        <w:t>ii</w:t>
      </w:r>
      <w:proofErr w:type="spellEnd"/>
      <w:r w:rsidRPr="00287C9A">
        <w:rPr>
          <w:rFonts w:cs="Arial"/>
        </w:rPr>
        <w:t>) cujos termos contratuais dão origem, em datas especificadas, a fluxos de caixa que constituam, exclusivamente, pagamentos de principal e juros sobre o valor do principal em aberto.</w:t>
      </w:r>
    </w:p>
    <w:p w14:paraId="47E33FF5" w14:textId="77777777" w:rsidR="00C00AB2" w:rsidRPr="00287C9A" w:rsidRDefault="00C00AB2" w:rsidP="00C00AB2">
      <w:pPr>
        <w:pStyle w:val="05-Textonormal"/>
        <w:rPr>
          <w:rFonts w:cs="Arial"/>
        </w:rPr>
      </w:pPr>
      <w:r>
        <w:rPr>
          <w:rFonts w:cs="Arial"/>
        </w:rPr>
        <w:t>N</w:t>
      </w:r>
      <w:r w:rsidRPr="00287C9A">
        <w:rPr>
          <w:rFonts w:cs="Arial"/>
        </w:rPr>
        <w:t xml:space="preserve">o </w:t>
      </w:r>
      <w:r>
        <w:rPr>
          <w:rFonts w:cs="Arial"/>
        </w:rPr>
        <w:t>período,</w:t>
      </w:r>
      <w:r w:rsidRPr="00287C9A">
        <w:rPr>
          <w:rFonts w:cs="Arial"/>
        </w:rPr>
        <w:t xml:space="preserve"> </w:t>
      </w:r>
      <w:r>
        <w:rPr>
          <w:rFonts w:cs="Arial"/>
        </w:rPr>
        <w:t>o Grupo</w:t>
      </w:r>
      <w:r w:rsidRPr="00287C9A">
        <w:rPr>
          <w:rFonts w:cs="Arial"/>
        </w:rPr>
        <w:t xml:space="preserve"> não possuía ativos financeiros classificados nessa categoria.</w:t>
      </w:r>
    </w:p>
    <w:p w14:paraId="74196694" w14:textId="77777777" w:rsidR="00C00AB2" w:rsidRPr="00287C9A" w:rsidRDefault="00C00AB2" w:rsidP="00C00AB2">
      <w:pPr>
        <w:pStyle w:val="05-Textonormal"/>
        <w:rPr>
          <w:rFonts w:cs="Arial"/>
        </w:rPr>
      </w:pPr>
      <w:r w:rsidRPr="00287C9A">
        <w:rPr>
          <w:rFonts w:cs="Arial"/>
          <w:b/>
          <w:color w:val="1F3864" w:themeColor="accent1" w:themeShade="80"/>
        </w:rPr>
        <w:t>c.3) Valor Justo por meio do Resultado (VJR)</w:t>
      </w:r>
      <w:r w:rsidRPr="00287C9A">
        <w:rPr>
          <w:rFonts w:cs="Arial"/>
        </w:rPr>
        <w:t xml:space="preserve"> – São classificados nessa categoria os ativos financeiros que não sejam mensurados ao custo amortizado ou ao valor justo por meio de outros resultados abrangentes.</w:t>
      </w:r>
    </w:p>
    <w:p w14:paraId="0D812E09" w14:textId="77777777" w:rsidR="00C00AB2" w:rsidRPr="00287C9A" w:rsidRDefault="00C00AB2" w:rsidP="00C00AB2">
      <w:pPr>
        <w:pStyle w:val="05-Textonormal"/>
        <w:rPr>
          <w:rFonts w:cs="Arial"/>
        </w:rPr>
      </w:pPr>
      <w:r>
        <w:rPr>
          <w:rFonts w:cs="Arial"/>
        </w:rPr>
        <w:t>A</w:t>
      </w:r>
      <w:r w:rsidRPr="00287C9A">
        <w:rPr>
          <w:rFonts w:cs="Arial"/>
        </w:rPr>
        <w:t>s operações compromissadas</w:t>
      </w:r>
      <w:r>
        <w:rPr>
          <w:rFonts w:cs="Arial"/>
        </w:rPr>
        <w:t xml:space="preserve"> </w:t>
      </w:r>
      <w:r w:rsidRPr="00287C9A">
        <w:rPr>
          <w:rFonts w:cs="Arial"/>
        </w:rPr>
        <w:t>são reconhecidas como ativos financeiros mensurados ao valor justo por meio do resultado.</w:t>
      </w:r>
    </w:p>
    <w:p w14:paraId="2FCFC2E5" w14:textId="77777777" w:rsidR="00C00AB2" w:rsidRPr="00287C9A" w:rsidRDefault="00C00AB2" w:rsidP="00C00AB2">
      <w:pPr>
        <w:pStyle w:val="05-Textonormal"/>
        <w:rPr>
          <w:rFonts w:cs="Arial"/>
        </w:rPr>
      </w:pPr>
      <w:r w:rsidRPr="00287C9A">
        <w:rPr>
          <w:rFonts w:cs="Arial"/>
          <w:b/>
          <w:color w:val="1F3864" w:themeColor="accent1" w:themeShade="80"/>
        </w:rPr>
        <w:t>c.4) Determinação do Valor Justo</w:t>
      </w:r>
      <w:r w:rsidRPr="00287C9A">
        <w:rPr>
          <w:rFonts w:cs="Arial"/>
        </w:rPr>
        <w:t xml:space="preserve"> – Valor justo é o preço que seria recebido pela venda de um ativo ou seria pago pela transferência de um passivo em uma transação não forçada entre participantes do mercado na data da mensuração.</w:t>
      </w:r>
    </w:p>
    <w:p w14:paraId="5074AACD" w14:textId="77777777" w:rsidR="00C00AB2" w:rsidRPr="00287C9A" w:rsidRDefault="00C00AB2" w:rsidP="00C00AB2">
      <w:pPr>
        <w:pStyle w:val="05-Textonormal"/>
        <w:rPr>
          <w:rFonts w:cs="Arial"/>
        </w:rPr>
      </w:pPr>
      <w:r w:rsidRPr="00287C9A">
        <w:rPr>
          <w:rFonts w:cs="Arial"/>
        </w:rPr>
        <w:t>O valor justo de instrumentos financeiros negociados em mercados ativos na data-base do balanço é baseado no preço de mercado cotado ou na cotação do preço de balcão (preço de venda para posições compradas ou preço de compra para posições vendidas), sem nenhuma dedução de custo de transação.</w:t>
      </w:r>
    </w:p>
    <w:p w14:paraId="26C94B9F" w14:textId="77777777" w:rsidR="00C00AB2" w:rsidRPr="00287C9A" w:rsidRDefault="00C00AB2" w:rsidP="00C00AB2">
      <w:pPr>
        <w:pStyle w:val="05-Textonormal"/>
        <w:rPr>
          <w:rFonts w:cs="Arial"/>
        </w:rPr>
      </w:pPr>
      <w:r w:rsidRPr="00287C9A">
        <w:rPr>
          <w:rFonts w:cs="Arial"/>
        </w:rPr>
        <w:t>Nas situações em que não existe um preço de mercado para um determinado instrumento financeiro, o seu valor justo é estimado com base em métodos de avaliação comumente utilizados nos mercados financeiros, adequados às características específicas do instrumento e que capturam os diversos riscos aos quais está exposto. Métodos de valoração incluem: o método do fluxo de caixa descontado, comparação a instrumentos financeiros semelhantes para os quais existe um mercado com preços observáveis, modelo de precificação de opções, modelos de crédito e outros modelos de valoração conhecidos.</w:t>
      </w:r>
    </w:p>
    <w:p w14:paraId="1366E1BD" w14:textId="77777777" w:rsidR="00C00AB2" w:rsidRPr="006B52C9" w:rsidRDefault="00C00AB2" w:rsidP="00C00AB2">
      <w:pPr>
        <w:pStyle w:val="05-Textonormal"/>
        <w:rPr>
          <w:rFonts w:cs="Arial"/>
        </w:rPr>
      </w:pPr>
      <w:r w:rsidRPr="00287C9A">
        <w:rPr>
          <w:rFonts w:cs="Arial"/>
        </w:rPr>
        <w:t xml:space="preserve">Os modelos internos de precificação podem envolver algum nível de estimativa e julgamento da Administração cuja </w:t>
      </w:r>
      <w:r w:rsidRPr="006B52C9">
        <w:rPr>
          <w:rFonts w:cs="Arial"/>
        </w:rPr>
        <w:t>intensidade dependerá, entre outros fatores, da complexidade do instrumento financeiro.</w:t>
      </w:r>
    </w:p>
    <w:p w14:paraId="6CEED45E" w14:textId="77777777" w:rsidR="00C00AB2" w:rsidRPr="006B52C9" w:rsidRDefault="00C00AB2" w:rsidP="00C00AB2">
      <w:pPr>
        <w:pStyle w:val="05-Textonormal"/>
        <w:rPr>
          <w:rFonts w:cs="Arial"/>
        </w:rPr>
      </w:pPr>
      <w:r w:rsidRPr="006B52C9">
        <w:rPr>
          <w:rFonts w:cs="Arial"/>
          <w:b/>
          <w:color w:val="1F3864" w:themeColor="accent1" w:themeShade="80"/>
        </w:rPr>
        <w:t>c.5) Passivos financeiros</w:t>
      </w:r>
      <w:r w:rsidRPr="006B52C9">
        <w:rPr>
          <w:rFonts w:cs="Arial"/>
          <w:color w:val="1F3864" w:themeColor="accent1" w:themeShade="80"/>
        </w:rPr>
        <w:t xml:space="preserve"> </w:t>
      </w:r>
      <w:r w:rsidRPr="006B52C9">
        <w:rPr>
          <w:rFonts w:cs="Arial"/>
        </w:rPr>
        <w:t xml:space="preserve">– Um instrumento é classificado como passivo financeiro quando existe uma obrigação contratual de que sua liquidação seja efetuada mediante a entrega de dinheiro ou de outro ativo financeiro, independentemente de sua forma legal.  Passivos financeiros incluem dívidas emitidas de curto e de longo prazo que são inicialmente mensurados ao valor justo, que é o valor recebido líquido dos custos incorridos na transação e, subsequentemente, ao custo amortizado. </w:t>
      </w:r>
    </w:p>
    <w:p w14:paraId="215609A5" w14:textId="77777777" w:rsidR="00C00AB2" w:rsidRPr="00D95F2B" w:rsidRDefault="00C00AB2" w:rsidP="00C00AB2">
      <w:pPr>
        <w:pStyle w:val="01-TtulodeNota"/>
        <w:rPr>
          <w:rFonts w:cs="Arial"/>
          <w:color w:val="1F3864" w:themeColor="accent1" w:themeShade="80"/>
          <w:sz w:val="18"/>
          <w:szCs w:val="18"/>
        </w:rPr>
      </w:pPr>
      <w:r w:rsidRPr="00D95F2B">
        <w:rPr>
          <w:rFonts w:cs="Arial"/>
          <w:color w:val="1F3864" w:themeColor="accent1" w:themeShade="80"/>
          <w:sz w:val="18"/>
          <w:szCs w:val="18"/>
        </w:rPr>
        <w:t>d) Baixa de Ativos Financeiros e de Passivos Financeiros</w:t>
      </w:r>
    </w:p>
    <w:p w14:paraId="7CBCBD34" w14:textId="77777777" w:rsidR="00C00AB2" w:rsidRPr="00D95F2B" w:rsidRDefault="00C00AB2" w:rsidP="00C00AB2">
      <w:pPr>
        <w:pStyle w:val="05-Textonormal"/>
        <w:rPr>
          <w:rFonts w:cs="Arial"/>
        </w:rPr>
      </w:pPr>
      <w:r w:rsidRPr="00D95F2B">
        <w:rPr>
          <w:rFonts w:cs="Arial"/>
          <w:b/>
          <w:color w:val="1F3864" w:themeColor="accent1" w:themeShade="80"/>
        </w:rPr>
        <w:t>d.1) Ativos financeiros</w:t>
      </w:r>
      <w:r w:rsidRPr="00D95F2B">
        <w:rPr>
          <w:rFonts w:cs="Arial"/>
          <w:color w:val="1F3864" w:themeColor="accent1" w:themeShade="80"/>
        </w:rPr>
        <w:t xml:space="preserve"> </w:t>
      </w:r>
      <w:r w:rsidRPr="00D95F2B">
        <w:rPr>
          <w:rFonts w:cs="Arial"/>
        </w:rPr>
        <w:t>– Um ativo financeiro é baixado quando: (i) os direitos contratuais relativos aos respectivos fluxos de caixa expirarem; (</w:t>
      </w:r>
      <w:proofErr w:type="spellStart"/>
      <w:r w:rsidRPr="00D95F2B">
        <w:rPr>
          <w:rFonts w:cs="Arial"/>
        </w:rPr>
        <w:t>ii</w:t>
      </w:r>
      <w:proofErr w:type="spellEnd"/>
      <w:r w:rsidRPr="00D95F2B">
        <w:rPr>
          <w:rFonts w:cs="Arial"/>
        </w:rPr>
        <w:t>) é transferida para terceiros a maioria dos riscos e benefícios associados ao ativo; ou (</w:t>
      </w:r>
      <w:proofErr w:type="spellStart"/>
      <w:r w:rsidRPr="00D95F2B">
        <w:rPr>
          <w:rFonts w:cs="Arial"/>
        </w:rPr>
        <w:t>iii</w:t>
      </w:r>
      <w:proofErr w:type="spellEnd"/>
      <w:r w:rsidRPr="00D95F2B">
        <w:rPr>
          <w:rFonts w:cs="Arial"/>
        </w:rPr>
        <w:t>) quando o controle sobre o ativo é transferido, mesmo tendo retido parte dos riscos e benefícios associados à sua detenção.</w:t>
      </w:r>
    </w:p>
    <w:p w14:paraId="6FB371EB" w14:textId="77777777" w:rsidR="00C00AB2" w:rsidRDefault="00C00AB2" w:rsidP="00E51AC2">
      <w:pPr>
        <w:pStyle w:val="05-Textonormal"/>
        <w:pageBreakBefore/>
        <w:rPr>
          <w:rFonts w:cs="Arial"/>
        </w:rPr>
      </w:pPr>
      <w:r w:rsidRPr="00D95F2B">
        <w:rPr>
          <w:rFonts w:cs="Arial"/>
          <w:b/>
          <w:color w:val="1F3864" w:themeColor="accent1" w:themeShade="80"/>
        </w:rPr>
        <w:lastRenderedPageBreak/>
        <w:t>d.2) Passivos financeiros</w:t>
      </w:r>
      <w:r w:rsidRPr="00D95F2B">
        <w:rPr>
          <w:rFonts w:cs="Arial"/>
        </w:rPr>
        <w:t xml:space="preserve"> – Um passivo financeiro é baixado quando a respectiva obrigação é eliminada, cancelada ou prescrita. Se um passivo financeiro existente é substituído por outro do mesmo credor em termos substancialmente diferentes, ou os termos do passivo existente são substancialmente modificados, tal modificação é tratada como uma baixa do passivo original e o reconhecimento de um novo passivo, e a diferença entre os respectivos valores contábeis é reconhecida no resultado.</w:t>
      </w:r>
    </w:p>
    <w:p w14:paraId="5226324A" w14:textId="77777777" w:rsidR="00C00AB2" w:rsidRPr="00AF6165" w:rsidRDefault="00C00AB2" w:rsidP="00C00AB2">
      <w:pPr>
        <w:pStyle w:val="01-TtulodeNota"/>
        <w:rPr>
          <w:rFonts w:cs="Arial"/>
          <w:color w:val="1F3864" w:themeColor="accent1" w:themeShade="80"/>
          <w:sz w:val="18"/>
          <w:szCs w:val="18"/>
        </w:rPr>
      </w:pPr>
      <w:r w:rsidRPr="00AF6165">
        <w:rPr>
          <w:rFonts w:cs="Arial"/>
          <w:color w:val="1F3864" w:themeColor="accent1" w:themeShade="80"/>
          <w:sz w:val="18"/>
          <w:szCs w:val="18"/>
        </w:rPr>
        <w:t>e) Redução ao Valor Recuperável de Ativos Financeiros – Imparidade</w:t>
      </w:r>
    </w:p>
    <w:p w14:paraId="1E642CB5" w14:textId="77777777" w:rsidR="00C00AB2" w:rsidRPr="00287C9A" w:rsidRDefault="00C00AB2" w:rsidP="00C00AB2">
      <w:pPr>
        <w:pStyle w:val="05-Textonormal"/>
        <w:rPr>
          <w:rFonts w:cs="Arial"/>
        </w:rPr>
      </w:pPr>
      <w:r w:rsidRPr="00287C9A">
        <w:rPr>
          <w:rFonts w:cs="Arial"/>
        </w:rPr>
        <w:t>Para a redução ao valor recuperável de ativos financeiros (imparidade), o CPC 48</w:t>
      </w:r>
      <w:r>
        <w:rPr>
          <w:rFonts w:cs="Arial"/>
        </w:rPr>
        <w:t xml:space="preserve"> [IFRS 9]</w:t>
      </w:r>
      <w:r w:rsidRPr="00287C9A">
        <w:rPr>
          <w:rFonts w:cs="Arial"/>
        </w:rPr>
        <w:t xml:space="preserve"> – Instrumentos Financeiros considera as perdas de crédito esperadas, que são uma estimativa ponderada por probabilidade de perdas de crédito (ou seja, valor presente de todos os déficits de caixa) ao longo da vida esperada do instrumento financeiro. </w:t>
      </w:r>
    </w:p>
    <w:p w14:paraId="0413DDD8" w14:textId="77777777" w:rsidR="00C00AB2" w:rsidRPr="00287C9A" w:rsidRDefault="00C00AB2" w:rsidP="00C00AB2">
      <w:pPr>
        <w:pStyle w:val="05-Textonormal"/>
        <w:rPr>
          <w:rFonts w:cs="Arial"/>
        </w:rPr>
      </w:pPr>
      <w:r w:rsidRPr="00287C9A">
        <w:rPr>
          <w:rFonts w:cs="Arial"/>
        </w:rPr>
        <w:t>O déficit de caixa é a diferença entre os fluxos de caixa devidos à entidade de acordo com o contrato e os fluxos de caixa que a entidade espera receber. Como as perdas de crédito esperadas consideram o valor e a época dos pagamentos, a perda de crédito ocorre mesmo se a entidade espera ser paga integralmente, mas depois do vencimento estipulado pelo contrato.</w:t>
      </w:r>
    </w:p>
    <w:p w14:paraId="093262E4" w14:textId="77777777" w:rsidR="00C00AB2" w:rsidRPr="00287C9A" w:rsidRDefault="00C00AB2" w:rsidP="00C00AB2">
      <w:pPr>
        <w:pStyle w:val="05-Textonormal"/>
        <w:rPr>
          <w:rFonts w:cs="Arial"/>
        </w:rPr>
      </w:pPr>
      <w:r w:rsidRPr="00287C9A">
        <w:rPr>
          <w:rFonts w:cs="Arial"/>
        </w:rPr>
        <w:t>Para a redução ao valor recuperável das comissões a receber foi utilizad</w:t>
      </w:r>
      <w:r>
        <w:rPr>
          <w:rFonts w:cs="Arial"/>
        </w:rPr>
        <w:t>a</w:t>
      </w:r>
      <w:r w:rsidRPr="00287C9A">
        <w:rPr>
          <w:rFonts w:cs="Arial"/>
        </w:rPr>
        <w:t xml:space="preserve"> a abordagem simplificada permitida pelo CPC 48</w:t>
      </w:r>
      <w:r>
        <w:rPr>
          <w:rFonts w:cs="Arial"/>
        </w:rPr>
        <w:t xml:space="preserve"> [IFRS 9]</w:t>
      </w:r>
      <w:r w:rsidRPr="00287C9A">
        <w:rPr>
          <w:rFonts w:cs="Arial"/>
        </w:rPr>
        <w:t xml:space="preserve"> para recebíveis comerciais em que o reconhecimento das perdas de crédito esperadas segue o modelo para a vida inteira do instrumento. </w:t>
      </w:r>
    </w:p>
    <w:p w14:paraId="6D0879E0" w14:textId="77777777" w:rsidR="00C00AB2" w:rsidRPr="00287C9A" w:rsidRDefault="00C00AB2" w:rsidP="00C00AB2">
      <w:pPr>
        <w:pStyle w:val="05-Textonormal"/>
        <w:rPr>
          <w:rFonts w:cs="Arial"/>
        </w:rPr>
      </w:pPr>
      <w:r w:rsidRPr="00287C9A">
        <w:rPr>
          <w:rFonts w:cs="Arial"/>
        </w:rPr>
        <w:t>Anualmente</w:t>
      </w:r>
      <w:r>
        <w:rPr>
          <w:rFonts w:cs="Arial"/>
        </w:rPr>
        <w:t>,</w:t>
      </w:r>
      <w:r w:rsidRPr="00287C9A">
        <w:rPr>
          <w:rFonts w:cs="Arial"/>
        </w:rPr>
        <w:t xml:space="preserve"> ou sempre que houver indicação de que o ativo financeiro possa estar desvalorizado, é avaliado</w:t>
      </w:r>
      <w:r>
        <w:rPr>
          <w:rFonts w:cs="Arial"/>
        </w:rPr>
        <w:t>,</w:t>
      </w:r>
      <w:r w:rsidRPr="00287C9A">
        <w:rPr>
          <w:rFonts w:cs="Arial"/>
        </w:rPr>
        <w:t xml:space="preserve"> na BB Seguridade, se há alguma evidência objetiva de redução ao valor recuperável de seus ativos financeiros, de acordo com o CPC 48</w:t>
      </w:r>
      <w:r>
        <w:rPr>
          <w:rFonts w:cs="Arial"/>
        </w:rPr>
        <w:t xml:space="preserve"> [IFRS 9]</w:t>
      </w:r>
      <w:r w:rsidRPr="00287C9A">
        <w:rPr>
          <w:rFonts w:cs="Arial"/>
        </w:rPr>
        <w:t xml:space="preserve"> – Instrumentos Financeiros.</w:t>
      </w:r>
    </w:p>
    <w:p w14:paraId="7938774A" w14:textId="77777777" w:rsidR="00C00AB2" w:rsidRPr="00287C9A" w:rsidRDefault="00C00AB2" w:rsidP="00C00AB2">
      <w:pPr>
        <w:pStyle w:val="05-Textonormal"/>
        <w:rPr>
          <w:rFonts w:cs="Arial"/>
        </w:rPr>
      </w:pPr>
      <w:r w:rsidRPr="008B5272">
        <w:rPr>
          <w:rFonts w:cs="Arial"/>
        </w:rPr>
        <w:t xml:space="preserve">No </w:t>
      </w:r>
      <w:r>
        <w:rPr>
          <w:rFonts w:cs="Arial"/>
        </w:rPr>
        <w:t xml:space="preserve">período, </w:t>
      </w:r>
      <w:r w:rsidRPr="008B5272">
        <w:rPr>
          <w:rFonts w:cs="Arial"/>
        </w:rPr>
        <w:t>não houve perdas por desvalorização dos ativos financeiros d</w:t>
      </w:r>
      <w:r>
        <w:rPr>
          <w:rFonts w:cs="Arial"/>
        </w:rPr>
        <w:t>o Grupo</w:t>
      </w:r>
      <w:r w:rsidRPr="008B5272">
        <w:rPr>
          <w:rFonts w:cs="Arial"/>
        </w:rPr>
        <w:t xml:space="preserve"> BB Seguridade.</w:t>
      </w:r>
    </w:p>
    <w:p w14:paraId="064547E6" w14:textId="77777777" w:rsidR="00C00AB2" w:rsidRPr="00AF6165" w:rsidRDefault="00C00AB2" w:rsidP="00C00AB2">
      <w:pPr>
        <w:pStyle w:val="01-TtulodeNota"/>
        <w:rPr>
          <w:rFonts w:cs="Arial"/>
          <w:color w:val="1F3864" w:themeColor="accent1" w:themeShade="80"/>
          <w:sz w:val="18"/>
          <w:szCs w:val="18"/>
        </w:rPr>
      </w:pPr>
      <w:r>
        <w:rPr>
          <w:rFonts w:cs="Arial"/>
          <w:color w:val="1F3864" w:themeColor="accent1" w:themeShade="80"/>
          <w:sz w:val="18"/>
          <w:szCs w:val="18"/>
        </w:rPr>
        <w:t>f</w:t>
      </w:r>
      <w:r w:rsidRPr="00AF6165">
        <w:rPr>
          <w:rFonts w:cs="Arial"/>
          <w:color w:val="1F3864" w:themeColor="accent1" w:themeShade="80"/>
          <w:sz w:val="18"/>
          <w:szCs w:val="18"/>
        </w:rPr>
        <w:t>) Ágio e Outros Ativos Intangíveis</w:t>
      </w:r>
    </w:p>
    <w:p w14:paraId="2AE3F954" w14:textId="77777777" w:rsidR="00C00AB2" w:rsidRPr="00287C9A" w:rsidRDefault="00C00AB2" w:rsidP="00C00AB2">
      <w:pPr>
        <w:pStyle w:val="05-Textonormal"/>
        <w:rPr>
          <w:rFonts w:cs="Arial"/>
        </w:rPr>
      </w:pPr>
      <w:r w:rsidRPr="00287C9A">
        <w:rPr>
          <w:rFonts w:cs="Arial"/>
        </w:rPr>
        <w:t>O ágio gerado na aquisição de investimentos em participações societárias é contabilizado considerando a avaliação ao valor justo dos ativos identificáveis e dos passivos assumidos da adquirida na data-base da aquisição e, em conformidade com as normas aplicáveis, não é amortizado. No entanto, ele é testado, no mínimo anualmente, para fins de redução ao valor recuperável. Após o reconhecimento inicial, o ágio é mensurado ao custo menos qualquer perda por redução ao valor recuperável acumulada.</w:t>
      </w:r>
    </w:p>
    <w:p w14:paraId="06E0DCE4" w14:textId="77777777" w:rsidR="00C00AB2" w:rsidRPr="00287C9A" w:rsidRDefault="00C00AB2" w:rsidP="00C00AB2">
      <w:pPr>
        <w:pStyle w:val="05-Textonormal"/>
        <w:rPr>
          <w:rFonts w:cs="Arial"/>
        </w:rPr>
      </w:pPr>
      <w:r w:rsidRPr="00287C9A">
        <w:rPr>
          <w:rFonts w:cs="Arial"/>
        </w:rPr>
        <w:t>Os ativos intangíveis são reconhecidos separadamente do ágio quando são separáveis ou surgem de direitos contratuais ou outros direitos legais, o seu valor justo pode ser mensurado de forma confiável e é provável que os benefícios econômicos futuros esperados sejam transferidos para a BB Seguridade. O custo dos ativos intangíveis adquiridos em uma combinação de negócios é o seu valor justo na data de a</w:t>
      </w:r>
      <w:r>
        <w:rPr>
          <w:rFonts w:cs="Arial"/>
        </w:rPr>
        <w:t>quisição. Os demais ativos intangíveis adquiridos, não vinculados à combinação de negócios,</w:t>
      </w:r>
      <w:r w:rsidRPr="00287C9A">
        <w:rPr>
          <w:rFonts w:cs="Arial"/>
        </w:rPr>
        <w:t xml:space="preserve"> são inicialmente mensurados ao custo.</w:t>
      </w:r>
    </w:p>
    <w:p w14:paraId="7B86D457" w14:textId="77777777" w:rsidR="00C00AB2" w:rsidRPr="00287C9A" w:rsidRDefault="00C00AB2" w:rsidP="00C00AB2">
      <w:pPr>
        <w:pStyle w:val="05-Textonormal"/>
        <w:rPr>
          <w:rFonts w:cs="Arial"/>
        </w:rPr>
      </w:pPr>
      <w:r w:rsidRPr="00287C9A">
        <w:rPr>
          <w:rFonts w:cs="Arial"/>
        </w:rPr>
        <w:t>A vida útil dos ativos intangíveis é considerada definida ou indefinida. Ativos intangíveis de vida útil definida são amortizados ao longo de sua vida econômica. São registrados inicialmente ao custo, deduzido da amortização acumulada e das perdas por redução ao valor recuperável. Ativos intangíveis de vida útil indefinida são registrados ao custo menos qualquer perda por redução ao valor recuperável.</w:t>
      </w:r>
    </w:p>
    <w:p w14:paraId="7E8D12AD" w14:textId="77777777" w:rsidR="00C00AB2" w:rsidRPr="00287C9A" w:rsidRDefault="00C00AB2" w:rsidP="00C00AB2">
      <w:pPr>
        <w:pStyle w:val="05-Textonormal"/>
        <w:rPr>
          <w:rFonts w:cs="Arial"/>
        </w:rPr>
      </w:pPr>
      <w:r w:rsidRPr="00287C9A">
        <w:rPr>
          <w:rFonts w:cs="Arial"/>
        </w:rPr>
        <w:t>O período e método de amortização de um ativo intangível com vida útil definida são revisados no mínimo anualmente. Alterações na vida útil esperada ou proporção de uso esperado dos benefícios futuros incorporados ao ativo são reconhecidas via alteração do período ou método de amortização, quando apropriado, e tratados como alterações em estimativas contábeis.</w:t>
      </w:r>
    </w:p>
    <w:p w14:paraId="05126778" w14:textId="77777777" w:rsidR="00C00AB2" w:rsidRPr="00287C9A" w:rsidRDefault="00C00AB2" w:rsidP="00C00AB2">
      <w:pPr>
        <w:pStyle w:val="05-Textonormal"/>
        <w:rPr>
          <w:rFonts w:cs="Arial"/>
        </w:rPr>
      </w:pPr>
      <w:r w:rsidRPr="00287C9A">
        <w:rPr>
          <w:rFonts w:cs="Arial"/>
        </w:rPr>
        <w:t xml:space="preserve">Os custos incorridos relacionados com a aquisição, produção e desenvolvimento de </w:t>
      </w:r>
      <w:r w:rsidRPr="001A3272">
        <w:rPr>
          <w:rFonts w:cs="Arial"/>
          <w:i/>
          <w:iCs/>
        </w:rPr>
        <w:t>softwares</w:t>
      </w:r>
      <w:r w:rsidRPr="00287C9A">
        <w:rPr>
          <w:rFonts w:cs="Arial"/>
        </w:rPr>
        <w:t xml:space="preserve"> são capitalizados e registrados como ativos intangíveis. Gastos realizados na fase de pesquisa são registrados em despesa.</w:t>
      </w:r>
    </w:p>
    <w:p w14:paraId="2E181A5F" w14:textId="77777777" w:rsidR="00C00AB2" w:rsidRPr="00287C9A" w:rsidRDefault="00C00AB2" w:rsidP="00C00AB2">
      <w:pPr>
        <w:pStyle w:val="05-Textonormal"/>
        <w:rPr>
          <w:rFonts w:cs="Arial"/>
        </w:rPr>
      </w:pPr>
      <w:r w:rsidRPr="00287C9A">
        <w:rPr>
          <w:rFonts w:cs="Arial"/>
        </w:rPr>
        <w:t xml:space="preserve">A despesa de amortização de ativos intangíveis com vida útil definida e as perdas por redução ao valor recuperável são reconhecidas no resultado do </w:t>
      </w:r>
      <w:r>
        <w:rPr>
          <w:rFonts w:cs="Arial"/>
        </w:rPr>
        <w:t>período</w:t>
      </w:r>
      <w:r w:rsidRPr="00287C9A">
        <w:rPr>
          <w:rFonts w:cs="Arial"/>
        </w:rPr>
        <w:t xml:space="preserve"> na linha “Outras” da Demonstração do Resultado.</w:t>
      </w:r>
    </w:p>
    <w:p w14:paraId="6DB875B1" w14:textId="77777777" w:rsidR="00C00AB2" w:rsidRPr="00AF6165" w:rsidRDefault="00C00AB2" w:rsidP="00C00AB2">
      <w:pPr>
        <w:pStyle w:val="01-TtulodeNota"/>
        <w:rPr>
          <w:rFonts w:cs="Arial"/>
          <w:color w:val="1F3864" w:themeColor="accent1" w:themeShade="80"/>
          <w:sz w:val="18"/>
          <w:szCs w:val="18"/>
        </w:rPr>
      </w:pPr>
      <w:r>
        <w:rPr>
          <w:rFonts w:cs="Arial"/>
          <w:color w:val="1F3864" w:themeColor="accent1" w:themeShade="80"/>
          <w:sz w:val="18"/>
          <w:szCs w:val="18"/>
        </w:rPr>
        <w:t>g</w:t>
      </w:r>
      <w:r w:rsidRPr="00AF6165">
        <w:rPr>
          <w:rFonts w:cs="Arial"/>
          <w:color w:val="1F3864" w:themeColor="accent1" w:themeShade="80"/>
          <w:sz w:val="18"/>
          <w:szCs w:val="18"/>
        </w:rPr>
        <w:t>) Redução ao Valor Recuperável de Ativos Não Financeiros – Imparidade</w:t>
      </w:r>
    </w:p>
    <w:p w14:paraId="5887F691" w14:textId="77777777" w:rsidR="00C00AB2" w:rsidRPr="00287C9A" w:rsidRDefault="00C00AB2" w:rsidP="00C00AB2">
      <w:pPr>
        <w:pStyle w:val="05-Textonormal"/>
        <w:rPr>
          <w:rFonts w:cs="Arial"/>
        </w:rPr>
      </w:pPr>
      <w:r w:rsidRPr="00287C9A">
        <w:rPr>
          <w:rFonts w:cs="Arial"/>
        </w:rPr>
        <w:t>Anualmente</w:t>
      </w:r>
      <w:r>
        <w:rPr>
          <w:rFonts w:cs="Arial"/>
        </w:rPr>
        <w:t>,</w:t>
      </w:r>
      <w:r w:rsidRPr="00287C9A">
        <w:rPr>
          <w:rFonts w:cs="Arial"/>
        </w:rPr>
        <w:t xml:space="preserve"> ou sempre que houver indicação de que o ativo possa estar desvalorizado, avalia-se, com base em fontes internas e externas de informação, se há alguma indicação de que um ativo não financeiro possa estar com problemas de recuperabilidade. Se houver essa indicação, o valor recuperável do ativo é estimado. O valor recuperável do ativo é o maior entre o seu valor justo menos os custos para vendê-lo ou o seu valor em uso.</w:t>
      </w:r>
    </w:p>
    <w:p w14:paraId="730B0ED6" w14:textId="77777777" w:rsidR="00C00AB2" w:rsidRPr="00287C9A" w:rsidRDefault="00C00AB2" w:rsidP="00C00AB2">
      <w:pPr>
        <w:pStyle w:val="05-Textonormal"/>
        <w:rPr>
          <w:rFonts w:cs="Arial"/>
        </w:rPr>
      </w:pPr>
      <w:r w:rsidRPr="00287C9A">
        <w:rPr>
          <w:rFonts w:cs="Arial"/>
        </w:rPr>
        <w:t>Independentemente de haver qualquer indicação de redução no valor recuperável, é efetuado, anualmente, o teste de imparidade de um ativo intangível de vida útil indefinida, incluindo o ágio adquirido em uma combinação de negócios, ou de um ativo intangível ainda não disponível para o uso. Esse teste pode ser realizado em qualquer época durante um período anual, desde que seja realizado na mesma época a cada ano.</w:t>
      </w:r>
    </w:p>
    <w:p w14:paraId="0A4512BE" w14:textId="77777777" w:rsidR="00C00AB2" w:rsidRPr="00287C9A" w:rsidRDefault="00C00AB2" w:rsidP="00C00AB2">
      <w:pPr>
        <w:pStyle w:val="05-Textonormal"/>
        <w:rPr>
          <w:rFonts w:cs="Arial"/>
        </w:rPr>
      </w:pPr>
      <w:r w:rsidRPr="00287C9A">
        <w:rPr>
          <w:rFonts w:cs="Arial"/>
        </w:rPr>
        <w:lastRenderedPageBreak/>
        <w:t xml:space="preserve">Na hipótese de o valor recuperável do ativo ser menor que o seu valor contábil, o valor contábil do ativo é reduzido ao seu valor recuperável por meio do registro de uma perda por imparidade, cuja contrapartida é reconhecida no resultado do </w:t>
      </w:r>
      <w:r>
        <w:rPr>
          <w:rFonts w:cs="Arial"/>
        </w:rPr>
        <w:t>período</w:t>
      </w:r>
      <w:r w:rsidRPr="00287C9A">
        <w:rPr>
          <w:rFonts w:cs="Arial"/>
        </w:rPr>
        <w:t xml:space="preserve"> em que ocorrer, em </w:t>
      </w:r>
      <w:r>
        <w:rPr>
          <w:rFonts w:cs="Arial"/>
        </w:rPr>
        <w:t>O</w:t>
      </w:r>
      <w:r w:rsidRPr="00287C9A">
        <w:rPr>
          <w:rFonts w:cs="Arial"/>
        </w:rPr>
        <w:t xml:space="preserve">utras </w:t>
      </w:r>
      <w:r>
        <w:rPr>
          <w:rFonts w:cs="Arial"/>
        </w:rPr>
        <w:t>D</w:t>
      </w:r>
      <w:r w:rsidRPr="00287C9A">
        <w:rPr>
          <w:rFonts w:cs="Arial"/>
        </w:rPr>
        <w:t>espesas/</w:t>
      </w:r>
      <w:r>
        <w:rPr>
          <w:rFonts w:cs="Arial"/>
        </w:rPr>
        <w:t>R</w:t>
      </w:r>
      <w:r w:rsidRPr="00287C9A">
        <w:rPr>
          <w:rFonts w:cs="Arial"/>
        </w:rPr>
        <w:t xml:space="preserve">eceitas </w:t>
      </w:r>
      <w:r>
        <w:rPr>
          <w:rFonts w:cs="Arial"/>
        </w:rPr>
        <w:t>O</w:t>
      </w:r>
      <w:r w:rsidRPr="00287C9A">
        <w:rPr>
          <w:rFonts w:cs="Arial"/>
        </w:rPr>
        <w:t>peracionais.</w:t>
      </w:r>
    </w:p>
    <w:p w14:paraId="16ECC530" w14:textId="77777777" w:rsidR="00C00AB2" w:rsidRPr="00287C9A" w:rsidRDefault="00C00AB2" w:rsidP="00C00AB2">
      <w:pPr>
        <w:pStyle w:val="05-Textonormal"/>
        <w:rPr>
          <w:rFonts w:cs="Arial"/>
        </w:rPr>
      </w:pPr>
      <w:r w:rsidRPr="00287C9A">
        <w:rPr>
          <w:rFonts w:cs="Arial"/>
        </w:rPr>
        <w:t xml:space="preserve">Avalia-se ainda, anualmente, se há qualquer indicação de que uma perda por redução ao valor recuperável reconhecida em </w:t>
      </w:r>
      <w:r>
        <w:rPr>
          <w:rFonts w:cs="Arial"/>
        </w:rPr>
        <w:t>períodos</w:t>
      </w:r>
      <w:r w:rsidRPr="00287C9A">
        <w:rPr>
          <w:rFonts w:cs="Arial"/>
        </w:rPr>
        <w:t xml:space="preserve"> anteriores para um ativo, exceto o</w:t>
      </w:r>
      <w:r>
        <w:rPr>
          <w:rFonts w:cs="Arial"/>
        </w:rPr>
        <w:t>s ativos de vida útil indefinida</w:t>
      </w:r>
      <w:r w:rsidRPr="00287C9A">
        <w:rPr>
          <w:rFonts w:cs="Arial"/>
        </w:rPr>
        <w:t xml:space="preserve">, pode não mais existir ou pode ter diminuído. Se houver essa indicação, o valor recuperável desse ativo é estimado. A reversão de uma perda por redução ao valor recuperável de um ativo será reconhecida imediatamente no resultado do </w:t>
      </w:r>
      <w:r>
        <w:rPr>
          <w:rFonts w:cs="Arial"/>
        </w:rPr>
        <w:t>período</w:t>
      </w:r>
      <w:r w:rsidRPr="00287C9A">
        <w:rPr>
          <w:rFonts w:cs="Arial"/>
        </w:rPr>
        <w:t xml:space="preserve">, como retificadora do saldo de </w:t>
      </w:r>
      <w:r>
        <w:rPr>
          <w:rFonts w:cs="Arial"/>
        </w:rPr>
        <w:t>O</w:t>
      </w:r>
      <w:r w:rsidRPr="00287C9A">
        <w:rPr>
          <w:rFonts w:cs="Arial"/>
        </w:rPr>
        <w:t xml:space="preserve">utras </w:t>
      </w:r>
      <w:r>
        <w:rPr>
          <w:rFonts w:cs="Arial"/>
        </w:rPr>
        <w:t>D</w:t>
      </w:r>
      <w:r w:rsidRPr="00287C9A">
        <w:rPr>
          <w:rFonts w:cs="Arial"/>
        </w:rPr>
        <w:t>espesas/</w:t>
      </w:r>
      <w:r>
        <w:rPr>
          <w:rFonts w:cs="Arial"/>
        </w:rPr>
        <w:t>R</w:t>
      </w:r>
      <w:r w:rsidRPr="00287C9A">
        <w:rPr>
          <w:rFonts w:cs="Arial"/>
        </w:rPr>
        <w:t xml:space="preserve">eceitas </w:t>
      </w:r>
      <w:r>
        <w:rPr>
          <w:rFonts w:cs="Arial"/>
        </w:rPr>
        <w:t>O</w:t>
      </w:r>
      <w:r w:rsidRPr="00287C9A">
        <w:rPr>
          <w:rFonts w:cs="Arial"/>
        </w:rPr>
        <w:t>peracionais.</w:t>
      </w:r>
    </w:p>
    <w:p w14:paraId="6C170A31" w14:textId="77777777" w:rsidR="00C00AB2" w:rsidRPr="00A8629A" w:rsidRDefault="00C00AB2" w:rsidP="00C00AB2">
      <w:pPr>
        <w:pStyle w:val="05-Textonormal"/>
        <w:rPr>
          <w:rFonts w:cs="Arial"/>
        </w:rPr>
      </w:pPr>
      <w:r w:rsidRPr="008B5272">
        <w:rPr>
          <w:rFonts w:cs="Arial"/>
        </w:rPr>
        <w:t xml:space="preserve">No </w:t>
      </w:r>
      <w:r>
        <w:rPr>
          <w:rFonts w:cs="Arial"/>
        </w:rPr>
        <w:t>período,</w:t>
      </w:r>
      <w:r w:rsidRPr="008B5272">
        <w:rPr>
          <w:rFonts w:cs="Arial"/>
        </w:rPr>
        <w:t xml:space="preserve"> não houve perdas por desvalorização d</w:t>
      </w:r>
      <w:r>
        <w:rPr>
          <w:rFonts w:cs="Arial"/>
        </w:rPr>
        <w:t>e ativos não financeiros</w:t>
      </w:r>
      <w:r w:rsidRPr="008B5272">
        <w:rPr>
          <w:rFonts w:cs="Arial"/>
        </w:rPr>
        <w:t xml:space="preserve"> d</w:t>
      </w:r>
      <w:r>
        <w:rPr>
          <w:rFonts w:cs="Arial"/>
        </w:rPr>
        <w:t>o Grupo</w:t>
      </w:r>
      <w:r w:rsidRPr="008B5272">
        <w:rPr>
          <w:rFonts w:cs="Arial"/>
        </w:rPr>
        <w:t xml:space="preserve"> BB Seguridade.</w:t>
      </w:r>
    </w:p>
    <w:p w14:paraId="2FD569F2" w14:textId="40B7F3F6" w:rsidR="00C00AB2" w:rsidRPr="00AF6165" w:rsidRDefault="00C00AB2" w:rsidP="00777149">
      <w:pPr>
        <w:pStyle w:val="01-TtulodeNota"/>
        <w:rPr>
          <w:rFonts w:cs="Arial"/>
          <w:color w:val="1F3864" w:themeColor="accent1" w:themeShade="80"/>
          <w:sz w:val="18"/>
          <w:szCs w:val="18"/>
        </w:rPr>
      </w:pPr>
      <w:r>
        <w:rPr>
          <w:rFonts w:cs="Arial"/>
          <w:color w:val="1F3864" w:themeColor="accent1" w:themeShade="80"/>
          <w:sz w:val="18"/>
          <w:szCs w:val="18"/>
        </w:rPr>
        <w:t>h</w:t>
      </w:r>
      <w:r w:rsidRPr="00AF6165">
        <w:rPr>
          <w:rFonts w:cs="Arial"/>
          <w:color w:val="1F3864" w:themeColor="accent1" w:themeShade="80"/>
          <w:sz w:val="18"/>
          <w:szCs w:val="18"/>
        </w:rPr>
        <w:t>) Investimentos em Participações Societárias</w:t>
      </w:r>
    </w:p>
    <w:p w14:paraId="294E33D8" w14:textId="77777777" w:rsidR="00C00AB2" w:rsidRDefault="00C00AB2" w:rsidP="00C00AB2">
      <w:pPr>
        <w:pStyle w:val="05-Textonormal"/>
        <w:rPr>
          <w:rFonts w:cs="Arial"/>
        </w:rPr>
      </w:pPr>
      <w:r w:rsidRPr="00287C9A">
        <w:rPr>
          <w:rFonts w:cs="Arial"/>
        </w:rPr>
        <w:t>De acordo com o método da equivalência patrimonial, o investimento é mensurado inicialmente ao custo e</w:t>
      </w:r>
      <w:r>
        <w:rPr>
          <w:rFonts w:cs="Arial"/>
        </w:rPr>
        <w:t xml:space="preserve">, </w:t>
      </w:r>
      <w:r w:rsidRPr="00287C9A">
        <w:rPr>
          <w:rFonts w:cs="Arial"/>
        </w:rPr>
        <w:t>posteriormente</w:t>
      </w:r>
      <w:r>
        <w:rPr>
          <w:rFonts w:cs="Arial"/>
        </w:rPr>
        <w:t>, ajustado</w:t>
      </w:r>
      <w:r w:rsidRPr="00287C9A">
        <w:rPr>
          <w:rFonts w:cs="Arial"/>
        </w:rPr>
        <w:t xml:space="preserve"> pelo reconhecimento da parte do investidor nas alterações dos ativos líquidos da investida. Além disso, deve constar no resultado do </w:t>
      </w:r>
      <w:r>
        <w:rPr>
          <w:rFonts w:cs="Arial"/>
        </w:rPr>
        <w:t>período</w:t>
      </w:r>
      <w:r w:rsidRPr="00287C9A">
        <w:rPr>
          <w:rFonts w:cs="Arial"/>
        </w:rPr>
        <w:t xml:space="preserve"> do investidor a parcela que lhe couber nos resultados gerados pela investida, conforme CPC 18 (R2)</w:t>
      </w:r>
      <w:r>
        <w:rPr>
          <w:rFonts w:cs="Arial"/>
        </w:rPr>
        <w:t xml:space="preserve"> [IAS 28]</w:t>
      </w:r>
      <w:r w:rsidRPr="00287C9A">
        <w:rPr>
          <w:rFonts w:cs="Arial"/>
        </w:rPr>
        <w:t xml:space="preserve"> - Investimento em Coligada, em Controlada e em Empreendimento Controlado em Conjunto.</w:t>
      </w:r>
    </w:p>
    <w:p w14:paraId="3827B186" w14:textId="77777777" w:rsidR="00C00AB2" w:rsidRPr="0076385D" w:rsidRDefault="00C00AB2" w:rsidP="00C00AB2">
      <w:pPr>
        <w:pStyle w:val="05-Textonormal"/>
        <w:rPr>
          <w:rFonts w:cs="Arial"/>
        </w:rPr>
      </w:pPr>
      <w:r w:rsidRPr="0076385D">
        <w:rPr>
          <w:rFonts w:cs="Arial"/>
        </w:rPr>
        <w:t xml:space="preserve">Os investimentos em participações societárias nas companhias BB Seguros Participações S.A. e BB Corretora de Seguros e Administradora de Bens S.A. são </w:t>
      </w:r>
      <w:r>
        <w:rPr>
          <w:rFonts w:cs="Arial"/>
        </w:rPr>
        <w:t xml:space="preserve">classificados </w:t>
      </w:r>
      <w:r w:rsidRPr="0076385D">
        <w:rPr>
          <w:rFonts w:cs="Arial"/>
        </w:rPr>
        <w:t>como investimentos em controladas</w:t>
      </w:r>
      <w:r>
        <w:rPr>
          <w:rFonts w:cs="Arial"/>
        </w:rPr>
        <w:t>, avaliados pelo método de equivalência patrimonial, e são consolidados</w:t>
      </w:r>
      <w:r w:rsidRPr="0076385D">
        <w:rPr>
          <w:rFonts w:cs="Arial"/>
        </w:rPr>
        <w:t>.</w:t>
      </w:r>
    </w:p>
    <w:p w14:paraId="65D2232A" w14:textId="77777777" w:rsidR="00C00AB2" w:rsidRPr="00287C9A" w:rsidRDefault="00C00AB2" w:rsidP="00C00AB2">
      <w:pPr>
        <w:pStyle w:val="05-Textonormal"/>
        <w:rPr>
          <w:rFonts w:cs="Arial"/>
        </w:rPr>
      </w:pPr>
      <w:r w:rsidRPr="0076385D">
        <w:rPr>
          <w:rFonts w:cs="Arial"/>
        </w:rPr>
        <w:t xml:space="preserve">Os investimentos em participações societárias nas companhias BB </w:t>
      </w:r>
      <w:r>
        <w:rPr>
          <w:rFonts w:cs="Arial"/>
        </w:rPr>
        <w:t>MAPFRE</w:t>
      </w:r>
      <w:r w:rsidRPr="0076385D">
        <w:rPr>
          <w:rFonts w:cs="Arial"/>
        </w:rPr>
        <w:t xml:space="preserve"> Participações S.A., Brasilprev Seguros e Previdência S.A., </w:t>
      </w:r>
      <w:proofErr w:type="spellStart"/>
      <w:r w:rsidRPr="0076385D">
        <w:rPr>
          <w:rFonts w:cs="Arial"/>
        </w:rPr>
        <w:t>Brasilcap</w:t>
      </w:r>
      <w:proofErr w:type="spellEnd"/>
      <w:r w:rsidRPr="0076385D">
        <w:rPr>
          <w:rFonts w:cs="Arial"/>
        </w:rPr>
        <w:t xml:space="preserve"> Capitalização S.A., </w:t>
      </w:r>
      <w:proofErr w:type="spellStart"/>
      <w:r w:rsidRPr="0076385D">
        <w:rPr>
          <w:rFonts w:cs="Arial"/>
        </w:rPr>
        <w:t>Brasildental</w:t>
      </w:r>
      <w:proofErr w:type="spellEnd"/>
      <w:r w:rsidRPr="0076385D">
        <w:rPr>
          <w:rFonts w:cs="Arial"/>
        </w:rPr>
        <w:t xml:space="preserve"> Operadora de Planos Odontológicos S.A. e </w:t>
      </w:r>
      <w:proofErr w:type="spellStart"/>
      <w:r w:rsidRPr="0076385D">
        <w:rPr>
          <w:rFonts w:cs="Arial"/>
        </w:rPr>
        <w:t>Ciclic</w:t>
      </w:r>
      <w:proofErr w:type="spellEnd"/>
      <w:r w:rsidRPr="0076385D">
        <w:rPr>
          <w:rFonts w:cs="Arial"/>
        </w:rPr>
        <w:t xml:space="preserve"> Corretora de Seguros S.A.</w:t>
      </w:r>
      <w:r w:rsidRPr="009C1D23">
        <w:rPr>
          <w:rFonts w:cs="Arial"/>
        </w:rPr>
        <w:t xml:space="preserve"> </w:t>
      </w:r>
      <w:r w:rsidRPr="0076385D">
        <w:rPr>
          <w:rFonts w:cs="Arial"/>
        </w:rPr>
        <w:t xml:space="preserve">são avaliados pelo método de equivalência patrimonial, sejam </w:t>
      </w:r>
      <w:r>
        <w:rPr>
          <w:rFonts w:cs="Arial"/>
        </w:rPr>
        <w:t xml:space="preserve">aqueles </w:t>
      </w:r>
      <w:r w:rsidRPr="0076385D">
        <w:rPr>
          <w:rFonts w:cs="Arial"/>
        </w:rPr>
        <w:t>classificad</w:t>
      </w:r>
      <w:r>
        <w:rPr>
          <w:rFonts w:cs="Arial"/>
        </w:rPr>
        <w:t>o</w:t>
      </w:r>
      <w:r w:rsidRPr="0076385D">
        <w:rPr>
          <w:rFonts w:cs="Arial"/>
        </w:rPr>
        <w:t>s como investimentos em coligadas ou controladas em conjunto.</w:t>
      </w:r>
    </w:p>
    <w:p w14:paraId="499BF905" w14:textId="77777777" w:rsidR="00C00AB2" w:rsidRDefault="00C00AB2" w:rsidP="00C00AB2">
      <w:pPr>
        <w:pStyle w:val="05-Textonormal"/>
        <w:rPr>
          <w:rFonts w:cs="Arial"/>
        </w:rPr>
      </w:pPr>
      <w:r>
        <w:rPr>
          <w:rFonts w:cs="Arial"/>
        </w:rPr>
        <w:t xml:space="preserve">De acordo com o CPC 18 [IAS 28], o </w:t>
      </w:r>
      <w:r w:rsidRPr="00555317">
        <w:rPr>
          <w:rFonts w:cs="Arial"/>
        </w:rPr>
        <w:t>valor do patrimônio líquido da</w:t>
      </w:r>
      <w:r>
        <w:rPr>
          <w:rFonts w:cs="Arial"/>
        </w:rPr>
        <w:t>s investidas, para fins de aplicação do método de equivalência patrimonial,</w:t>
      </w:r>
      <w:r w:rsidRPr="00555317">
        <w:rPr>
          <w:rFonts w:cs="Arial"/>
        </w:rPr>
        <w:t xml:space="preserve"> será </w:t>
      </w:r>
      <w:r>
        <w:rPr>
          <w:rFonts w:cs="Arial"/>
        </w:rPr>
        <w:t xml:space="preserve">reconhecido </w:t>
      </w:r>
      <w:r w:rsidRPr="00555317">
        <w:rPr>
          <w:rFonts w:cs="Arial"/>
        </w:rPr>
        <w:t xml:space="preserve">com base </w:t>
      </w:r>
      <w:r>
        <w:rPr>
          <w:rFonts w:cs="Arial"/>
        </w:rPr>
        <w:t>no</w:t>
      </w:r>
      <w:r w:rsidRPr="00555317">
        <w:rPr>
          <w:rFonts w:cs="Arial"/>
        </w:rPr>
        <w:t xml:space="preserve"> balanço patrimonial ou balancete de verificação levantado, na mesma data, ou até</w:t>
      </w:r>
      <w:r>
        <w:rPr>
          <w:rFonts w:cs="Arial"/>
        </w:rPr>
        <w:t xml:space="preserve"> dois meses de defasagem. </w:t>
      </w:r>
      <w:r w:rsidRPr="00170274">
        <w:rPr>
          <w:rFonts w:cs="Arial"/>
        </w:rPr>
        <w:t>Em função de questões operacionais, a partir de janeiro de 2023</w:t>
      </w:r>
      <w:r>
        <w:rPr>
          <w:rFonts w:cs="Arial"/>
        </w:rPr>
        <w:t>,</w:t>
      </w:r>
      <w:r w:rsidRPr="00170274">
        <w:rPr>
          <w:rFonts w:cs="Arial"/>
        </w:rPr>
        <w:t xml:space="preserve"> o reconhecimento contábil do investimento na </w:t>
      </w:r>
      <w:proofErr w:type="spellStart"/>
      <w:r w:rsidRPr="00170274">
        <w:rPr>
          <w:rFonts w:cs="Arial"/>
        </w:rPr>
        <w:t>Brasildental</w:t>
      </w:r>
      <w:proofErr w:type="spellEnd"/>
      <w:r w:rsidRPr="00170274">
        <w:rPr>
          <w:rFonts w:cs="Arial"/>
        </w:rPr>
        <w:t>, por meio de equivalência patrimonial, está sendo efetuado com defasagem de um mês. Para as demais empresas, as datas são coincidentes com a data de fechamento contábil do Grupo BB Seguridade.</w:t>
      </w:r>
    </w:p>
    <w:p w14:paraId="7FAD0AD5" w14:textId="1429B238" w:rsidR="00C00AB2" w:rsidRDefault="00C00AB2" w:rsidP="00C00AB2">
      <w:pPr>
        <w:pStyle w:val="05-Textonormal"/>
        <w:rPr>
          <w:rFonts w:cs="Arial"/>
        </w:rPr>
      </w:pPr>
      <w:r w:rsidRPr="00287C9A">
        <w:rPr>
          <w:rFonts w:cs="Arial"/>
        </w:rPr>
        <w:t>Nas situações em que as investidas utilizam práticas contábeis diferentes em eventos e transações de mesma natureza em circunstâncias semelhantes, efetua</w:t>
      </w:r>
      <w:r>
        <w:rPr>
          <w:rFonts w:cs="Arial"/>
        </w:rPr>
        <w:t>m</w:t>
      </w:r>
      <w:r w:rsidRPr="00287C9A">
        <w:rPr>
          <w:rFonts w:cs="Arial"/>
        </w:rPr>
        <w:t>-se os ajustes necessários para adequar as demonstrações contábeis</w:t>
      </w:r>
      <w:r>
        <w:rPr>
          <w:rFonts w:cs="Arial"/>
        </w:rPr>
        <w:t xml:space="preserve"> </w:t>
      </w:r>
      <w:r w:rsidRPr="00287C9A">
        <w:rPr>
          <w:rFonts w:cs="Arial"/>
        </w:rPr>
        <w:t>das investidas às práticas contábeis adotadas pela investidora.</w:t>
      </w:r>
    </w:p>
    <w:p w14:paraId="2C857B4D" w14:textId="77777777" w:rsidR="00C00AB2" w:rsidRPr="00AF6165" w:rsidRDefault="00C00AB2" w:rsidP="00C00AB2">
      <w:pPr>
        <w:pStyle w:val="01-TtulodeNota"/>
        <w:rPr>
          <w:rFonts w:cs="Arial"/>
          <w:color w:val="1F3864" w:themeColor="accent1" w:themeShade="80"/>
          <w:sz w:val="18"/>
          <w:szCs w:val="18"/>
        </w:rPr>
      </w:pPr>
      <w:r>
        <w:rPr>
          <w:rFonts w:cs="Arial"/>
          <w:color w:val="1F3864" w:themeColor="accent1" w:themeShade="80"/>
          <w:sz w:val="18"/>
          <w:szCs w:val="18"/>
        </w:rPr>
        <w:t>i</w:t>
      </w:r>
      <w:r w:rsidRPr="00AF6165">
        <w:rPr>
          <w:rFonts w:cs="Arial"/>
          <w:color w:val="1F3864" w:themeColor="accent1" w:themeShade="80"/>
          <w:sz w:val="18"/>
          <w:szCs w:val="18"/>
        </w:rPr>
        <w:t>) Provisões</w:t>
      </w:r>
      <w:r>
        <w:rPr>
          <w:rFonts w:cs="Arial"/>
          <w:color w:val="1F3864" w:themeColor="accent1" w:themeShade="80"/>
          <w:sz w:val="18"/>
          <w:szCs w:val="18"/>
        </w:rPr>
        <w:t xml:space="preserve"> e</w:t>
      </w:r>
      <w:r w:rsidRPr="00AF6165">
        <w:rPr>
          <w:rFonts w:cs="Arial"/>
          <w:color w:val="1F3864" w:themeColor="accent1" w:themeShade="80"/>
          <w:sz w:val="18"/>
          <w:szCs w:val="18"/>
        </w:rPr>
        <w:t xml:space="preserve"> Passivos Contingentes</w:t>
      </w:r>
    </w:p>
    <w:p w14:paraId="17D7FE6F" w14:textId="77777777" w:rsidR="00C00AB2" w:rsidRPr="00287C9A" w:rsidRDefault="00C00AB2" w:rsidP="00C00AB2">
      <w:pPr>
        <w:pStyle w:val="05-Textonormal"/>
        <w:rPr>
          <w:rFonts w:cs="Arial"/>
        </w:rPr>
      </w:pPr>
      <w:r w:rsidRPr="00287C9A">
        <w:rPr>
          <w:rFonts w:cs="Arial"/>
        </w:rPr>
        <w:t xml:space="preserve">O reconhecimento, a mensuração e a divulgação dos passivos contingentes e obrigações legais são efetuados de acordo com os critérios definidos </w:t>
      </w:r>
      <w:r w:rsidRPr="001A3272">
        <w:rPr>
          <w:rFonts w:cs="Arial"/>
        </w:rPr>
        <w:t>no CPC 25 [IAS 37] – Provisões</w:t>
      </w:r>
      <w:r w:rsidRPr="00287C9A">
        <w:rPr>
          <w:rFonts w:cs="Arial"/>
        </w:rPr>
        <w:t>, Passivos Contingentes e Ativos Contingentes.</w:t>
      </w:r>
    </w:p>
    <w:p w14:paraId="1ED7918D" w14:textId="77777777" w:rsidR="009E7932" w:rsidRDefault="00C00AB2" w:rsidP="00C00AB2">
      <w:pPr>
        <w:pStyle w:val="05-Textonormal"/>
        <w:rPr>
          <w:rFonts w:cs="Arial"/>
        </w:rPr>
      </w:pPr>
      <w:r w:rsidRPr="00287C9A">
        <w:rPr>
          <w:rFonts w:cs="Arial"/>
        </w:rPr>
        <w:t>As provisões relativas aos processos judiciais e administrativos são reconhecid</w:t>
      </w:r>
      <w:r>
        <w:rPr>
          <w:rFonts w:cs="Arial"/>
        </w:rPr>
        <w:t>a</w:t>
      </w:r>
      <w:r w:rsidRPr="00287C9A">
        <w:rPr>
          <w:rFonts w:cs="Arial"/>
        </w:rPr>
        <w:t>s nas demonstrações contábeis</w:t>
      </w:r>
      <w:r>
        <w:rPr>
          <w:rFonts w:cs="Arial"/>
        </w:rPr>
        <w:t xml:space="preserve"> </w:t>
      </w:r>
      <w:r w:rsidRPr="00287C9A">
        <w:rPr>
          <w:rFonts w:cs="Arial"/>
        </w:rPr>
        <w:t xml:space="preserve">quando, com base na análise de assessores jurídicos e da Administração, for considerado provável o risco de perda de uma ação judicial ou administrativa, com uma provável saída de recursos para a liquidação das obrigações e quando os montantes envolvidos forem mensuráveis com suficiente segurança, sendo quantificados quando da citação/notificação judicial e revisadas mensalmente de forma individualizada, assim considerados os processos relativos às causas não usuais ou cujo valor seja relevante sob a análise de assessores jurídicos, </w:t>
      </w:r>
      <w:r>
        <w:rPr>
          <w:rFonts w:cs="Arial"/>
        </w:rPr>
        <w:t>tendo em vista</w:t>
      </w:r>
      <w:r w:rsidRPr="00287C9A">
        <w:rPr>
          <w:rFonts w:cs="Arial"/>
        </w:rPr>
        <w:t xml:space="preserve"> o valor indenizatório pretendido.</w:t>
      </w:r>
    </w:p>
    <w:p w14:paraId="3F561952" w14:textId="39867DD3" w:rsidR="00A90E7D" w:rsidRDefault="00A90E7D" w:rsidP="00913924">
      <w:pPr>
        <w:pStyle w:val="05-Textonormal"/>
        <w:rPr>
          <w:rFonts w:cs="Arial"/>
        </w:rPr>
      </w:pPr>
      <w:r w:rsidRPr="00077946">
        <w:t xml:space="preserve">No exercício 2024, </w:t>
      </w:r>
      <w:r w:rsidR="00913924" w:rsidRPr="00077946">
        <w:t xml:space="preserve">a partir da revisão do comportamento do índice de suficiência das provisões, </w:t>
      </w:r>
      <w:r w:rsidRPr="00077946">
        <w:t xml:space="preserve">houve mudança de estimativa para reconhecimento de provisão </w:t>
      </w:r>
      <w:r w:rsidR="00077946">
        <w:t>de</w:t>
      </w:r>
      <w:r w:rsidRPr="00077946">
        <w:t xml:space="preserve"> aç</w:t>
      </w:r>
      <w:r w:rsidR="00077946">
        <w:t>ões</w:t>
      </w:r>
      <w:r w:rsidRPr="00077946">
        <w:t xml:space="preserve"> judicia</w:t>
      </w:r>
      <w:r w:rsidR="00077946">
        <w:t>is</w:t>
      </w:r>
      <w:r w:rsidRPr="00077946">
        <w:t xml:space="preserve"> ou administrativa</w:t>
      </w:r>
      <w:r w:rsidR="00077946">
        <w:t>s</w:t>
      </w:r>
      <w:r w:rsidRPr="00077946">
        <w:t xml:space="preserve"> com risco de perda provável, </w:t>
      </w:r>
      <w:r w:rsidR="00077946" w:rsidRPr="00077946">
        <w:t>de acordo com os critérios definidos no CPC 23 [IAS 8] – Políticas Contábeis, Mudança de Estimativa e Retificação de Erro, item 34. Os</w:t>
      </w:r>
      <w:r w:rsidRPr="00077946">
        <w:t xml:space="preserve"> impactos contábeis </w:t>
      </w:r>
      <w:r w:rsidR="005D48AF">
        <w:t xml:space="preserve">acrescidos sobre </w:t>
      </w:r>
      <w:r w:rsidR="00AF7E45">
        <w:t xml:space="preserve">as </w:t>
      </w:r>
      <w:r w:rsidR="00DA3E43">
        <w:t xml:space="preserve">provisões a partir da reestimativa </w:t>
      </w:r>
      <w:r w:rsidRPr="00077946">
        <w:t>estão demonstrados no quadro a seguir</w:t>
      </w:r>
      <w:r w:rsidR="00077946" w:rsidRPr="00077946">
        <w:t>:</w:t>
      </w:r>
    </w:p>
    <w:p w14:paraId="08F5392B" w14:textId="77777777" w:rsidR="009E7932" w:rsidRPr="00F85E46" w:rsidRDefault="009E7932" w:rsidP="009E7932">
      <w:pPr>
        <w:pStyle w:val="06-Rmil"/>
      </w:pPr>
      <w:r w:rsidRPr="00F85E46">
        <w:t>R$ mil</w:t>
      </w:r>
    </w:p>
    <w:tbl>
      <w:tblPr>
        <w:tblW w:w="9641" w:type="dxa"/>
        <w:jc w:val="center"/>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7232"/>
        <w:gridCol w:w="283"/>
        <w:gridCol w:w="1063"/>
        <w:gridCol w:w="1063"/>
      </w:tblGrid>
      <w:tr w:rsidR="009E7932" w:rsidRPr="00CC076C" w14:paraId="3CB8ACEC" w14:textId="77777777">
        <w:trPr>
          <w:trHeight w:val="238"/>
          <w:jc w:val="center"/>
        </w:trPr>
        <w:tc>
          <w:tcPr>
            <w:tcW w:w="7232" w:type="dxa"/>
            <w:tcBorders>
              <w:top w:val="single" w:sz="2" w:space="0" w:color="1F3864" w:themeColor="accent1" w:themeShade="80"/>
              <w:bottom w:val="single" w:sz="2" w:space="0" w:color="1F3864" w:themeColor="accent1" w:themeShade="80"/>
            </w:tcBorders>
            <w:shd w:val="clear" w:color="auto" w:fill="auto"/>
            <w:vAlign w:val="center"/>
          </w:tcPr>
          <w:p w14:paraId="429ED633" w14:textId="77777777" w:rsidR="009E7932" w:rsidRPr="00CC076C" w:rsidRDefault="009E7932">
            <w:pPr>
              <w:spacing w:after="0"/>
              <w:rPr>
                <w:rFonts w:ascii="Arial" w:hAnsi="Arial" w:cs="Arial"/>
                <w:b/>
                <w:sz w:val="18"/>
                <w:szCs w:val="18"/>
              </w:rPr>
            </w:pPr>
            <w:r w:rsidRPr="00CC076C">
              <w:rPr>
                <w:rFonts w:ascii="Arial" w:hAnsi="Arial" w:cs="Arial"/>
                <w:b/>
                <w:sz w:val="14"/>
                <w:szCs w:val="18"/>
              </w:rPr>
              <w:t>Natureza</w:t>
            </w:r>
          </w:p>
        </w:tc>
        <w:tc>
          <w:tcPr>
            <w:tcW w:w="283" w:type="dxa"/>
            <w:tcBorders>
              <w:top w:val="single" w:sz="2" w:space="0" w:color="1F3864" w:themeColor="accent1" w:themeShade="80"/>
              <w:bottom w:val="single" w:sz="2" w:space="0" w:color="1F3864" w:themeColor="accent1" w:themeShade="80"/>
            </w:tcBorders>
            <w:shd w:val="clear" w:color="auto" w:fill="auto"/>
            <w:vAlign w:val="center"/>
          </w:tcPr>
          <w:p w14:paraId="628C497A" w14:textId="77777777" w:rsidR="009E7932" w:rsidRPr="00CC076C" w:rsidRDefault="009E7932">
            <w:pPr>
              <w:spacing w:after="0"/>
              <w:rPr>
                <w:rFonts w:ascii="Arial" w:hAnsi="Arial" w:cs="Arial"/>
                <w:b/>
                <w:sz w:val="14"/>
                <w:szCs w:val="18"/>
              </w:rPr>
            </w:pPr>
          </w:p>
        </w:tc>
        <w:tc>
          <w:tcPr>
            <w:tcW w:w="1063" w:type="dxa"/>
            <w:tcBorders>
              <w:top w:val="single" w:sz="2" w:space="0" w:color="1F3864" w:themeColor="accent1" w:themeShade="80"/>
              <w:bottom w:val="single" w:sz="2" w:space="0" w:color="1F3864" w:themeColor="accent1" w:themeShade="80"/>
            </w:tcBorders>
            <w:shd w:val="clear" w:color="auto" w:fill="auto"/>
            <w:vAlign w:val="center"/>
          </w:tcPr>
          <w:p w14:paraId="3AEBBD30" w14:textId="77777777" w:rsidR="009E7932" w:rsidRPr="00CC076C" w:rsidRDefault="009E7932">
            <w:pPr>
              <w:spacing w:after="0"/>
              <w:jc w:val="right"/>
              <w:rPr>
                <w:rFonts w:ascii="Arial" w:hAnsi="Arial" w:cs="Arial"/>
                <w:b/>
                <w:sz w:val="14"/>
                <w:szCs w:val="18"/>
              </w:rPr>
            </w:pPr>
          </w:p>
        </w:tc>
        <w:tc>
          <w:tcPr>
            <w:tcW w:w="1063" w:type="dxa"/>
            <w:tcBorders>
              <w:top w:val="single" w:sz="2" w:space="0" w:color="1F3864" w:themeColor="accent1" w:themeShade="80"/>
              <w:bottom w:val="single" w:sz="2" w:space="0" w:color="1F3864" w:themeColor="accent1" w:themeShade="80"/>
            </w:tcBorders>
            <w:shd w:val="clear" w:color="auto" w:fill="auto"/>
            <w:vAlign w:val="center"/>
          </w:tcPr>
          <w:p w14:paraId="00C5BB8C" w14:textId="77777777" w:rsidR="009E7932" w:rsidRPr="00CC076C" w:rsidRDefault="009E7932">
            <w:pPr>
              <w:spacing w:after="0"/>
              <w:jc w:val="right"/>
              <w:rPr>
                <w:rFonts w:ascii="Arial" w:hAnsi="Arial" w:cs="Arial"/>
                <w:b/>
                <w:sz w:val="14"/>
                <w:szCs w:val="18"/>
              </w:rPr>
            </w:pPr>
            <w:r w:rsidRPr="00CC076C">
              <w:rPr>
                <w:rFonts w:ascii="Arial" w:hAnsi="Arial" w:cs="Arial"/>
                <w:b/>
                <w:sz w:val="14"/>
                <w:szCs w:val="18"/>
              </w:rPr>
              <w:t>Total</w:t>
            </w:r>
          </w:p>
        </w:tc>
      </w:tr>
      <w:tr w:rsidR="009E7932" w:rsidRPr="00C66032" w14:paraId="39F9F10E" w14:textId="77777777">
        <w:trPr>
          <w:trHeight w:val="238"/>
          <w:jc w:val="center"/>
        </w:trPr>
        <w:tc>
          <w:tcPr>
            <w:tcW w:w="7232" w:type="dxa"/>
            <w:tcBorders>
              <w:top w:val="single" w:sz="2" w:space="0" w:color="1F3864" w:themeColor="accent1" w:themeShade="80"/>
            </w:tcBorders>
            <w:shd w:val="clear" w:color="auto" w:fill="auto"/>
            <w:vAlign w:val="center"/>
          </w:tcPr>
          <w:p w14:paraId="13CEA305" w14:textId="77777777" w:rsidR="009E7932" w:rsidRPr="00C66032" w:rsidRDefault="009E7932">
            <w:pPr>
              <w:pStyle w:val="08-Tabelageral"/>
              <w:jc w:val="left"/>
              <w:rPr>
                <w:rFonts w:cs="Arial"/>
                <w:szCs w:val="14"/>
              </w:rPr>
            </w:pPr>
            <w:r>
              <w:rPr>
                <w:rFonts w:cs="Arial"/>
                <w:szCs w:val="14"/>
              </w:rPr>
              <w:t>Cível</w:t>
            </w:r>
          </w:p>
        </w:tc>
        <w:tc>
          <w:tcPr>
            <w:tcW w:w="283" w:type="dxa"/>
            <w:tcBorders>
              <w:top w:val="single" w:sz="2" w:space="0" w:color="1F3864" w:themeColor="accent1" w:themeShade="80"/>
            </w:tcBorders>
            <w:shd w:val="clear" w:color="auto" w:fill="auto"/>
            <w:vAlign w:val="center"/>
          </w:tcPr>
          <w:p w14:paraId="7950A81E" w14:textId="77777777" w:rsidR="009E7932" w:rsidRPr="00C66032" w:rsidRDefault="009E7932">
            <w:pPr>
              <w:pStyle w:val="08-Tabelageral"/>
              <w:rPr>
                <w:rFonts w:cs="Arial"/>
                <w:szCs w:val="14"/>
              </w:rPr>
            </w:pPr>
          </w:p>
        </w:tc>
        <w:tc>
          <w:tcPr>
            <w:tcW w:w="1063" w:type="dxa"/>
            <w:tcBorders>
              <w:top w:val="single" w:sz="2" w:space="0" w:color="1F3864" w:themeColor="accent1" w:themeShade="80"/>
            </w:tcBorders>
            <w:shd w:val="clear" w:color="auto" w:fill="auto"/>
            <w:vAlign w:val="center"/>
          </w:tcPr>
          <w:p w14:paraId="264E74AC" w14:textId="77777777" w:rsidR="009E7932" w:rsidRPr="00C66032" w:rsidRDefault="009E7932">
            <w:pPr>
              <w:pStyle w:val="08-Tabelageral"/>
              <w:rPr>
                <w:rFonts w:cs="Arial"/>
                <w:szCs w:val="14"/>
              </w:rPr>
            </w:pPr>
          </w:p>
        </w:tc>
        <w:tc>
          <w:tcPr>
            <w:tcW w:w="1063" w:type="dxa"/>
            <w:tcBorders>
              <w:top w:val="single" w:sz="2" w:space="0" w:color="1F3864" w:themeColor="accent1" w:themeShade="80"/>
            </w:tcBorders>
            <w:shd w:val="clear" w:color="auto" w:fill="auto"/>
            <w:vAlign w:val="center"/>
          </w:tcPr>
          <w:p w14:paraId="2ADEA202" w14:textId="77777777" w:rsidR="009E7932" w:rsidRPr="00C66032" w:rsidRDefault="009E7932">
            <w:pPr>
              <w:pStyle w:val="08-Tabelageral"/>
            </w:pPr>
            <w:r w:rsidRPr="006B18A7">
              <w:t>5.89</w:t>
            </w:r>
            <w:r>
              <w:t>9</w:t>
            </w:r>
          </w:p>
        </w:tc>
      </w:tr>
      <w:tr w:rsidR="009E7932" w:rsidRPr="00C66032" w14:paraId="4B16DD9C" w14:textId="77777777">
        <w:trPr>
          <w:trHeight w:val="238"/>
          <w:jc w:val="center"/>
        </w:trPr>
        <w:tc>
          <w:tcPr>
            <w:tcW w:w="7232" w:type="dxa"/>
            <w:tcBorders>
              <w:bottom w:val="nil"/>
            </w:tcBorders>
            <w:shd w:val="clear" w:color="auto" w:fill="auto"/>
            <w:vAlign w:val="center"/>
          </w:tcPr>
          <w:p w14:paraId="44A1871E" w14:textId="77777777" w:rsidR="009E7932" w:rsidRPr="00C66032" w:rsidRDefault="009E7932">
            <w:pPr>
              <w:pStyle w:val="08-Tabelageral"/>
              <w:jc w:val="left"/>
              <w:rPr>
                <w:rFonts w:cs="Arial"/>
                <w:szCs w:val="14"/>
              </w:rPr>
            </w:pPr>
            <w:r>
              <w:rPr>
                <w:rFonts w:cs="Arial"/>
                <w:szCs w:val="14"/>
              </w:rPr>
              <w:t>Fiscal</w:t>
            </w:r>
          </w:p>
        </w:tc>
        <w:tc>
          <w:tcPr>
            <w:tcW w:w="283" w:type="dxa"/>
            <w:tcBorders>
              <w:bottom w:val="nil"/>
            </w:tcBorders>
            <w:shd w:val="clear" w:color="auto" w:fill="auto"/>
            <w:vAlign w:val="center"/>
          </w:tcPr>
          <w:p w14:paraId="03C96C5C" w14:textId="77777777" w:rsidR="009E7932" w:rsidRPr="00C66032" w:rsidRDefault="009E7932">
            <w:pPr>
              <w:pStyle w:val="08-Tabelageral"/>
              <w:ind w:left="113"/>
              <w:rPr>
                <w:rFonts w:cs="Arial"/>
                <w:szCs w:val="14"/>
              </w:rPr>
            </w:pPr>
          </w:p>
        </w:tc>
        <w:tc>
          <w:tcPr>
            <w:tcW w:w="1063" w:type="dxa"/>
            <w:tcBorders>
              <w:bottom w:val="nil"/>
            </w:tcBorders>
            <w:shd w:val="clear" w:color="auto" w:fill="auto"/>
            <w:vAlign w:val="center"/>
          </w:tcPr>
          <w:p w14:paraId="614EAC75" w14:textId="77777777" w:rsidR="009E7932" w:rsidRPr="00C66032" w:rsidRDefault="009E7932">
            <w:pPr>
              <w:pStyle w:val="08-Tabelageral"/>
              <w:ind w:left="113"/>
              <w:rPr>
                <w:rFonts w:cs="Arial"/>
                <w:szCs w:val="14"/>
              </w:rPr>
            </w:pPr>
          </w:p>
        </w:tc>
        <w:tc>
          <w:tcPr>
            <w:tcW w:w="1063" w:type="dxa"/>
            <w:tcBorders>
              <w:bottom w:val="nil"/>
            </w:tcBorders>
            <w:shd w:val="clear" w:color="auto" w:fill="auto"/>
            <w:vAlign w:val="center"/>
          </w:tcPr>
          <w:p w14:paraId="223AF6B2" w14:textId="77777777" w:rsidR="009E7932" w:rsidRPr="00C66032" w:rsidRDefault="009E7932">
            <w:pPr>
              <w:pStyle w:val="08-Tabelageral"/>
            </w:pPr>
            <w:r>
              <w:t>31</w:t>
            </w:r>
          </w:p>
        </w:tc>
      </w:tr>
      <w:tr w:rsidR="009E7932" w:rsidRPr="00C66032" w14:paraId="3D4A310A" w14:textId="77777777">
        <w:trPr>
          <w:trHeight w:val="238"/>
          <w:jc w:val="center"/>
        </w:trPr>
        <w:tc>
          <w:tcPr>
            <w:tcW w:w="7232" w:type="dxa"/>
            <w:tcBorders>
              <w:bottom w:val="nil"/>
            </w:tcBorders>
            <w:shd w:val="clear" w:color="auto" w:fill="auto"/>
            <w:vAlign w:val="center"/>
          </w:tcPr>
          <w:p w14:paraId="4740866F" w14:textId="77777777" w:rsidR="009E7932" w:rsidRPr="00C66032" w:rsidRDefault="009E7932">
            <w:pPr>
              <w:pStyle w:val="08-Tabelageral"/>
              <w:jc w:val="left"/>
              <w:rPr>
                <w:rFonts w:cs="Arial"/>
                <w:szCs w:val="14"/>
              </w:rPr>
            </w:pPr>
            <w:r>
              <w:rPr>
                <w:rFonts w:cs="Arial"/>
                <w:szCs w:val="14"/>
              </w:rPr>
              <w:t>Trabalhista</w:t>
            </w:r>
          </w:p>
        </w:tc>
        <w:tc>
          <w:tcPr>
            <w:tcW w:w="283" w:type="dxa"/>
            <w:tcBorders>
              <w:bottom w:val="nil"/>
            </w:tcBorders>
            <w:shd w:val="clear" w:color="auto" w:fill="auto"/>
            <w:vAlign w:val="center"/>
          </w:tcPr>
          <w:p w14:paraId="11722539" w14:textId="77777777" w:rsidR="009E7932" w:rsidRPr="00C66032" w:rsidRDefault="009E7932">
            <w:pPr>
              <w:pStyle w:val="08-Tabelageral"/>
              <w:ind w:left="113"/>
              <w:rPr>
                <w:rFonts w:cs="Arial"/>
                <w:szCs w:val="14"/>
              </w:rPr>
            </w:pPr>
          </w:p>
        </w:tc>
        <w:tc>
          <w:tcPr>
            <w:tcW w:w="1063" w:type="dxa"/>
            <w:tcBorders>
              <w:bottom w:val="nil"/>
            </w:tcBorders>
            <w:shd w:val="clear" w:color="auto" w:fill="auto"/>
            <w:vAlign w:val="center"/>
          </w:tcPr>
          <w:p w14:paraId="630AA777" w14:textId="77777777" w:rsidR="009E7932" w:rsidRPr="00C66032" w:rsidRDefault="009E7932">
            <w:pPr>
              <w:pStyle w:val="08-Tabelageral"/>
              <w:ind w:left="113"/>
            </w:pPr>
          </w:p>
        </w:tc>
        <w:tc>
          <w:tcPr>
            <w:tcW w:w="1063" w:type="dxa"/>
            <w:tcBorders>
              <w:bottom w:val="nil"/>
            </w:tcBorders>
            <w:shd w:val="clear" w:color="auto" w:fill="auto"/>
            <w:vAlign w:val="center"/>
          </w:tcPr>
          <w:p w14:paraId="2AC75D11" w14:textId="77777777" w:rsidR="009E7932" w:rsidRPr="00C66032" w:rsidRDefault="009E7932">
            <w:pPr>
              <w:pStyle w:val="08-Tabelageral"/>
            </w:pPr>
            <w:r>
              <w:t>29</w:t>
            </w:r>
          </w:p>
        </w:tc>
      </w:tr>
      <w:tr w:rsidR="009E7932" w:rsidRPr="00790D6D" w14:paraId="31119130" w14:textId="77777777">
        <w:trPr>
          <w:trHeight w:val="238"/>
          <w:jc w:val="center"/>
        </w:trPr>
        <w:tc>
          <w:tcPr>
            <w:tcW w:w="7232" w:type="dxa"/>
            <w:tcBorders>
              <w:top w:val="nil"/>
              <w:bottom w:val="single" w:sz="2" w:space="0" w:color="1F3864" w:themeColor="accent1" w:themeShade="80"/>
            </w:tcBorders>
            <w:shd w:val="clear" w:color="auto" w:fill="auto"/>
            <w:vAlign w:val="center"/>
          </w:tcPr>
          <w:p w14:paraId="62481AA2" w14:textId="77777777" w:rsidR="009E7932" w:rsidRPr="00790D6D" w:rsidRDefault="009E7932">
            <w:pPr>
              <w:pStyle w:val="08-Tabelageral"/>
              <w:jc w:val="left"/>
              <w:rPr>
                <w:rFonts w:cs="Arial"/>
                <w:b/>
                <w:bCs/>
                <w:szCs w:val="14"/>
              </w:rPr>
            </w:pPr>
            <w:r w:rsidRPr="00790D6D">
              <w:rPr>
                <w:rFonts w:cs="Arial"/>
                <w:b/>
                <w:bCs/>
                <w:szCs w:val="14"/>
              </w:rPr>
              <w:t>Total</w:t>
            </w:r>
          </w:p>
        </w:tc>
        <w:tc>
          <w:tcPr>
            <w:tcW w:w="283" w:type="dxa"/>
            <w:tcBorders>
              <w:top w:val="nil"/>
              <w:bottom w:val="single" w:sz="2" w:space="0" w:color="1F3864" w:themeColor="accent1" w:themeShade="80"/>
            </w:tcBorders>
            <w:shd w:val="clear" w:color="auto" w:fill="auto"/>
            <w:vAlign w:val="center"/>
          </w:tcPr>
          <w:p w14:paraId="03329611" w14:textId="77777777" w:rsidR="009E7932" w:rsidRPr="00790D6D" w:rsidRDefault="009E7932">
            <w:pPr>
              <w:pStyle w:val="08-Tabelageral"/>
              <w:ind w:left="113"/>
              <w:rPr>
                <w:rFonts w:cs="Arial"/>
                <w:b/>
                <w:bCs/>
                <w:szCs w:val="14"/>
              </w:rPr>
            </w:pPr>
          </w:p>
        </w:tc>
        <w:tc>
          <w:tcPr>
            <w:tcW w:w="1063" w:type="dxa"/>
            <w:tcBorders>
              <w:top w:val="nil"/>
              <w:bottom w:val="single" w:sz="2" w:space="0" w:color="1F3864" w:themeColor="accent1" w:themeShade="80"/>
            </w:tcBorders>
            <w:shd w:val="clear" w:color="auto" w:fill="auto"/>
            <w:vAlign w:val="center"/>
          </w:tcPr>
          <w:p w14:paraId="46B3BC27" w14:textId="77777777" w:rsidR="009E7932" w:rsidRPr="00790D6D" w:rsidRDefault="009E7932">
            <w:pPr>
              <w:pStyle w:val="08-Tabelageral"/>
              <w:ind w:left="113"/>
              <w:rPr>
                <w:rFonts w:cs="Arial"/>
                <w:b/>
                <w:bCs/>
                <w:szCs w:val="14"/>
              </w:rPr>
            </w:pPr>
          </w:p>
        </w:tc>
        <w:tc>
          <w:tcPr>
            <w:tcW w:w="1063" w:type="dxa"/>
            <w:tcBorders>
              <w:top w:val="nil"/>
              <w:bottom w:val="single" w:sz="2" w:space="0" w:color="1F3864" w:themeColor="accent1" w:themeShade="80"/>
            </w:tcBorders>
            <w:shd w:val="clear" w:color="auto" w:fill="auto"/>
            <w:vAlign w:val="center"/>
          </w:tcPr>
          <w:p w14:paraId="784603ED" w14:textId="77777777" w:rsidR="009E7932" w:rsidRPr="00790D6D" w:rsidRDefault="009E7932">
            <w:pPr>
              <w:pStyle w:val="08-Tabelageral"/>
              <w:rPr>
                <w:b/>
                <w:bCs/>
              </w:rPr>
            </w:pPr>
            <w:r w:rsidRPr="00AE70F1">
              <w:rPr>
                <w:b/>
                <w:bCs/>
              </w:rPr>
              <w:t>5.959</w:t>
            </w:r>
          </w:p>
        </w:tc>
      </w:tr>
    </w:tbl>
    <w:p w14:paraId="02BE5FEE" w14:textId="77777777" w:rsidR="00C00AB2" w:rsidRPr="00287C9A" w:rsidRDefault="00C00AB2" w:rsidP="00C00AB2">
      <w:pPr>
        <w:pStyle w:val="05-Textonormal"/>
        <w:rPr>
          <w:rFonts w:cs="Arial"/>
        </w:rPr>
      </w:pPr>
      <w:r w:rsidRPr="00287C9A">
        <w:rPr>
          <w:rFonts w:cs="Arial"/>
        </w:rPr>
        <w:t xml:space="preserve">Os passivos contingentes classificados como perdas possíveis não são reconhecidos contabilmente, </w:t>
      </w:r>
      <w:r>
        <w:rPr>
          <w:rFonts w:cs="Arial"/>
        </w:rPr>
        <w:t xml:space="preserve">e são, </w:t>
      </w:r>
      <w:r w:rsidRPr="00287C9A">
        <w:rPr>
          <w:rFonts w:cs="Arial"/>
        </w:rPr>
        <w:t>apenas</w:t>
      </w:r>
      <w:r>
        <w:rPr>
          <w:rFonts w:cs="Arial"/>
        </w:rPr>
        <w:t>,</w:t>
      </w:r>
      <w:r w:rsidRPr="00287C9A">
        <w:rPr>
          <w:rFonts w:cs="Arial"/>
        </w:rPr>
        <w:t xml:space="preserve"> divulgados nas notas explicativas, e os classificados como remotos não requerem provisão e divulgação. </w:t>
      </w:r>
    </w:p>
    <w:p w14:paraId="5C72E282" w14:textId="77777777" w:rsidR="00C00AB2" w:rsidRPr="00AF6165" w:rsidRDefault="00C00AB2" w:rsidP="00BE65E7">
      <w:pPr>
        <w:pStyle w:val="01-TtulodeNota"/>
        <w:keepNext/>
        <w:keepLines/>
        <w:pageBreakBefore/>
        <w:rPr>
          <w:rFonts w:cs="Arial"/>
          <w:color w:val="1F3864" w:themeColor="accent1" w:themeShade="80"/>
          <w:sz w:val="18"/>
          <w:szCs w:val="18"/>
        </w:rPr>
      </w:pPr>
      <w:r>
        <w:rPr>
          <w:rFonts w:cs="Arial"/>
          <w:color w:val="1F3864" w:themeColor="accent1" w:themeShade="80"/>
          <w:sz w:val="18"/>
          <w:szCs w:val="18"/>
        </w:rPr>
        <w:lastRenderedPageBreak/>
        <w:t>j</w:t>
      </w:r>
      <w:r w:rsidRPr="00AF6165">
        <w:rPr>
          <w:rFonts w:cs="Arial"/>
          <w:color w:val="1F3864" w:themeColor="accent1" w:themeShade="80"/>
          <w:sz w:val="18"/>
          <w:szCs w:val="18"/>
        </w:rPr>
        <w:t xml:space="preserve">) </w:t>
      </w:r>
      <w:r>
        <w:rPr>
          <w:rFonts w:cs="Arial"/>
          <w:color w:val="1F3864" w:themeColor="accent1" w:themeShade="80"/>
          <w:sz w:val="18"/>
          <w:szCs w:val="18"/>
        </w:rPr>
        <w:t>Tributos</w:t>
      </w:r>
    </w:p>
    <w:p w14:paraId="3E688625" w14:textId="77777777" w:rsidR="00C00AB2" w:rsidRPr="00287C9A" w:rsidRDefault="00C00AB2" w:rsidP="00C00AB2">
      <w:pPr>
        <w:pStyle w:val="05-Textonormal"/>
        <w:rPr>
          <w:rFonts w:cs="Arial"/>
        </w:rPr>
      </w:pPr>
      <w:r w:rsidRPr="00287C9A">
        <w:rPr>
          <w:rFonts w:cs="Arial"/>
        </w:rPr>
        <w:t>Os tributos são apurados com base nas alíquotas demonstradas no quadro a seguir:</w:t>
      </w:r>
    </w:p>
    <w:tbl>
      <w:tblPr>
        <w:tblW w:w="9500" w:type="dxa"/>
        <w:jc w:val="center"/>
        <w:tblBorders>
          <w:top w:val="single" w:sz="2" w:space="0" w:color="1F3864" w:themeColor="accent1" w:themeShade="80"/>
          <w:bottom w:val="single" w:sz="2" w:space="0" w:color="1F3864" w:themeColor="accent1" w:themeShade="80"/>
        </w:tblBorders>
        <w:tblLayout w:type="fixed"/>
        <w:tblLook w:val="04A0" w:firstRow="1" w:lastRow="0" w:firstColumn="1" w:lastColumn="0" w:noHBand="0" w:noVBand="1"/>
      </w:tblPr>
      <w:tblGrid>
        <w:gridCol w:w="7374"/>
        <w:gridCol w:w="1063"/>
        <w:gridCol w:w="1063"/>
      </w:tblGrid>
      <w:tr w:rsidR="00C00AB2" w:rsidRPr="002643E2" w14:paraId="08EE1E7B" w14:textId="77777777" w:rsidTr="00C00AB2">
        <w:trPr>
          <w:trHeight w:val="238"/>
          <w:jc w:val="center"/>
        </w:trPr>
        <w:tc>
          <w:tcPr>
            <w:tcW w:w="7374" w:type="dxa"/>
            <w:tcBorders>
              <w:top w:val="single" w:sz="2" w:space="0" w:color="1F3864" w:themeColor="accent1" w:themeShade="80"/>
              <w:bottom w:val="single" w:sz="2" w:space="0" w:color="1F3864" w:themeColor="accent1" w:themeShade="80"/>
            </w:tcBorders>
            <w:vAlign w:val="center"/>
          </w:tcPr>
          <w:p w14:paraId="4AEF2005" w14:textId="77777777" w:rsidR="00C00AB2" w:rsidRPr="002643E2" w:rsidRDefault="00C00AB2" w:rsidP="00C00AB2">
            <w:pPr>
              <w:spacing w:after="0"/>
              <w:rPr>
                <w:rFonts w:ascii="Arial" w:hAnsi="Arial" w:cs="Arial"/>
                <w:b/>
                <w:sz w:val="14"/>
                <w:szCs w:val="14"/>
              </w:rPr>
            </w:pPr>
            <w:r w:rsidRPr="002643E2">
              <w:rPr>
                <w:rFonts w:ascii="Arial" w:hAnsi="Arial" w:cs="Arial"/>
                <w:b/>
                <w:sz w:val="14"/>
                <w:szCs w:val="14"/>
              </w:rPr>
              <w:t>Tributos</w:t>
            </w:r>
          </w:p>
        </w:tc>
        <w:tc>
          <w:tcPr>
            <w:tcW w:w="1063" w:type="dxa"/>
            <w:tcBorders>
              <w:top w:val="single" w:sz="2" w:space="0" w:color="1F3864" w:themeColor="accent1" w:themeShade="80"/>
              <w:bottom w:val="single" w:sz="2" w:space="0" w:color="1F3864" w:themeColor="accent1" w:themeShade="80"/>
            </w:tcBorders>
            <w:vAlign w:val="center"/>
          </w:tcPr>
          <w:p w14:paraId="52AC2CD8" w14:textId="77777777" w:rsidR="00C00AB2" w:rsidRPr="002643E2" w:rsidRDefault="00C00AB2" w:rsidP="00C00AB2">
            <w:pPr>
              <w:spacing w:after="0"/>
              <w:jc w:val="right"/>
              <w:rPr>
                <w:rFonts w:ascii="Arial" w:hAnsi="Arial" w:cs="Arial"/>
                <w:b/>
                <w:sz w:val="14"/>
                <w:szCs w:val="14"/>
              </w:rPr>
            </w:pPr>
            <w:r>
              <w:rPr>
                <w:rFonts w:ascii="Arial" w:hAnsi="Arial" w:cs="Arial"/>
                <w:b/>
                <w:sz w:val="14"/>
                <w:szCs w:val="14"/>
              </w:rPr>
              <w:t>31.12.2024</w:t>
            </w:r>
          </w:p>
        </w:tc>
        <w:tc>
          <w:tcPr>
            <w:tcW w:w="1063" w:type="dxa"/>
            <w:tcBorders>
              <w:top w:val="single" w:sz="2" w:space="0" w:color="1F3864" w:themeColor="accent1" w:themeShade="80"/>
              <w:bottom w:val="single" w:sz="2" w:space="0" w:color="1F3864" w:themeColor="accent1" w:themeShade="80"/>
            </w:tcBorders>
            <w:vAlign w:val="center"/>
          </w:tcPr>
          <w:p w14:paraId="324129D2" w14:textId="77777777" w:rsidR="00C00AB2" w:rsidRPr="002643E2" w:rsidRDefault="00C00AB2" w:rsidP="00C00AB2">
            <w:pPr>
              <w:spacing w:after="0"/>
              <w:jc w:val="right"/>
              <w:rPr>
                <w:rFonts w:ascii="Arial" w:hAnsi="Arial" w:cs="Arial"/>
                <w:b/>
                <w:sz w:val="14"/>
                <w:szCs w:val="14"/>
              </w:rPr>
            </w:pPr>
            <w:r>
              <w:rPr>
                <w:rFonts w:ascii="Arial" w:hAnsi="Arial" w:cs="Arial"/>
                <w:b/>
                <w:sz w:val="14"/>
                <w:szCs w:val="14"/>
              </w:rPr>
              <w:t>31.12.2023</w:t>
            </w:r>
          </w:p>
        </w:tc>
      </w:tr>
      <w:tr w:rsidR="00C00AB2" w:rsidRPr="00287C9A" w14:paraId="4AE8CF3D" w14:textId="77777777" w:rsidTr="00C00AB2">
        <w:trPr>
          <w:trHeight w:val="238"/>
          <w:jc w:val="center"/>
        </w:trPr>
        <w:tc>
          <w:tcPr>
            <w:tcW w:w="7374" w:type="dxa"/>
            <w:tcBorders>
              <w:top w:val="single" w:sz="2" w:space="0" w:color="1F3864" w:themeColor="accent1" w:themeShade="80"/>
            </w:tcBorders>
            <w:vAlign w:val="center"/>
          </w:tcPr>
          <w:p w14:paraId="32140936" w14:textId="77777777" w:rsidR="00C00AB2" w:rsidRPr="00287C9A" w:rsidRDefault="00C00AB2" w:rsidP="00C00AB2">
            <w:pPr>
              <w:pStyle w:val="08-Tabelageral"/>
              <w:jc w:val="left"/>
              <w:rPr>
                <w:rFonts w:cs="Arial"/>
                <w:b/>
                <w:szCs w:val="14"/>
              </w:rPr>
            </w:pPr>
            <w:r w:rsidRPr="00287C9A">
              <w:rPr>
                <w:rFonts w:cs="Arial"/>
                <w:szCs w:val="14"/>
              </w:rPr>
              <w:t xml:space="preserve">Imposto de Renda Pessoa Jurídica (IRPJ) </w:t>
            </w:r>
            <w:r w:rsidRPr="00287C9A">
              <w:rPr>
                <w:rFonts w:cs="Arial"/>
                <w:szCs w:val="14"/>
                <w:vertAlign w:val="superscript"/>
              </w:rPr>
              <w:t>(1)</w:t>
            </w:r>
          </w:p>
        </w:tc>
        <w:tc>
          <w:tcPr>
            <w:tcW w:w="1063" w:type="dxa"/>
            <w:tcBorders>
              <w:top w:val="single" w:sz="2" w:space="0" w:color="1F3864" w:themeColor="accent1" w:themeShade="80"/>
            </w:tcBorders>
            <w:vAlign w:val="center"/>
          </w:tcPr>
          <w:p w14:paraId="45B21CC1" w14:textId="77777777" w:rsidR="00C00AB2" w:rsidRPr="00287C9A" w:rsidRDefault="00C00AB2" w:rsidP="00C00AB2">
            <w:pPr>
              <w:pStyle w:val="08-Tabelageral"/>
              <w:rPr>
                <w:rFonts w:cs="Arial"/>
                <w:b/>
                <w:szCs w:val="14"/>
              </w:rPr>
            </w:pPr>
            <w:r w:rsidRPr="00287C9A">
              <w:rPr>
                <w:rFonts w:cs="Arial"/>
                <w:szCs w:val="14"/>
              </w:rPr>
              <w:t>25%</w:t>
            </w:r>
          </w:p>
        </w:tc>
        <w:tc>
          <w:tcPr>
            <w:tcW w:w="1063" w:type="dxa"/>
            <w:tcBorders>
              <w:top w:val="single" w:sz="2" w:space="0" w:color="1F3864" w:themeColor="accent1" w:themeShade="80"/>
            </w:tcBorders>
            <w:vAlign w:val="center"/>
          </w:tcPr>
          <w:p w14:paraId="5D060488" w14:textId="77777777" w:rsidR="00C00AB2" w:rsidRPr="00287C9A" w:rsidRDefault="00C00AB2" w:rsidP="00C00AB2">
            <w:pPr>
              <w:pStyle w:val="08-Tabelageral"/>
              <w:rPr>
                <w:rFonts w:cs="Arial"/>
                <w:b/>
                <w:szCs w:val="14"/>
              </w:rPr>
            </w:pPr>
            <w:r w:rsidRPr="00287C9A">
              <w:rPr>
                <w:rFonts w:cs="Arial"/>
                <w:szCs w:val="14"/>
              </w:rPr>
              <w:t>25%</w:t>
            </w:r>
          </w:p>
        </w:tc>
      </w:tr>
      <w:tr w:rsidR="00C00AB2" w:rsidRPr="00287C9A" w14:paraId="6474F4B1" w14:textId="77777777" w:rsidTr="00C00AB2">
        <w:trPr>
          <w:trHeight w:val="238"/>
          <w:jc w:val="center"/>
        </w:trPr>
        <w:tc>
          <w:tcPr>
            <w:tcW w:w="7374" w:type="dxa"/>
            <w:vAlign w:val="center"/>
          </w:tcPr>
          <w:p w14:paraId="60633E56" w14:textId="77777777" w:rsidR="00C00AB2" w:rsidRPr="00287C9A" w:rsidRDefault="00C00AB2" w:rsidP="00C00AB2">
            <w:pPr>
              <w:pStyle w:val="08-Tabelageral"/>
              <w:jc w:val="left"/>
              <w:rPr>
                <w:rFonts w:cs="Arial"/>
                <w:b/>
                <w:szCs w:val="14"/>
              </w:rPr>
            </w:pPr>
            <w:r w:rsidRPr="00287C9A">
              <w:rPr>
                <w:rFonts w:cs="Arial"/>
                <w:szCs w:val="14"/>
              </w:rPr>
              <w:t>Contribuição Social sobre o Lucro Líquido (CSLL)</w:t>
            </w:r>
          </w:p>
        </w:tc>
        <w:tc>
          <w:tcPr>
            <w:tcW w:w="1063" w:type="dxa"/>
            <w:vAlign w:val="center"/>
          </w:tcPr>
          <w:p w14:paraId="5A5B47A7" w14:textId="77777777" w:rsidR="00C00AB2" w:rsidRPr="00287C9A" w:rsidRDefault="00C00AB2" w:rsidP="00C00AB2">
            <w:pPr>
              <w:pStyle w:val="08-Tabelageral"/>
              <w:ind w:left="113"/>
              <w:rPr>
                <w:rFonts w:cs="Arial"/>
                <w:szCs w:val="14"/>
              </w:rPr>
            </w:pPr>
            <w:r w:rsidRPr="00287C9A">
              <w:rPr>
                <w:rFonts w:cs="Arial"/>
                <w:szCs w:val="14"/>
              </w:rPr>
              <w:t>9%</w:t>
            </w:r>
          </w:p>
        </w:tc>
        <w:tc>
          <w:tcPr>
            <w:tcW w:w="1063" w:type="dxa"/>
            <w:vAlign w:val="center"/>
          </w:tcPr>
          <w:p w14:paraId="7AD8A669" w14:textId="77777777" w:rsidR="00C00AB2" w:rsidRPr="00287C9A" w:rsidRDefault="00C00AB2" w:rsidP="00C00AB2">
            <w:pPr>
              <w:pStyle w:val="08-Tabelageral"/>
              <w:rPr>
                <w:rFonts w:cs="Arial"/>
                <w:szCs w:val="14"/>
              </w:rPr>
            </w:pPr>
            <w:r w:rsidRPr="00287C9A">
              <w:rPr>
                <w:rFonts w:cs="Arial"/>
                <w:szCs w:val="14"/>
              </w:rPr>
              <w:t>9%</w:t>
            </w:r>
          </w:p>
        </w:tc>
      </w:tr>
      <w:tr w:rsidR="00C00AB2" w:rsidRPr="00287C9A" w14:paraId="15B6CEDE" w14:textId="77777777" w:rsidTr="00C00AB2">
        <w:trPr>
          <w:trHeight w:val="238"/>
          <w:jc w:val="center"/>
        </w:trPr>
        <w:tc>
          <w:tcPr>
            <w:tcW w:w="7374" w:type="dxa"/>
            <w:vAlign w:val="center"/>
          </w:tcPr>
          <w:p w14:paraId="75DC0F87" w14:textId="77777777" w:rsidR="00C00AB2" w:rsidRPr="00287C9A" w:rsidRDefault="00C00AB2" w:rsidP="00C00AB2">
            <w:pPr>
              <w:pStyle w:val="08-Tabelageral"/>
              <w:jc w:val="left"/>
              <w:rPr>
                <w:rFonts w:cs="Arial"/>
                <w:b/>
                <w:szCs w:val="14"/>
              </w:rPr>
            </w:pPr>
            <w:r w:rsidRPr="00287C9A">
              <w:rPr>
                <w:rFonts w:cs="Arial"/>
                <w:szCs w:val="14"/>
              </w:rPr>
              <w:t>Contribuição ao PIS/Pasep</w:t>
            </w:r>
          </w:p>
        </w:tc>
        <w:tc>
          <w:tcPr>
            <w:tcW w:w="1063" w:type="dxa"/>
            <w:vAlign w:val="center"/>
          </w:tcPr>
          <w:p w14:paraId="164C9718" w14:textId="77777777" w:rsidR="00C00AB2" w:rsidRPr="00287C9A" w:rsidRDefault="00C00AB2" w:rsidP="00C00AB2">
            <w:pPr>
              <w:pStyle w:val="08-Tabelageral"/>
              <w:ind w:left="113"/>
              <w:rPr>
                <w:rFonts w:cs="Arial"/>
                <w:szCs w:val="14"/>
              </w:rPr>
            </w:pPr>
            <w:r w:rsidRPr="00287C9A">
              <w:rPr>
                <w:rFonts w:cs="Arial"/>
                <w:szCs w:val="14"/>
              </w:rPr>
              <w:t>1,65%</w:t>
            </w:r>
          </w:p>
        </w:tc>
        <w:tc>
          <w:tcPr>
            <w:tcW w:w="1063" w:type="dxa"/>
            <w:vAlign w:val="center"/>
          </w:tcPr>
          <w:p w14:paraId="134D40AC" w14:textId="77777777" w:rsidR="00C00AB2" w:rsidRPr="00287C9A" w:rsidRDefault="00C00AB2" w:rsidP="00C00AB2">
            <w:pPr>
              <w:pStyle w:val="08-Tabelageral"/>
              <w:rPr>
                <w:rFonts w:cs="Arial"/>
                <w:szCs w:val="14"/>
              </w:rPr>
            </w:pPr>
            <w:r w:rsidRPr="00287C9A">
              <w:rPr>
                <w:rFonts w:cs="Arial"/>
                <w:szCs w:val="14"/>
              </w:rPr>
              <w:t>1,65%</w:t>
            </w:r>
          </w:p>
        </w:tc>
      </w:tr>
      <w:tr w:rsidR="00C00AB2" w:rsidRPr="00287C9A" w14:paraId="625ED27B" w14:textId="77777777" w:rsidTr="00C00AB2">
        <w:trPr>
          <w:trHeight w:val="238"/>
          <w:jc w:val="center"/>
        </w:trPr>
        <w:tc>
          <w:tcPr>
            <w:tcW w:w="7374" w:type="dxa"/>
            <w:vAlign w:val="center"/>
          </w:tcPr>
          <w:p w14:paraId="212ADFF6" w14:textId="77777777" w:rsidR="00C00AB2" w:rsidRPr="00287C9A" w:rsidRDefault="00C00AB2" w:rsidP="00C00AB2">
            <w:pPr>
              <w:pStyle w:val="08-Tabelageral"/>
              <w:jc w:val="left"/>
              <w:rPr>
                <w:rFonts w:cs="Arial"/>
                <w:b/>
                <w:szCs w:val="14"/>
              </w:rPr>
            </w:pPr>
            <w:r w:rsidRPr="00287C9A">
              <w:rPr>
                <w:rFonts w:cs="Arial"/>
                <w:szCs w:val="14"/>
              </w:rPr>
              <w:t>Contribuição para o Financiamento da Seguridade Social (</w:t>
            </w:r>
            <w:proofErr w:type="spellStart"/>
            <w:r w:rsidRPr="00287C9A">
              <w:rPr>
                <w:rFonts w:cs="Arial"/>
                <w:szCs w:val="14"/>
              </w:rPr>
              <w:t>Cofins</w:t>
            </w:r>
            <w:proofErr w:type="spellEnd"/>
            <w:r w:rsidRPr="00287C9A">
              <w:rPr>
                <w:rFonts w:cs="Arial"/>
                <w:szCs w:val="14"/>
              </w:rPr>
              <w:t>)</w:t>
            </w:r>
          </w:p>
        </w:tc>
        <w:tc>
          <w:tcPr>
            <w:tcW w:w="1063" w:type="dxa"/>
            <w:vAlign w:val="center"/>
          </w:tcPr>
          <w:p w14:paraId="04DE9485" w14:textId="77777777" w:rsidR="00C00AB2" w:rsidRPr="00287C9A" w:rsidRDefault="00C00AB2" w:rsidP="00C00AB2">
            <w:pPr>
              <w:pStyle w:val="08-Tabelageral"/>
              <w:ind w:left="113"/>
              <w:rPr>
                <w:rFonts w:cs="Arial"/>
                <w:szCs w:val="14"/>
              </w:rPr>
            </w:pPr>
            <w:r w:rsidRPr="00287C9A">
              <w:rPr>
                <w:rFonts w:cs="Arial"/>
                <w:szCs w:val="14"/>
              </w:rPr>
              <w:t>7,60%</w:t>
            </w:r>
          </w:p>
        </w:tc>
        <w:tc>
          <w:tcPr>
            <w:tcW w:w="1063" w:type="dxa"/>
            <w:vAlign w:val="center"/>
          </w:tcPr>
          <w:p w14:paraId="69F475F9" w14:textId="77777777" w:rsidR="00C00AB2" w:rsidRPr="00287C9A" w:rsidRDefault="00C00AB2" w:rsidP="00C00AB2">
            <w:pPr>
              <w:pStyle w:val="08-Tabelageral"/>
              <w:rPr>
                <w:rFonts w:cs="Arial"/>
                <w:szCs w:val="14"/>
              </w:rPr>
            </w:pPr>
            <w:r w:rsidRPr="00287C9A">
              <w:rPr>
                <w:rFonts w:cs="Arial"/>
                <w:szCs w:val="14"/>
              </w:rPr>
              <w:t>7,60%</w:t>
            </w:r>
          </w:p>
        </w:tc>
      </w:tr>
      <w:tr w:rsidR="00C00AB2" w:rsidRPr="00287C9A" w14:paraId="40A1B9BB" w14:textId="77777777" w:rsidTr="00C00AB2">
        <w:trPr>
          <w:trHeight w:val="238"/>
          <w:jc w:val="center"/>
        </w:trPr>
        <w:tc>
          <w:tcPr>
            <w:tcW w:w="7374" w:type="dxa"/>
            <w:vAlign w:val="center"/>
          </w:tcPr>
          <w:p w14:paraId="6ABDB0A4" w14:textId="77777777" w:rsidR="00C00AB2" w:rsidRPr="00287C9A" w:rsidRDefault="00C00AB2" w:rsidP="00C00AB2">
            <w:pPr>
              <w:pStyle w:val="08-Tabelageral"/>
              <w:jc w:val="left"/>
              <w:rPr>
                <w:rFonts w:cs="Arial"/>
                <w:b/>
                <w:szCs w:val="14"/>
              </w:rPr>
            </w:pPr>
            <w:r w:rsidRPr="00287C9A">
              <w:rPr>
                <w:rFonts w:cs="Arial"/>
                <w:szCs w:val="14"/>
              </w:rPr>
              <w:t>Contribuição ao PIS/Pasep</w:t>
            </w:r>
            <w:r>
              <w:rPr>
                <w:rFonts w:cs="Arial"/>
                <w:szCs w:val="14"/>
              </w:rPr>
              <w:t xml:space="preserve"> sobre rendimentos de aplicações financeiras</w:t>
            </w:r>
          </w:p>
        </w:tc>
        <w:tc>
          <w:tcPr>
            <w:tcW w:w="1063" w:type="dxa"/>
            <w:vAlign w:val="center"/>
          </w:tcPr>
          <w:p w14:paraId="0A2E7C5E" w14:textId="77777777" w:rsidR="00C00AB2" w:rsidRPr="00287C9A" w:rsidRDefault="00C00AB2" w:rsidP="00C00AB2">
            <w:pPr>
              <w:pStyle w:val="08-Tabelageral"/>
              <w:ind w:left="113"/>
              <w:rPr>
                <w:rFonts w:cs="Arial"/>
                <w:szCs w:val="14"/>
              </w:rPr>
            </w:pPr>
            <w:r w:rsidRPr="00287C9A">
              <w:rPr>
                <w:rFonts w:cs="Arial"/>
                <w:szCs w:val="14"/>
              </w:rPr>
              <w:t>0,65%</w:t>
            </w:r>
          </w:p>
        </w:tc>
        <w:tc>
          <w:tcPr>
            <w:tcW w:w="1063" w:type="dxa"/>
            <w:vAlign w:val="center"/>
          </w:tcPr>
          <w:p w14:paraId="3465CE22" w14:textId="77777777" w:rsidR="00C00AB2" w:rsidRPr="00287C9A" w:rsidRDefault="00C00AB2" w:rsidP="00C00AB2">
            <w:pPr>
              <w:pStyle w:val="08-Tabelageral"/>
              <w:rPr>
                <w:rFonts w:cs="Arial"/>
                <w:szCs w:val="14"/>
              </w:rPr>
            </w:pPr>
            <w:r w:rsidRPr="00287C9A">
              <w:rPr>
                <w:rFonts w:cs="Arial"/>
                <w:szCs w:val="14"/>
              </w:rPr>
              <w:t>0,65%</w:t>
            </w:r>
          </w:p>
        </w:tc>
      </w:tr>
      <w:tr w:rsidR="00C00AB2" w:rsidRPr="00287C9A" w14:paraId="3352177D" w14:textId="77777777" w:rsidTr="00C00AB2">
        <w:trPr>
          <w:trHeight w:val="238"/>
          <w:jc w:val="center"/>
        </w:trPr>
        <w:tc>
          <w:tcPr>
            <w:tcW w:w="7374" w:type="dxa"/>
            <w:vAlign w:val="center"/>
          </w:tcPr>
          <w:p w14:paraId="175F0A6F" w14:textId="77777777" w:rsidR="00C00AB2" w:rsidRPr="00287C9A" w:rsidRDefault="00C00AB2" w:rsidP="00C00AB2">
            <w:pPr>
              <w:pStyle w:val="08-Tabelageral"/>
              <w:jc w:val="left"/>
              <w:rPr>
                <w:rFonts w:cs="Arial"/>
                <w:b/>
                <w:szCs w:val="14"/>
              </w:rPr>
            </w:pPr>
            <w:r w:rsidRPr="00287C9A">
              <w:rPr>
                <w:rFonts w:cs="Arial"/>
                <w:szCs w:val="14"/>
              </w:rPr>
              <w:t>Contribuição para o Financiamento da Seguridade Social (</w:t>
            </w:r>
            <w:proofErr w:type="spellStart"/>
            <w:r w:rsidRPr="00287C9A">
              <w:rPr>
                <w:rFonts w:cs="Arial"/>
                <w:szCs w:val="14"/>
              </w:rPr>
              <w:t>Cofins</w:t>
            </w:r>
            <w:proofErr w:type="spellEnd"/>
            <w:r w:rsidRPr="00287C9A">
              <w:rPr>
                <w:rFonts w:cs="Arial"/>
                <w:szCs w:val="14"/>
              </w:rPr>
              <w:t>)</w:t>
            </w:r>
            <w:r>
              <w:rPr>
                <w:rFonts w:cs="Arial"/>
                <w:szCs w:val="14"/>
              </w:rPr>
              <w:t xml:space="preserve"> s/rendimentos de aplicações financeiras</w:t>
            </w:r>
          </w:p>
        </w:tc>
        <w:tc>
          <w:tcPr>
            <w:tcW w:w="1063" w:type="dxa"/>
            <w:vAlign w:val="center"/>
          </w:tcPr>
          <w:p w14:paraId="34201373" w14:textId="77777777" w:rsidR="00C00AB2" w:rsidRPr="00287C9A" w:rsidRDefault="00C00AB2" w:rsidP="00C00AB2">
            <w:pPr>
              <w:pStyle w:val="08-Tabelageral"/>
              <w:ind w:left="113"/>
              <w:rPr>
                <w:rFonts w:cs="Arial"/>
                <w:szCs w:val="14"/>
              </w:rPr>
            </w:pPr>
            <w:r w:rsidRPr="00287C9A">
              <w:rPr>
                <w:rFonts w:cs="Arial"/>
                <w:szCs w:val="14"/>
              </w:rPr>
              <w:t>4%</w:t>
            </w:r>
          </w:p>
        </w:tc>
        <w:tc>
          <w:tcPr>
            <w:tcW w:w="1063" w:type="dxa"/>
            <w:vAlign w:val="center"/>
          </w:tcPr>
          <w:p w14:paraId="4D96F56C" w14:textId="77777777" w:rsidR="00C00AB2" w:rsidRPr="00287C9A" w:rsidRDefault="00C00AB2" w:rsidP="00C00AB2">
            <w:pPr>
              <w:pStyle w:val="08-Tabelageral"/>
              <w:rPr>
                <w:rFonts w:cs="Arial"/>
                <w:szCs w:val="14"/>
              </w:rPr>
            </w:pPr>
            <w:r w:rsidRPr="00287C9A">
              <w:rPr>
                <w:rFonts w:cs="Arial"/>
                <w:szCs w:val="14"/>
              </w:rPr>
              <w:t>4%</w:t>
            </w:r>
          </w:p>
        </w:tc>
      </w:tr>
      <w:tr w:rsidR="00C00AB2" w:rsidRPr="00287C9A" w14:paraId="3EB2C443" w14:textId="77777777" w:rsidTr="00C00AB2">
        <w:trPr>
          <w:trHeight w:val="238"/>
          <w:jc w:val="center"/>
        </w:trPr>
        <w:tc>
          <w:tcPr>
            <w:tcW w:w="7374" w:type="dxa"/>
            <w:vAlign w:val="center"/>
          </w:tcPr>
          <w:p w14:paraId="6F5BD56C" w14:textId="77777777" w:rsidR="00C00AB2" w:rsidRPr="00287C9A" w:rsidRDefault="00C00AB2" w:rsidP="00C00AB2">
            <w:pPr>
              <w:pStyle w:val="08-Tabelageral"/>
              <w:jc w:val="left"/>
              <w:rPr>
                <w:rFonts w:cs="Arial"/>
                <w:b/>
                <w:szCs w:val="14"/>
              </w:rPr>
            </w:pPr>
            <w:r w:rsidRPr="00287C9A">
              <w:rPr>
                <w:rFonts w:cs="Arial"/>
                <w:szCs w:val="14"/>
              </w:rPr>
              <w:t xml:space="preserve">Imposto sobre Serviços de Qualquer Natureza (ISS) </w:t>
            </w:r>
            <w:r w:rsidRPr="00287C9A">
              <w:rPr>
                <w:rFonts w:cs="Arial"/>
                <w:szCs w:val="14"/>
                <w:vertAlign w:val="superscript"/>
              </w:rPr>
              <w:t>(</w:t>
            </w:r>
            <w:r>
              <w:rPr>
                <w:rFonts w:cs="Arial"/>
                <w:szCs w:val="14"/>
                <w:vertAlign w:val="superscript"/>
              </w:rPr>
              <w:t>2</w:t>
            </w:r>
            <w:r w:rsidRPr="00287C9A">
              <w:rPr>
                <w:rFonts w:cs="Arial"/>
                <w:szCs w:val="14"/>
                <w:vertAlign w:val="superscript"/>
              </w:rPr>
              <w:t>)</w:t>
            </w:r>
          </w:p>
        </w:tc>
        <w:tc>
          <w:tcPr>
            <w:tcW w:w="1063" w:type="dxa"/>
            <w:vAlign w:val="center"/>
          </w:tcPr>
          <w:p w14:paraId="31178739" w14:textId="77777777" w:rsidR="00C00AB2" w:rsidRPr="00287C9A" w:rsidRDefault="00C00AB2" w:rsidP="00C00AB2">
            <w:pPr>
              <w:pStyle w:val="08-Tabelageral"/>
              <w:ind w:left="113"/>
              <w:rPr>
                <w:rFonts w:cs="Arial"/>
                <w:szCs w:val="14"/>
              </w:rPr>
            </w:pPr>
            <w:r w:rsidRPr="00287C9A">
              <w:rPr>
                <w:rFonts w:cs="Arial"/>
                <w:szCs w:val="14"/>
              </w:rPr>
              <w:t>Até 5%</w:t>
            </w:r>
          </w:p>
        </w:tc>
        <w:tc>
          <w:tcPr>
            <w:tcW w:w="1063" w:type="dxa"/>
            <w:vAlign w:val="center"/>
          </w:tcPr>
          <w:p w14:paraId="6EAB5A44" w14:textId="77777777" w:rsidR="00C00AB2" w:rsidRPr="00287C9A" w:rsidRDefault="00C00AB2" w:rsidP="00C00AB2">
            <w:pPr>
              <w:pStyle w:val="08-Tabelageral"/>
              <w:rPr>
                <w:rFonts w:cs="Arial"/>
                <w:szCs w:val="14"/>
              </w:rPr>
            </w:pPr>
            <w:r w:rsidRPr="00287C9A">
              <w:rPr>
                <w:rFonts w:cs="Arial"/>
                <w:szCs w:val="14"/>
              </w:rPr>
              <w:t>Até 5%</w:t>
            </w:r>
          </w:p>
        </w:tc>
      </w:tr>
    </w:tbl>
    <w:p w14:paraId="6B2004FF" w14:textId="77777777" w:rsidR="00C00AB2" w:rsidRPr="00F3350F" w:rsidRDefault="00C00AB2" w:rsidP="002C3B56">
      <w:pPr>
        <w:pStyle w:val="07-Legenda1"/>
        <w:numPr>
          <w:ilvl w:val="0"/>
          <w:numId w:val="33"/>
        </w:numPr>
        <w:tabs>
          <w:tab w:val="clear" w:pos="284"/>
        </w:tabs>
        <w:ind w:left="284" w:hanging="284"/>
        <w:rPr>
          <w:rFonts w:ascii="Arial" w:hAnsi="Arial" w:cs="Arial"/>
          <w:szCs w:val="14"/>
        </w:rPr>
      </w:pPr>
      <w:r w:rsidRPr="00113AEF">
        <w:rPr>
          <w:rFonts w:ascii="Arial" w:hAnsi="Arial" w:cs="Arial"/>
          <w:szCs w:val="14"/>
        </w:rPr>
        <w:t>Inclui alíquota básica (15%) e adicional (10%)</w:t>
      </w:r>
      <w:r>
        <w:rPr>
          <w:rFonts w:ascii="Arial" w:hAnsi="Arial" w:cs="Arial"/>
          <w:szCs w:val="14"/>
        </w:rPr>
        <w:t>.</w:t>
      </w:r>
    </w:p>
    <w:p w14:paraId="466C8F7D" w14:textId="77777777" w:rsidR="00C00AB2" w:rsidRPr="00113AEF" w:rsidRDefault="00C00AB2" w:rsidP="002C3B56">
      <w:pPr>
        <w:pStyle w:val="07-Legenda1"/>
        <w:numPr>
          <w:ilvl w:val="0"/>
          <w:numId w:val="33"/>
        </w:numPr>
        <w:tabs>
          <w:tab w:val="clear" w:pos="284"/>
        </w:tabs>
        <w:ind w:left="284" w:hanging="284"/>
        <w:rPr>
          <w:rFonts w:ascii="Arial" w:hAnsi="Arial" w:cs="Arial"/>
          <w:szCs w:val="14"/>
        </w:rPr>
      </w:pPr>
      <w:r>
        <w:rPr>
          <w:rFonts w:ascii="Arial" w:hAnsi="Arial" w:cs="Arial"/>
          <w:szCs w:val="14"/>
        </w:rPr>
        <w:t xml:space="preserve">Incidente sobre os serviços prestados pela </w:t>
      </w:r>
      <w:r w:rsidRPr="00113AEF">
        <w:rPr>
          <w:rFonts w:ascii="Arial" w:hAnsi="Arial" w:cs="Arial"/>
          <w:szCs w:val="14"/>
        </w:rPr>
        <w:t>BB Corretora.</w:t>
      </w:r>
    </w:p>
    <w:p w14:paraId="4DC99B21" w14:textId="77777777" w:rsidR="00C00AB2" w:rsidRDefault="00C00AB2" w:rsidP="00C00AB2">
      <w:pPr>
        <w:pStyle w:val="05-Textonormal"/>
        <w:rPr>
          <w:rFonts w:cs="Arial"/>
        </w:rPr>
      </w:pPr>
      <w:r w:rsidRPr="00287C9A">
        <w:rPr>
          <w:rFonts w:cs="Arial"/>
        </w:rPr>
        <w:t>Os ativos fiscais diferidos (créditos tributários) e os passivos fiscais diferidos são constituídos pela aplicação das alíquotas vigentes dos tributos sobre suas respectivas bases. Para constituição, manutenção e baixa dos ativos fiscais diferidos são observados os critérios estabelecidos pelo CPC 32</w:t>
      </w:r>
      <w:r>
        <w:rPr>
          <w:rFonts w:cs="Arial"/>
        </w:rPr>
        <w:t xml:space="preserve"> [IAS 12]</w:t>
      </w:r>
      <w:r w:rsidRPr="00287C9A">
        <w:rPr>
          <w:rFonts w:cs="Arial"/>
        </w:rPr>
        <w:t xml:space="preserve"> – Tributos sobre o Lucro, e estão suportadas por estudo de capacidade de realização.</w:t>
      </w:r>
    </w:p>
    <w:p w14:paraId="4A513055" w14:textId="7510819B" w:rsidR="00C00AB2" w:rsidRPr="00CE0EEB" w:rsidRDefault="00C00AB2" w:rsidP="00C00AB2">
      <w:pPr>
        <w:pStyle w:val="05-Textonormal"/>
        <w:rPr>
          <w:rFonts w:cs="Arial"/>
          <w:b/>
          <w:color w:val="1F3864" w:themeColor="accent1" w:themeShade="80"/>
        </w:rPr>
      </w:pPr>
      <w:r w:rsidRPr="008805EB">
        <w:rPr>
          <w:rFonts w:cs="Arial"/>
          <w:b/>
          <w:color w:val="1F3864" w:themeColor="accent1" w:themeShade="80"/>
        </w:rPr>
        <w:t>Reforma Tributária</w:t>
      </w:r>
    </w:p>
    <w:p w14:paraId="27B80393" w14:textId="77777777" w:rsidR="00C00AB2" w:rsidRPr="00765B8A" w:rsidRDefault="00C00AB2" w:rsidP="00C00AB2">
      <w:pPr>
        <w:pStyle w:val="05-Textonormal"/>
        <w:rPr>
          <w:rFonts w:cs="Arial"/>
        </w:rPr>
      </w:pPr>
      <w:r w:rsidRPr="00765B8A">
        <w:rPr>
          <w:rFonts w:cs="Arial"/>
        </w:rPr>
        <w:t>Em dezembro de 2023, foi aprovada a Emenda Constitucional nº 132/2023, também conhecida como Reforma Tributária sobre o Consumo, a qual altera, substancialmente, a atual forma de tributação de bens e serviços, substituindo os atuais tributos indiretos pela sistemática do Imposto sobre Valor Agregado (IVA) na modalidade dual, composto pela Contribuição sobre Bens e Serviços (CBS) e o Imposto sobre Bens e Serviços (IBS), além da criação de um imposto seletivo (IS). Por meio da referida Emenda foram definidas as diretrizes gerais do sistema tributário nacional.</w:t>
      </w:r>
    </w:p>
    <w:p w14:paraId="596DD7F2" w14:textId="77777777" w:rsidR="00C00AB2" w:rsidRPr="00765B8A" w:rsidRDefault="00C00AB2" w:rsidP="00C00AB2">
      <w:pPr>
        <w:pStyle w:val="05-Textonormal"/>
        <w:rPr>
          <w:rFonts w:cs="Arial"/>
        </w:rPr>
      </w:pPr>
      <w:r w:rsidRPr="00765B8A">
        <w:rPr>
          <w:rFonts w:cs="Arial"/>
        </w:rPr>
        <w:t>Em 16/01/2025, foi sancionada a Lei Complementar nº 214/2025 (Projeto de Lei Complementar 68/2024), o primeiro ato que regulamenta a reforma tributária do consumo prevista na Emenda Constitucional 132/2023, criando assim o Imposto sobre Bens e Serviços (IBS), a Contribuição Social sobre Bens e Serviços (CBS) e o Imposto Seletivo (IS).</w:t>
      </w:r>
    </w:p>
    <w:p w14:paraId="66024BEF" w14:textId="2B569492" w:rsidR="00C00AB2" w:rsidRPr="00765B8A" w:rsidRDefault="00C00AB2" w:rsidP="00C00AB2">
      <w:pPr>
        <w:pStyle w:val="05-Textonormal"/>
        <w:rPr>
          <w:rFonts w:cs="Arial"/>
        </w:rPr>
      </w:pPr>
      <w:r w:rsidRPr="00765B8A">
        <w:rPr>
          <w:rFonts w:cs="Arial"/>
        </w:rPr>
        <w:t>A referida Lei Complementar traz as diretrizes gerais para as questões operacionais de implementação da reforma tributária do consumo. Assim, ainda são esperados que novos projetos de lei sejam aprovados para regulamentar, de forma individualizada, cada um dos novos tributos.</w:t>
      </w:r>
    </w:p>
    <w:p w14:paraId="0127F4AF" w14:textId="77777777" w:rsidR="00C00AB2" w:rsidRPr="00765B8A" w:rsidRDefault="00C00AB2" w:rsidP="00C00AB2">
      <w:pPr>
        <w:pStyle w:val="05-Textonormal"/>
        <w:rPr>
          <w:rFonts w:cs="Arial"/>
        </w:rPr>
      </w:pPr>
      <w:r w:rsidRPr="00765B8A">
        <w:rPr>
          <w:rFonts w:cs="Arial"/>
        </w:rPr>
        <w:t>Para o avanço da reforma, existem outras regulamentações a serem apreciadas, como o Projeto de Lei Complementar 108/2024, que institui o Comitê Gestor do Imposto sobre Bens e Serviços, dispõe sobre o processo administrativo tributário relativo ao lançamento de ofício do IBS, além de outros assuntos.</w:t>
      </w:r>
    </w:p>
    <w:p w14:paraId="74E27D6A" w14:textId="77777777" w:rsidR="00C00AB2" w:rsidRDefault="00C00AB2" w:rsidP="00C00AB2">
      <w:pPr>
        <w:pStyle w:val="05-Textonormal"/>
        <w:rPr>
          <w:rFonts w:cs="Arial"/>
        </w:rPr>
      </w:pPr>
      <w:r w:rsidRPr="00765B8A">
        <w:rPr>
          <w:rFonts w:cs="Arial"/>
        </w:rPr>
        <w:t>Considerando que a etapa atual da reforma ainda carece de normatização das matérias, não é possível estimar os seus impactos. A Companhia continua acompanhando o tema.</w:t>
      </w:r>
    </w:p>
    <w:p w14:paraId="2FF25348" w14:textId="77777777" w:rsidR="00C00AB2" w:rsidRPr="00AF6165" w:rsidRDefault="00C00AB2" w:rsidP="00C00AB2">
      <w:pPr>
        <w:pStyle w:val="01-TtulodeNota"/>
        <w:rPr>
          <w:rFonts w:cs="Arial"/>
          <w:color w:val="1F3864" w:themeColor="accent1" w:themeShade="80"/>
          <w:sz w:val="18"/>
          <w:szCs w:val="18"/>
        </w:rPr>
      </w:pPr>
      <w:r>
        <w:rPr>
          <w:rFonts w:cs="Arial"/>
          <w:color w:val="1F3864" w:themeColor="accent1" w:themeShade="80"/>
          <w:sz w:val="18"/>
          <w:szCs w:val="18"/>
        </w:rPr>
        <w:t>k</w:t>
      </w:r>
      <w:r w:rsidRPr="00AF6165">
        <w:rPr>
          <w:rFonts w:cs="Arial"/>
          <w:color w:val="1F3864" w:themeColor="accent1" w:themeShade="80"/>
          <w:sz w:val="18"/>
          <w:szCs w:val="18"/>
        </w:rPr>
        <w:t>) Divulgação por Segmentos</w:t>
      </w:r>
    </w:p>
    <w:p w14:paraId="7E71B543" w14:textId="77777777" w:rsidR="00C00AB2" w:rsidRPr="00287C9A" w:rsidRDefault="00C00AB2" w:rsidP="00C00AB2">
      <w:pPr>
        <w:pStyle w:val="05-Textonormal"/>
        <w:rPr>
          <w:rFonts w:cs="Arial"/>
        </w:rPr>
      </w:pPr>
      <w:r w:rsidRPr="001A3272">
        <w:rPr>
          <w:rFonts w:cs="Arial"/>
        </w:rPr>
        <w:t>O CPC 22 [IFRS 8] – Informações por Segmento requer</w:t>
      </w:r>
      <w:r w:rsidRPr="00287C9A">
        <w:rPr>
          <w:rFonts w:cs="Arial"/>
        </w:rPr>
        <w:t xml:space="preserve"> a divulgação de informações financeiras de segmentos operacionais da entidade </w:t>
      </w:r>
      <w:r>
        <w:rPr>
          <w:rFonts w:cs="Arial"/>
        </w:rPr>
        <w:t xml:space="preserve">baseadas nas </w:t>
      </w:r>
      <w:r w:rsidRPr="00287C9A">
        <w:rPr>
          <w:rFonts w:cs="Arial"/>
        </w:rPr>
        <w:t>divulgações internas que são utilizadas pela Administração para alocar recursos e para avaliar a sua performance financeira e econômica.</w:t>
      </w:r>
    </w:p>
    <w:p w14:paraId="6B43CFD0" w14:textId="77777777" w:rsidR="00C00AB2" w:rsidRPr="00AF6165" w:rsidRDefault="00C00AB2" w:rsidP="00C00AB2">
      <w:pPr>
        <w:pStyle w:val="01-TtulodeNota"/>
        <w:rPr>
          <w:rFonts w:cs="Arial"/>
          <w:color w:val="1F3864" w:themeColor="accent1" w:themeShade="80"/>
          <w:sz w:val="18"/>
          <w:szCs w:val="18"/>
        </w:rPr>
      </w:pPr>
      <w:r>
        <w:rPr>
          <w:rFonts w:cs="Arial"/>
          <w:color w:val="1F3864" w:themeColor="accent1" w:themeShade="80"/>
          <w:sz w:val="18"/>
          <w:szCs w:val="18"/>
        </w:rPr>
        <w:t>l</w:t>
      </w:r>
      <w:r w:rsidRPr="00AF6165">
        <w:rPr>
          <w:rFonts w:cs="Arial"/>
          <w:color w:val="1F3864" w:themeColor="accent1" w:themeShade="80"/>
          <w:sz w:val="18"/>
          <w:szCs w:val="18"/>
        </w:rPr>
        <w:t>) Juros Sobre o Capital Próprio e Dividendos</w:t>
      </w:r>
    </w:p>
    <w:p w14:paraId="23883DCC" w14:textId="0265B8ED" w:rsidR="00C00AB2" w:rsidRPr="00287C9A" w:rsidRDefault="00C00AB2" w:rsidP="00C00AB2">
      <w:pPr>
        <w:pStyle w:val="05-Textonormal"/>
        <w:rPr>
          <w:rFonts w:cs="Arial"/>
        </w:rPr>
      </w:pPr>
      <w:r w:rsidRPr="00287C9A">
        <w:rPr>
          <w:rFonts w:cs="Arial"/>
        </w:rPr>
        <w:t xml:space="preserve">As companhias brasileiras podem atribuir uma despesa nominal de juros, dedutível para fins fiscais, sobre o seu capital próprio. O valor dos juros sobre o capital próprio </w:t>
      </w:r>
      <w:r>
        <w:rPr>
          <w:rFonts w:cs="Arial"/>
        </w:rPr>
        <w:t xml:space="preserve">pode ser considerado </w:t>
      </w:r>
      <w:r w:rsidRPr="00287C9A">
        <w:rPr>
          <w:rFonts w:cs="Arial"/>
        </w:rPr>
        <w:t xml:space="preserve">como um dividendo e, quando aplicável, apresentado nessas </w:t>
      </w:r>
      <w:r>
        <w:rPr>
          <w:rFonts w:cs="Arial"/>
        </w:rPr>
        <w:t xml:space="preserve">demonstrações contábeis </w:t>
      </w:r>
      <w:r w:rsidRPr="00287C9A">
        <w:rPr>
          <w:rFonts w:cs="Arial"/>
        </w:rPr>
        <w:t>consolidadas como uma redução direta no patrimônio líquido.</w:t>
      </w:r>
    </w:p>
    <w:p w14:paraId="3CB78FDB" w14:textId="77777777" w:rsidR="00C00AB2" w:rsidRPr="00287C9A" w:rsidRDefault="00C00AB2" w:rsidP="00C00AB2">
      <w:pPr>
        <w:pStyle w:val="05-Textonormal"/>
        <w:rPr>
          <w:rFonts w:cs="Arial"/>
        </w:rPr>
      </w:pPr>
      <w:r w:rsidRPr="00287C9A">
        <w:rPr>
          <w:rFonts w:cs="Arial"/>
        </w:rPr>
        <w:t xml:space="preserve">De acordo com a política de dividendos, a BB Seguridade distribui aos acionistas como dividendo obrigatório parcela correspondente a, no mínimo, 25% do lucro líquido ajustado com as deduções e acréscimos previstos no art. 202 da Lei 6.404/76, que são reconhecidos como um passivo e deduzidos do patrimônio líquido quando da destinação do resultado do </w:t>
      </w:r>
      <w:r>
        <w:rPr>
          <w:rFonts w:cs="Arial"/>
        </w:rPr>
        <w:t>período</w:t>
      </w:r>
      <w:r w:rsidRPr="00287C9A">
        <w:rPr>
          <w:rFonts w:cs="Arial"/>
        </w:rPr>
        <w:t>.</w:t>
      </w:r>
    </w:p>
    <w:p w14:paraId="691688BE" w14:textId="77777777" w:rsidR="00C00AB2" w:rsidRPr="00287C9A" w:rsidRDefault="00C00AB2" w:rsidP="00C00AB2">
      <w:pPr>
        <w:pStyle w:val="05-Textonormal"/>
        <w:rPr>
          <w:rFonts w:cs="Arial"/>
        </w:rPr>
      </w:pPr>
      <w:r w:rsidRPr="00287C9A">
        <w:rPr>
          <w:rFonts w:cs="Arial"/>
        </w:rPr>
        <w:t>No</w:t>
      </w:r>
      <w:r>
        <w:rPr>
          <w:rFonts w:cs="Arial"/>
        </w:rPr>
        <w:t xml:space="preserve"> período,</w:t>
      </w:r>
      <w:r w:rsidRPr="00287C9A">
        <w:rPr>
          <w:rFonts w:cs="Arial"/>
        </w:rPr>
        <w:t xml:space="preserve"> não houve</w:t>
      </w:r>
      <w:r>
        <w:rPr>
          <w:rFonts w:cs="Arial"/>
        </w:rPr>
        <w:t xml:space="preserve"> reconhecimento e</w:t>
      </w:r>
      <w:r w:rsidRPr="00287C9A">
        <w:rPr>
          <w:rFonts w:cs="Arial"/>
        </w:rPr>
        <w:t xml:space="preserve"> pagamento de </w:t>
      </w:r>
      <w:r>
        <w:rPr>
          <w:rFonts w:cs="Arial"/>
        </w:rPr>
        <w:t>j</w:t>
      </w:r>
      <w:r w:rsidRPr="00287C9A">
        <w:rPr>
          <w:rFonts w:cs="Arial"/>
        </w:rPr>
        <w:t xml:space="preserve">uros sobre </w:t>
      </w:r>
      <w:r>
        <w:rPr>
          <w:rFonts w:cs="Arial"/>
        </w:rPr>
        <w:t>c</w:t>
      </w:r>
      <w:r w:rsidRPr="00287C9A">
        <w:rPr>
          <w:rFonts w:cs="Arial"/>
        </w:rPr>
        <w:t xml:space="preserve">apital </w:t>
      </w:r>
      <w:r>
        <w:rPr>
          <w:rFonts w:cs="Arial"/>
        </w:rPr>
        <w:t>p</w:t>
      </w:r>
      <w:r w:rsidRPr="00287C9A">
        <w:rPr>
          <w:rFonts w:cs="Arial"/>
        </w:rPr>
        <w:t>róprio</w:t>
      </w:r>
      <w:r>
        <w:rPr>
          <w:rFonts w:cs="Arial"/>
        </w:rPr>
        <w:t xml:space="preserve"> pela BB Seguridade</w:t>
      </w:r>
      <w:r w:rsidRPr="00287C9A">
        <w:rPr>
          <w:rFonts w:cs="Arial"/>
        </w:rPr>
        <w:t>.</w:t>
      </w:r>
    </w:p>
    <w:p w14:paraId="2088C61B" w14:textId="77777777" w:rsidR="00C00AB2" w:rsidRPr="00AF6165" w:rsidRDefault="00C00AB2" w:rsidP="00C00AB2">
      <w:pPr>
        <w:pStyle w:val="01-TtulodeNota"/>
        <w:rPr>
          <w:rFonts w:cs="Arial"/>
          <w:color w:val="1F3864" w:themeColor="accent1" w:themeShade="80"/>
          <w:sz w:val="18"/>
          <w:szCs w:val="18"/>
        </w:rPr>
      </w:pPr>
      <w:r>
        <w:rPr>
          <w:rFonts w:cs="Arial"/>
          <w:color w:val="1F3864" w:themeColor="accent1" w:themeShade="80"/>
          <w:sz w:val="18"/>
          <w:szCs w:val="18"/>
        </w:rPr>
        <w:t>m</w:t>
      </w:r>
      <w:r w:rsidRPr="00AF6165">
        <w:rPr>
          <w:rFonts w:cs="Arial"/>
          <w:color w:val="1F3864" w:themeColor="accent1" w:themeShade="80"/>
          <w:sz w:val="18"/>
          <w:szCs w:val="18"/>
        </w:rPr>
        <w:t>) Lucro por Ação</w:t>
      </w:r>
    </w:p>
    <w:p w14:paraId="3A24AE8F" w14:textId="77777777" w:rsidR="00C00AB2" w:rsidRPr="001A3272" w:rsidRDefault="00C00AB2" w:rsidP="00C00AB2">
      <w:pPr>
        <w:pStyle w:val="05-Textonormal"/>
        <w:rPr>
          <w:rFonts w:cs="Arial"/>
        </w:rPr>
      </w:pPr>
      <w:r w:rsidRPr="001A3272">
        <w:rPr>
          <w:rFonts w:cs="Arial"/>
        </w:rPr>
        <w:t xml:space="preserve">A divulgação do lucro por ação é efetuada de acordo com os critérios definidos no CPC 41 [IAS 33] – Resultado por Ação. O lucro por ação da BB Seguridade foi calculado dividindo-se o lucro líquido atribuível aos acionistas pelo número de ações ordinárias totais, excluídas as ações em tesouraria. A BB Seguridade não tem instrumentos de opções, bônus de subscrição ou seus equivalentes que deem ao seu titular direito de adquirir ações. Assim, o lucro básico e o diluído por ação são equivalentes. </w:t>
      </w:r>
    </w:p>
    <w:p w14:paraId="2C4978FF" w14:textId="77777777" w:rsidR="00C00AB2" w:rsidRPr="001A3272" w:rsidRDefault="00C00AB2" w:rsidP="00C00AB2">
      <w:pPr>
        <w:pStyle w:val="01-TtulodeNota"/>
        <w:rPr>
          <w:rFonts w:cs="Arial"/>
          <w:color w:val="1F3864" w:themeColor="accent1" w:themeShade="80"/>
          <w:sz w:val="18"/>
          <w:szCs w:val="18"/>
        </w:rPr>
      </w:pPr>
      <w:r>
        <w:rPr>
          <w:rFonts w:cs="Arial"/>
          <w:color w:val="1F3864" w:themeColor="accent1" w:themeShade="80"/>
          <w:sz w:val="18"/>
          <w:szCs w:val="18"/>
        </w:rPr>
        <w:lastRenderedPageBreak/>
        <w:t>n</w:t>
      </w:r>
      <w:r w:rsidRPr="001A3272">
        <w:rPr>
          <w:rFonts w:cs="Arial"/>
          <w:color w:val="1F3864" w:themeColor="accent1" w:themeShade="80"/>
          <w:sz w:val="18"/>
          <w:szCs w:val="18"/>
        </w:rPr>
        <w:t>) Arrendamentos</w:t>
      </w:r>
    </w:p>
    <w:p w14:paraId="19B38856" w14:textId="583F2CF2" w:rsidR="00C00AB2" w:rsidRDefault="00C00AB2" w:rsidP="00C00AB2">
      <w:pPr>
        <w:pStyle w:val="05-Textonormal"/>
        <w:rPr>
          <w:rFonts w:cs="Arial"/>
        </w:rPr>
      </w:pPr>
      <w:bookmarkStart w:id="34" w:name="_Hlk70500879"/>
      <w:r w:rsidRPr="001A3272">
        <w:rPr>
          <w:rFonts w:cs="Arial"/>
        </w:rPr>
        <w:t>O reconhecimento, a mensuração e a divulgação dos arrendamentos são efetuad</w:t>
      </w:r>
      <w:r w:rsidR="006D3FD4">
        <w:rPr>
          <w:rFonts w:cs="Arial"/>
        </w:rPr>
        <w:t>a</w:t>
      </w:r>
      <w:r w:rsidRPr="001A3272">
        <w:rPr>
          <w:rFonts w:cs="Arial"/>
        </w:rPr>
        <w:t>s de acordo com os critérios definidos no CPC 06 (R2) [IFRS 16] –</w:t>
      </w:r>
      <w:r w:rsidRPr="00287C9A">
        <w:rPr>
          <w:rFonts w:cs="Arial"/>
        </w:rPr>
        <w:t xml:space="preserve"> </w:t>
      </w:r>
      <w:r>
        <w:rPr>
          <w:rFonts w:cs="Arial"/>
        </w:rPr>
        <w:t>Arrendamentos. A</w:t>
      </w:r>
      <w:r w:rsidRPr="00287C9A">
        <w:rPr>
          <w:rFonts w:cs="Arial"/>
        </w:rPr>
        <w:t xml:space="preserve"> BB Seguridade e suas </w:t>
      </w:r>
      <w:r w:rsidRPr="00C66F4B">
        <w:rPr>
          <w:rFonts w:cs="Arial"/>
        </w:rPr>
        <w:t>controladas não possuem operações de arrendamento</w:t>
      </w:r>
      <w:r>
        <w:rPr>
          <w:rFonts w:cs="Arial"/>
        </w:rPr>
        <w:t>s significativas.</w:t>
      </w:r>
    </w:p>
    <w:p w14:paraId="1781F97A" w14:textId="77777777" w:rsidR="00C00AB2" w:rsidRDefault="00C00AB2" w:rsidP="00C00AB2">
      <w:pPr>
        <w:pStyle w:val="05-Textonormal"/>
        <w:rPr>
          <w:rFonts w:cs="Arial"/>
        </w:rPr>
      </w:pPr>
      <w:r>
        <w:rPr>
          <w:rFonts w:cs="Arial"/>
        </w:rPr>
        <w:t xml:space="preserve">As operações de arrendamentos estão presentes nas </w:t>
      </w:r>
      <w:r w:rsidRPr="00C66F4B">
        <w:rPr>
          <w:rFonts w:cs="Arial"/>
        </w:rPr>
        <w:t>empresas seguradoras e operadora de saúde</w:t>
      </w:r>
      <w:r>
        <w:rPr>
          <w:rFonts w:cs="Arial"/>
        </w:rPr>
        <w:t xml:space="preserve"> nas quais a BB Seguridade detém participações, por intermédio de sua controlada BB Seguros.</w:t>
      </w:r>
      <w:bookmarkEnd w:id="34"/>
    </w:p>
    <w:p w14:paraId="704C7391" w14:textId="77777777" w:rsidR="00C00AB2" w:rsidRDefault="00C00AB2" w:rsidP="00C00AB2">
      <w:pPr>
        <w:pStyle w:val="05-Textonormal"/>
        <w:rPr>
          <w:rFonts w:cs="Arial"/>
        </w:rPr>
      </w:pPr>
      <w:r w:rsidRPr="004028AE">
        <w:rPr>
          <w:rFonts w:cs="Arial"/>
        </w:rPr>
        <w:t xml:space="preserve">As companhias </w:t>
      </w:r>
      <w:proofErr w:type="spellStart"/>
      <w:r w:rsidRPr="004028AE">
        <w:rPr>
          <w:rFonts w:cs="Arial"/>
        </w:rPr>
        <w:t>Brasilseg</w:t>
      </w:r>
      <w:proofErr w:type="spellEnd"/>
      <w:r w:rsidRPr="004028AE">
        <w:rPr>
          <w:rFonts w:cs="Arial"/>
        </w:rPr>
        <w:t xml:space="preserve">, Aliança do Brasil Seguros, Brasilprev e </w:t>
      </w:r>
      <w:proofErr w:type="spellStart"/>
      <w:r w:rsidRPr="004028AE">
        <w:rPr>
          <w:rFonts w:cs="Arial"/>
        </w:rPr>
        <w:t>Brasilcap</w:t>
      </w:r>
      <w:proofErr w:type="spellEnd"/>
      <w:r w:rsidRPr="004028AE">
        <w:rPr>
          <w:rFonts w:cs="Arial"/>
        </w:rPr>
        <w:t xml:space="preserve"> (a partir de 1° de janeiro de 2021)</w:t>
      </w:r>
      <w:r>
        <w:rPr>
          <w:rFonts w:cs="Arial"/>
        </w:rPr>
        <w:t>;</w:t>
      </w:r>
      <w:r w:rsidRPr="004028AE">
        <w:rPr>
          <w:rFonts w:cs="Arial"/>
        </w:rPr>
        <w:t xml:space="preserve"> e </w:t>
      </w:r>
      <w:proofErr w:type="spellStart"/>
      <w:r w:rsidRPr="004028AE">
        <w:rPr>
          <w:rFonts w:cs="Arial"/>
        </w:rPr>
        <w:t>Brasildental</w:t>
      </w:r>
      <w:proofErr w:type="spellEnd"/>
      <w:r w:rsidRPr="004028AE">
        <w:rPr>
          <w:rFonts w:cs="Arial"/>
        </w:rPr>
        <w:t xml:space="preserve"> (a partir de 1° de janeiro de 2022) passaram a adotar o</w:t>
      </w:r>
      <w:r w:rsidRPr="00CE55EA">
        <w:rPr>
          <w:rFonts w:cs="Arial"/>
        </w:rPr>
        <w:t xml:space="preserve"> CPC 06 (R2)</w:t>
      </w:r>
      <w:r>
        <w:rPr>
          <w:rFonts w:cs="Arial"/>
        </w:rPr>
        <w:t xml:space="preserve"> [IFRS 16]</w:t>
      </w:r>
      <w:r w:rsidRPr="00CE55EA">
        <w:rPr>
          <w:rFonts w:cs="Arial"/>
        </w:rPr>
        <w:t xml:space="preserve"> – Arrendamentos</w:t>
      </w:r>
      <w:r>
        <w:rPr>
          <w:rFonts w:cs="Arial"/>
        </w:rPr>
        <w:t>, não havendo, a partir de então, qualquer divergência de prática contábil relacionada ao tratamento dos arrendamentos.</w:t>
      </w:r>
    </w:p>
    <w:p w14:paraId="3FFA6EFF" w14:textId="77777777" w:rsidR="00C00AB2" w:rsidRDefault="00C00AB2" w:rsidP="00C00AB2">
      <w:pPr>
        <w:pStyle w:val="01-TtulodeNota"/>
        <w:rPr>
          <w:rFonts w:cs="Arial"/>
          <w:color w:val="1F3864" w:themeColor="accent1" w:themeShade="80"/>
          <w:sz w:val="18"/>
          <w:szCs w:val="18"/>
        </w:rPr>
      </w:pPr>
      <w:r w:rsidRPr="00170274">
        <w:rPr>
          <w:rFonts w:cs="Arial"/>
          <w:color w:val="1F3864" w:themeColor="accent1" w:themeShade="80"/>
          <w:sz w:val="18"/>
          <w:szCs w:val="18"/>
        </w:rPr>
        <w:t>o) Contratos de Seguro</w:t>
      </w:r>
    </w:p>
    <w:p w14:paraId="05810714" w14:textId="07F76C31" w:rsidR="00C00AB2" w:rsidRDefault="00C00AB2" w:rsidP="00C00AB2">
      <w:pPr>
        <w:pStyle w:val="05-Textonormal"/>
        <w:rPr>
          <w:rFonts w:cs="Arial"/>
        </w:rPr>
      </w:pPr>
      <w:r w:rsidRPr="001A3272">
        <w:rPr>
          <w:rFonts w:cs="Arial"/>
        </w:rPr>
        <w:t xml:space="preserve">O reconhecimento, a mensuração e a divulgação dos </w:t>
      </w:r>
      <w:r>
        <w:rPr>
          <w:rFonts w:cs="Arial"/>
        </w:rPr>
        <w:t xml:space="preserve">contratos de seguro </w:t>
      </w:r>
      <w:r w:rsidRPr="001A3272">
        <w:rPr>
          <w:rFonts w:cs="Arial"/>
        </w:rPr>
        <w:t>são efetuad</w:t>
      </w:r>
      <w:r w:rsidR="00E548D8">
        <w:rPr>
          <w:rFonts w:cs="Arial"/>
        </w:rPr>
        <w:t>a</w:t>
      </w:r>
      <w:r w:rsidRPr="001A3272">
        <w:rPr>
          <w:rFonts w:cs="Arial"/>
        </w:rPr>
        <w:t xml:space="preserve">s de acordo com os critérios definidos no CPC </w:t>
      </w:r>
      <w:r>
        <w:rPr>
          <w:rFonts w:cs="Arial"/>
        </w:rPr>
        <w:t>50</w:t>
      </w:r>
      <w:r w:rsidRPr="001A3272">
        <w:rPr>
          <w:rFonts w:cs="Arial"/>
        </w:rPr>
        <w:t xml:space="preserve"> [IFRS </w:t>
      </w:r>
      <w:r>
        <w:rPr>
          <w:rFonts w:cs="Arial"/>
        </w:rPr>
        <w:t>17</w:t>
      </w:r>
      <w:r w:rsidRPr="001A3272">
        <w:rPr>
          <w:rFonts w:cs="Arial"/>
        </w:rPr>
        <w:t>] –</w:t>
      </w:r>
      <w:r w:rsidRPr="00287C9A">
        <w:rPr>
          <w:rFonts w:cs="Arial"/>
        </w:rPr>
        <w:t xml:space="preserve"> </w:t>
      </w:r>
      <w:r>
        <w:rPr>
          <w:rFonts w:cs="Arial"/>
        </w:rPr>
        <w:t xml:space="preserve">Contratos de Seguro. </w:t>
      </w:r>
      <w:r w:rsidRPr="00720C7B">
        <w:rPr>
          <w:rFonts w:cs="Arial"/>
        </w:rPr>
        <w:t xml:space="preserve">O contrato de seguro é definido pelo </w:t>
      </w:r>
      <w:r>
        <w:rPr>
          <w:rFonts w:cs="Arial"/>
        </w:rPr>
        <w:t>CPC 50 [</w:t>
      </w:r>
      <w:r w:rsidRPr="00720C7B">
        <w:rPr>
          <w:rFonts w:cs="Arial"/>
        </w:rPr>
        <w:t>IFRS 17</w:t>
      </w:r>
      <w:r>
        <w:rPr>
          <w:rFonts w:cs="Arial"/>
        </w:rPr>
        <w:t>]</w:t>
      </w:r>
      <w:r w:rsidRPr="00720C7B">
        <w:rPr>
          <w:rFonts w:cs="Arial"/>
        </w:rPr>
        <w:t xml:space="preserve"> como um acordo entre a seguradora e o segurado, no qual a seguradora aceita o risco de uma possível perda financeira ou outro evento adverso que possa afetar o segurado. Em troca, o segurado paga um prêmio à seguradora.</w:t>
      </w:r>
    </w:p>
    <w:p w14:paraId="41F946F5" w14:textId="77777777" w:rsidR="00C00AB2" w:rsidRDefault="00C00AB2" w:rsidP="00C00AB2">
      <w:pPr>
        <w:pStyle w:val="05-Textonormal"/>
        <w:rPr>
          <w:rFonts w:cs="Arial"/>
        </w:rPr>
      </w:pPr>
      <w:r>
        <w:rPr>
          <w:rFonts w:cs="Arial"/>
        </w:rPr>
        <w:t xml:space="preserve">As investidas operacionais que comercializam contratos de seguro aplicam </w:t>
      </w:r>
      <w:r w:rsidRPr="004301FC">
        <w:rPr>
          <w:rFonts w:cs="Arial"/>
        </w:rPr>
        <w:t>os níveis de agrupamento dos contratos de seguro</w:t>
      </w:r>
      <w:r>
        <w:rPr>
          <w:rFonts w:cs="Arial"/>
        </w:rPr>
        <w:t xml:space="preserve">, por </w:t>
      </w:r>
      <w:r w:rsidRPr="004301FC">
        <w:rPr>
          <w:rFonts w:cs="Arial"/>
        </w:rPr>
        <w:t>portfólio</w:t>
      </w:r>
      <w:r>
        <w:rPr>
          <w:rFonts w:cs="Arial"/>
        </w:rPr>
        <w:t>,</w:t>
      </w:r>
      <w:r w:rsidRPr="004301FC">
        <w:rPr>
          <w:rFonts w:cs="Arial"/>
        </w:rPr>
        <w:t xml:space="preserve"> grupo</w:t>
      </w:r>
      <w:r>
        <w:rPr>
          <w:rFonts w:cs="Arial"/>
        </w:rPr>
        <w:t xml:space="preserve"> e safra.</w:t>
      </w:r>
    </w:p>
    <w:p w14:paraId="132403CB" w14:textId="77777777" w:rsidR="00C00AB2" w:rsidRPr="001240DC" w:rsidRDefault="00C00AB2" w:rsidP="00C00AB2">
      <w:pPr>
        <w:pStyle w:val="05-Textonormal"/>
        <w:rPr>
          <w:rFonts w:cs="Arial"/>
        </w:rPr>
      </w:pPr>
      <w:r w:rsidRPr="001240DC">
        <w:rPr>
          <w:rFonts w:cs="Arial"/>
        </w:rPr>
        <w:t>Os portfólios foram determinados identificando primeiramente os contratos sujeitos a riscos similares e administrados em conjunto, sendo em previdência: Tradicional, PGBL/VGBL, VGBL Conjugado, Coberturas de Risco e Resseguros; e em seguros: risco anual e risco plurianual.</w:t>
      </w:r>
    </w:p>
    <w:p w14:paraId="67B22D9A" w14:textId="77777777" w:rsidR="00C00AB2" w:rsidRPr="001240DC" w:rsidRDefault="00C00AB2" w:rsidP="00C00AB2">
      <w:pPr>
        <w:pStyle w:val="05-Textonormal"/>
        <w:rPr>
          <w:rFonts w:cs="Arial"/>
        </w:rPr>
      </w:pPr>
      <w:r w:rsidRPr="001240DC">
        <w:rPr>
          <w:rFonts w:cs="Arial"/>
        </w:rPr>
        <w:t>Os grupos dos portfólios são divididos em contratos onerosos e não onerosos, sendo estes sem possibilidade significativa de se tornarem onerosos após o reconhecimento inicial e demais contratos remanescentes na carteira.</w:t>
      </w:r>
    </w:p>
    <w:p w14:paraId="398C6941" w14:textId="77777777" w:rsidR="00C00AB2" w:rsidRPr="001240DC" w:rsidRDefault="00C00AB2" w:rsidP="00C00AB2">
      <w:pPr>
        <w:pStyle w:val="05-Textonormal"/>
        <w:rPr>
          <w:rFonts w:cs="Arial"/>
        </w:rPr>
      </w:pPr>
      <w:r w:rsidRPr="001240DC">
        <w:rPr>
          <w:rFonts w:cs="Arial"/>
        </w:rPr>
        <w:t>Além disso, os contratos de cada grupo são segregados em safras, com períodos de até um ano entre as datas de início de cobertura (cortes anuais). Já os contratos de resseguro são estabelecidos de forma que cada grupo contenha um único contrato.</w:t>
      </w:r>
    </w:p>
    <w:p w14:paraId="5AAEA333" w14:textId="77777777" w:rsidR="00C00AB2" w:rsidRPr="001240DC" w:rsidRDefault="00C00AB2" w:rsidP="00C00AB2">
      <w:pPr>
        <w:pStyle w:val="05-Textonormal"/>
        <w:rPr>
          <w:rFonts w:cs="Arial"/>
        </w:rPr>
      </w:pPr>
      <w:r w:rsidRPr="001240DC">
        <w:rPr>
          <w:rFonts w:cs="Arial"/>
        </w:rPr>
        <w:t xml:space="preserve">De acordo com as características dos contratos de seguros, a aplicação dos modelos contábeis é dividida em: </w:t>
      </w:r>
    </w:p>
    <w:p w14:paraId="78B7CB64" w14:textId="77777777" w:rsidR="00C00AB2" w:rsidRPr="001240DC" w:rsidRDefault="00C00AB2" w:rsidP="00C00AB2">
      <w:pPr>
        <w:pStyle w:val="05-Textonormal"/>
        <w:rPr>
          <w:rFonts w:cs="Arial"/>
        </w:rPr>
      </w:pPr>
      <w:r w:rsidRPr="001240DC">
        <w:rPr>
          <w:rFonts w:cs="Arial"/>
        </w:rPr>
        <w:t>•</w:t>
      </w:r>
      <w:r w:rsidRPr="001240DC">
        <w:rPr>
          <w:rFonts w:cs="Arial"/>
        </w:rPr>
        <w:tab/>
        <w:t xml:space="preserve">BBA - </w:t>
      </w:r>
      <w:r w:rsidRPr="001240DC">
        <w:rPr>
          <w:rFonts w:cs="Arial"/>
          <w:i/>
        </w:rPr>
        <w:t>Building Block Approach</w:t>
      </w:r>
      <w:r w:rsidRPr="001240DC">
        <w:rPr>
          <w:rFonts w:cs="Arial"/>
        </w:rPr>
        <w:t xml:space="preserve"> (Modelo Geral de Mensuração): modelo padrão para todos os contratos de seguros baseado em estimativas de fluxo de caixa futuro segregados em três componentes principais: i) Margem de Serviço Contratual (</w:t>
      </w:r>
      <w:proofErr w:type="spellStart"/>
      <w:r w:rsidRPr="001240DC">
        <w:rPr>
          <w:rFonts w:cs="Arial"/>
          <w:i/>
          <w:iCs/>
        </w:rPr>
        <w:t>Contractual</w:t>
      </w:r>
      <w:proofErr w:type="spellEnd"/>
      <w:r w:rsidRPr="001240DC">
        <w:rPr>
          <w:rFonts w:cs="Arial"/>
          <w:i/>
          <w:iCs/>
        </w:rPr>
        <w:t xml:space="preserve"> Service </w:t>
      </w:r>
      <w:proofErr w:type="spellStart"/>
      <w:r w:rsidRPr="001240DC">
        <w:rPr>
          <w:rFonts w:cs="Arial"/>
          <w:i/>
          <w:iCs/>
        </w:rPr>
        <w:t>Margin</w:t>
      </w:r>
      <w:proofErr w:type="spellEnd"/>
      <w:r w:rsidRPr="001240DC">
        <w:rPr>
          <w:rFonts w:cs="Arial"/>
        </w:rPr>
        <w:t xml:space="preserve"> - CSM), que</w:t>
      </w:r>
      <w:r w:rsidRPr="001240DC">
        <w:t xml:space="preserve"> </w:t>
      </w:r>
      <w:r w:rsidRPr="001240DC">
        <w:rPr>
          <w:rFonts w:cs="Arial"/>
        </w:rPr>
        <w:t xml:space="preserve">representa o lucro que a seguradora espera gerar com os contratos de seguros ao longo do tempo, a ser realizado ao longo de vigência do contrato; </w:t>
      </w:r>
      <w:proofErr w:type="spellStart"/>
      <w:r w:rsidRPr="001240DC">
        <w:rPr>
          <w:rFonts w:cs="Arial"/>
        </w:rPr>
        <w:t>ii</w:t>
      </w:r>
      <w:proofErr w:type="spellEnd"/>
      <w:r w:rsidRPr="001240DC">
        <w:rPr>
          <w:rFonts w:cs="Arial"/>
        </w:rPr>
        <w:t xml:space="preserve">) Valor presente dos fluxos de caixa futuros, que representa a estimativa dos fluxos de caixa que a seguradora espera receber e pagar no futuro, ajustados pelo valor do dinheiro no tempo e ; </w:t>
      </w:r>
      <w:proofErr w:type="spellStart"/>
      <w:r w:rsidRPr="001240DC">
        <w:rPr>
          <w:rFonts w:cs="Arial"/>
        </w:rPr>
        <w:t>iii</w:t>
      </w:r>
      <w:proofErr w:type="spellEnd"/>
      <w:r w:rsidRPr="001240DC">
        <w:rPr>
          <w:rFonts w:cs="Arial"/>
        </w:rPr>
        <w:t xml:space="preserve">) Ajustes dos riscos não financeiros que são as estimativas dos riscos associados aos contratos de seguros que não podem ser medidos por meio do valor do dinheiro no tempo, incluindo riscos relacionados a eventos como mortalidade, morbidade, sinistros e despesas. Estão contidos nesse modelo de mensuração as carteiras de seguros prestamistas e seguros habitacionais; e os produtos de previdência Tradicional, VGBL Conjugado e Coberturas de Risco, bem como suas operações de Resseguros. </w:t>
      </w:r>
    </w:p>
    <w:p w14:paraId="3E02C2CD" w14:textId="77777777" w:rsidR="00C00AB2" w:rsidRPr="001240DC" w:rsidRDefault="00C00AB2" w:rsidP="00C00AB2">
      <w:pPr>
        <w:pStyle w:val="05-Textonormal"/>
        <w:rPr>
          <w:rFonts w:cs="Arial"/>
        </w:rPr>
      </w:pPr>
      <w:r w:rsidRPr="001240DC">
        <w:rPr>
          <w:rFonts w:cs="Arial"/>
        </w:rPr>
        <w:t>•</w:t>
      </w:r>
      <w:r w:rsidRPr="001240DC">
        <w:rPr>
          <w:rFonts w:cs="Arial"/>
        </w:rPr>
        <w:tab/>
        <w:t xml:space="preserve">PAA - </w:t>
      </w:r>
      <w:r w:rsidRPr="001240DC">
        <w:rPr>
          <w:rFonts w:cs="Arial"/>
          <w:i/>
        </w:rPr>
        <w:t xml:space="preserve">Premium </w:t>
      </w:r>
      <w:proofErr w:type="spellStart"/>
      <w:r w:rsidRPr="001240DC">
        <w:rPr>
          <w:rFonts w:cs="Arial"/>
          <w:i/>
        </w:rPr>
        <w:t>Allocation</w:t>
      </w:r>
      <w:proofErr w:type="spellEnd"/>
      <w:r w:rsidRPr="001240DC">
        <w:rPr>
          <w:rFonts w:cs="Arial"/>
          <w:i/>
        </w:rPr>
        <w:t xml:space="preserve"> Approach</w:t>
      </w:r>
      <w:r w:rsidRPr="001240DC">
        <w:rPr>
          <w:rFonts w:cs="Arial"/>
        </w:rPr>
        <w:t xml:space="preserve"> (Abordagem de Alocação de Prêmio): modelo simplificado opcional, indicado para contratos de seguros de curta duração (cobertura até um ano) ou quando a cobertura remanescente não seja materialmente diferente do valor calculado no modelo BBA. Estão contidos nesse modelo todos os contratos de seguros com duração igual ou inferior há um ano, tanto de vida como de não vida, e aqueles contratos com duração de até 5 anos cujos resultados da valoração não difeririam significativamente em relação ao modelo geral BBA.</w:t>
      </w:r>
    </w:p>
    <w:p w14:paraId="0AF7F589" w14:textId="77777777" w:rsidR="00C00AB2" w:rsidRPr="001240DC" w:rsidRDefault="00C00AB2" w:rsidP="00C00AB2">
      <w:pPr>
        <w:pStyle w:val="05-Textonormal"/>
        <w:rPr>
          <w:rFonts w:cs="Arial"/>
        </w:rPr>
      </w:pPr>
      <w:r w:rsidRPr="001240DC">
        <w:rPr>
          <w:rFonts w:cs="Arial"/>
        </w:rPr>
        <w:t>•</w:t>
      </w:r>
      <w:r w:rsidRPr="001240DC">
        <w:rPr>
          <w:rFonts w:cs="Arial"/>
        </w:rPr>
        <w:tab/>
        <w:t xml:space="preserve">VFA - </w:t>
      </w:r>
      <w:r w:rsidRPr="001240DC">
        <w:rPr>
          <w:rFonts w:cs="Arial"/>
          <w:i/>
        </w:rPr>
        <w:t xml:space="preserve">Variable </w:t>
      </w:r>
      <w:proofErr w:type="spellStart"/>
      <w:r w:rsidRPr="001240DC">
        <w:rPr>
          <w:rFonts w:cs="Arial"/>
          <w:i/>
        </w:rPr>
        <w:t>Fee</w:t>
      </w:r>
      <w:proofErr w:type="spellEnd"/>
      <w:r w:rsidRPr="001240DC">
        <w:rPr>
          <w:rFonts w:cs="Arial"/>
          <w:i/>
        </w:rPr>
        <w:t xml:space="preserve"> Approach</w:t>
      </w:r>
      <w:r w:rsidRPr="001240DC">
        <w:rPr>
          <w:rFonts w:cs="Arial"/>
        </w:rPr>
        <w:t xml:space="preserve"> (Abordagem de Taxa Variável): modelo para tratar contratos de seguros com componentes de retornos subjacentes. Segue o mesmo modelo geral de mensuração (BBA), tendo como diferencial um componente de remuneração variável em seus fluxos de cumprimento. O VFA modifica o tratamento da CSM na mensuração subsequente para contemplar os contratos onde o segurado participa de parte substancial dos retornos de itens subjacentes, como por exemplo carteira de ativos. Estão contidos neste modelo os produtos de previdência PGBL e VGBL.</w:t>
      </w:r>
    </w:p>
    <w:p w14:paraId="6593520C" w14:textId="77777777" w:rsidR="00C00AB2" w:rsidRDefault="00C00AB2" w:rsidP="00C00AB2">
      <w:pPr>
        <w:pStyle w:val="05-Textonormal"/>
        <w:rPr>
          <w:rFonts w:cs="Arial"/>
        </w:rPr>
      </w:pPr>
      <w:r w:rsidRPr="001240DC">
        <w:rPr>
          <w:rFonts w:cs="Arial"/>
        </w:rPr>
        <w:t>No reconhecimento inicial pelo modelo BBA, é necessário considerar as estimativas de fluxo de caixa futuro, bem como ajustes ao valor presente e aos riscos não financeiros, a fim de avaliar se os contratos de seguros são superavitários ou</w:t>
      </w:r>
      <w:r w:rsidRPr="001347DC">
        <w:rPr>
          <w:rFonts w:cs="Arial"/>
        </w:rPr>
        <w:t xml:space="preserve"> deficitários. Se o fluxo de caixa futuro for positivo, a margem de serviço contratual é reconhecida no passivo e é convertida em receita ao longo da vigência dos contratos de seguros. No entanto, se o fluxo de caixa for negativo, os contratos de seguros são considerados onerosos e os valores devem ser contabilizados imediatamente no resultado</w:t>
      </w:r>
      <w:r w:rsidRPr="00176708">
        <w:rPr>
          <w:rFonts w:cs="Arial"/>
        </w:rPr>
        <w:t>.</w:t>
      </w:r>
    </w:p>
    <w:p w14:paraId="5FBF88EC" w14:textId="77777777" w:rsidR="00C00AB2" w:rsidRDefault="00C00AB2" w:rsidP="00C00AB2">
      <w:pPr>
        <w:pStyle w:val="05-Textonormal"/>
        <w:rPr>
          <w:rFonts w:cs="Arial"/>
        </w:rPr>
      </w:pPr>
      <w:r w:rsidRPr="004301FC">
        <w:rPr>
          <w:rFonts w:cs="Arial"/>
        </w:rPr>
        <w:t xml:space="preserve">No modelo PAA, baseado em passivo de cobertura remanescente, semelhante à metodologia de prêmios não ganhos, os valores do passivo são </w:t>
      </w:r>
      <w:r>
        <w:rPr>
          <w:rFonts w:cs="Arial"/>
        </w:rPr>
        <w:t>apropriados como receita no</w:t>
      </w:r>
      <w:r w:rsidRPr="004301FC">
        <w:rPr>
          <w:rFonts w:cs="Arial"/>
        </w:rPr>
        <w:t xml:space="preserve"> resultado</w:t>
      </w:r>
      <w:r>
        <w:rPr>
          <w:rFonts w:cs="Arial"/>
        </w:rPr>
        <w:t>,</w:t>
      </w:r>
      <w:r w:rsidRPr="004301FC">
        <w:rPr>
          <w:rFonts w:cs="Arial"/>
        </w:rPr>
        <w:t xml:space="preserve"> de acordo com o período de vigência dos contratos</w:t>
      </w:r>
      <w:r>
        <w:rPr>
          <w:rFonts w:cs="Arial"/>
        </w:rPr>
        <w:t xml:space="preserve"> de seguros</w:t>
      </w:r>
      <w:r w:rsidRPr="004301FC">
        <w:rPr>
          <w:rFonts w:cs="Arial"/>
        </w:rPr>
        <w:t>.</w:t>
      </w:r>
    </w:p>
    <w:p w14:paraId="51F4BB85" w14:textId="77777777" w:rsidR="00C00AB2" w:rsidRDefault="00C00AB2" w:rsidP="00C00AB2">
      <w:pPr>
        <w:pStyle w:val="05-Textonormal"/>
        <w:rPr>
          <w:rFonts w:cs="Arial"/>
        </w:rPr>
      </w:pPr>
      <w:r>
        <w:rPr>
          <w:rFonts w:cs="Arial"/>
        </w:rPr>
        <w:lastRenderedPageBreak/>
        <w:t xml:space="preserve">As estimativas fazem parte do processo de reconhecimento e mensuração contábil, uma vez que a incerteza é uma característica inerente aos contratos de seguros. Segundo o </w:t>
      </w:r>
      <w:r w:rsidRPr="00AB4F07">
        <w:rPr>
          <w:rFonts w:cs="Arial"/>
        </w:rPr>
        <w:t xml:space="preserve">CPC 23 [IAS 8] - Políticas Contábeis, Mudança de Estimativa e Retificação de Erro </w:t>
      </w:r>
      <w:r>
        <w:rPr>
          <w:rFonts w:cs="Arial"/>
        </w:rPr>
        <w:t xml:space="preserve">as estimativas contábeis podem necessitar de revisão à medida que se alteram os fatos e/ou as circunstâncias em que foram realizadas, aumente o nível de experiência e informações adicionais ficam disponíveis. O efeito da mudança das estimativas deve ser reconhecido de forma prospectiva.  </w:t>
      </w:r>
    </w:p>
    <w:p w14:paraId="34CACBD6" w14:textId="77777777" w:rsidR="00C00AB2" w:rsidRPr="004301FC" w:rsidRDefault="00C00AB2" w:rsidP="00C00AB2">
      <w:pPr>
        <w:pStyle w:val="05-Textonormal"/>
        <w:rPr>
          <w:rFonts w:cs="Arial"/>
        </w:rPr>
      </w:pPr>
      <w:r>
        <w:rPr>
          <w:rFonts w:cs="Arial"/>
        </w:rPr>
        <w:t>As</w:t>
      </w:r>
      <w:r w:rsidRPr="006318FC">
        <w:rPr>
          <w:rFonts w:cs="Arial"/>
        </w:rPr>
        <w:t xml:space="preserve"> estimativas são revisadas periodicamente pelas investidas operacionais com o objetivo de verificar a sua aderência às operações a partir da maior experiência verificada com o comportamento dos contratos de seguros</w:t>
      </w:r>
      <w:r>
        <w:rPr>
          <w:rFonts w:cs="Arial"/>
        </w:rPr>
        <w:t>.</w:t>
      </w:r>
    </w:p>
    <w:p w14:paraId="62FAA782" w14:textId="77777777" w:rsidR="00C00AB2" w:rsidRDefault="00C00AB2" w:rsidP="00C00AB2">
      <w:pPr>
        <w:pStyle w:val="05-Textonormal"/>
        <w:rPr>
          <w:rFonts w:cs="Arial"/>
        </w:rPr>
      </w:pPr>
      <w:r>
        <w:rPr>
          <w:rFonts w:cs="Arial"/>
        </w:rPr>
        <w:t>As empresas individuais BB Seguridade, BB Seguros e BB Corretora não possuem operações que estão dentro do escopo da norma de contratos de seguros. Entretanto, a</w:t>
      </w:r>
      <w:r w:rsidRPr="004301FC">
        <w:rPr>
          <w:rFonts w:cs="Arial"/>
        </w:rPr>
        <w:t xml:space="preserve">s empresas investidas </w:t>
      </w:r>
      <w:r>
        <w:rPr>
          <w:rFonts w:cs="Arial"/>
        </w:rPr>
        <w:t xml:space="preserve">operacionais </w:t>
      </w:r>
      <w:r w:rsidRPr="004301FC">
        <w:rPr>
          <w:rFonts w:cs="Arial"/>
        </w:rPr>
        <w:t xml:space="preserve">que </w:t>
      </w:r>
      <w:r>
        <w:rPr>
          <w:rFonts w:cs="Arial"/>
        </w:rPr>
        <w:t>comercializam</w:t>
      </w:r>
      <w:r w:rsidRPr="004301FC">
        <w:rPr>
          <w:rFonts w:cs="Arial"/>
        </w:rPr>
        <w:t xml:space="preserve"> contratos de seguros</w:t>
      </w:r>
      <w:r>
        <w:rPr>
          <w:rFonts w:cs="Arial"/>
        </w:rPr>
        <w:t xml:space="preserve"> – </w:t>
      </w:r>
      <w:proofErr w:type="spellStart"/>
      <w:r>
        <w:rPr>
          <w:rFonts w:cs="Arial"/>
        </w:rPr>
        <w:t>Brasilseg</w:t>
      </w:r>
      <w:proofErr w:type="spellEnd"/>
      <w:r>
        <w:rPr>
          <w:rFonts w:cs="Arial"/>
        </w:rPr>
        <w:t xml:space="preserve"> e a Aliança do Brasil Seguros, controladas pela holding BB MAPFRE, a Brasilprev e a </w:t>
      </w:r>
      <w:proofErr w:type="spellStart"/>
      <w:r>
        <w:rPr>
          <w:rFonts w:cs="Arial"/>
        </w:rPr>
        <w:t>Brasildental</w:t>
      </w:r>
      <w:proofErr w:type="spellEnd"/>
      <w:r>
        <w:rPr>
          <w:rFonts w:cs="Arial"/>
        </w:rPr>
        <w:t xml:space="preserve"> -</w:t>
      </w:r>
      <w:r w:rsidRPr="004301FC">
        <w:rPr>
          <w:rFonts w:cs="Arial"/>
        </w:rPr>
        <w:t xml:space="preserve"> </w:t>
      </w:r>
      <w:r>
        <w:rPr>
          <w:rFonts w:cs="Arial"/>
        </w:rPr>
        <w:t>são</w:t>
      </w:r>
      <w:r w:rsidRPr="004301FC">
        <w:rPr>
          <w:rFonts w:cs="Arial"/>
        </w:rPr>
        <w:t xml:space="preserve"> afetadas pelas referidas normas contábeis</w:t>
      </w:r>
      <w:r>
        <w:rPr>
          <w:rFonts w:cs="Arial"/>
        </w:rPr>
        <w:t>.</w:t>
      </w:r>
    </w:p>
    <w:p w14:paraId="44F90D1A" w14:textId="77777777" w:rsidR="00C00AB2" w:rsidRDefault="00C00AB2" w:rsidP="00C00AB2">
      <w:pPr>
        <w:pStyle w:val="05-Textonormal"/>
        <w:rPr>
          <w:rFonts w:cs="Arial"/>
        </w:rPr>
      </w:pPr>
      <w:r w:rsidRPr="004301FC">
        <w:rPr>
          <w:rFonts w:cs="Arial"/>
        </w:rPr>
        <w:t xml:space="preserve">Os produtos da </w:t>
      </w:r>
      <w:proofErr w:type="spellStart"/>
      <w:r w:rsidRPr="004301FC">
        <w:rPr>
          <w:rFonts w:cs="Arial"/>
        </w:rPr>
        <w:t>Brasilcap</w:t>
      </w:r>
      <w:proofErr w:type="spellEnd"/>
      <w:r w:rsidRPr="004301FC">
        <w:rPr>
          <w:rFonts w:cs="Arial"/>
        </w:rPr>
        <w:t xml:space="preserve"> não estão dentro do escopo do CPC 50 [IFRS 17] e os impactos referentes ao CPC 48 [IFRS 9] já vêm sendo reconhecidos </w:t>
      </w:r>
      <w:proofErr w:type="spellStart"/>
      <w:r w:rsidRPr="004301FC">
        <w:rPr>
          <w:rFonts w:cs="Arial"/>
        </w:rPr>
        <w:t>na</w:t>
      </w:r>
      <w:proofErr w:type="spellEnd"/>
      <w:r w:rsidRPr="004301FC">
        <w:rPr>
          <w:rFonts w:cs="Arial"/>
        </w:rPr>
        <w:t xml:space="preserve"> BB Seguridade desde 2018, por meio de harmonização de práticas contábeis.</w:t>
      </w:r>
    </w:p>
    <w:p w14:paraId="21788759" w14:textId="77777777" w:rsidR="00C00AB2" w:rsidRDefault="00C00AB2" w:rsidP="00C00AB2">
      <w:pPr>
        <w:pStyle w:val="05-Textonormal"/>
        <w:rPr>
          <w:rFonts w:cs="Arial"/>
        </w:rPr>
      </w:pPr>
      <w:r>
        <w:rPr>
          <w:rFonts w:cs="Arial"/>
        </w:rPr>
        <w:t>Os respectivos impactos nas empresas investidas estão apresentados na nota explicativa 07 – Investimento em Participações Societárias.</w:t>
      </w:r>
    </w:p>
    <w:p w14:paraId="27ED2033" w14:textId="692EE836" w:rsidR="00C00AB2" w:rsidRPr="00170274" w:rsidRDefault="00C00AB2" w:rsidP="00C00AB2">
      <w:pPr>
        <w:pStyle w:val="01-TtulodeNota"/>
        <w:rPr>
          <w:rFonts w:cs="Arial"/>
          <w:color w:val="1F3864" w:themeColor="accent1" w:themeShade="80"/>
        </w:rPr>
      </w:pPr>
      <w:r w:rsidRPr="00170274">
        <w:rPr>
          <w:rFonts w:cs="Arial"/>
          <w:color w:val="1F3864" w:themeColor="accent1" w:themeShade="80"/>
          <w:sz w:val="18"/>
          <w:szCs w:val="18"/>
        </w:rPr>
        <w:t xml:space="preserve">p) </w:t>
      </w:r>
      <w:r w:rsidRPr="003D03DE">
        <w:rPr>
          <w:rFonts w:cs="Arial"/>
          <w:color w:val="1F3864" w:themeColor="accent1" w:themeShade="80"/>
          <w:sz w:val="18"/>
          <w:szCs w:val="18"/>
        </w:rPr>
        <w:t>Harmonização</w:t>
      </w:r>
      <w:r>
        <w:rPr>
          <w:rFonts w:cs="Arial"/>
          <w:color w:val="1F3864" w:themeColor="accent1" w:themeShade="80"/>
          <w:sz w:val="18"/>
          <w:szCs w:val="18"/>
        </w:rPr>
        <w:t xml:space="preserve"> das práticas contábeis do CPC 50 [IFRS 17]</w:t>
      </w:r>
    </w:p>
    <w:p w14:paraId="4EF90737" w14:textId="137405D6" w:rsidR="00C00AB2" w:rsidRPr="004301FC" w:rsidRDefault="00C00AB2" w:rsidP="00C00AB2">
      <w:pPr>
        <w:pStyle w:val="05-Textonormal"/>
        <w:rPr>
          <w:rFonts w:cs="Arial"/>
        </w:rPr>
      </w:pPr>
      <w:r w:rsidRPr="004301FC">
        <w:rPr>
          <w:rFonts w:cs="Arial"/>
        </w:rPr>
        <w:t>Apesar da norma CPC 50 [IFRS 17] ainda não ter sido recepcionada pela SUSEP e ANS, as respectivas investidas</w:t>
      </w:r>
      <w:r>
        <w:rPr>
          <w:rFonts w:cs="Arial"/>
        </w:rPr>
        <w:t xml:space="preserve"> operacionais</w:t>
      </w:r>
      <w:r w:rsidRPr="004301FC">
        <w:rPr>
          <w:rFonts w:cs="Arial"/>
        </w:rPr>
        <w:t xml:space="preserve"> da BB Seguridade que </w:t>
      </w:r>
      <w:r>
        <w:rPr>
          <w:rFonts w:cs="Arial"/>
        </w:rPr>
        <w:t>comercializam</w:t>
      </w:r>
      <w:r w:rsidRPr="004301FC">
        <w:rPr>
          <w:rFonts w:cs="Arial"/>
        </w:rPr>
        <w:t xml:space="preserve"> contratos de seguros dentro do escopo da referida norma deve</w:t>
      </w:r>
      <w:r>
        <w:rPr>
          <w:rFonts w:cs="Arial"/>
        </w:rPr>
        <w:t>m</w:t>
      </w:r>
      <w:r w:rsidRPr="004301FC">
        <w:rPr>
          <w:rFonts w:cs="Arial"/>
        </w:rPr>
        <w:t xml:space="preserve"> confeccionar</w:t>
      </w:r>
      <w:r>
        <w:rPr>
          <w:rFonts w:cs="Arial"/>
        </w:rPr>
        <w:t xml:space="preserve"> </w:t>
      </w:r>
      <w:r w:rsidRPr="004301FC">
        <w:rPr>
          <w:rFonts w:cs="Arial"/>
        </w:rPr>
        <w:t>suas demonstrações contábeis</w:t>
      </w:r>
      <w:r>
        <w:rPr>
          <w:rFonts w:cs="Arial"/>
        </w:rPr>
        <w:t xml:space="preserve"> </w:t>
      </w:r>
      <w:r w:rsidRPr="004301FC">
        <w:rPr>
          <w:rFonts w:cs="Arial"/>
        </w:rPr>
        <w:t>no novo padrão, para fins de atendimento das normas contábeis aplicáveis à BB Seguridade.</w:t>
      </w:r>
    </w:p>
    <w:p w14:paraId="429695C8" w14:textId="77777777" w:rsidR="00C00AB2" w:rsidRPr="004301FC" w:rsidRDefault="00C00AB2" w:rsidP="00C00AB2">
      <w:pPr>
        <w:pStyle w:val="05-Textonormal"/>
        <w:rPr>
          <w:rFonts w:cs="Arial"/>
        </w:rPr>
      </w:pPr>
      <w:r w:rsidRPr="004301FC">
        <w:rPr>
          <w:rFonts w:cs="Arial"/>
        </w:rPr>
        <w:t>Neste sentido, no momento inicial da adoção</w:t>
      </w:r>
      <w:r>
        <w:rPr>
          <w:rFonts w:cs="Arial"/>
        </w:rPr>
        <w:t>, a partir de janeiro de 2023</w:t>
      </w:r>
      <w:r w:rsidRPr="004301FC">
        <w:rPr>
          <w:rFonts w:cs="Arial"/>
        </w:rPr>
        <w:t xml:space="preserve">, </w:t>
      </w:r>
      <w:r>
        <w:rPr>
          <w:rFonts w:cs="Arial"/>
        </w:rPr>
        <w:t>foram</w:t>
      </w:r>
      <w:r w:rsidRPr="004301FC">
        <w:rPr>
          <w:rFonts w:cs="Arial"/>
        </w:rPr>
        <w:t xml:space="preserve"> refletidos nas </w:t>
      </w:r>
      <w:r>
        <w:rPr>
          <w:rFonts w:cs="Arial"/>
        </w:rPr>
        <w:t xml:space="preserve">demonstrações contábeis </w:t>
      </w:r>
      <w:r w:rsidRPr="004301FC">
        <w:rPr>
          <w:rFonts w:cs="Arial"/>
        </w:rPr>
        <w:t>da BB Seguridade os impactos no patrimônio líquido e nos investimentos em participações societárias e, posteriormente, os impactos subsequentes por meio de equivalência patrimonial.</w:t>
      </w:r>
    </w:p>
    <w:p w14:paraId="25FCFA77" w14:textId="77777777" w:rsidR="00C00AB2" w:rsidRPr="004301FC" w:rsidRDefault="00C00AB2" w:rsidP="00C00AB2">
      <w:pPr>
        <w:pStyle w:val="05-Textonormal"/>
        <w:rPr>
          <w:rFonts w:cs="Arial"/>
        </w:rPr>
      </w:pPr>
      <w:r w:rsidRPr="004301FC">
        <w:rPr>
          <w:rFonts w:cs="Arial"/>
        </w:rPr>
        <w:t>Apesar da adoção inicial da norma contáb</w:t>
      </w:r>
      <w:r>
        <w:rPr>
          <w:rFonts w:cs="Arial"/>
        </w:rPr>
        <w:t>il</w:t>
      </w:r>
      <w:r w:rsidRPr="004301FC">
        <w:rPr>
          <w:rFonts w:cs="Arial"/>
        </w:rPr>
        <w:t xml:space="preserve"> por parte das investidas</w:t>
      </w:r>
      <w:r>
        <w:rPr>
          <w:rFonts w:cs="Arial"/>
        </w:rPr>
        <w:t xml:space="preserve"> operacionais que comercializam contratos de seguros</w:t>
      </w:r>
      <w:r w:rsidRPr="004301FC">
        <w:rPr>
          <w:rFonts w:cs="Arial"/>
        </w:rPr>
        <w:t>, em que os efeitos contábeis se dão por meio de harmonização de práticas contábeis, as empresas seguradoras e operadora de planos de saúde não estão adotando ainda a referida norma e, portanto, não h</w:t>
      </w:r>
      <w:r>
        <w:rPr>
          <w:rFonts w:cs="Arial"/>
        </w:rPr>
        <w:t>á</w:t>
      </w:r>
      <w:r w:rsidRPr="004301FC">
        <w:rPr>
          <w:rFonts w:cs="Arial"/>
        </w:rPr>
        <w:t xml:space="preserve"> impactos para efeito de exigências regulatórias, determinadas pelas SUSEP e ANS.</w:t>
      </w:r>
    </w:p>
    <w:p w14:paraId="752174C7" w14:textId="77777777" w:rsidR="00C00AB2" w:rsidRDefault="00C00AB2" w:rsidP="00C00AB2">
      <w:pPr>
        <w:pStyle w:val="05-Textonormal"/>
        <w:rPr>
          <w:rFonts w:cs="Arial"/>
        </w:rPr>
      </w:pPr>
      <w:r w:rsidRPr="004301FC">
        <w:rPr>
          <w:rFonts w:cs="Arial"/>
        </w:rPr>
        <w:t>Do mesmo modo, tendo em vista que as regras regulatórias e societárias para as empresas seguradoras e operadora de plano</w:t>
      </w:r>
      <w:r>
        <w:rPr>
          <w:rFonts w:cs="Arial"/>
        </w:rPr>
        <w:t>s</w:t>
      </w:r>
      <w:r w:rsidRPr="004301FC">
        <w:rPr>
          <w:rFonts w:cs="Arial"/>
        </w:rPr>
        <w:t xml:space="preserve"> de saúde não </w:t>
      </w:r>
      <w:r>
        <w:rPr>
          <w:rFonts w:cs="Arial"/>
        </w:rPr>
        <w:t>são</w:t>
      </w:r>
      <w:r w:rsidRPr="004301FC">
        <w:rPr>
          <w:rFonts w:cs="Arial"/>
        </w:rPr>
        <w:t xml:space="preserve"> afetadas pela referida norma contáb</w:t>
      </w:r>
      <w:r>
        <w:rPr>
          <w:rFonts w:cs="Arial"/>
        </w:rPr>
        <w:t>il</w:t>
      </w:r>
      <w:r w:rsidRPr="004301FC">
        <w:rPr>
          <w:rFonts w:cs="Arial"/>
        </w:rPr>
        <w:t>, não são esperados impactos na distribuição de dividendos ou na gestão de capital de tais companhias decorrentes da harmonização das suas práticas contábeis àquelas da BB Seguridade e BB Seguros.</w:t>
      </w:r>
      <w:bookmarkEnd w:id="31"/>
    </w:p>
    <w:p w14:paraId="1F89F66C" w14:textId="77777777" w:rsidR="00C00AB2" w:rsidRPr="00AD2B6E" w:rsidRDefault="00C00AB2" w:rsidP="00C00AB2">
      <w:pPr>
        <w:pStyle w:val="01-TtulodeNota"/>
        <w:rPr>
          <w:rFonts w:cs="Arial"/>
          <w:color w:val="1F3864" w:themeColor="accent1" w:themeShade="80"/>
          <w:sz w:val="18"/>
          <w:szCs w:val="18"/>
        </w:rPr>
      </w:pPr>
      <w:r w:rsidRPr="00AD2B6E">
        <w:rPr>
          <w:rFonts w:cs="Arial"/>
          <w:color w:val="1F3864" w:themeColor="accent1" w:themeShade="80"/>
          <w:sz w:val="18"/>
          <w:szCs w:val="18"/>
        </w:rPr>
        <w:t>q) Normas recentemente emitidas, aplicáveis ou a serem aplicadas em períodos futuros</w:t>
      </w:r>
    </w:p>
    <w:p w14:paraId="0ABF5817" w14:textId="77777777" w:rsidR="00C00AB2" w:rsidRPr="00AD2B6E" w:rsidRDefault="00C00AB2" w:rsidP="00C00AB2">
      <w:pPr>
        <w:pStyle w:val="05-Textonormal"/>
        <w:rPr>
          <w:rFonts w:cs="Arial"/>
        </w:rPr>
      </w:pPr>
      <w:bookmarkStart w:id="35" w:name="_Hlk165384597"/>
      <w:r w:rsidRPr="00AD2B6E">
        <w:rPr>
          <w:rFonts w:cs="Arial"/>
          <w:b/>
          <w:color w:val="1F3864" w:themeColor="accent1" w:themeShade="80"/>
        </w:rPr>
        <w:t>IFRS 18 - Apresentação e Divulgação em Demonstrações Financeiras</w:t>
      </w:r>
      <w:r w:rsidRPr="00AD2B6E">
        <w:rPr>
          <w:rFonts w:cs="Arial"/>
        </w:rPr>
        <w:t xml:space="preserve"> - A IFRS 18 é uma nova norma contábil, emitida pelo </w:t>
      </w:r>
      <w:proofErr w:type="spellStart"/>
      <w:r w:rsidRPr="00AD2B6E">
        <w:rPr>
          <w:rFonts w:cs="Arial"/>
          <w:i/>
          <w:iCs/>
        </w:rPr>
        <w:t>International</w:t>
      </w:r>
      <w:proofErr w:type="spellEnd"/>
      <w:r w:rsidRPr="00AD2B6E">
        <w:rPr>
          <w:rFonts w:cs="Arial"/>
          <w:i/>
          <w:iCs/>
        </w:rPr>
        <w:t xml:space="preserve"> </w:t>
      </w:r>
      <w:proofErr w:type="spellStart"/>
      <w:r w:rsidRPr="00AD2B6E">
        <w:rPr>
          <w:rFonts w:cs="Arial"/>
          <w:i/>
          <w:iCs/>
        </w:rPr>
        <w:t>Accounting</w:t>
      </w:r>
      <w:proofErr w:type="spellEnd"/>
      <w:r w:rsidRPr="00AD2B6E">
        <w:rPr>
          <w:rFonts w:cs="Arial"/>
          <w:i/>
          <w:iCs/>
        </w:rPr>
        <w:t xml:space="preserve"> Standards Board</w:t>
      </w:r>
      <w:r w:rsidRPr="00AD2B6E">
        <w:rPr>
          <w:rFonts w:cs="Arial"/>
        </w:rPr>
        <w:t xml:space="preserve"> (IASB) em 9 de abril de 2024. Esta norma tem como objetivo aprimorar a comunicação das informações nas demonstrações contábeis, com foco especial no desempenho empresarial, ou seja, na demonstração do resultado e nas respectivas notas explicativas.</w:t>
      </w:r>
    </w:p>
    <w:p w14:paraId="69A32F70" w14:textId="77777777" w:rsidR="00C00AB2" w:rsidRPr="00AD2B6E" w:rsidRDefault="00C00AB2" w:rsidP="00C00AB2">
      <w:pPr>
        <w:pStyle w:val="05-Textonormal"/>
        <w:rPr>
          <w:rFonts w:cs="Arial"/>
        </w:rPr>
      </w:pPr>
      <w:r w:rsidRPr="00AD2B6E">
        <w:rPr>
          <w:rFonts w:cs="Arial"/>
        </w:rPr>
        <w:t>A principal mudança da nova norma é a estrutura de apresentação da demonstração do resultado, em que haverá basicamente a segregação dos resultados das atividades operacionais, de investimentos e de financiamentos, de acordo com o modelo de negócios das empresas. Neste sentido, a norma visa aumentar a comparabilidade, dar maior transparência às medidas de desempenho definidas pela administração e promover um agrupamento mais útil dessas informações contábeis.</w:t>
      </w:r>
    </w:p>
    <w:p w14:paraId="345FC7A9" w14:textId="77777777" w:rsidR="00C00AB2" w:rsidRPr="00AD2B6E" w:rsidRDefault="00C00AB2" w:rsidP="00C00AB2">
      <w:pPr>
        <w:pStyle w:val="05-Textonormal"/>
        <w:rPr>
          <w:rFonts w:cs="Arial"/>
        </w:rPr>
      </w:pPr>
      <w:r w:rsidRPr="00AD2B6E">
        <w:rPr>
          <w:rFonts w:cs="Arial"/>
        </w:rPr>
        <w:t>A IFRS 18 substituirá a norma IAS 1 - Apresentação de Demonstrações Financeiras, equivalente no Brasil ao CPC 26 (R1). A adoção da nova norma está prevista para 1º de janeiro de 2027.</w:t>
      </w:r>
    </w:p>
    <w:p w14:paraId="597B6E6B" w14:textId="77777777" w:rsidR="00C00AB2" w:rsidRDefault="00C00AB2" w:rsidP="00C00AB2">
      <w:pPr>
        <w:pStyle w:val="05-Textonormal"/>
        <w:rPr>
          <w:rFonts w:cs="Arial"/>
        </w:rPr>
      </w:pPr>
      <w:r w:rsidRPr="00AD2B6E">
        <w:rPr>
          <w:rFonts w:cs="Arial"/>
        </w:rPr>
        <w:t xml:space="preserve">A referida norma não foi recepcionada ainda pelo Comitê de Pronunciamentos Contábeis (CPC) e Comissão de Valores Mobiliários (CVM). Os impactos da adoção do novo normativo estão em avaliação pelo Grupo BB </w:t>
      </w:r>
      <w:r>
        <w:rPr>
          <w:rFonts w:cs="Arial"/>
        </w:rPr>
        <w:t>Seguridade</w:t>
      </w:r>
      <w:r w:rsidRPr="00AD2B6E">
        <w:rPr>
          <w:rFonts w:cs="Arial"/>
        </w:rPr>
        <w:t>.</w:t>
      </w:r>
    </w:p>
    <w:bookmarkEnd w:id="35"/>
    <w:p w14:paraId="6F47D868" w14:textId="77777777" w:rsidR="00C00AB2" w:rsidRPr="00953C26" w:rsidRDefault="00C00AB2" w:rsidP="00C00AB2">
      <w:pPr>
        <w:pStyle w:val="05-Textonormal"/>
      </w:pPr>
      <w:r w:rsidRPr="004C203A">
        <w:rPr>
          <w:rStyle w:val="Forte"/>
          <w:rFonts w:eastAsia="MS Mincho" w:cs="Arial"/>
          <w:color w:val="1F3864" w:themeColor="accent1" w:themeShade="80"/>
        </w:rPr>
        <w:t>IFRS S1 - Requisitos gerais para divulgação de informações financeiras relacionadas à sustentabilidade e IFRS S2 - Divulgações relacionadas ao clima</w:t>
      </w:r>
      <w:r w:rsidRPr="005B55FE">
        <w:rPr>
          <w:rStyle w:val="Forte"/>
          <w:rFonts w:eastAsia="MS Mincho" w:cs="Arial"/>
          <w:color w:val="1E53A3"/>
        </w:rPr>
        <w:t xml:space="preserve"> </w:t>
      </w:r>
      <w:r w:rsidRPr="005B55FE">
        <w:rPr>
          <w:rStyle w:val="Forte"/>
          <w:rFonts w:eastAsia="MS Mincho" w:cs="Arial"/>
        </w:rPr>
        <w:t xml:space="preserve">– </w:t>
      </w:r>
      <w:r w:rsidRPr="00953C26">
        <w:t xml:space="preserve">Em junho de 2023, o </w:t>
      </w:r>
      <w:proofErr w:type="spellStart"/>
      <w:r w:rsidRPr="00953C26">
        <w:rPr>
          <w:i/>
          <w:iCs/>
        </w:rPr>
        <w:t>International</w:t>
      </w:r>
      <w:proofErr w:type="spellEnd"/>
      <w:r w:rsidRPr="00953C26">
        <w:rPr>
          <w:i/>
          <w:iCs/>
        </w:rPr>
        <w:t xml:space="preserve"> Sustainability Standards Board</w:t>
      </w:r>
      <w:r w:rsidRPr="00953C26">
        <w:t xml:space="preserve"> (ISSB) emitiu as duas primeiras normas de relatórios de sustentabilidade, com objetivo de desenvolver e emitir uma base global abrangente de normas de relatórios de sustentabilidade. As normas IFRS S1 e IFRS S2 requerem que a entidade divulgue informações sobre riscos e oportunidades relacionadas à sustentabilidade e ao clima. A IFRS S1 abrange requisitos gerais para o reporte de informações de sustentabilidade, enquanto a IFRS S2 foca em divulgações específicas sobre o clima.</w:t>
      </w:r>
    </w:p>
    <w:p w14:paraId="3246104F" w14:textId="77777777" w:rsidR="00C00AB2" w:rsidRPr="00953C26" w:rsidRDefault="00C00AB2" w:rsidP="00C00AB2">
      <w:pPr>
        <w:pStyle w:val="05-Textonormal"/>
      </w:pPr>
      <w:r w:rsidRPr="00953C26">
        <w:t xml:space="preserve">No Brasil, o Comitê Brasileiro de Pronunciamentos de Sustentabilidade (CBPS) promove a adoção dessas normas, padronizando relatórios e facilitando a análise do desempenho financeiro e da estratégia futura das organizações em relação </w:t>
      </w:r>
      <w:r w:rsidRPr="00953C26">
        <w:lastRenderedPageBreak/>
        <w:t>à sustentabilidade. Em outubro de 2023, a Comissão de Valores Mobiliários (CVM) publicou a Resolução CVM nº 193, que dispõe sobre a elaboração e divulgação do relatório de informações financeiras relacionadas à sustentabilidade, com base no padrão internacional emitido pelo ISSB.</w:t>
      </w:r>
    </w:p>
    <w:p w14:paraId="1FD18708" w14:textId="4C120002" w:rsidR="008D78AB" w:rsidRPr="00953C26" w:rsidRDefault="006B51AB" w:rsidP="00C00AB2">
      <w:pPr>
        <w:pStyle w:val="05-Textonormal"/>
      </w:pPr>
      <w:r>
        <w:t>Em 29/10/2024, o CBPS divulgou o Pronunciamento CBPS 01 – Requisitos Gerais para Divulgação de Informações Financeiras Relacionadas à Sustentabilidade e o Pronunciamento CBPS 02 – Divulgações Relacionadas ao Clima, ambos aprovados pelo Conselho Federal de Contabilidade (CFC) por meio das NBC TDS 01 e NBC TDS 02, respectivamente. As referidas normas também foram aprovadas pela CVM, na mesma data, por meio das Resoluções CVM 217 e 218.</w:t>
      </w:r>
    </w:p>
    <w:p w14:paraId="44EC6A5C" w14:textId="77777777" w:rsidR="00C00AB2" w:rsidRPr="00953C26" w:rsidRDefault="00C00AB2" w:rsidP="00C00AB2">
      <w:pPr>
        <w:pStyle w:val="05-Textonormal"/>
      </w:pPr>
      <w:r w:rsidRPr="00953C26">
        <w:t>As companhias abertas poderão adotar a divulgação, em caráter voluntário, para o reporte relativo ao exercício de 2024. A partir do exercício de 2026, o relatório passa a ser obrigatório para companhias abertas, em conjunto com as demonstrações contábeis anuais. As demonstrações financeiras de sustentabilidade devem ser apresentadas de forma consolidada e separadas das demonstrações contábeis.</w:t>
      </w:r>
    </w:p>
    <w:p w14:paraId="3CB92616" w14:textId="77777777" w:rsidR="00C00AB2" w:rsidRPr="003D03DE" w:rsidRDefault="00C00AB2" w:rsidP="00C00AB2">
      <w:pPr>
        <w:pStyle w:val="05-Textonormal"/>
      </w:pPr>
      <w:r w:rsidRPr="00953C26">
        <w:t xml:space="preserve">Os impactos da adoção dos novos normativos estão em avaliação pelo Grupo BB </w:t>
      </w:r>
      <w:r>
        <w:t>Seguridade</w:t>
      </w:r>
      <w:r w:rsidRPr="00953C26">
        <w:t>.</w:t>
      </w:r>
      <w:bookmarkEnd w:id="32"/>
    </w:p>
    <w:p w14:paraId="17804FF4" w14:textId="61DD785A" w:rsidR="00D52EBB" w:rsidRPr="00BF2AAF" w:rsidRDefault="00D52EBB" w:rsidP="00D52EBB">
      <w:pPr>
        <w:pStyle w:val="05-Textonormal"/>
        <w:spacing w:line="240" w:lineRule="auto"/>
        <w:rPr>
          <w:rFonts w:cs="Arial"/>
        </w:rPr>
      </w:pPr>
    </w:p>
    <w:p w14:paraId="4ED340C5" w14:textId="77777777" w:rsidR="00C161D9" w:rsidRDefault="00C161D9" w:rsidP="00E010D5">
      <w:pPr>
        <w:pStyle w:val="02-TtulodeNota"/>
      </w:pPr>
      <w:bookmarkStart w:id="36" w:name="_Toc189757068"/>
      <w:bookmarkStart w:id="37" w:name="_Toc102067826"/>
      <w:r>
        <w:t>4</w:t>
      </w:r>
      <w:r w:rsidRPr="00BF2AAF">
        <w:t xml:space="preserve"> – AQUISIÇÕES, VENDAS E REESTRUTURAÇÕES SOCIETÁRIAS</w:t>
      </w:r>
      <w:bookmarkEnd w:id="36"/>
    </w:p>
    <w:p w14:paraId="54384BA9" w14:textId="77777777" w:rsidR="0044703D" w:rsidRDefault="0044703D" w:rsidP="0044703D">
      <w:pPr>
        <w:pStyle w:val="05-Textonormal"/>
        <w:rPr>
          <w:rFonts w:cs="Arial"/>
          <w:b/>
          <w:snapToGrid w:val="0"/>
          <w:color w:val="1F3864" w:themeColor="accent1" w:themeShade="80"/>
        </w:rPr>
      </w:pPr>
      <w:r>
        <w:rPr>
          <w:rFonts w:cs="Arial"/>
          <w:b/>
          <w:snapToGrid w:val="0"/>
          <w:color w:val="1F3864" w:themeColor="accent1" w:themeShade="80"/>
        </w:rPr>
        <w:t>Broto S.A.</w:t>
      </w:r>
    </w:p>
    <w:p w14:paraId="3F645046" w14:textId="0BA53E0D" w:rsidR="008A2518" w:rsidRDefault="00AA162F" w:rsidP="0044703D">
      <w:pPr>
        <w:pStyle w:val="05-Textonormal"/>
      </w:pPr>
      <w:r>
        <w:t xml:space="preserve">A </w:t>
      </w:r>
      <w:r w:rsidR="004F0FA4" w:rsidRPr="00D87835">
        <w:t>Broto (</w:t>
      </w:r>
      <w:r w:rsidR="004F0FA4">
        <w:t>Companhia)</w:t>
      </w:r>
      <w:r w:rsidR="001A6731">
        <w:t xml:space="preserve"> é </w:t>
      </w:r>
      <w:r w:rsidR="006D7631">
        <w:t xml:space="preserve">uma empresa constituída </w:t>
      </w:r>
      <w:r w:rsidR="005D7AEC" w:rsidRPr="00D87835">
        <w:t>para condução dos negócios da plataforma digital</w:t>
      </w:r>
      <w:r w:rsidR="00DD4039">
        <w:t xml:space="preserve">, a partir </w:t>
      </w:r>
      <w:r w:rsidR="00C43126">
        <w:t>de Acordo de Investiment</w:t>
      </w:r>
      <w:r w:rsidR="007E6F31">
        <w:t xml:space="preserve">os </w:t>
      </w:r>
      <w:r w:rsidR="009C71BE">
        <w:t xml:space="preserve">celebrado </w:t>
      </w:r>
      <w:r w:rsidR="00361613">
        <w:t xml:space="preserve">entre a </w:t>
      </w:r>
      <w:proofErr w:type="spellStart"/>
      <w:r w:rsidR="008A2518" w:rsidRPr="00D87835">
        <w:t>Brasilseg</w:t>
      </w:r>
      <w:proofErr w:type="spellEnd"/>
      <w:r w:rsidR="008A2518">
        <w:t xml:space="preserve"> (Seguradora)</w:t>
      </w:r>
      <w:r w:rsidR="008A2518" w:rsidRPr="00D87835">
        <w:t>, o Banco do Brasil e a BB Corretora, com interveniência e anuência da MAPFRE Brasil Participações, da BB Seguros e da Aliança do Brasil Seguros.</w:t>
      </w:r>
    </w:p>
    <w:p w14:paraId="47E36394" w14:textId="4EF544F4" w:rsidR="0044703D" w:rsidRPr="00D87835" w:rsidRDefault="0044703D" w:rsidP="0044703D">
      <w:pPr>
        <w:pStyle w:val="05-Textonormal"/>
      </w:pPr>
      <w:r w:rsidRPr="00D87835">
        <w:t>O capital social da Broto</w:t>
      </w:r>
      <w:r w:rsidR="00A319A4">
        <w:t xml:space="preserve">, empresa </w:t>
      </w:r>
      <w:r w:rsidR="00487A67">
        <w:t xml:space="preserve">controlada pela </w:t>
      </w:r>
      <w:proofErr w:type="spellStart"/>
      <w:r w:rsidR="00487A67">
        <w:t>Brasilseg</w:t>
      </w:r>
      <w:proofErr w:type="spellEnd"/>
      <w:r w:rsidR="00487A67">
        <w:t>,</w:t>
      </w:r>
      <w:r w:rsidRPr="00D87835">
        <w:t xml:space="preserve"> tem a seguinte distribuição:</w:t>
      </w:r>
    </w:p>
    <w:tbl>
      <w:tblPr>
        <w:tblStyle w:val="TabeladeLista6Colorida-nfase5"/>
        <w:tblW w:w="9639" w:type="dxa"/>
        <w:tblLayout w:type="fixed"/>
        <w:tblLook w:val="04A0" w:firstRow="1" w:lastRow="0" w:firstColumn="1" w:lastColumn="0" w:noHBand="0" w:noVBand="1"/>
      </w:tblPr>
      <w:tblGrid>
        <w:gridCol w:w="2552"/>
        <w:gridCol w:w="2362"/>
        <w:gridCol w:w="2362"/>
        <w:gridCol w:w="2363"/>
      </w:tblGrid>
      <w:tr w:rsidR="0044703D" w14:paraId="69B72143" w14:textId="77777777">
        <w:trPr>
          <w:cnfStyle w:val="100000000000" w:firstRow="1" w:lastRow="0" w:firstColumn="0" w:lastColumn="0" w:oddVBand="0" w:evenVBand="0" w:oddHBand="0"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552" w:type="dxa"/>
            <w:vMerge w:val="restart"/>
            <w:tcBorders>
              <w:top w:val="single" w:sz="2" w:space="0" w:color="1F3864" w:themeColor="accent1" w:themeShade="80"/>
              <w:left w:val="nil"/>
              <w:bottom w:val="single" w:sz="2" w:space="0" w:color="1F3864" w:themeColor="accent1" w:themeShade="80"/>
              <w:right w:val="nil"/>
            </w:tcBorders>
            <w:shd w:val="clear" w:color="auto" w:fill="auto"/>
            <w:vAlign w:val="center"/>
            <w:hideMark/>
          </w:tcPr>
          <w:p w14:paraId="79700F4F" w14:textId="77777777" w:rsidR="0044703D" w:rsidRDefault="0044703D">
            <w:pPr>
              <w:rPr>
                <w:rFonts w:ascii="Arial" w:hAnsi="Arial" w:cs="Arial"/>
                <w:sz w:val="18"/>
                <w:szCs w:val="18"/>
              </w:rPr>
            </w:pPr>
            <w:r>
              <w:rPr>
                <w:rFonts w:ascii="Arial" w:hAnsi="Arial" w:cs="Arial"/>
                <w:sz w:val="14"/>
                <w:szCs w:val="14"/>
              </w:rPr>
              <w:t>Acionistas</w:t>
            </w:r>
          </w:p>
        </w:tc>
        <w:tc>
          <w:tcPr>
            <w:tcW w:w="7087" w:type="dxa"/>
            <w:gridSpan w:val="3"/>
            <w:tcBorders>
              <w:top w:val="single" w:sz="2" w:space="0" w:color="1F3864" w:themeColor="accent1" w:themeShade="80"/>
              <w:left w:val="nil"/>
              <w:bottom w:val="single" w:sz="2" w:space="0" w:color="1F3864" w:themeColor="accent1" w:themeShade="80"/>
              <w:right w:val="nil"/>
            </w:tcBorders>
            <w:shd w:val="clear" w:color="auto" w:fill="auto"/>
            <w:vAlign w:val="center"/>
            <w:hideMark/>
          </w:tcPr>
          <w:p w14:paraId="5B085524" w14:textId="77777777" w:rsidR="0044703D" w:rsidRDefault="0044703D">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pacing w:val="-2"/>
                <w:sz w:val="14"/>
                <w:szCs w:val="14"/>
              </w:rPr>
            </w:pPr>
            <w:r>
              <w:rPr>
                <w:rFonts w:ascii="Arial" w:eastAsia="Times New Roman" w:hAnsi="Arial" w:cs="Arial"/>
                <w:spacing w:val="-2"/>
                <w:sz w:val="14"/>
                <w:szCs w:val="14"/>
              </w:rPr>
              <w:t>Participação (%)</w:t>
            </w:r>
          </w:p>
        </w:tc>
      </w:tr>
      <w:tr w:rsidR="0044703D" w14:paraId="2B3FC9E1" w14:textId="77777777">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552" w:type="dxa"/>
            <w:vMerge/>
            <w:tcBorders>
              <w:top w:val="single" w:sz="2" w:space="0" w:color="1F3864" w:themeColor="accent1" w:themeShade="80"/>
              <w:left w:val="nil"/>
              <w:bottom w:val="single" w:sz="2" w:space="0" w:color="1F3864" w:themeColor="accent1" w:themeShade="80"/>
              <w:right w:val="nil"/>
            </w:tcBorders>
            <w:vAlign w:val="center"/>
            <w:hideMark/>
          </w:tcPr>
          <w:p w14:paraId="318409B7" w14:textId="77777777" w:rsidR="0044703D" w:rsidRDefault="0044703D">
            <w:pPr>
              <w:rPr>
                <w:rFonts w:ascii="Arial" w:hAnsi="Arial" w:cs="Arial"/>
                <w:sz w:val="18"/>
                <w:szCs w:val="18"/>
              </w:rPr>
            </w:pPr>
          </w:p>
        </w:tc>
        <w:tc>
          <w:tcPr>
            <w:tcW w:w="2362" w:type="dxa"/>
            <w:tcBorders>
              <w:top w:val="single" w:sz="2" w:space="0" w:color="1F3864" w:themeColor="accent1" w:themeShade="80"/>
              <w:left w:val="nil"/>
              <w:bottom w:val="single" w:sz="2" w:space="0" w:color="1F3864" w:themeColor="accent1" w:themeShade="80"/>
              <w:right w:val="nil"/>
            </w:tcBorders>
            <w:vAlign w:val="center"/>
            <w:hideMark/>
          </w:tcPr>
          <w:p w14:paraId="31758D6B" w14:textId="77777777" w:rsidR="0044703D" w:rsidRDefault="0044703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rPr>
            </w:pPr>
            <w:r>
              <w:rPr>
                <w:rFonts w:ascii="Arial" w:eastAsia="Times New Roman" w:hAnsi="Arial" w:cs="Arial"/>
                <w:b/>
                <w:spacing w:val="-2"/>
                <w:sz w:val="14"/>
                <w:szCs w:val="14"/>
              </w:rPr>
              <w:t>Ações ON</w:t>
            </w:r>
          </w:p>
        </w:tc>
        <w:tc>
          <w:tcPr>
            <w:tcW w:w="2362" w:type="dxa"/>
            <w:tcBorders>
              <w:top w:val="single" w:sz="2" w:space="0" w:color="1F3864" w:themeColor="accent1" w:themeShade="80"/>
              <w:left w:val="nil"/>
              <w:bottom w:val="single" w:sz="2" w:space="0" w:color="1F3864" w:themeColor="accent1" w:themeShade="80"/>
              <w:right w:val="nil"/>
            </w:tcBorders>
            <w:vAlign w:val="center"/>
            <w:hideMark/>
          </w:tcPr>
          <w:p w14:paraId="05BF16D8" w14:textId="77777777" w:rsidR="0044703D" w:rsidRDefault="0044703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rPr>
            </w:pPr>
            <w:r>
              <w:rPr>
                <w:rFonts w:ascii="Arial" w:eastAsia="Times New Roman" w:hAnsi="Arial" w:cs="Arial"/>
                <w:b/>
                <w:spacing w:val="-2"/>
                <w:sz w:val="14"/>
                <w:szCs w:val="14"/>
              </w:rPr>
              <w:t>Ações PN</w:t>
            </w:r>
          </w:p>
        </w:tc>
        <w:tc>
          <w:tcPr>
            <w:tcW w:w="2363" w:type="dxa"/>
            <w:tcBorders>
              <w:top w:val="single" w:sz="2" w:space="0" w:color="1F3864" w:themeColor="accent1" w:themeShade="80"/>
              <w:left w:val="nil"/>
              <w:bottom w:val="single" w:sz="2" w:space="0" w:color="1F3864" w:themeColor="accent1" w:themeShade="80"/>
              <w:right w:val="nil"/>
            </w:tcBorders>
            <w:vAlign w:val="center"/>
            <w:hideMark/>
          </w:tcPr>
          <w:p w14:paraId="0EDC0F33" w14:textId="77777777" w:rsidR="0044703D" w:rsidRDefault="0044703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rPr>
            </w:pPr>
            <w:r>
              <w:rPr>
                <w:rFonts w:ascii="Arial" w:eastAsia="Times New Roman" w:hAnsi="Arial" w:cs="Arial"/>
                <w:b/>
                <w:spacing w:val="-2"/>
                <w:sz w:val="14"/>
                <w:szCs w:val="14"/>
              </w:rPr>
              <w:t>Capital Total</w:t>
            </w:r>
          </w:p>
        </w:tc>
      </w:tr>
      <w:tr w:rsidR="0044703D" w14:paraId="3E2FB556" w14:textId="77777777">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552" w:type="dxa"/>
            <w:tcBorders>
              <w:top w:val="single" w:sz="2" w:space="0" w:color="1F3864" w:themeColor="accent1" w:themeShade="80"/>
              <w:left w:val="nil"/>
              <w:bottom w:val="nil"/>
              <w:right w:val="nil"/>
            </w:tcBorders>
            <w:shd w:val="clear" w:color="auto" w:fill="auto"/>
            <w:vAlign w:val="center"/>
            <w:hideMark/>
          </w:tcPr>
          <w:p w14:paraId="493098FA" w14:textId="77777777" w:rsidR="0044703D" w:rsidRDefault="0044703D">
            <w:pPr>
              <w:keepNext/>
              <w:keepLines/>
              <w:spacing w:before="40" w:after="40"/>
              <w:rPr>
                <w:rFonts w:ascii="Arial" w:eastAsia="Times New Roman" w:hAnsi="Arial" w:cs="Arial"/>
                <w:b w:val="0"/>
                <w:spacing w:val="-2"/>
                <w:sz w:val="14"/>
                <w:szCs w:val="14"/>
              </w:rPr>
            </w:pPr>
            <w:r w:rsidRPr="00463432">
              <w:rPr>
                <w:rFonts w:ascii="Arial" w:eastAsia="Times New Roman" w:hAnsi="Arial" w:cs="Arial"/>
                <w:b w:val="0"/>
                <w:spacing w:val="-2"/>
                <w:sz w:val="14"/>
                <w:szCs w:val="14"/>
              </w:rPr>
              <w:t>Banco do Brasil</w:t>
            </w:r>
          </w:p>
        </w:tc>
        <w:tc>
          <w:tcPr>
            <w:tcW w:w="2362" w:type="dxa"/>
            <w:tcBorders>
              <w:top w:val="single" w:sz="2" w:space="0" w:color="1F3864" w:themeColor="accent1" w:themeShade="80"/>
              <w:left w:val="nil"/>
              <w:bottom w:val="nil"/>
              <w:right w:val="nil"/>
            </w:tcBorders>
            <w:shd w:val="clear" w:color="auto" w:fill="auto"/>
            <w:vAlign w:val="center"/>
            <w:hideMark/>
          </w:tcPr>
          <w:p w14:paraId="6869794C" w14:textId="77777777" w:rsidR="0044703D" w:rsidRDefault="0044703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rPr>
            </w:pPr>
            <w:r>
              <w:rPr>
                <w:rFonts w:ascii="Arial" w:eastAsia="Times New Roman" w:hAnsi="Arial" w:cs="Arial"/>
                <w:spacing w:val="-2"/>
                <w:sz w:val="14"/>
                <w:szCs w:val="18"/>
              </w:rPr>
              <w:t>--</w:t>
            </w:r>
          </w:p>
        </w:tc>
        <w:tc>
          <w:tcPr>
            <w:tcW w:w="2362" w:type="dxa"/>
            <w:tcBorders>
              <w:top w:val="single" w:sz="2" w:space="0" w:color="1F3864" w:themeColor="accent1" w:themeShade="80"/>
              <w:left w:val="nil"/>
              <w:bottom w:val="nil"/>
              <w:right w:val="nil"/>
            </w:tcBorders>
            <w:shd w:val="clear" w:color="auto" w:fill="auto"/>
            <w:vAlign w:val="center"/>
            <w:hideMark/>
          </w:tcPr>
          <w:p w14:paraId="315F4794" w14:textId="77777777" w:rsidR="0044703D" w:rsidRDefault="0044703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rPr>
            </w:pPr>
            <w:r>
              <w:rPr>
                <w:rFonts w:ascii="Arial" w:eastAsia="Times New Roman" w:hAnsi="Arial" w:cs="Arial"/>
                <w:spacing w:val="-2"/>
                <w:sz w:val="14"/>
                <w:szCs w:val="18"/>
              </w:rPr>
              <w:t>100</w:t>
            </w:r>
          </w:p>
        </w:tc>
        <w:tc>
          <w:tcPr>
            <w:tcW w:w="2363" w:type="dxa"/>
            <w:tcBorders>
              <w:top w:val="single" w:sz="2" w:space="0" w:color="1F3864" w:themeColor="accent1" w:themeShade="80"/>
              <w:left w:val="nil"/>
              <w:bottom w:val="nil"/>
              <w:right w:val="nil"/>
            </w:tcBorders>
            <w:shd w:val="clear" w:color="auto" w:fill="auto"/>
            <w:vAlign w:val="center"/>
            <w:hideMark/>
          </w:tcPr>
          <w:p w14:paraId="2F49D2FB" w14:textId="77777777" w:rsidR="0044703D" w:rsidRDefault="0044703D">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rPr>
            </w:pPr>
            <w:r>
              <w:rPr>
                <w:rFonts w:ascii="Arial" w:eastAsia="Times New Roman" w:hAnsi="Arial" w:cs="Arial"/>
                <w:spacing w:val="-2"/>
                <w:sz w:val="14"/>
                <w:szCs w:val="18"/>
              </w:rPr>
              <w:t>50</w:t>
            </w:r>
          </w:p>
        </w:tc>
      </w:tr>
      <w:tr w:rsidR="0044703D" w14:paraId="1B154A28" w14:textId="77777777">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552" w:type="dxa"/>
            <w:tcBorders>
              <w:top w:val="nil"/>
              <w:left w:val="nil"/>
              <w:bottom w:val="single" w:sz="2" w:space="0" w:color="1F3864" w:themeColor="accent1" w:themeShade="80"/>
              <w:right w:val="nil"/>
            </w:tcBorders>
            <w:vAlign w:val="center"/>
            <w:hideMark/>
          </w:tcPr>
          <w:p w14:paraId="474C6907" w14:textId="77777777" w:rsidR="0044703D" w:rsidRDefault="0044703D">
            <w:pPr>
              <w:keepNext/>
              <w:keepLines/>
              <w:spacing w:before="40" w:after="40"/>
              <w:rPr>
                <w:rFonts w:ascii="Arial" w:eastAsia="Times New Roman" w:hAnsi="Arial" w:cs="Arial"/>
                <w:b w:val="0"/>
                <w:spacing w:val="-2"/>
                <w:sz w:val="14"/>
                <w:szCs w:val="14"/>
              </w:rPr>
            </w:pPr>
            <w:proofErr w:type="spellStart"/>
            <w:r>
              <w:rPr>
                <w:rFonts w:ascii="Arial" w:eastAsia="Times New Roman" w:hAnsi="Arial" w:cs="Arial"/>
                <w:b w:val="0"/>
                <w:spacing w:val="-2"/>
                <w:sz w:val="14"/>
                <w:szCs w:val="14"/>
              </w:rPr>
              <w:t>Brasilseg</w:t>
            </w:r>
            <w:proofErr w:type="spellEnd"/>
          </w:p>
        </w:tc>
        <w:tc>
          <w:tcPr>
            <w:tcW w:w="2362" w:type="dxa"/>
            <w:tcBorders>
              <w:top w:val="nil"/>
              <w:left w:val="nil"/>
              <w:bottom w:val="single" w:sz="2" w:space="0" w:color="1F3864" w:themeColor="accent1" w:themeShade="80"/>
              <w:right w:val="nil"/>
            </w:tcBorders>
            <w:vAlign w:val="center"/>
            <w:hideMark/>
          </w:tcPr>
          <w:p w14:paraId="596601A4" w14:textId="77777777" w:rsidR="0044703D" w:rsidRDefault="0044703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rPr>
            </w:pPr>
            <w:r>
              <w:rPr>
                <w:rFonts w:ascii="Arial" w:eastAsia="Times New Roman" w:hAnsi="Arial" w:cs="Arial"/>
                <w:spacing w:val="-2"/>
                <w:sz w:val="14"/>
                <w:szCs w:val="18"/>
              </w:rPr>
              <w:t>100</w:t>
            </w:r>
          </w:p>
        </w:tc>
        <w:tc>
          <w:tcPr>
            <w:tcW w:w="2362" w:type="dxa"/>
            <w:tcBorders>
              <w:top w:val="nil"/>
              <w:left w:val="nil"/>
              <w:bottom w:val="single" w:sz="2" w:space="0" w:color="1F3864" w:themeColor="accent1" w:themeShade="80"/>
              <w:right w:val="nil"/>
            </w:tcBorders>
            <w:vAlign w:val="center"/>
            <w:hideMark/>
          </w:tcPr>
          <w:p w14:paraId="3959D116" w14:textId="77777777" w:rsidR="0044703D" w:rsidRDefault="0044703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rPr>
            </w:pPr>
            <w:r>
              <w:rPr>
                <w:rFonts w:ascii="Arial" w:eastAsia="Times New Roman" w:hAnsi="Arial" w:cs="Arial"/>
                <w:spacing w:val="-2"/>
                <w:sz w:val="14"/>
                <w:szCs w:val="18"/>
              </w:rPr>
              <w:t>--</w:t>
            </w:r>
          </w:p>
        </w:tc>
        <w:tc>
          <w:tcPr>
            <w:tcW w:w="2363" w:type="dxa"/>
            <w:tcBorders>
              <w:top w:val="nil"/>
              <w:left w:val="nil"/>
              <w:bottom w:val="single" w:sz="2" w:space="0" w:color="1F3864" w:themeColor="accent1" w:themeShade="80"/>
              <w:right w:val="nil"/>
            </w:tcBorders>
            <w:vAlign w:val="center"/>
            <w:hideMark/>
          </w:tcPr>
          <w:p w14:paraId="45B71108" w14:textId="77777777" w:rsidR="0044703D" w:rsidRDefault="0044703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rPr>
            </w:pPr>
            <w:r>
              <w:rPr>
                <w:rFonts w:ascii="Arial" w:eastAsia="Times New Roman" w:hAnsi="Arial" w:cs="Arial"/>
                <w:spacing w:val="-2"/>
                <w:sz w:val="14"/>
                <w:szCs w:val="18"/>
              </w:rPr>
              <w:t>50</w:t>
            </w:r>
          </w:p>
        </w:tc>
      </w:tr>
    </w:tbl>
    <w:p w14:paraId="1ACAA9BD" w14:textId="77777777" w:rsidR="0044703D" w:rsidRDefault="0044703D" w:rsidP="0044703D">
      <w:pPr>
        <w:pStyle w:val="05-Textonormal"/>
        <w:rPr>
          <w:rFonts w:cs="Arial"/>
        </w:rPr>
      </w:pPr>
      <w:r>
        <w:rPr>
          <w:rFonts w:cs="Arial"/>
        </w:rPr>
        <w:t xml:space="preserve">Conforme previsto nos acordos societários, a </w:t>
      </w:r>
      <w:proofErr w:type="spellStart"/>
      <w:r>
        <w:rPr>
          <w:rFonts w:cs="Arial"/>
        </w:rPr>
        <w:t>Brasilseg</w:t>
      </w:r>
      <w:proofErr w:type="spellEnd"/>
      <w:r>
        <w:rPr>
          <w:rFonts w:cs="Arial"/>
        </w:rPr>
        <w:t xml:space="preserve"> mantém o acesso à plataforma digital Broto para venda dos seus produtos de seguro, a qual é intermediada, com exclusividade, pela BB Corretora, sociedade controlada pela BB Seguridade.</w:t>
      </w:r>
    </w:p>
    <w:p w14:paraId="6BDE7CE4" w14:textId="77777777" w:rsidR="0044703D" w:rsidRDefault="0044703D" w:rsidP="0044703D">
      <w:pPr>
        <w:pStyle w:val="05-Textonormal"/>
        <w:rPr>
          <w:rFonts w:cs="Arial"/>
        </w:rPr>
      </w:pPr>
      <w:r>
        <w:rPr>
          <w:rFonts w:cs="Arial"/>
        </w:rPr>
        <w:t>A partir da implementação das Condições Suspensivas descritas no Acordo de Investimentos, relacionadas à obtenção das aprovações regulatórias e legais pertinentes, a operação foi consumada em 04 de janeiro de 2023, data considerada como do fechamento da parceria e a partir da qual os seguintes atos foram praticados:</w:t>
      </w:r>
    </w:p>
    <w:p w14:paraId="516A30BC" w14:textId="77777777" w:rsidR="0044703D" w:rsidRDefault="0044703D" w:rsidP="0044703D">
      <w:pPr>
        <w:pStyle w:val="05-Textonormal"/>
        <w:rPr>
          <w:rFonts w:cs="Arial"/>
        </w:rPr>
      </w:pPr>
      <w:r>
        <w:rPr>
          <w:rFonts w:cs="Arial"/>
        </w:rPr>
        <w:t xml:space="preserve">a. formalização do Acordo de Acionistas e dos Acordos Operacionais para comercialização de produtos na Broto, sendo um contrato firmado entre a Broto e o Banco do Brasil, para a distribuição de produtos bancários e financeiros, e outro entre a Broto, a </w:t>
      </w:r>
      <w:proofErr w:type="spellStart"/>
      <w:r>
        <w:rPr>
          <w:rFonts w:cs="Arial"/>
        </w:rPr>
        <w:t>Brasilseg</w:t>
      </w:r>
      <w:proofErr w:type="spellEnd"/>
      <w:r>
        <w:rPr>
          <w:rFonts w:cs="Arial"/>
        </w:rPr>
        <w:t>, a ABS e a BB Corretora para distribuição dos produtos securitários; e</w:t>
      </w:r>
    </w:p>
    <w:p w14:paraId="71DC8A84" w14:textId="77777777" w:rsidR="0044703D" w:rsidRDefault="0044703D" w:rsidP="0044703D">
      <w:pPr>
        <w:pStyle w:val="05-Textonormal"/>
        <w:rPr>
          <w:rFonts w:cs="Arial"/>
        </w:rPr>
      </w:pPr>
      <w:r>
        <w:rPr>
          <w:rFonts w:cs="Arial"/>
        </w:rPr>
        <w:t>b. realização de assembleia geral de constituição da Broto, com assinatura da respectiva ata e dos respectivos boletins de subscrição de ações; deliberação do Estatuto Social; subscrição e integralização do capital social; e eleição de sua Diretoria.</w:t>
      </w:r>
    </w:p>
    <w:p w14:paraId="34BACB36" w14:textId="44FDDC6B" w:rsidR="0044703D" w:rsidRDefault="0044703D" w:rsidP="0044703D">
      <w:pPr>
        <w:pStyle w:val="05-Textonormal"/>
      </w:pPr>
      <w:r w:rsidRPr="00752795">
        <w:t xml:space="preserve">Os documentos societários </w:t>
      </w:r>
      <w:r w:rsidRPr="000B23C9">
        <w:t>estabelecem</w:t>
      </w:r>
      <w:r w:rsidRPr="00752795">
        <w:t xml:space="preserve"> opção de compra ao B</w:t>
      </w:r>
      <w:r>
        <w:t>anco do Brasil</w:t>
      </w:r>
      <w:r w:rsidRPr="00752795">
        <w:t xml:space="preserve"> – ainda não exercida</w:t>
      </w:r>
      <w:r>
        <w:t> </w:t>
      </w:r>
      <w:r w:rsidRPr="00752795">
        <w:t xml:space="preserve">– </w:t>
      </w:r>
      <w:r w:rsidRPr="000B23C9">
        <w:t xml:space="preserve">outorgada pela </w:t>
      </w:r>
      <w:proofErr w:type="spellStart"/>
      <w:r w:rsidRPr="00752795">
        <w:t>Brasilseg</w:t>
      </w:r>
      <w:proofErr w:type="spellEnd"/>
      <w:r>
        <w:t>,</w:t>
      </w:r>
      <w:r w:rsidRPr="00752795">
        <w:t xml:space="preserve"> sobre a totalidade das ações de sua titularidade na Broto, exercível mediante pagamento da totalidade do montante aportado pela Seguradora na Broto, corrigido pelo CDI acumulado no período, no prazo de até 12 meses, contados da data de assinatura do Acordo de Acionistas, prorrogáveis por igual período. Mediante a formalização d</w:t>
      </w:r>
      <w:r w:rsidR="0003363A">
        <w:t>o</w:t>
      </w:r>
      <w:r w:rsidRPr="00752795">
        <w:t xml:space="preserve"> </w:t>
      </w:r>
      <w:r w:rsidR="0003363A">
        <w:t>2</w:t>
      </w:r>
      <w:r w:rsidR="007D13D1">
        <w:t>º</w:t>
      </w:r>
      <w:r w:rsidR="00437B07">
        <w:t xml:space="preserve"> </w:t>
      </w:r>
      <w:r w:rsidRPr="00752795">
        <w:t xml:space="preserve">Termo de Prorrogação assinado entre as partes em </w:t>
      </w:r>
      <w:r w:rsidR="00311AB1">
        <w:t>0</w:t>
      </w:r>
      <w:r w:rsidRPr="00752795">
        <w:t xml:space="preserve">2 de </w:t>
      </w:r>
      <w:r w:rsidR="00311AB1">
        <w:t>j</w:t>
      </w:r>
      <w:r w:rsidR="00C84465">
        <w:t>anei</w:t>
      </w:r>
      <w:r w:rsidRPr="00752795">
        <w:t>ro de 202</w:t>
      </w:r>
      <w:r w:rsidR="00185EBF">
        <w:t>5</w:t>
      </w:r>
      <w:r w:rsidRPr="00752795">
        <w:t>, o prazo para o exercício da opção de compra foi prorrogado para até 04 de janeiro de 202</w:t>
      </w:r>
      <w:r w:rsidR="0095358C">
        <w:t>6</w:t>
      </w:r>
      <w:r w:rsidRPr="00752795">
        <w:t>.</w:t>
      </w:r>
    </w:p>
    <w:p w14:paraId="505A5D63" w14:textId="77777777" w:rsidR="006D68E8" w:rsidRDefault="006D68E8" w:rsidP="006D68E8">
      <w:pPr>
        <w:pStyle w:val="05-Textonormal"/>
      </w:pPr>
      <w:r>
        <w:t xml:space="preserve">Em 01 de agosto de 2024, foi aprovado, em Assembleia Geral da Broto, o aumento de capital social da companhia, no montante de R$ 15.000.000,00, </w:t>
      </w:r>
      <w:r w:rsidRPr="000843F6">
        <w:t xml:space="preserve">dividido em 15.000.000 de ações nominativas e sem valor nominal, </w:t>
      </w:r>
      <w:r>
        <w:t xml:space="preserve">ao preço de emissão de R$ 1,00 por ação, </w:t>
      </w:r>
      <w:r w:rsidRPr="000843F6">
        <w:t xml:space="preserve">sendo 7.500.000 ações ordinárias e 7.500.000 ações preferenciais sem direito a voto, com as vantagens e características descritas no Estatuto Social da </w:t>
      </w:r>
      <w:r>
        <w:t>C</w:t>
      </w:r>
      <w:r w:rsidRPr="000843F6">
        <w:t xml:space="preserve">ompanhia, as quais </w:t>
      </w:r>
      <w:r>
        <w:t>foram</w:t>
      </w:r>
      <w:r w:rsidRPr="000843F6">
        <w:t xml:space="preserve"> totalmente subscritas na </w:t>
      </w:r>
      <w:r>
        <w:t xml:space="preserve">referida </w:t>
      </w:r>
      <w:r w:rsidRPr="000843F6">
        <w:t>data</w:t>
      </w:r>
      <w:r>
        <w:t xml:space="preserve"> e</w:t>
      </w:r>
      <w:r w:rsidRPr="000843F6">
        <w:t xml:space="preserve"> integralizadas </w:t>
      </w:r>
      <w:r>
        <w:t xml:space="preserve">pelos acionistas Banco do Brasil e </w:t>
      </w:r>
      <w:proofErr w:type="spellStart"/>
      <w:r>
        <w:t>Brasilseg</w:t>
      </w:r>
      <w:proofErr w:type="spellEnd"/>
      <w:r>
        <w:t xml:space="preserve"> dentro do período estabelecido de </w:t>
      </w:r>
      <w:r w:rsidRPr="000843F6">
        <w:t>até 10 dias corridos</w:t>
      </w:r>
      <w:r>
        <w:t xml:space="preserve"> da data da Assembleia, na razão de suas participações originalmente detidas no capital social.</w:t>
      </w:r>
      <w:r w:rsidRPr="00597228">
        <w:t xml:space="preserve"> </w:t>
      </w:r>
      <w:r w:rsidRPr="008C3FEE">
        <w:t>Diante da transação entre os sócios da Broto, o aumento do capital não envolveu recursos da BB Seguridade ou da BB Seguros.</w:t>
      </w:r>
    </w:p>
    <w:p w14:paraId="314236AD" w14:textId="252516F4" w:rsidR="0044703D" w:rsidRPr="0044703D" w:rsidRDefault="006D68E8" w:rsidP="006D68E8">
      <w:pPr>
        <w:pStyle w:val="05-Textonormal"/>
      </w:pPr>
      <w:r w:rsidRPr="008C3FEE">
        <w:t xml:space="preserve">O capital social da Broto após a integralização passou a ser de R$ 77.400.000,00, representado por 77.400.000 ações nominativas e sem valor nominal, sendo 38.700.000 ações ordinárias e 38.700.000 ações preferenciais sem direito a voto, distribuídas entre os acionistas da Broto com manutenção da participação acionária de 50% para o Banco do Brasil e 50% para a </w:t>
      </w:r>
      <w:proofErr w:type="spellStart"/>
      <w:r w:rsidRPr="008C3FEE">
        <w:t>Brasilseg</w:t>
      </w:r>
      <w:proofErr w:type="spellEnd"/>
      <w:r w:rsidRPr="008C3FEE">
        <w:t>.</w:t>
      </w:r>
    </w:p>
    <w:p w14:paraId="5DB1301E" w14:textId="3595B791" w:rsidR="007D4AB0" w:rsidRPr="00BF2AAF" w:rsidRDefault="007D4AB0" w:rsidP="00D30133">
      <w:pPr>
        <w:pStyle w:val="02-TtulodeNota"/>
        <w:keepNext/>
        <w:keepLines/>
        <w:pageBreakBefore/>
        <w:spacing w:before="240"/>
        <w:rPr>
          <w:rFonts w:cs="Arial"/>
          <w:b w:val="0"/>
        </w:rPr>
      </w:pPr>
      <w:bookmarkStart w:id="38" w:name="_Toc189757069"/>
      <w:r w:rsidRPr="00BF2AAF">
        <w:rPr>
          <w:rFonts w:cs="Arial"/>
        </w:rPr>
        <w:lastRenderedPageBreak/>
        <w:t>5 – GERENCIAMENTO DE RISCOS</w:t>
      </w:r>
      <w:bookmarkEnd w:id="37"/>
      <w:bookmarkEnd w:id="38"/>
    </w:p>
    <w:p w14:paraId="5040D38B" w14:textId="77777777" w:rsidR="00814510" w:rsidRPr="00BF2AAF" w:rsidRDefault="00814510" w:rsidP="00814510">
      <w:pPr>
        <w:pStyle w:val="05-Textonormal"/>
        <w:rPr>
          <w:rFonts w:cs="Arial"/>
          <w:color w:val="000000" w:themeColor="text1"/>
        </w:rPr>
      </w:pPr>
      <w:r w:rsidRPr="00BF2AAF">
        <w:rPr>
          <w:rFonts w:cs="Arial"/>
          <w:color w:val="000000" w:themeColor="text1"/>
        </w:rPr>
        <w:t xml:space="preserve">O gerenciamento de riscos na BB Seguridade segue as diretrizes estabelecidas em sua Política de Gerenciamento de Riscos e de Capital, aprovada pelo Conselho de Administração e divulgada ao mercado por meio do website de Relações com Investidores (RI), acessível em www.bbseguridaderi.com.br. </w:t>
      </w:r>
    </w:p>
    <w:p w14:paraId="6200563C" w14:textId="77777777" w:rsidR="00814510" w:rsidRPr="00BF2AAF" w:rsidRDefault="00814510" w:rsidP="00814510">
      <w:pPr>
        <w:pStyle w:val="05-Textonormal"/>
        <w:rPr>
          <w:rFonts w:cs="Arial"/>
          <w:color w:val="000000" w:themeColor="text1"/>
        </w:rPr>
      </w:pPr>
      <w:r w:rsidRPr="00BF2AAF">
        <w:rPr>
          <w:rFonts w:cs="Arial"/>
          <w:color w:val="000000" w:themeColor="text1"/>
        </w:rPr>
        <w:t>Por entender que a exposição a riscos do Grupo também se origina de suas participações, a Política contempla duas dimensões para o gerenciamento de seus riscos: gestão de riscos (riscos provenientes da operação da BB Seguridade e suas controladas) e governança de riscos (riscos advindos da participação nas sociedades investidas).</w:t>
      </w:r>
    </w:p>
    <w:p w14:paraId="41F9145D" w14:textId="77777777" w:rsidR="00814510" w:rsidRPr="00BF2AAF" w:rsidRDefault="00814510" w:rsidP="00814510">
      <w:pPr>
        <w:pStyle w:val="05-Textonormal"/>
        <w:rPr>
          <w:rFonts w:cs="Arial"/>
          <w:color w:val="000000" w:themeColor="text1"/>
        </w:rPr>
      </w:pPr>
      <w:r w:rsidRPr="00BF2AAF">
        <w:rPr>
          <w:rFonts w:cs="Arial"/>
          <w:color w:val="000000" w:themeColor="text1"/>
        </w:rPr>
        <w:t xml:space="preserve">Por meio de sua Declaração de Apetite a Riscos, aprovada pelo Conselho de Administração, o Grupo define os níveis máximos de riscos que aceita incorrer para o cumprimento de seus objetivos. </w:t>
      </w:r>
    </w:p>
    <w:p w14:paraId="0B8F0217" w14:textId="77777777" w:rsidR="00814510" w:rsidRPr="00BF2AAF" w:rsidRDefault="00814510" w:rsidP="00814510">
      <w:pPr>
        <w:pStyle w:val="05-Textonormal"/>
        <w:rPr>
          <w:rFonts w:cs="Arial"/>
          <w:color w:val="000000" w:themeColor="text1"/>
        </w:rPr>
      </w:pPr>
      <w:r w:rsidRPr="00BF2AAF">
        <w:rPr>
          <w:rFonts w:cs="Arial"/>
          <w:color w:val="000000" w:themeColor="text1"/>
        </w:rPr>
        <w:t xml:space="preserve">O processo de gerenciamento de riscos da BB Seguridade segue a referência internacional da ISO 31.000:2018 e é composto pelas etapas de estabelecimento de contexto, identificação, análise, avaliação e tratamento. Transversal a cada etapa de gerenciamento de riscos, ocorrem as consultas às partes interessadas, o monitoramento e as análises críticas, que auxiliam no aprimoramento contínuo. Esse processo está documentado internamente por meio do Modelo de Gerenciamento de Riscos, Controles Internos e Segurança. </w:t>
      </w:r>
    </w:p>
    <w:p w14:paraId="084FD8B7" w14:textId="77777777" w:rsidR="00814510" w:rsidRPr="00BF2AAF" w:rsidRDefault="00814510" w:rsidP="00814510">
      <w:pPr>
        <w:pStyle w:val="05-Textonormal"/>
        <w:rPr>
          <w:rFonts w:cs="Arial"/>
          <w:color w:val="000000" w:themeColor="text1"/>
        </w:rPr>
      </w:pPr>
      <w:r w:rsidRPr="00BF2AAF">
        <w:rPr>
          <w:rFonts w:cs="Arial"/>
          <w:color w:val="000000" w:themeColor="text1"/>
        </w:rPr>
        <w:t>O gerenciamento de riscos da BB Seguridade é integrado à estratégia corporativa, desde a elaboração do planejamento, bem como durante a execução da estratégia, na análise de cenários e no suporte à tomada de decisão em todos os níveis da Companhia.</w:t>
      </w:r>
    </w:p>
    <w:p w14:paraId="7A39AC55" w14:textId="77777777" w:rsidR="00814510" w:rsidRPr="00BF2AAF" w:rsidRDefault="00814510" w:rsidP="00814510">
      <w:pPr>
        <w:pStyle w:val="05-Textonormal"/>
        <w:rPr>
          <w:rFonts w:cs="Arial"/>
          <w:color w:val="000000" w:themeColor="text1"/>
        </w:rPr>
      </w:pPr>
      <w:r w:rsidRPr="00BF2AAF">
        <w:rPr>
          <w:rFonts w:cs="Arial"/>
          <w:color w:val="000000" w:themeColor="text1"/>
        </w:rPr>
        <w:t xml:space="preserve">A Companhia conta com a Superintendência de Gestão de Riscos e de Capital e com a Superintendência de Controles Internos e Integridade. A primeira é responsável por fornecer fundamentos e suporte ao gerenciamento dos riscos corporativos; a segunda, é responsável pelos controles internos, conformidade e pela coordenação do Programa de Compliance e Integridade. Ambas atuam, também, na governança de riscos e controles das sociedades em que a Companhia detém participações. Para que isso funcione adequadamente, as </w:t>
      </w:r>
      <w:r w:rsidRPr="00AD3775">
        <w:rPr>
          <w:rFonts w:cs="Arial"/>
          <w:color w:val="000000" w:themeColor="text1"/>
        </w:rPr>
        <w:t>citadas áreas de riscos e controles internos</w:t>
      </w:r>
      <w:r w:rsidRPr="00BF2AAF">
        <w:rPr>
          <w:rFonts w:cs="Arial"/>
          <w:color w:val="000000" w:themeColor="text1"/>
        </w:rPr>
        <w:t xml:space="preserve"> são segregadas das áreas de negócio e </w:t>
      </w:r>
      <w:r w:rsidRPr="00AD3775">
        <w:rPr>
          <w:rFonts w:cs="Arial"/>
          <w:color w:val="000000" w:themeColor="text1"/>
        </w:rPr>
        <w:t>auditoria interna</w:t>
      </w:r>
      <w:r w:rsidRPr="00BF2AAF">
        <w:rPr>
          <w:rFonts w:cs="Arial"/>
          <w:color w:val="000000" w:themeColor="text1"/>
        </w:rPr>
        <w:t xml:space="preserve">.  </w:t>
      </w:r>
    </w:p>
    <w:p w14:paraId="11954081" w14:textId="77777777" w:rsidR="00814510" w:rsidRDefault="00814510" w:rsidP="00814510">
      <w:pPr>
        <w:pStyle w:val="03-SubttulodeNota"/>
      </w:pPr>
    </w:p>
    <w:p w14:paraId="25D83FA6" w14:textId="77777777" w:rsidR="00814510" w:rsidRPr="00A33E5A" w:rsidRDefault="00814510" w:rsidP="00814510">
      <w:pPr>
        <w:pStyle w:val="03-SubttulodeNota"/>
        <w:rPr>
          <w:color w:val="1F3864" w:themeColor="accent1" w:themeShade="80"/>
          <w:sz w:val="18"/>
          <w:szCs w:val="18"/>
        </w:rPr>
      </w:pPr>
      <w:r w:rsidRPr="00A33E5A">
        <w:rPr>
          <w:color w:val="1F3864" w:themeColor="accent1" w:themeShade="80"/>
          <w:sz w:val="18"/>
          <w:szCs w:val="18"/>
        </w:rPr>
        <w:t>a) Gestão de Riscos na BB Seguridade e suas sociedades controladas</w:t>
      </w:r>
    </w:p>
    <w:p w14:paraId="740E9247" w14:textId="77777777" w:rsidR="00814510" w:rsidRPr="00BF2AAF" w:rsidRDefault="00814510" w:rsidP="00814510">
      <w:pPr>
        <w:pStyle w:val="05-Textonormal"/>
        <w:rPr>
          <w:rFonts w:cs="Arial"/>
          <w:color w:val="000000" w:themeColor="text1"/>
        </w:rPr>
      </w:pPr>
      <w:r w:rsidRPr="00BF2AAF">
        <w:rPr>
          <w:rFonts w:cs="Arial"/>
          <w:color w:val="000000" w:themeColor="text1"/>
        </w:rPr>
        <w:t>A gestão de riscos da BB Seguridade, conforme definido em sua Política de Gerenciamento de Riscos e de Capital, segue um modelo estruturado em três linhas: na primeira linha, os gestores dos processos (proprietários dos riscos) são responsáveis por implementar ações preventivas e corretivas que mitigam as fragilidades identificadas nos processos e deficiências em controles; na segunda linha, a Superintendência de Gestão de Riscos e de Capital e a Superintendência de Controles Internos e Integridade auxiliam e monitoram o proprietário do risco no gerenciamento dos riscos e controles de forma a adequá-los ao apetite a riscos do Grupo; e na terceira linha, a Auditoria Interna atua com independência, fornecendo aos órgãos de governança avaliações sobre a eficácia do gerenciamento de riscos e dos controles internos.</w:t>
      </w:r>
    </w:p>
    <w:p w14:paraId="6E0E98DD" w14:textId="77777777" w:rsidR="00814510" w:rsidRPr="00BF2AAF" w:rsidRDefault="00814510" w:rsidP="00814510">
      <w:pPr>
        <w:pStyle w:val="05-Textonormal"/>
        <w:rPr>
          <w:rFonts w:cs="Arial"/>
          <w:color w:val="000000" w:themeColor="text1"/>
        </w:rPr>
      </w:pPr>
      <w:r w:rsidRPr="00BF2AAF">
        <w:rPr>
          <w:rFonts w:cs="Arial"/>
          <w:color w:val="000000" w:themeColor="text1"/>
        </w:rPr>
        <w:t>Os mecanismos e instrumentos para o gerenciamento de riscos contemplam ainda, entre outros aspectos: segregação de funções; decisões colegiadas; Política de Segurança da Informação e Cibernética; Política de Prevenção e Combate à Lavagem de Dinheiro e ao Financiamento do Terrorismo, que observa a Circular Susep nº 612/2020 e alterações posteriores; Política de Prevenção e Combate à Corrupção; Política de Controles Internos e Integridade; Código de Ética e Conduta; e um Programa de Compliance e Integridade alinhado à Lei 12.846/2013 (Lei Anticorrupção) e ao Decreto 11.129/2022; documentos divulgados internamente e também a mercado por meio do website de RI; normatizações internas de gerenciamento de riscos, controles internos e conformidade; e programa de comunicação interna a respeito do gerenciamento de riscos, controles internos e conformidade, e segurança da informação, promovendo de forma contínua o aculturamento de todo o Grupo nesses temas.</w:t>
      </w:r>
    </w:p>
    <w:p w14:paraId="410B45DB" w14:textId="77777777" w:rsidR="00814510" w:rsidRPr="00BF2AAF" w:rsidRDefault="00814510" w:rsidP="00814510">
      <w:pPr>
        <w:pStyle w:val="05-Textonormal"/>
        <w:rPr>
          <w:rFonts w:cs="Arial"/>
          <w:color w:val="000000" w:themeColor="text1"/>
        </w:rPr>
      </w:pPr>
      <w:r w:rsidRPr="00BF2AAF">
        <w:rPr>
          <w:rFonts w:cs="Arial"/>
          <w:color w:val="000000" w:themeColor="text1"/>
        </w:rPr>
        <w:t>A Diretoria Colegiada conta com o Comitê de Gestão de Continuidade e Crise, que assessora na avaliação e mitigação de riscos de descontinuidade, incidentes ou crises.</w:t>
      </w:r>
    </w:p>
    <w:p w14:paraId="6883A7DD" w14:textId="77777777" w:rsidR="00814510" w:rsidRPr="00BF2AAF" w:rsidRDefault="00814510" w:rsidP="00814510">
      <w:pPr>
        <w:pStyle w:val="05-Textonormal"/>
        <w:rPr>
          <w:rFonts w:cs="Arial"/>
          <w:color w:val="000000" w:themeColor="text1"/>
        </w:rPr>
      </w:pPr>
      <w:r w:rsidRPr="00BF2AAF">
        <w:rPr>
          <w:rFonts w:cs="Arial"/>
          <w:color w:val="000000" w:themeColor="text1"/>
        </w:rPr>
        <w:t>Compõe, ainda, a estrutura de governança da BB Seguridade o Comitê de Riscos e de Capital, órgão estatutário de assessoramento ao Conselho de Administração, a quem compete, dentre outras atribuições, avaliar e monitorar as exposições a riscos do Grupo.</w:t>
      </w:r>
    </w:p>
    <w:p w14:paraId="1DCBCA2A" w14:textId="77777777" w:rsidR="00814510" w:rsidRPr="00BF2AAF" w:rsidRDefault="00814510" w:rsidP="00814510">
      <w:pPr>
        <w:pStyle w:val="05-Textonormal"/>
        <w:rPr>
          <w:rFonts w:cs="Arial"/>
          <w:color w:val="000000" w:themeColor="text1"/>
        </w:rPr>
      </w:pPr>
      <w:r w:rsidRPr="00BF2AAF">
        <w:rPr>
          <w:rFonts w:cs="Arial"/>
          <w:color w:val="000000" w:themeColor="text1"/>
        </w:rPr>
        <w:t>Ao Comitê de Auditoria, órgão estatutário, compete, dentre outras atribuições, compartilhar com o Conselho de Administração riscos, fragilidades ou preocupações que possam causar impacto significativo nas condições financeiras e nos negócios da Companhia.</w:t>
      </w:r>
    </w:p>
    <w:p w14:paraId="2E1770EB" w14:textId="77777777" w:rsidR="00814510" w:rsidRPr="00BF2AAF" w:rsidRDefault="00814510" w:rsidP="00814510">
      <w:pPr>
        <w:pStyle w:val="05-Textonormal"/>
        <w:rPr>
          <w:rFonts w:cs="Arial"/>
          <w:color w:val="000000" w:themeColor="text1"/>
        </w:rPr>
      </w:pPr>
      <w:r w:rsidRPr="00BF2AAF">
        <w:rPr>
          <w:rFonts w:cs="Arial"/>
          <w:color w:val="000000" w:themeColor="text1"/>
        </w:rPr>
        <w:t>Informações relacionadas à gestão de riscos e aos controles internos são reportadas periodicamente à Diretoria Colegiada e ao Conselho de Administração e ao Conselho Fiscal.</w:t>
      </w:r>
    </w:p>
    <w:p w14:paraId="5453C209" w14:textId="77777777" w:rsidR="00814510" w:rsidRPr="00BF2AAF" w:rsidRDefault="00814510" w:rsidP="00EB64C1">
      <w:pPr>
        <w:pStyle w:val="05-Textonormal"/>
        <w:pageBreakBefore/>
        <w:rPr>
          <w:rFonts w:cs="Arial"/>
          <w:b/>
          <w:color w:val="1F3864" w:themeColor="accent1" w:themeShade="80"/>
        </w:rPr>
      </w:pPr>
      <w:r w:rsidRPr="00BF2AAF">
        <w:rPr>
          <w:rFonts w:cs="Arial"/>
          <w:b/>
          <w:color w:val="1F3864" w:themeColor="accent1" w:themeShade="80"/>
        </w:rPr>
        <w:lastRenderedPageBreak/>
        <w:t>a.1) Riscos associados aos investimentos em ativos financeiros</w:t>
      </w:r>
    </w:p>
    <w:p w14:paraId="2C47A4DE" w14:textId="77777777" w:rsidR="00814510" w:rsidRPr="00BF2AAF" w:rsidRDefault="00814510" w:rsidP="00814510">
      <w:pPr>
        <w:pStyle w:val="05-Textonormal"/>
        <w:rPr>
          <w:rFonts w:cs="Arial"/>
          <w:color w:val="000000" w:themeColor="text1"/>
        </w:rPr>
      </w:pPr>
      <w:r w:rsidRPr="00BF2AAF">
        <w:rPr>
          <w:rFonts w:cs="Arial"/>
          <w:color w:val="000000" w:themeColor="text1"/>
        </w:rPr>
        <w:t xml:space="preserve">O Grupo possui Política de Investimentos Financeiros, aprovada pelo Conselho de Administração e aplicável a todas as companhias do Grupo, na qual estão estabelecidos os critérios referentes à natureza, ao prazo e aos riscos aceitáveis para alocação em ativos financeiros. </w:t>
      </w:r>
      <w:bookmarkStart w:id="39" w:name="_Hlk94019600"/>
      <w:r w:rsidRPr="00BF2AAF">
        <w:rPr>
          <w:rFonts w:cs="Arial"/>
          <w:color w:val="000000" w:themeColor="text1"/>
        </w:rPr>
        <w:t>A política vigente permite a aplicação de recursos apenas em títulos públicos federais, operações compromissadas lastreadas por títulos públicos federais e fundos de investimentos extramercado.</w:t>
      </w:r>
      <w:bookmarkEnd w:id="39"/>
    </w:p>
    <w:p w14:paraId="538CAB12" w14:textId="77777777" w:rsidR="00814510" w:rsidRPr="00BF2AAF" w:rsidRDefault="00814510" w:rsidP="00814510">
      <w:pPr>
        <w:pStyle w:val="05-Textonormal"/>
        <w:rPr>
          <w:rFonts w:cs="Arial"/>
          <w:color w:val="000000" w:themeColor="text1"/>
        </w:rPr>
      </w:pPr>
      <w:r w:rsidRPr="00BF2AAF">
        <w:rPr>
          <w:rFonts w:cs="Arial"/>
          <w:color w:val="000000" w:themeColor="text1"/>
        </w:rPr>
        <w:t>Os investimentos em ativos financeiros da BB Seguridade e suas controladas, classificados como equivalentes de caixa, estão concentrados em operações compromissadas lastreadas em títulos públicos federais (Nota 15). Os demais investimentos em ativos classificados como instrumentos financeiros estão aplicados em fundo de investimento de longo prazo e títulos públicos federais (Nota 16).</w:t>
      </w:r>
    </w:p>
    <w:p w14:paraId="568BA3E2" w14:textId="77777777" w:rsidR="00814510" w:rsidRPr="00BF2AAF" w:rsidRDefault="00814510" w:rsidP="00814510">
      <w:pPr>
        <w:pStyle w:val="05-Textonormal"/>
        <w:rPr>
          <w:rFonts w:cs="Arial"/>
          <w:b/>
          <w:color w:val="1F3864" w:themeColor="accent1" w:themeShade="80"/>
        </w:rPr>
      </w:pPr>
      <w:r w:rsidRPr="00BF2AAF">
        <w:rPr>
          <w:rFonts w:cs="Arial"/>
          <w:b/>
          <w:color w:val="1F3864" w:themeColor="accent1" w:themeShade="80"/>
        </w:rPr>
        <w:t>a.2) Risco de mercado</w:t>
      </w:r>
    </w:p>
    <w:p w14:paraId="461B06D8" w14:textId="77777777" w:rsidR="00814510" w:rsidRPr="00BF2AAF" w:rsidRDefault="00814510" w:rsidP="00814510">
      <w:pPr>
        <w:pStyle w:val="05-Textonormal"/>
        <w:rPr>
          <w:rFonts w:cs="Arial"/>
          <w:color w:val="000000" w:themeColor="text1"/>
        </w:rPr>
      </w:pPr>
      <w:r w:rsidRPr="00BF2AAF">
        <w:rPr>
          <w:rFonts w:cs="Arial"/>
          <w:color w:val="000000" w:themeColor="text1"/>
        </w:rPr>
        <w:t>O risco de mercado é definido como a possibilidade de impactos negativos decorrentes da flutuação nos valores de mercado de instrumentos financeiros detidos pelo Grupo. Na BB Seguridade e suas controladas, a exposição a esse risco origina-se da carteira de investimentos em ativos financeiros. De acordo com o atual Inventário de Riscos Relevantes e considerando a Política de Investimentos Financeiros e atual carteira, o risco não é considerado relevante.</w:t>
      </w:r>
    </w:p>
    <w:p w14:paraId="15E25BF8" w14:textId="77777777" w:rsidR="00814510" w:rsidRPr="00BF2AAF" w:rsidRDefault="00814510" w:rsidP="00814510">
      <w:pPr>
        <w:pStyle w:val="05-Textonormal"/>
        <w:rPr>
          <w:rFonts w:cs="Arial"/>
          <w:color w:val="000000" w:themeColor="text1"/>
        </w:rPr>
      </w:pPr>
      <w:r w:rsidRPr="00BF2AAF">
        <w:rPr>
          <w:rFonts w:cs="Arial"/>
          <w:color w:val="000000" w:themeColor="text1"/>
        </w:rPr>
        <w:t xml:space="preserve">A gestão do risco de mercado é executada com base na Política de Investimentos Financeiros, que define os ativos que podem ou não compor os investimentos em ativos financeiros e o limite de </w:t>
      </w:r>
      <w:proofErr w:type="spellStart"/>
      <w:r w:rsidRPr="00BF2AAF">
        <w:rPr>
          <w:rFonts w:cs="Arial"/>
          <w:i/>
          <w:iCs/>
          <w:color w:val="000000" w:themeColor="text1"/>
        </w:rPr>
        <w:t>VaR</w:t>
      </w:r>
      <w:proofErr w:type="spellEnd"/>
      <w:r w:rsidRPr="00BF2AAF">
        <w:rPr>
          <w:rFonts w:cs="Arial"/>
          <w:color w:val="000000" w:themeColor="text1"/>
        </w:rPr>
        <w:t xml:space="preserve"> (</w:t>
      </w:r>
      <w:proofErr w:type="spellStart"/>
      <w:r w:rsidRPr="00BF2AAF">
        <w:rPr>
          <w:rFonts w:cs="Arial"/>
          <w:i/>
          <w:iCs/>
          <w:color w:val="000000" w:themeColor="text1"/>
        </w:rPr>
        <w:t>Value</w:t>
      </w:r>
      <w:proofErr w:type="spellEnd"/>
      <w:r w:rsidRPr="00BF2AAF">
        <w:rPr>
          <w:rFonts w:cs="Arial"/>
          <w:i/>
          <w:iCs/>
          <w:color w:val="000000" w:themeColor="text1"/>
        </w:rPr>
        <w:t xml:space="preserve"> </w:t>
      </w:r>
      <w:proofErr w:type="spellStart"/>
      <w:r w:rsidRPr="00BF2AAF">
        <w:rPr>
          <w:rFonts w:cs="Arial"/>
          <w:i/>
          <w:iCs/>
          <w:color w:val="000000" w:themeColor="text1"/>
        </w:rPr>
        <w:t>at</w:t>
      </w:r>
      <w:proofErr w:type="spellEnd"/>
      <w:r w:rsidRPr="00BF2AAF">
        <w:rPr>
          <w:rFonts w:cs="Arial"/>
          <w:i/>
          <w:iCs/>
          <w:color w:val="000000" w:themeColor="text1"/>
        </w:rPr>
        <w:t xml:space="preserve"> Risk</w:t>
      </w:r>
      <w:r w:rsidRPr="00BF2AAF">
        <w:rPr>
          <w:rFonts w:cs="Arial"/>
          <w:color w:val="000000" w:themeColor="text1"/>
        </w:rPr>
        <w:t>), calculado para horizonte de 21 dias úteis, com a volatilidade da carteira estimada por meio do modelo de média móvel exponencial (</w:t>
      </w:r>
      <w:r w:rsidRPr="00BF2AAF">
        <w:rPr>
          <w:rFonts w:cs="Arial"/>
          <w:i/>
          <w:iCs/>
          <w:color w:val="000000" w:themeColor="text1"/>
        </w:rPr>
        <w:t>EWMA</w:t>
      </w:r>
      <w:r w:rsidRPr="00BF2AAF">
        <w:rPr>
          <w:rFonts w:cs="Arial"/>
          <w:color w:val="000000" w:themeColor="text1"/>
        </w:rPr>
        <w:t xml:space="preserve">) e nível de confiança de 95%. O indicador é monitorado pelo Comitê de Finanças e Investimentos e pela Diretoria Colegiada. </w:t>
      </w:r>
    </w:p>
    <w:p w14:paraId="27EF0838" w14:textId="77777777" w:rsidR="00814510" w:rsidRPr="00BF2AAF" w:rsidRDefault="00814510" w:rsidP="00814510">
      <w:pPr>
        <w:pStyle w:val="05-Textonormal"/>
        <w:rPr>
          <w:rFonts w:cs="Arial"/>
          <w:b/>
          <w:color w:val="1F3864" w:themeColor="accent1" w:themeShade="80"/>
        </w:rPr>
      </w:pPr>
      <w:r w:rsidRPr="00BF2AAF">
        <w:rPr>
          <w:rFonts w:cs="Arial"/>
          <w:b/>
          <w:color w:val="1F3864" w:themeColor="accent1" w:themeShade="80"/>
        </w:rPr>
        <w:t>Exposição ao risco de mercado nos investimentos em ativos financeiros</w:t>
      </w:r>
    </w:p>
    <w:p w14:paraId="181B1EFE" w14:textId="77777777" w:rsidR="00814510" w:rsidRPr="00BF2AAF" w:rsidRDefault="00814510" w:rsidP="00814510">
      <w:pPr>
        <w:pStyle w:val="06-Rmil"/>
        <w:rPr>
          <w:rFonts w:cs="Arial"/>
          <w:color w:val="000000" w:themeColor="text1"/>
        </w:rPr>
      </w:pPr>
      <w:r w:rsidRPr="00BF2AAF">
        <w:rPr>
          <w:rFonts w:cs="Arial"/>
          <w:color w:val="000000" w:themeColor="text1"/>
        </w:rPr>
        <w:t>R$ mil</w:t>
      </w:r>
    </w:p>
    <w:tbl>
      <w:tblPr>
        <w:tblStyle w:val="TabeladeLista6Colorida-nfase5"/>
        <w:tblW w:w="9639" w:type="dxa"/>
        <w:jc w:val="center"/>
        <w:tblLayout w:type="fixed"/>
        <w:tblLook w:val="04A0" w:firstRow="1" w:lastRow="0" w:firstColumn="1" w:lastColumn="0" w:noHBand="0" w:noVBand="1"/>
      </w:tblPr>
      <w:tblGrid>
        <w:gridCol w:w="1501"/>
        <w:gridCol w:w="353"/>
        <w:gridCol w:w="1060"/>
        <w:gridCol w:w="630"/>
        <w:gridCol w:w="1418"/>
        <w:gridCol w:w="579"/>
        <w:gridCol w:w="242"/>
        <w:gridCol w:w="1163"/>
        <w:gridCol w:w="709"/>
        <w:gridCol w:w="1417"/>
        <w:gridCol w:w="567"/>
      </w:tblGrid>
      <w:tr w:rsidR="00814510" w:rsidRPr="00BF2AAF" w14:paraId="5BFF8545" w14:textId="77777777">
        <w:trPr>
          <w:cnfStyle w:val="100000000000" w:firstRow="1" w:lastRow="0" w:firstColumn="0" w:lastColumn="0" w:oddVBand="0" w:evenVBand="0" w:oddHBand="0"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9639" w:type="dxa"/>
            <w:gridSpan w:val="11"/>
            <w:tcBorders>
              <w:top w:val="single" w:sz="2" w:space="0" w:color="1F3864" w:themeColor="accent1" w:themeShade="80"/>
              <w:bottom w:val="single" w:sz="2" w:space="0" w:color="1F3864" w:themeColor="accent1" w:themeShade="80"/>
            </w:tcBorders>
            <w:shd w:val="clear" w:color="auto" w:fill="auto"/>
            <w:vAlign w:val="center"/>
          </w:tcPr>
          <w:p w14:paraId="6380B729" w14:textId="77777777" w:rsidR="00814510" w:rsidRPr="00BF2AAF" w:rsidRDefault="00814510">
            <w:pPr>
              <w:jc w:val="center"/>
              <w:rPr>
                <w:rFonts w:ascii="Arial" w:hAnsi="Arial" w:cs="Arial"/>
                <w:szCs w:val="18"/>
              </w:rPr>
            </w:pPr>
            <w:r w:rsidRPr="00BF2AAF">
              <w:rPr>
                <w:rFonts w:ascii="Arial" w:hAnsi="Arial" w:cs="Arial"/>
                <w:sz w:val="14"/>
                <w:szCs w:val="18"/>
              </w:rPr>
              <w:t>Impacto na carteira</w:t>
            </w:r>
          </w:p>
        </w:tc>
      </w:tr>
      <w:tr w:rsidR="00814510" w:rsidRPr="00BF2AAF" w14:paraId="57229398" w14:textId="77777777">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1501" w:type="dxa"/>
            <w:tcBorders>
              <w:top w:val="single" w:sz="2" w:space="0" w:color="1F3864" w:themeColor="accent1" w:themeShade="80"/>
              <w:bottom w:val="nil"/>
            </w:tcBorders>
            <w:shd w:val="clear" w:color="auto" w:fill="auto"/>
            <w:vAlign w:val="center"/>
          </w:tcPr>
          <w:p w14:paraId="74A89F0D" w14:textId="77777777" w:rsidR="00814510" w:rsidRPr="00BF2AAF" w:rsidRDefault="00814510">
            <w:pPr>
              <w:jc w:val="center"/>
              <w:rPr>
                <w:rFonts w:ascii="Arial" w:hAnsi="Arial" w:cs="Arial"/>
                <w:szCs w:val="18"/>
              </w:rPr>
            </w:pPr>
          </w:p>
        </w:tc>
        <w:tc>
          <w:tcPr>
            <w:tcW w:w="353" w:type="dxa"/>
            <w:tcBorders>
              <w:top w:val="single" w:sz="2" w:space="0" w:color="1F3864" w:themeColor="accent1" w:themeShade="80"/>
              <w:bottom w:val="nil"/>
            </w:tcBorders>
            <w:shd w:val="clear" w:color="auto" w:fill="auto"/>
            <w:vAlign w:val="center"/>
          </w:tcPr>
          <w:p w14:paraId="03EAA0A6" w14:textId="77777777" w:rsidR="00814510" w:rsidRPr="00BF2AAF" w:rsidRDefault="00814510">
            <w:pPr>
              <w:jc w:val="center"/>
              <w:cnfStyle w:val="000000100000" w:firstRow="0" w:lastRow="0" w:firstColumn="0" w:lastColumn="0" w:oddVBand="0" w:evenVBand="0" w:oddHBand="1" w:evenHBand="0" w:firstRowFirstColumn="0" w:firstRowLastColumn="0" w:lastRowFirstColumn="0" w:lastRowLastColumn="0"/>
              <w:rPr>
                <w:rFonts w:ascii="Arial" w:hAnsi="Arial" w:cs="Arial"/>
                <w:b/>
                <w:szCs w:val="18"/>
              </w:rPr>
            </w:pPr>
          </w:p>
        </w:tc>
        <w:tc>
          <w:tcPr>
            <w:tcW w:w="3687" w:type="dxa"/>
            <w:gridSpan w:val="4"/>
            <w:tcBorders>
              <w:top w:val="single" w:sz="2" w:space="0" w:color="1F3864" w:themeColor="accent1" w:themeShade="80"/>
              <w:bottom w:val="single" w:sz="2" w:space="0" w:color="1F3864" w:themeColor="accent1" w:themeShade="80"/>
            </w:tcBorders>
            <w:shd w:val="clear" w:color="auto" w:fill="auto"/>
            <w:vAlign w:val="center"/>
          </w:tcPr>
          <w:p w14:paraId="5B21BB92" w14:textId="77777777" w:rsidR="00814510" w:rsidRPr="00BF2AAF" w:rsidRDefault="0081451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4"/>
                <w:szCs w:val="18"/>
              </w:rPr>
            </w:pPr>
            <w:r w:rsidRPr="00BF2AAF">
              <w:rPr>
                <w:rFonts w:ascii="Arial" w:hAnsi="Arial" w:cs="Arial"/>
                <w:b/>
                <w:sz w:val="14"/>
                <w:szCs w:val="18"/>
              </w:rPr>
              <w:t>Controlador</w:t>
            </w:r>
          </w:p>
        </w:tc>
        <w:tc>
          <w:tcPr>
            <w:tcW w:w="242" w:type="dxa"/>
            <w:tcBorders>
              <w:top w:val="single" w:sz="2" w:space="0" w:color="1F3864" w:themeColor="accent1" w:themeShade="80"/>
              <w:bottom w:val="nil"/>
            </w:tcBorders>
            <w:shd w:val="clear" w:color="auto" w:fill="auto"/>
            <w:vAlign w:val="center"/>
          </w:tcPr>
          <w:p w14:paraId="3825C3E1" w14:textId="77777777" w:rsidR="00814510" w:rsidRPr="00BF2AAF" w:rsidRDefault="00814510">
            <w:pPr>
              <w:jc w:val="center"/>
              <w:cnfStyle w:val="000000100000" w:firstRow="0" w:lastRow="0" w:firstColumn="0" w:lastColumn="0" w:oddVBand="0" w:evenVBand="0" w:oddHBand="1" w:evenHBand="0" w:firstRowFirstColumn="0" w:firstRowLastColumn="0" w:lastRowFirstColumn="0" w:lastRowLastColumn="0"/>
              <w:rPr>
                <w:rFonts w:ascii="Arial" w:hAnsi="Arial" w:cs="Arial"/>
                <w:b/>
                <w:szCs w:val="18"/>
              </w:rPr>
            </w:pPr>
          </w:p>
        </w:tc>
        <w:tc>
          <w:tcPr>
            <w:tcW w:w="3856" w:type="dxa"/>
            <w:gridSpan w:val="4"/>
            <w:tcBorders>
              <w:top w:val="single" w:sz="2" w:space="0" w:color="1F3864" w:themeColor="accent1" w:themeShade="80"/>
              <w:bottom w:val="single" w:sz="2" w:space="0" w:color="1F3864" w:themeColor="accent1" w:themeShade="80"/>
            </w:tcBorders>
            <w:shd w:val="clear" w:color="auto" w:fill="auto"/>
            <w:vAlign w:val="center"/>
          </w:tcPr>
          <w:p w14:paraId="1BD86189" w14:textId="77777777" w:rsidR="00814510" w:rsidRPr="00BF2AAF" w:rsidRDefault="0081451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4"/>
                <w:szCs w:val="18"/>
              </w:rPr>
            </w:pPr>
            <w:r w:rsidRPr="00BF2AAF">
              <w:rPr>
                <w:rFonts w:ascii="Arial" w:hAnsi="Arial" w:cs="Arial"/>
                <w:b/>
                <w:sz w:val="14"/>
                <w:szCs w:val="18"/>
              </w:rPr>
              <w:t>Consolidado</w:t>
            </w:r>
          </w:p>
        </w:tc>
      </w:tr>
      <w:tr w:rsidR="00814510" w:rsidRPr="00BF2AAF" w14:paraId="0E968E5F" w14:textId="77777777">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1501" w:type="dxa"/>
            <w:tcBorders>
              <w:top w:val="nil"/>
              <w:bottom w:val="nil"/>
            </w:tcBorders>
            <w:shd w:val="clear" w:color="auto" w:fill="auto"/>
          </w:tcPr>
          <w:p w14:paraId="64850B5A" w14:textId="77777777" w:rsidR="00814510" w:rsidRPr="00BF2AAF" w:rsidRDefault="00814510">
            <w:pPr>
              <w:pStyle w:val="08-Tabelageral"/>
              <w:jc w:val="left"/>
              <w:rPr>
                <w:rFonts w:cs="Arial"/>
                <w:b w:val="0"/>
              </w:rPr>
            </w:pPr>
          </w:p>
        </w:tc>
        <w:tc>
          <w:tcPr>
            <w:tcW w:w="353" w:type="dxa"/>
            <w:tcBorders>
              <w:top w:val="nil"/>
              <w:bottom w:val="nil"/>
            </w:tcBorders>
            <w:shd w:val="clear" w:color="auto" w:fill="auto"/>
          </w:tcPr>
          <w:p w14:paraId="5F11736E" w14:textId="77777777" w:rsidR="00814510" w:rsidRPr="00BF2AAF" w:rsidRDefault="00814510">
            <w:pPr>
              <w:pStyle w:val="08-Tabelageral"/>
              <w:jc w:val="center"/>
              <w:cnfStyle w:val="000000010000" w:firstRow="0" w:lastRow="0" w:firstColumn="0" w:lastColumn="0" w:oddVBand="0" w:evenVBand="0" w:oddHBand="0" w:evenHBand="1" w:firstRowFirstColumn="0" w:firstRowLastColumn="0" w:lastRowFirstColumn="0" w:lastRowLastColumn="0"/>
              <w:rPr>
                <w:rFonts w:cs="Arial"/>
                <w:b/>
              </w:rPr>
            </w:pPr>
          </w:p>
        </w:tc>
        <w:tc>
          <w:tcPr>
            <w:tcW w:w="1060" w:type="dxa"/>
            <w:tcBorders>
              <w:top w:val="single" w:sz="2" w:space="0" w:color="1F3864" w:themeColor="accent1" w:themeShade="80"/>
              <w:bottom w:val="nil"/>
            </w:tcBorders>
            <w:shd w:val="clear" w:color="auto" w:fill="auto"/>
            <w:vAlign w:val="center"/>
          </w:tcPr>
          <w:p w14:paraId="3B8626D7" w14:textId="5FB73880" w:rsidR="00814510" w:rsidRPr="00BF2AAF" w:rsidRDefault="00E51C9F">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E51C9F">
              <w:rPr>
                <w:rFonts w:cs="Arial"/>
                <w:b/>
              </w:rPr>
              <w:t>31.12.2024</w:t>
            </w:r>
          </w:p>
        </w:tc>
        <w:tc>
          <w:tcPr>
            <w:tcW w:w="630" w:type="dxa"/>
            <w:tcBorders>
              <w:top w:val="single" w:sz="2" w:space="0" w:color="1F3864" w:themeColor="accent1" w:themeShade="80"/>
              <w:bottom w:val="nil"/>
            </w:tcBorders>
            <w:shd w:val="clear" w:color="auto" w:fill="auto"/>
            <w:vAlign w:val="center"/>
          </w:tcPr>
          <w:p w14:paraId="248CE4D1" w14:textId="77777777" w:rsidR="00814510" w:rsidRPr="00BF2AAF" w:rsidRDefault="00814510">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BF2AAF">
              <w:rPr>
                <w:rFonts w:cs="Arial"/>
                <w:b/>
              </w:rPr>
              <w:t>%</w:t>
            </w:r>
          </w:p>
        </w:tc>
        <w:tc>
          <w:tcPr>
            <w:tcW w:w="1418" w:type="dxa"/>
            <w:tcBorders>
              <w:top w:val="single" w:sz="2" w:space="0" w:color="1F3864" w:themeColor="accent1" w:themeShade="80"/>
              <w:bottom w:val="nil"/>
            </w:tcBorders>
            <w:shd w:val="clear" w:color="auto" w:fill="auto"/>
            <w:vAlign w:val="center"/>
          </w:tcPr>
          <w:p w14:paraId="4C32F02E" w14:textId="77777777" w:rsidR="00814510" w:rsidRPr="00BF2AAF" w:rsidRDefault="00814510">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F2AAF">
              <w:rPr>
                <w:rFonts w:cs="Arial"/>
                <w:b/>
              </w:rPr>
              <w:t>31.12.202</w:t>
            </w:r>
            <w:r>
              <w:rPr>
                <w:rFonts w:cs="Arial"/>
                <w:b/>
              </w:rPr>
              <w:t>3</w:t>
            </w:r>
          </w:p>
        </w:tc>
        <w:tc>
          <w:tcPr>
            <w:tcW w:w="579" w:type="dxa"/>
            <w:tcBorders>
              <w:top w:val="single" w:sz="2" w:space="0" w:color="1F3864" w:themeColor="accent1" w:themeShade="80"/>
              <w:bottom w:val="nil"/>
            </w:tcBorders>
            <w:shd w:val="clear" w:color="auto" w:fill="auto"/>
            <w:vAlign w:val="center"/>
          </w:tcPr>
          <w:p w14:paraId="5934EEC6" w14:textId="77777777" w:rsidR="00814510" w:rsidRPr="00BF2AAF" w:rsidRDefault="00814510">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BF2AAF">
              <w:rPr>
                <w:rFonts w:cs="Arial"/>
                <w:b/>
              </w:rPr>
              <w:t>%</w:t>
            </w:r>
          </w:p>
        </w:tc>
        <w:tc>
          <w:tcPr>
            <w:tcW w:w="242" w:type="dxa"/>
            <w:tcBorders>
              <w:top w:val="nil"/>
              <w:bottom w:val="nil"/>
            </w:tcBorders>
            <w:shd w:val="clear" w:color="auto" w:fill="auto"/>
            <w:vAlign w:val="center"/>
          </w:tcPr>
          <w:p w14:paraId="5EB90881" w14:textId="77777777" w:rsidR="00814510" w:rsidRPr="00BF2AAF" w:rsidRDefault="00814510">
            <w:pPr>
              <w:pStyle w:val="08-Tabelageral"/>
              <w:cnfStyle w:val="000000010000" w:firstRow="0" w:lastRow="0" w:firstColumn="0" w:lastColumn="0" w:oddVBand="0" w:evenVBand="0" w:oddHBand="0" w:evenHBand="1" w:firstRowFirstColumn="0" w:firstRowLastColumn="0" w:lastRowFirstColumn="0" w:lastRowLastColumn="0"/>
              <w:rPr>
                <w:rFonts w:cs="Arial"/>
                <w:b/>
              </w:rPr>
            </w:pPr>
          </w:p>
        </w:tc>
        <w:tc>
          <w:tcPr>
            <w:tcW w:w="1163" w:type="dxa"/>
            <w:tcBorders>
              <w:top w:val="single" w:sz="2" w:space="0" w:color="1F3864" w:themeColor="accent1" w:themeShade="80"/>
              <w:bottom w:val="nil"/>
            </w:tcBorders>
            <w:shd w:val="clear" w:color="auto" w:fill="auto"/>
            <w:vAlign w:val="center"/>
          </w:tcPr>
          <w:p w14:paraId="7B883040" w14:textId="266B6B9E" w:rsidR="00814510" w:rsidRPr="00BF2AAF" w:rsidRDefault="00E51C9F">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E51C9F">
              <w:rPr>
                <w:rFonts w:cs="Arial"/>
                <w:b/>
              </w:rPr>
              <w:t>31.12.2024</w:t>
            </w:r>
          </w:p>
        </w:tc>
        <w:tc>
          <w:tcPr>
            <w:tcW w:w="709" w:type="dxa"/>
            <w:tcBorders>
              <w:top w:val="single" w:sz="2" w:space="0" w:color="1F3864" w:themeColor="accent1" w:themeShade="80"/>
              <w:bottom w:val="nil"/>
            </w:tcBorders>
            <w:shd w:val="clear" w:color="auto" w:fill="auto"/>
            <w:vAlign w:val="center"/>
          </w:tcPr>
          <w:p w14:paraId="32AFFCF7" w14:textId="77777777" w:rsidR="00814510" w:rsidRPr="00BF2AAF" w:rsidRDefault="00814510">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BF2AAF">
              <w:rPr>
                <w:rFonts w:cs="Arial"/>
                <w:b/>
              </w:rPr>
              <w:t>%</w:t>
            </w:r>
          </w:p>
        </w:tc>
        <w:tc>
          <w:tcPr>
            <w:tcW w:w="1417" w:type="dxa"/>
            <w:tcBorders>
              <w:top w:val="single" w:sz="2" w:space="0" w:color="1F3864" w:themeColor="accent1" w:themeShade="80"/>
              <w:bottom w:val="nil"/>
            </w:tcBorders>
            <w:shd w:val="clear" w:color="auto" w:fill="auto"/>
            <w:vAlign w:val="center"/>
          </w:tcPr>
          <w:p w14:paraId="248850FF" w14:textId="77777777" w:rsidR="00814510" w:rsidRPr="00BF2AAF" w:rsidRDefault="00814510">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F2AAF">
              <w:rPr>
                <w:rFonts w:cs="Arial"/>
                <w:b/>
              </w:rPr>
              <w:t>31.12.202</w:t>
            </w:r>
            <w:r>
              <w:rPr>
                <w:rFonts w:cs="Arial"/>
                <w:b/>
              </w:rPr>
              <w:t>3</w:t>
            </w:r>
          </w:p>
        </w:tc>
        <w:tc>
          <w:tcPr>
            <w:tcW w:w="567" w:type="dxa"/>
            <w:tcBorders>
              <w:top w:val="single" w:sz="2" w:space="0" w:color="1F3864" w:themeColor="accent1" w:themeShade="80"/>
              <w:bottom w:val="nil"/>
            </w:tcBorders>
            <w:shd w:val="clear" w:color="auto" w:fill="auto"/>
            <w:vAlign w:val="center"/>
          </w:tcPr>
          <w:p w14:paraId="1C980222" w14:textId="77777777" w:rsidR="00814510" w:rsidRPr="00BF2AAF" w:rsidRDefault="00814510">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BF2AAF">
              <w:rPr>
                <w:rFonts w:cs="Arial"/>
                <w:b/>
              </w:rPr>
              <w:t>%</w:t>
            </w:r>
          </w:p>
        </w:tc>
      </w:tr>
      <w:tr w:rsidR="00814510" w:rsidRPr="00BF2AAF" w14:paraId="0B727230" w14:textId="77777777">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1501" w:type="dxa"/>
            <w:tcBorders>
              <w:top w:val="nil"/>
              <w:bottom w:val="single" w:sz="2" w:space="0" w:color="1F3864" w:themeColor="accent1" w:themeShade="80"/>
            </w:tcBorders>
            <w:shd w:val="clear" w:color="auto" w:fill="auto"/>
            <w:vAlign w:val="center"/>
          </w:tcPr>
          <w:p w14:paraId="40E098F2" w14:textId="77777777" w:rsidR="00814510" w:rsidRPr="00BF2AAF" w:rsidRDefault="00814510">
            <w:pPr>
              <w:pStyle w:val="08-Tabelageral"/>
              <w:jc w:val="left"/>
              <w:rPr>
                <w:rFonts w:cs="Arial"/>
                <w:b w:val="0"/>
                <w:szCs w:val="14"/>
              </w:rPr>
            </w:pPr>
            <w:proofErr w:type="spellStart"/>
            <w:r w:rsidRPr="00BF2AAF">
              <w:rPr>
                <w:rFonts w:cs="Arial"/>
                <w:b w:val="0"/>
                <w:i/>
                <w:iCs/>
                <w:szCs w:val="14"/>
              </w:rPr>
              <w:t>Value</w:t>
            </w:r>
            <w:proofErr w:type="spellEnd"/>
            <w:r w:rsidRPr="00BF2AAF">
              <w:rPr>
                <w:rFonts w:cs="Arial"/>
                <w:b w:val="0"/>
                <w:i/>
                <w:iCs/>
                <w:szCs w:val="14"/>
              </w:rPr>
              <w:t xml:space="preserve"> </w:t>
            </w:r>
            <w:proofErr w:type="spellStart"/>
            <w:r w:rsidRPr="00BF2AAF">
              <w:rPr>
                <w:rFonts w:cs="Arial"/>
                <w:b w:val="0"/>
                <w:i/>
                <w:iCs/>
                <w:szCs w:val="14"/>
              </w:rPr>
              <w:t>at</w:t>
            </w:r>
            <w:proofErr w:type="spellEnd"/>
            <w:r w:rsidRPr="00BF2AAF">
              <w:rPr>
                <w:rFonts w:cs="Arial"/>
                <w:b w:val="0"/>
                <w:i/>
                <w:iCs/>
                <w:szCs w:val="14"/>
              </w:rPr>
              <w:t xml:space="preserve"> Risk (</w:t>
            </w:r>
            <w:proofErr w:type="spellStart"/>
            <w:r w:rsidRPr="00BF2AAF">
              <w:rPr>
                <w:rFonts w:cs="Arial"/>
                <w:b w:val="0"/>
                <w:i/>
                <w:iCs/>
                <w:szCs w:val="14"/>
              </w:rPr>
              <w:t>VaR</w:t>
            </w:r>
            <w:proofErr w:type="spellEnd"/>
            <w:r w:rsidRPr="00BF2AAF">
              <w:rPr>
                <w:rFonts w:cs="Arial"/>
                <w:b w:val="0"/>
                <w:szCs w:val="14"/>
              </w:rPr>
              <w:t>)</w:t>
            </w:r>
          </w:p>
        </w:tc>
        <w:tc>
          <w:tcPr>
            <w:tcW w:w="353" w:type="dxa"/>
            <w:tcBorders>
              <w:top w:val="nil"/>
              <w:bottom w:val="single" w:sz="2" w:space="0" w:color="1F3864" w:themeColor="accent1" w:themeShade="80"/>
            </w:tcBorders>
            <w:shd w:val="clear" w:color="auto" w:fill="auto"/>
            <w:vAlign w:val="center"/>
          </w:tcPr>
          <w:p w14:paraId="03584BDE" w14:textId="77777777" w:rsidR="00814510" w:rsidRPr="00BF2AAF" w:rsidRDefault="00814510">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rPr>
            </w:pPr>
          </w:p>
        </w:tc>
        <w:tc>
          <w:tcPr>
            <w:tcW w:w="1060" w:type="dxa"/>
            <w:tcBorders>
              <w:top w:val="nil"/>
              <w:bottom w:val="single" w:sz="2" w:space="0" w:color="1F3864" w:themeColor="accent1" w:themeShade="80"/>
            </w:tcBorders>
            <w:shd w:val="clear" w:color="auto" w:fill="auto"/>
            <w:vAlign w:val="center"/>
          </w:tcPr>
          <w:p w14:paraId="6D632FDB" w14:textId="6CAFFB0C" w:rsidR="00814510" w:rsidRPr="00362F53" w:rsidRDefault="005E28A2">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9</w:t>
            </w:r>
          </w:p>
        </w:tc>
        <w:tc>
          <w:tcPr>
            <w:tcW w:w="630" w:type="dxa"/>
            <w:tcBorders>
              <w:top w:val="nil"/>
              <w:bottom w:val="single" w:sz="2" w:space="0" w:color="1F3864" w:themeColor="accent1" w:themeShade="80"/>
            </w:tcBorders>
            <w:shd w:val="clear" w:color="auto" w:fill="auto"/>
            <w:vAlign w:val="center"/>
          </w:tcPr>
          <w:p w14:paraId="112FC4D8" w14:textId="1188B242" w:rsidR="00814510" w:rsidRPr="00362F53" w:rsidRDefault="00365C9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0,00</w:t>
            </w:r>
          </w:p>
        </w:tc>
        <w:tc>
          <w:tcPr>
            <w:tcW w:w="1418" w:type="dxa"/>
            <w:tcBorders>
              <w:top w:val="nil"/>
              <w:bottom w:val="single" w:sz="2" w:space="0" w:color="1F3864" w:themeColor="accent1" w:themeShade="80"/>
            </w:tcBorders>
            <w:shd w:val="clear" w:color="auto" w:fill="auto"/>
            <w:vAlign w:val="center"/>
          </w:tcPr>
          <w:p w14:paraId="709F55AD" w14:textId="77777777" w:rsidR="00814510" w:rsidRPr="00BF2AAF" w:rsidRDefault="00814510">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F2AAF">
              <w:rPr>
                <w:rFonts w:cs="Arial"/>
                <w:szCs w:val="14"/>
              </w:rPr>
              <w:t>6</w:t>
            </w:r>
          </w:p>
        </w:tc>
        <w:tc>
          <w:tcPr>
            <w:tcW w:w="579" w:type="dxa"/>
            <w:tcBorders>
              <w:top w:val="nil"/>
              <w:bottom w:val="single" w:sz="2" w:space="0" w:color="1F3864" w:themeColor="accent1" w:themeShade="80"/>
            </w:tcBorders>
            <w:shd w:val="clear" w:color="auto" w:fill="auto"/>
            <w:vAlign w:val="center"/>
          </w:tcPr>
          <w:p w14:paraId="2BA6CB6E" w14:textId="77777777" w:rsidR="00814510" w:rsidRPr="00BF2AAF" w:rsidRDefault="00814510">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F2AAF">
              <w:rPr>
                <w:rFonts w:cs="Arial"/>
                <w:szCs w:val="14"/>
              </w:rPr>
              <w:t>0,00</w:t>
            </w:r>
          </w:p>
        </w:tc>
        <w:tc>
          <w:tcPr>
            <w:tcW w:w="242" w:type="dxa"/>
            <w:tcBorders>
              <w:top w:val="nil"/>
              <w:bottom w:val="single" w:sz="2" w:space="0" w:color="1F3864" w:themeColor="accent1" w:themeShade="80"/>
            </w:tcBorders>
            <w:shd w:val="clear" w:color="auto" w:fill="auto"/>
            <w:vAlign w:val="center"/>
          </w:tcPr>
          <w:p w14:paraId="38D6FEEC" w14:textId="77777777" w:rsidR="00814510" w:rsidRPr="00BF2AAF" w:rsidRDefault="0081451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163" w:type="dxa"/>
            <w:tcBorders>
              <w:top w:val="nil"/>
              <w:bottom w:val="single" w:sz="2" w:space="0" w:color="1F3864" w:themeColor="accent1" w:themeShade="80"/>
            </w:tcBorders>
            <w:shd w:val="clear" w:color="auto" w:fill="auto"/>
            <w:vAlign w:val="center"/>
          </w:tcPr>
          <w:p w14:paraId="2AFE73E9" w14:textId="16CDDED0" w:rsidR="00814510" w:rsidRPr="00362F53" w:rsidRDefault="00365C99">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210</w:t>
            </w:r>
          </w:p>
        </w:tc>
        <w:tc>
          <w:tcPr>
            <w:tcW w:w="709" w:type="dxa"/>
            <w:tcBorders>
              <w:top w:val="nil"/>
              <w:bottom w:val="single" w:sz="2" w:space="0" w:color="1F3864" w:themeColor="accent1" w:themeShade="80"/>
            </w:tcBorders>
            <w:shd w:val="clear" w:color="auto" w:fill="auto"/>
            <w:vAlign w:val="center"/>
          </w:tcPr>
          <w:p w14:paraId="7EB172C1" w14:textId="77777777" w:rsidR="00814510" w:rsidRPr="00362F53" w:rsidRDefault="0081451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62F53">
              <w:rPr>
                <w:rFonts w:cs="Arial"/>
                <w:szCs w:val="14"/>
              </w:rPr>
              <w:t>0,00</w:t>
            </w:r>
          </w:p>
        </w:tc>
        <w:tc>
          <w:tcPr>
            <w:tcW w:w="1417" w:type="dxa"/>
            <w:tcBorders>
              <w:top w:val="nil"/>
              <w:bottom w:val="single" w:sz="2" w:space="0" w:color="1F3864" w:themeColor="accent1" w:themeShade="80"/>
            </w:tcBorders>
            <w:shd w:val="clear" w:color="auto" w:fill="auto"/>
            <w:vAlign w:val="center"/>
          </w:tcPr>
          <w:p w14:paraId="788C5065" w14:textId="77777777" w:rsidR="00814510" w:rsidRPr="00BF2AAF" w:rsidRDefault="00814510">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F2AAF">
              <w:rPr>
                <w:rFonts w:cs="Arial"/>
                <w:szCs w:val="14"/>
              </w:rPr>
              <w:t>408</w:t>
            </w:r>
          </w:p>
        </w:tc>
        <w:tc>
          <w:tcPr>
            <w:tcW w:w="567" w:type="dxa"/>
            <w:tcBorders>
              <w:top w:val="nil"/>
              <w:bottom w:val="single" w:sz="2" w:space="0" w:color="1F3864" w:themeColor="accent1" w:themeShade="80"/>
            </w:tcBorders>
            <w:shd w:val="clear" w:color="auto" w:fill="auto"/>
            <w:vAlign w:val="center"/>
          </w:tcPr>
          <w:p w14:paraId="39F51D51" w14:textId="77777777" w:rsidR="00814510" w:rsidRPr="00BF2AAF" w:rsidRDefault="00814510">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F2AAF">
              <w:rPr>
                <w:rFonts w:cs="Arial"/>
                <w:szCs w:val="14"/>
              </w:rPr>
              <w:t>0,01</w:t>
            </w:r>
          </w:p>
        </w:tc>
      </w:tr>
    </w:tbl>
    <w:p w14:paraId="40935309" w14:textId="77777777" w:rsidR="00814510" w:rsidRPr="00BF2AAF" w:rsidRDefault="00814510" w:rsidP="00814510">
      <w:pPr>
        <w:rPr>
          <w:rFonts w:ascii="Arial" w:hAnsi="Arial" w:cs="Arial"/>
          <w:b/>
          <w:color w:val="000000" w:themeColor="text1"/>
          <w:szCs w:val="18"/>
        </w:rPr>
      </w:pPr>
    </w:p>
    <w:p w14:paraId="6EE55190" w14:textId="77777777" w:rsidR="00814510" w:rsidRPr="00A33E5A" w:rsidRDefault="00814510" w:rsidP="00814510">
      <w:pPr>
        <w:pStyle w:val="03-SubttulodeNota"/>
        <w:rPr>
          <w:color w:val="1F3864" w:themeColor="accent1" w:themeShade="80"/>
          <w:sz w:val="18"/>
          <w:szCs w:val="18"/>
        </w:rPr>
      </w:pPr>
      <w:r w:rsidRPr="00A33E5A">
        <w:rPr>
          <w:color w:val="1F3864" w:themeColor="accent1" w:themeShade="80"/>
          <w:sz w:val="18"/>
          <w:szCs w:val="18"/>
        </w:rPr>
        <w:t>Análise de sensibilidade aos fatores de risco de mercado</w:t>
      </w:r>
    </w:p>
    <w:p w14:paraId="6E770496" w14:textId="07ACA49A" w:rsidR="00814510" w:rsidRPr="00BF2AAF" w:rsidRDefault="00814510" w:rsidP="00814510">
      <w:pPr>
        <w:pStyle w:val="05-Textonormal"/>
        <w:rPr>
          <w:rFonts w:cs="Arial"/>
          <w:color w:val="000000" w:themeColor="text1"/>
        </w:rPr>
      </w:pPr>
      <w:r w:rsidRPr="00BF2AAF">
        <w:rPr>
          <w:rFonts w:cs="Arial"/>
          <w:color w:val="000000" w:themeColor="text1"/>
        </w:rPr>
        <w:t>Em 3</w:t>
      </w:r>
      <w:r w:rsidR="006D015D">
        <w:rPr>
          <w:rFonts w:cs="Arial"/>
          <w:color w:val="000000" w:themeColor="text1"/>
        </w:rPr>
        <w:t>1</w:t>
      </w:r>
      <w:r w:rsidRPr="00BF2AAF">
        <w:rPr>
          <w:rFonts w:cs="Arial"/>
          <w:color w:val="000000" w:themeColor="text1"/>
        </w:rPr>
        <w:t xml:space="preserve"> de </w:t>
      </w:r>
      <w:r w:rsidR="006D015D">
        <w:rPr>
          <w:rFonts w:cs="Arial"/>
          <w:color w:val="000000" w:themeColor="text1"/>
        </w:rPr>
        <w:t>d</w:t>
      </w:r>
      <w:r w:rsidRPr="00AD3775">
        <w:rPr>
          <w:rFonts w:cs="Arial"/>
          <w:color w:val="000000" w:themeColor="text1"/>
        </w:rPr>
        <w:t>e</w:t>
      </w:r>
      <w:r w:rsidR="006D015D">
        <w:rPr>
          <w:rFonts w:cs="Arial"/>
          <w:color w:val="000000" w:themeColor="text1"/>
        </w:rPr>
        <w:t>z</w:t>
      </w:r>
      <w:r w:rsidRPr="00AD3775">
        <w:rPr>
          <w:rFonts w:cs="Arial"/>
          <w:color w:val="000000" w:themeColor="text1"/>
        </w:rPr>
        <w:t>embro</w:t>
      </w:r>
      <w:r>
        <w:rPr>
          <w:rFonts w:cs="Arial"/>
          <w:color w:val="000000" w:themeColor="text1"/>
        </w:rPr>
        <w:t xml:space="preserve"> de 2024</w:t>
      </w:r>
      <w:r w:rsidRPr="00BF2AAF">
        <w:rPr>
          <w:rFonts w:cs="Arial"/>
          <w:color w:val="000000" w:themeColor="text1"/>
        </w:rPr>
        <w:t>, não existiam instrumentos derivativos na carteira do Grupo, composta em sua totalidade por instrumentos financeiros com taxa de remuneração pós-fixada atrelada à taxa Selic. Com base nos estudos realizados, não há exposição relevante a fatores de risco de mercado.</w:t>
      </w:r>
    </w:p>
    <w:p w14:paraId="66F7D152" w14:textId="77777777" w:rsidR="00814510" w:rsidRPr="00BF2AAF" w:rsidRDefault="00814510" w:rsidP="00814510">
      <w:pPr>
        <w:pStyle w:val="05-Textonormal"/>
        <w:rPr>
          <w:rFonts w:cs="Arial"/>
          <w:b/>
          <w:color w:val="1F3864" w:themeColor="accent1" w:themeShade="80"/>
        </w:rPr>
      </w:pPr>
      <w:r w:rsidRPr="00BF2AAF">
        <w:rPr>
          <w:rFonts w:cs="Arial"/>
          <w:b/>
          <w:color w:val="1F3864" w:themeColor="accent1" w:themeShade="80"/>
        </w:rPr>
        <w:t>a.3) Risco de Crédito</w:t>
      </w:r>
    </w:p>
    <w:p w14:paraId="4C26271B" w14:textId="77777777" w:rsidR="00814510" w:rsidRPr="00BF2AAF" w:rsidRDefault="00814510" w:rsidP="00814510">
      <w:pPr>
        <w:pStyle w:val="05-Textonormal"/>
        <w:rPr>
          <w:rFonts w:cs="Arial"/>
          <w:color w:val="000000" w:themeColor="text1"/>
        </w:rPr>
      </w:pPr>
      <w:r w:rsidRPr="00BF2AAF">
        <w:rPr>
          <w:rFonts w:cs="Arial"/>
          <w:color w:val="000000" w:themeColor="text1"/>
        </w:rPr>
        <w:t>O risco de crédito é definido pelo Grupo como a possibilidade de impactos negativos associados ao não cumprimento, pelo tomador ou contraparte, das suas respectivas obrigações financeiras nos termos pactuados, e/ou da desvalorização dos recebíveis decorrente da redução na classificação de risco do tomador ou contraparte. Na BB Seguridade e em suas controladas BB Seguros e BB Corretora, a exposição a esse risco originar-se-ia da carteira de investimentos em ativos financeiros, porém atualmente a carteira não possui em sua composição títulos emitidos por contrapartes privadas. Logo, a exposição a esse risco não é relevante.</w:t>
      </w:r>
    </w:p>
    <w:p w14:paraId="6EB71B5C" w14:textId="77777777" w:rsidR="00814510" w:rsidRPr="00BF2AAF" w:rsidRDefault="00814510" w:rsidP="00814510">
      <w:pPr>
        <w:pStyle w:val="05-Textonormal"/>
        <w:rPr>
          <w:rFonts w:cs="Arial"/>
          <w:color w:val="000000" w:themeColor="text1"/>
        </w:rPr>
      </w:pPr>
      <w:bookmarkStart w:id="40" w:name="_Hlk109384852"/>
      <w:bookmarkStart w:id="41" w:name="_Hlk46330444"/>
      <w:r w:rsidRPr="00BF2AAF">
        <w:rPr>
          <w:rFonts w:cs="Arial"/>
          <w:color w:val="000000" w:themeColor="text1"/>
        </w:rPr>
        <w:t xml:space="preserve">Com relação ao risco de crédito proveniente do </w:t>
      </w:r>
      <w:r w:rsidRPr="004E584A">
        <w:rPr>
          <w:rFonts w:cs="Arial"/>
          <w:color w:val="000000" w:themeColor="text1"/>
        </w:rPr>
        <w:t>recebimento</w:t>
      </w:r>
      <w:r w:rsidRPr="00BF2AAF">
        <w:rPr>
          <w:rFonts w:cs="Arial"/>
          <w:color w:val="000000" w:themeColor="text1"/>
        </w:rPr>
        <w:t xml:space="preserve"> de corretagem dos produtos comercializados pela BB Corretora, considera-se devidamente mitigado, em função da natureza da operação do Grupo, uma vez que quase a totalidade das receitas de corretagem é proveniente de negócios gerados por empresas pertencentes ao Grupo, com a operacionalização do repasse da comissão devida realizada por meio dos sistemas do Banco do Brasil.  </w:t>
      </w:r>
    </w:p>
    <w:bookmarkEnd w:id="40"/>
    <w:bookmarkEnd w:id="41"/>
    <w:p w14:paraId="01A18F7D" w14:textId="77777777" w:rsidR="00814510" w:rsidRPr="00BF2AAF" w:rsidRDefault="00814510" w:rsidP="00E51AC2">
      <w:pPr>
        <w:pStyle w:val="05-Textonormal"/>
        <w:keepNext/>
        <w:keepLines/>
        <w:rPr>
          <w:rFonts w:cs="Arial"/>
          <w:b/>
          <w:color w:val="1F3864" w:themeColor="accent1" w:themeShade="80"/>
        </w:rPr>
      </w:pPr>
      <w:r w:rsidRPr="00BF2AAF">
        <w:rPr>
          <w:rFonts w:cs="Arial"/>
          <w:b/>
          <w:color w:val="1F3864" w:themeColor="accent1" w:themeShade="80"/>
        </w:rPr>
        <w:t>Exposição ao risco de crédito em ativos financeiros</w:t>
      </w:r>
    </w:p>
    <w:p w14:paraId="2E0A53A7" w14:textId="77777777" w:rsidR="00814510" w:rsidRPr="00BF2AAF" w:rsidRDefault="00814510" w:rsidP="00814510">
      <w:pPr>
        <w:pStyle w:val="06-Rmil"/>
        <w:rPr>
          <w:rFonts w:cs="Arial"/>
          <w:color w:val="000000" w:themeColor="text1"/>
        </w:rPr>
      </w:pPr>
      <w:r w:rsidRPr="00BF2AAF">
        <w:rPr>
          <w:rFonts w:cs="Arial"/>
          <w:color w:val="000000" w:themeColor="text1"/>
        </w:rPr>
        <w:t>R$ mil</w:t>
      </w:r>
    </w:p>
    <w:tbl>
      <w:tblPr>
        <w:tblStyle w:val="TabeladeLista6Colorida-nfase5"/>
        <w:tblW w:w="9639" w:type="dxa"/>
        <w:jc w:val="center"/>
        <w:tblLayout w:type="fixed"/>
        <w:tblLook w:val="04A0" w:firstRow="1" w:lastRow="0" w:firstColumn="1" w:lastColumn="0" w:noHBand="0" w:noVBand="1"/>
      </w:tblPr>
      <w:tblGrid>
        <w:gridCol w:w="2507"/>
        <w:gridCol w:w="977"/>
        <w:gridCol w:w="700"/>
        <w:gridCol w:w="978"/>
        <w:gridCol w:w="700"/>
        <w:gridCol w:w="313"/>
        <w:gridCol w:w="1088"/>
        <w:gridCol w:w="699"/>
        <w:gridCol w:w="979"/>
        <w:gridCol w:w="698"/>
      </w:tblGrid>
      <w:tr w:rsidR="00814510" w:rsidRPr="00BF2AAF" w14:paraId="7DA4EC00" w14:textId="77777777" w:rsidTr="001B71FE">
        <w:trPr>
          <w:cnfStyle w:val="100000000000" w:firstRow="1" w:lastRow="0" w:firstColumn="0" w:lastColumn="0" w:oddVBand="0" w:evenVBand="0" w:oddHBand="0"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507" w:type="dxa"/>
            <w:vMerge w:val="restart"/>
            <w:tcBorders>
              <w:top w:val="single" w:sz="2" w:space="0" w:color="1F3864" w:themeColor="accent1" w:themeShade="80"/>
            </w:tcBorders>
            <w:shd w:val="clear" w:color="auto" w:fill="auto"/>
            <w:vAlign w:val="center"/>
          </w:tcPr>
          <w:p w14:paraId="5D37EBB5" w14:textId="77777777" w:rsidR="00814510" w:rsidRPr="00BF2AAF" w:rsidRDefault="00814510">
            <w:pPr>
              <w:rPr>
                <w:rFonts w:ascii="Arial" w:hAnsi="Arial" w:cs="Arial"/>
                <w:sz w:val="14"/>
                <w:szCs w:val="14"/>
              </w:rPr>
            </w:pPr>
            <w:bookmarkStart w:id="42" w:name="_Hlk94020880"/>
            <w:r w:rsidRPr="00BF2AAF">
              <w:rPr>
                <w:rFonts w:ascii="Arial" w:hAnsi="Arial" w:cs="Arial"/>
                <w:sz w:val="14"/>
                <w:szCs w:val="14"/>
              </w:rPr>
              <w:t xml:space="preserve">Ativos Financeiros </w:t>
            </w:r>
            <w:r w:rsidRPr="00BF2AAF">
              <w:rPr>
                <w:rFonts w:ascii="Arial" w:hAnsi="Arial" w:cs="Arial"/>
                <w:sz w:val="14"/>
                <w:szCs w:val="14"/>
                <w:vertAlign w:val="superscript"/>
              </w:rPr>
              <w:t>(1)</w:t>
            </w:r>
          </w:p>
        </w:tc>
        <w:tc>
          <w:tcPr>
            <w:tcW w:w="3355" w:type="dxa"/>
            <w:gridSpan w:val="4"/>
            <w:tcBorders>
              <w:top w:val="single" w:sz="2" w:space="0" w:color="1F3864" w:themeColor="accent1" w:themeShade="80"/>
              <w:bottom w:val="single" w:sz="2" w:space="0" w:color="1F3864" w:themeColor="accent1" w:themeShade="80"/>
            </w:tcBorders>
            <w:shd w:val="clear" w:color="auto" w:fill="auto"/>
            <w:vAlign w:val="center"/>
          </w:tcPr>
          <w:p w14:paraId="455A7361" w14:textId="77777777" w:rsidR="00814510" w:rsidRPr="00BF2AAF" w:rsidRDefault="00814510">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BF2AAF">
              <w:rPr>
                <w:rFonts w:ascii="Arial" w:hAnsi="Arial" w:cs="Arial"/>
                <w:sz w:val="14"/>
                <w:szCs w:val="14"/>
              </w:rPr>
              <w:t>Controlador</w:t>
            </w:r>
          </w:p>
        </w:tc>
        <w:tc>
          <w:tcPr>
            <w:tcW w:w="313" w:type="dxa"/>
            <w:tcBorders>
              <w:top w:val="single" w:sz="2" w:space="0" w:color="1F3864" w:themeColor="accent1" w:themeShade="80"/>
              <w:bottom w:val="nil"/>
            </w:tcBorders>
            <w:shd w:val="clear" w:color="auto" w:fill="auto"/>
            <w:vAlign w:val="center"/>
          </w:tcPr>
          <w:p w14:paraId="3A0932B2" w14:textId="77777777" w:rsidR="00814510" w:rsidRPr="00BF2AAF" w:rsidRDefault="00814510">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3464" w:type="dxa"/>
            <w:gridSpan w:val="4"/>
            <w:tcBorders>
              <w:top w:val="single" w:sz="2" w:space="0" w:color="1F3864" w:themeColor="accent1" w:themeShade="80"/>
              <w:bottom w:val="single" w:sz="2" w:space="0" w:color="1F3864" w:themeColor="accent1" w:themeShade="80"/>
            </w:tcBorders>
            <w:shd w:val="clear" w:color="auto" w:fill="auto"/>
            <w:vAlign w:val="center"/>
          </w:tcPr>
          <w:p w14:paraId="0DEAA412" w14:textId="77777777" w:rsidR="00814510" w:rsidRPr="00BF2AAF" w:rsidRDefault="00814510">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BF2AAF">
              <w:rPr>
                <w:rFonts w:ascii="Arial" w:hAnsi="Arial" w:cs="Arial"/>
                <w:sz w:val="14"/>
                <w:szCs w:val="14"/>
              </w:rPr>
              <w:t>Consolidado</w:t>
            </w:r>
          </w:p>
        </w:tc>
      </w:tr>
      <w:tr w:rsidR="00814510" w:rsidRPr="00BF2AAF" w14:paraId="540BA813" w14:textId="77777777" w:rsidTr="001B71FE">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507" w:type="dxa"/>
            <w:vMerge/>
            <w:tcBorders>
              <w:bottom w:val="single" w:sz="2" w:space="0" w:color="1F3864" w:themeColor="accent1" w:themeShade="80"/>
            </w:tcBorders>
            <w:shd w:val="clear" w:color="auto" w:fill="auto"/>
          </w:tcPr>
          <w:p w14:paraId="3AFEB54F" w14:textId="77777777" w:rsidR="00814510" w:rsidRPr="00BF2AAF" w:rsidRDefault="00814510">
            <w:pPr>
              <w:pStyle w:val="08-Tabelageral"/>
              <w:jc w:val="left"/>
              <w:rPr>
                <w:rFonts w:cs="Arial"/>
                <w:b w:val="0"/>
                <w:szCs w:val="14"/>
              </w:rPr>
            </w:pPr>
          </w:p>
        </w:tc>
        <w:tc>
          <w:tcPr>
            <w:tcW w:w="977" w:type="dxa"/>
            <w:tcBorders>
              <w:top w:val="single" w:sz="2" w:space="0" w:color="1F3864" w:themeColor="accent1" w:themeShade="80"/>
              <w:bottom w:val="single" w:sz="2" w:space="0" w:color="1F3864" w:themeColor="accent1" w:themeShade="80"/>
            </w:tcBorders>
            <w:shd w:val="clear" w:color="auto" w:fill="auto"/>
            <w:vAlign w:val="center"/>
          </w:tcPr>
          <w:p w14:paraId="587E7489" w14:textId="61C904AD" w:rsidR="00814510" w:rsidRPr="00BF2AAF" w:rsidRDefault="009D29EC">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9D29EC">
              <w:rPr>
                <w:rFonts w:cs="Arial"/>
                <w:b/>
              </w:rPr>
              <w:t>31.12.2024</w:t>
            </w:r>
          </w:p>
        </w:tc>
        <w:tc>
          <w:tcPr>
            <w:tcW w:w="700" w:type="dxa"/>
            <w:tcBorders>
              <w:top w:val="single" w:sz="2" w:space="0" w:color="1F3864" w:themeColor="accent1" w:themeShade="80"/>
              <w:bottom w:val="single" w:sz="2" w:space="0" w:color="1F3864" w:themeColor="accent1" w:themeShade="80"/>
            </w:tcBorders>
            <w:shd w:val="clear" w:color="auto" w:fill="auto"/>
            <w:vAlign w:val="center"/>
          </w:tcPr>
          <w:p w14:paraId="064987A3" w14:textId="77777777" w:rsidR="00814510" w:rsidRPr="00BF2AAF" w:rsidRDefault="00814510">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BF2AAF">
              <w:rPr>
                <w:rFonts w:cs="Arial"/>
                <w:b/>
                <w:szCs w:val="14"/>
              </w:rPr>
              <w:t>%</w:t>
            </w:r>
          </w:p>
        </w:tc>
        <w:tc>
          <w:tcPr>
            <w:tcW w:w="978" w:type="dxa"/>
            <w:tcBorders>
              <w:top w:val="single" w:sz="2" w:space="0" w:color="1F3864" w:themeColor="accent1" w:themeShade="80"/>
              <w:bottom w:val="single" w:sz="2" w:space="0" w:color="1F3864" w:themeColor="accent1" w:themeShade="80"/>
            </w:tcBorders>
            <w:shd w:val="clear" w:color="auto" w:fill="auto"/>
            <w:vAlign w:val="center"/>
          </w:tcPr>
          <w:p w14:paraId="4DE51FDA" w14:textId="77777777" w:rsidR="00814510" w:rsidRPr="00BF2AAF" w:rsidRDefault="00814510">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BF2AAF">
              <w:rPr>
                <w:rFonts w:cs="Arial"/>
                <w:b/>
              </w:rPr>
              <w:t>31.12</w:t>
            </w:r>
            <w:r w:rsidRPr="00BF2AAF">
              <w:rPr>
                <w:rFonts w:cs="Arial"/>
                <w:b/>
                <w:szCs w:val="14"/>
              </w:rPr>
              <w:t>.2023</w:t>
            </w:r>
          </w:p>
        </w:tc>
        <w:tc>
          <w:tcPr>
            <w:tcW w:w="700" w:type="dxa"/>
            <w:tcBorders>
              <w:top w:val="single" w:sz="2" w:space="0" w:color="1F3864" w:themeColor="accent1" w:themeShade="80"/>
              <w:bottom w:val="single" w:sz="2" w:space="0" w:color="1F3864" w:themeColor="accent1" w:themeShade="80"/>
            </w:tcBorders>
            <w:shd w:val="clear" w:color="auto" w:fill="auto"/>
            <w:vAlign w:val="center"/>
          </w:tcPr>
          <w:p w14:paraId="6A03CB67" w14:textId="77777777" w:rsidR="00814510" w:rsidRPr="00BF2AAF" w:rsidRDefault="00814510">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BF2AAF">
              <w:rPr>
                <w:rFonts w:cs="Arial"/>
                <w:b/>
                <w:szCs w:val="14"/>
              </w:rPr>
              <w:t>%</w:t>
            </w:r>
          </w:p>
        </w:tc>
        <w:tc>
          <w:tcPr>
            <w:tcW w:w="313" w:type="dxa"/>
            <w:tcBorders>
              <w:top w:val="nil"/>
              <w:bottom w:val="single" w:sz="2" w:space="0" w:color="1F3864" w:themeColor="accent1" w:themeShade="80"/>
            </w:tcBorders>
            <w:shd w:val="clear" w:color="auto" w:fill="auto"/>
            <w:vAlign w:val="center"/>
          </w:tcPr>
          <w:p w14:paraId="2E9F2D20" w14:textId="77777777" w:rsidR="00814510" w:rsidRPr="00BF2AAF" w:rsidRDefault="00814510">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1088" w:type="dxa"/>
            <w:tcBorders>
              <w:top w:val="single" w:sz="2" w:space="0" w:color="1F3864" w:themeColor="accent1" w:themeShade="80"/>
              <w:bottom w:val="single" w:sz="2" w:space="0" w:color="1F3864" w:themeColor="accent1" w:themeShade="80"/>
            </w:tcBorders>
            <w:shd w:val="clear" w:color="auto" w:fill="auto"/>
            <w:vAlign w:val="center"/>
          </w:tcPr>
          <w:p w14:paraId="2B92DE06" w14:textId="1918F06B" w:rsidR="00814510" w:rsidRPr="00BF2AAF" w:rsidRDefault="009D29EC">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9D29EC">
              <w:rPr>
                <w:rFonts w:cs="Arial"/>
                <w:b/>
              </w:rPr>
              <w:t>31.12.2024</w:t>
            </w:r>
          </w:p>
        </w:tc>
        <w:tc>
          <w:tcPr>
            <w:tcW w:w="699" w:type="dxa"/>
            <w:tcBorders>
              <w:top w:val="single" w:sz="2" w:space="0" w:color="1F3864" w:themeColor="accent1" w:themeShade="80"/>
              <w:bottom w:val="single" w:sz="2" w:space="0" w:color="1F3864" w:themeColor="accent1" w:themeShade="80"/>
            </w:tcBorders>
            <w:shd w:val="clear" w:color="auto" w:fill="auto"/>
            <w:vAlign w:val="center"/>
          </w:tcPr>
          <w:p w14:paraId="3C5C44E7" w14:textId="77777777" w:rsidR="00814510" w:rsidRPr="00BF2AAF" w:rsidRDefault="00814510">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BF2AAF">
              <w:rPr>
                <w:rFonts w:cs="Arial"/>
                <w:b/>
                <w:szCs w:val="14"/>
              </w:rPr>
              <w:t>%</w:t>
            </w:r>
          </w:p>
        </w:tc>
        <w:tc>
          <w:tcPr>
            <w:tcW w:w="979" w:type="dxa"/>
            <w:tcBorders>
              <w:top w:val="single" w:sz="2" w:space="0" w:color="1F3864" w:themeColor="accent1" w:themeShade="80"/>
              <w:bottom w:val="single" w:sz="2" w:space="0" w:color="1F3864" w:themeColor="accent1" w:themeShade="80"/>
            </w:tcBorders>
            <w:shd w:val="clear" w:color="auto" w:fill="auto"/>
            <w:vAlign w:val="center"/>
          </w:tcPr>
          <w:p w14:paraId="3ACC18A7" w14:textId="77777777" w:rsidR="00814510" w:rsidRPr="00BF2AAF" w:rsidRDefault="00814510">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BF2AAF">
              <w:rPr>
                <w:rFonts w:cs="Arial"/>
                <w:b/>
              </w:rPr>
              <w:t>31.12</w:t>
            </w:r>
            <w:r w:rsidRPr="00BF2AAF">
              <w:rPr>
                <w:rFonts w:cs="Arial"/>
                <w:b/>
                <w:szCs w:val="14"/>
              </w:rPr>
              <w:t>.2023</w:t>
            </w:r>
          </w:p>
        </w:tc>
        <w:tc>
          <w:tcPr>
            <w:tcW w:w="698" w:type="dxa"/>
            <w:tcBorders>
              <w:top w:val="single" w:sz="2" w:space="0" w:color="1F3864" w:themeColor="accent1" w:themeShade="80"/>
              <w:bottom w:val="single" w:sz="2" w:space="0" w:color="1F3864" w:themeColor="accent1" w:themeShade="80"/>
            </w:tcBorders>
            <w:shd w:val="clear" w:color="auto" w:fill="auto"/>
            <w:vAlign w:val="center"/>
          </w:tcPr>
          <w:p w14:paraId="42DA8420" w14:textId="77777777" w:rsidR="00814510" w:rsidRPr="00BF2AAF" w:rsidRDefault="00814510">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BF2AAF">
              <w:rPr>
                <w:rFonts w:cs="Arial"/>
                <w:b/>
                <w:szCs w:val="14"/>
              </w:rPr>
              <w:t>%</w:t>
            </w:r>
          </w:p>
        </w:tc>
      </w:tr>
      <w:tr w:rsidR="007B337C" w:rsidRPr="00BF2AAF" w14:paraId="2378176B" w14:textId="77777777" w:rsidTr="002115D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07" w:type="dxa"/>
            <w:tcBorders>
              <w:top w:val="single" w:sz="2" w:space="0" w:color="1F3864" w:themeColor="accent1" w:themeShade="80"/>
              <w:bottom w:val="nil"/>
            </w:tcBorders>
            <w:shd w:val="clear" w:color="auto" w:fill="auto"/>
            <w:vAlign w:val="center"/>
          </w:tcPr>
          <w:p w14:paraId="5E3BC2AF" w14:textId="77777777" w:rsidR="007B337C" w:rsidRPr="00BF2AAF" w:rsidRDefault="007B337C" w:rsidP="007B337C">
            <w:pPr>
              <w:pStyle w:val="07-Legenda"/>
              <w:ind w:left="0" w:firstLine="0"/>
              <w:jc w:val="left"/>
              <w:rPr>
                <w:rFonts w:cs="Arial"/>
                <w:b w:val="0"/>
                <w:szCs w:val="14"/>
              </w:rPr>
            </w:pPr>
            <w:r w:rsidRPr="00BF2AAF">
              <w:rPr>
                <w:rFonts w:cs="Arial"/>
                <w:b w:val="0"/>
                <w:szCs w:val="14"/>
              </w:rPr>
              <w:t>Operações compromissadas lastreadas em Títulos Públicos Federais</w:t>
            </w:r>
          </w:p>
        </w:tc>
        <w:tc>
          <w:tcPr>
            <w:tcW w:w="977" w:type="dxa"/>
            <w:tcBorders>
              <w:top w:val="single" w:sz="2" w:space="0" w:color="1F3864" w:themeColor="accent1" w:themeShade="80"/>
              <w:bottom w:val="nil"/>
            </w:tcBorders>
            <w:shd w:val="clear" w:color="auto" w:fill="auto"/>
            <w:vAlign w:val="center"/>
          </w:tcPr>
          <w:p w14:paraId="35A88EFD" w14:textId="67A59A09" w:rsidR="007B337C" w:rsidRPr="00030A08" w:rsidRDefault="007B337C" w:rsidP="007B337C">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r w:rsidRPr="00C370AB">
              <w:rPr>
                <w:rFonts w:cs="Arial"/>
                <w:szCs w:val="14"/>
              </w:rPr>
              <w:t>335.176</w:t>
            </w:r>
          </w:p>
        </w:tc>
        <w:tc>
          <w:tcPr>
            <w:tcW w:w="700" w:type="dxa"/>
            <w:tcBorders>
              <w:top w:val="single" w:sz="2" w:space="0" w:color="1F3864" w:themeColor="accent1" w:themeShade="80"/>
              <w:bottom w:val="nil"/>
            </w:tcBorders>
            <w:shd w:val="clear" w:color="auto" w:fill="auto"/>
            <w:vAlign w:val="center"/>
          </w:tcPr>
          <w:p w14:paraId="1E824A77" w14:textId="77777777" w:rsidR="007B337C" w:rsidRPr="00030A08" w:rsidRDefault="007B337C" w:rsidP="007B337C">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r w:rsidRPr="00030A08">
              <w:rPr>
                <w:rFonts w:cs="Arial"/>
              </w:rPr>
              <w:t>100,00</w:t>
            </w:r>
          </w:p>
        </w:tc>
        <w:tc>
          <w:tcPr>
            <w:tcW w:w="978" w:type="dxa"/>
            <w:tcBorders>
              <w:top w:val="single" w:sz="2" w:space="0" w:color="1F3864" w:themeColor="accent1" w:themeShade="80"/>
              <w:bottom w:val="nil"/>
            </w:tcBorders>
            <w:shd w:val="clear" w:color="auto" w:fill="auto"/>
            <w:vAlign w:val="center"/>
          </w:tcPr>
          <w:p w14:paraId="076F86CF" w14:textId="77777777" w:rsidR="007B337C" w:rsidRPr="00BF2AAF" w:rsidRDefault="007B337C" w:rsidP="007B337C">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lang w:val="en-US"/>
              </w:rPr>
            </w:pPr>
            <w:r w:rsidRPr="00BF2AAF">
              <w:rPr>
                <w:rFonts w:cs="Arial"/>
              </w:rPr>
              <w:t>644.606</w:t>
            </w:r>
          </w:p>
        </w:tc>
        <w:tc>
          <w:tcPr>
            <w:tcW w:w="700" w:type="dxa"/>
            <w:tcBorders>
              <w:top w:val="single" w:sz="2" w:space="0" w:color="1F3864" w:themeColor="accent1" w:themeShade="80"/>
              <w:bottom w:val="nil"/>
            </w:tcBorders>
            <w:shd w:val="clear" w:color="auto" w:fill="auto"/>
            <w:vAlign w:val="center"/>
          </w:tcPr>
          <w:p w14:paraId="5C9362ED" w14:textId="77777777" w:rsidR="007B337C" w:rsidRPr="00BF2AAF" w:rsidRDefault="007B337C" w:rsidP="007B337C">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lang w:val="en-US"/>
              </w:rPr>
            </w:pPr>
            <w:r w:rsidRPr="00BF2AAF">
              <w:rPr>
                <w:rFonts w:cs="Arial"/>
                <w:szCs w:val="14"/>
              </w:rPr>
              <w:t>100,00</w:t>
            </w:r>
          </w:p>
        </w:tc>
        <w:tc>
          <w:tcPr>
            <w:tcW w:w="313" w:type="dxa"/>
            <w:tcBorders>
              <w:top w:val="single" w:sz="2" w:space="0" w:color="1F3864" w:themeColor="accent1" w:themeShade="80"/>
              <w:bottom w:val="nil"/>
            </w:tcBorders>
            <w:shd w:val="clear" w:color="auto" w:fill="auto"/>
            <w:vAlign w:val="center"/>
          </w:tcPr>
          <w:p w14:paraId="1D4712FD" w14:textId="77777777" w:rsidR="007B337C" w:rsidRPr="00BF2AAF" w:rsidRDefault="007B337C" w:rsidP="007B337C">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lang w:val="en-US"/>
              </w:rPr>
            </w:pPr>
          </w:p>
        </w:tc>
        <w:tc>
          <w:tcPr>
            <w:tcW w:w="1088" w:type="dxa"/>
            <w:tcBorders>
              <w:top w:val="single" w:sz="2" w:space="0" w:color="1F3864" w:themeColor="accent1" w:themeShade="80"/>
              <w:bottom w:val="nil"/>
            </w:tcBorders>
            <w:shd w:val="clear" w:color="auto" w:fill="auto"/>
            <w:vAlign w:val="center"/>
          </w:tcPr>
          <w:p w14:paraId="4AB0352C" w14:textId="6B5D4AC3" w:rsidR="007B337C" w:rsidRPr="00BC0F1C" w:rsidRDefault="007B337C" w:rsidP="002115D4">
            <w:pPr>
              <w:pStyle w:val="07-Legenda"/>
              <w:ind w:left="0" w:firstLine="0"/>
              <w:jc w:val="right"/>
              <w:cnfStyle w:val="000000010000" w:firstRow="0" w:lastRow="0" w:firstColumn="0" w:lastColumn="0" w:oddVBand="0" w:evenVBand="0" w:oddHBand="0" w:evenHBand="1" w:firstRowFirstColumn="0" w:firstRowLastColumn="0" w:lastRowFirstColumn="0" w:lastRowLastColumn="0"/>
              <w:rPr>
                <w:rFonts w:cs="Arial"/>
                <w:szCs w:val="14"/>
                <w:highlight w:val="yellow"/>
              </w:rPr>
            </w:pPr>
            <w:r w:rsidRPr="003C7C87">
              <w:t>7.784.574</w:t>
            </w:r>
          </w:p>
        </w:tc>
        <w:tc>
          <w:tcPr>
            <w:tcW w:w="699" w:type="dxa"/>
            <w:tcBorders>
              <w:top w:val="single" w:sz="2" w:space="0" w:color="1F3864" w:themeColor="accent1" w:themeShade="80"/>
              <w:bottom w:val="nil"/>
            </w:tcBorders>
            <w:shd w:val="clear" w:color="auto" w:fill="auto"/>
            <w:vAlign w:val="center"/>
          </w:tcPr>
          <w:p w14:paraId="64F4BAD7" w14:textId="3DE12E85" w:rsidR="007B337C" w:rsidRPr="00BC0F1C" w:rsidRDefault="007B337C" w:rsidP="002115D4">
            <w:pPr>
              <w:pStyle w:val="07-Legenda"/>
              <w:ind w:left="0" w:firstLine="0"/>
              <w:jc w:val="right"/>
              <w:cnfStyle w:val="000000010000" w:firstRow="0" w:lastRow="0" w:firstColumn="0" w:lastColumn="0" w:oddVBand="0" w:evenVBand="0" w:oddHBand="0" w:evenHBand="1" w:firstRowFirstColumn="0" w:firstRowLastColumn="0" w:lastRowFirstColumn="0" w:lastRowLastColumn="0"/>
              <w:rPr>
                <w:rFonts w:cs="Arial"/>
                <w:szCs w:val="14"/>
                <w:highlight w:val="yellow"/>
                <w:lang w:val="en-US"/>
              </w:rPr>
            </w:pPr>
            <w:r w:rsidRPr="007741E5">
              <w:t>63,71</w:t>
            </w:r>
          </w:p>
        </w:tc>
        <w:tc>
          <w:tcPr>
            <w:tcW w:w="979" w:type="dxa"/>
            <w:tcBorders>
              <w:top w:val="single" w:sz="2" w:space="0" w:color="1F3864" w:themeColor="accent1" w:themeShade="80"/>
              <w:bottom w:val="nil"/>
            </w:tcBorders>
            <w:shd w:val="clear" w:color="auto" w:fill="auto"/>
            <w:vAlign w:val="center"/>
          </w:tcPr>
          <w:p w14:paraId="1BB0AC7D" w14:textId="77777777" w:rsidR="007B337C" w:rsidRPr="00BF2AAF" w:rsidRDefault="007B337C" w:rsidP="002115D4">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lang w:val="en-US"/>
              </w:rPr>
            </w:pPr>
            <w:r w:rsidRPr="00BF2AAF">
              <w:rPr>
                <w:rFonts w:cs="Arial"/>
              </w:rPr>
              <w:t>4.747.084</w:t>
            </w:r>
          </w:p>
        </w:tc>
        <w:tc>
          <w:tcPr>
            <w:tcW w:w="698" w:type="dxa"/>
            <w:tcBorders>
              <w:top w:val="single" w:sz="2" w:space="0" w:color="1F3864" w:themeColor="accent1" w:themeShade="80"/>
              <w:bottom w:val="nil"/>
            </w:tcBorders>
            <w:shd w:val="clear" w:color="auto" w:fill="auto"/>
            <w:vAlign w:val="center"/>
          </w:tcPr>
          <w:p w14:paraId="63D5FDD7" w14:textId="77777777" w:rsidR="007B337C" w:rsidRPr="00BF2AAF" w:rsidRDefault="007B337C" w:rsidP="002115D4">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lang w:val="en-US"/>
              </w:rPr>
            </w:pPr>
            <w:r w:rsidRPr="002C750D">
              <w:t>55,79</w:t>
            </w:r>
          </w:p>
        </w:tc>
      </w:tr>
      <w:tr w:rsidR="007B337C" w:rsidRPr="00BF2AAF" w14:paraId="37310CC8" w14:textId="77777777" w:rsidTr="002115D4">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07" w:type="dxa"/>
            <w:tcBorders>
              <w:top w:val="nil"/>
              <w:bottom w:val="nil"/>
            </w:tcBorders>
            <w:shd w:val="clear" w:color="auto" w:fill="auto"/>
            <w:vAlign w:val="center"/>
          </w:tcPr>
          <w:p w14:paraId="51273671" w14:textId="77777777" w:rsidR="007B337C" w:rsidRPr="00BF2AAF" w:rsidRDefault="007B337C" w:rsidP="007B337C">
            <w:pPr>
              <w:pStyle w:val="07-Legenda"/>
              <w:ind w:left="0" w:firstLine="0"/>
              <w:jc w:val="left"/>
              <w:rPr>
                <w:rFonts w:cs="Arial"/>
                <w:b w:val="0"/>
                <w:szCs w:val="14"/>
              </w:rPr>
            </w:pPr>
            <w:r w:rsidRPr="00BF2AAF">
              <w:rPr>
                <w:rFonts w:cs="Arial"/>
                <w:b w:val="0"/>
                <w:szCs w:val="14"/>
              </w:rPr>
              <w:t>Letras Financeiras do Tesouro</w:t>
            </w:r>
          </w:p>
        </w:tc>
        <w:tc>
          <w:tcPr>
            <w:tcW w:w="977" w:type="dxa"/>
            <w:tcBorders>
              <w:top w:val="nil"/>
              <w:bottom w:val="nil"/>
            </w:tcBorders>
            <w:shd w:val="clear" w:color="auto" w:fill="auto"/>
            <w:vAlign w:val="center"/>
          </w:tcPr>
          <w:p w14:paraId="68606D55" w14:textId="77777777" w:rsidR="007B337C" w:rsidRPr="00030A08" w:rsidRDefault="007B337C" w:rsidP="007B337C">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030A08">
              <w:rPr>
                <w:rFonts w:cs="Arial"/>
                <w:szCs w:val="14"/>
              </w:rPr>
              <w:t>--</w:t>
            </w:r>
          </w:p>
        </w:tc>
        <w:tc>
          <w:tcPr>
            <w:tcW w:w="700" w:type="dxa"/>
            <w:tcBorders>
              <w:top w:val="nil"/>
              <w:bottom w:val="nil"/>
            </w:tcBorders>
            <w:shd w:val="clear" w:color="auto" w:fill="auto"/>
            <w:vAlign w:val="center"/>
          </w:tcPr>
          <w:p w14:paraId="564F3F60" w14:textId="77777777" w:rsidR="007B337C" w:rsidRPr="00030A08" w:rsidRDefault="007B337C" w:rsidP="007B337C">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030A08">
              <w:rPr>
                <w:rFonts w:cs="Arial"/>
              </w:rPr>
              <w:t>--</w:t>
            </w:r>
          </w:p>
        </w:tc>
        <w:tc>
          <w:tcPr>
            <w:tcW w:w="978" w:type="dxa"/>
            <w:tcBorders>
              <w:top w:val="nil"/>
              <w:bottom w:val="nil"/>
            </w:tcBorders>
            <w:shd w:val="clear" w:color="auto" w:fill="auto"/>
            <w:vAlign w:val="center"/>
          </w:tcPr>
          <w:p w14:paraId="393F3C7D" w14:textId="77777777" w:rsidR="007B337C" w:rsidRPr="00BF2AAF" w:rsidRDefault="007B337C" w:rsidP="007B337C">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BF2AAF">
              <w:rPr>
                <w:rFonts w:cs="Arial"/>
                <w:szCs w:val="14"/>
              </w:rPr>
              <w:t>--</w:t>
            </w:r>
          </w:p>
        </w:tc>
        <w:tc>
          <w:tcPr>
            <w:tcW w:w="700" w:type="dxa"/>
            <w:tcBorders>
              <w:top w:val="nil"/>
              <w:bottom w:val="nil"/>
            </w:tcBorders>
            <w:shd w:val="clear" w:color="auto" w:fill="auto"/>
            <w:vAlign w:val="center"/>
          </w:tcPr>
          <w:p w14:paraId="4A004F7E" w14:textId="77777777" w:rsidR="007B337C" w:rsidRPr="00BF2AAF" w:rsidRDefault="007B337C" w:rsidP="007B337C">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BF2AAF">
              <w:rPr>
                <w:rFonts w:cs="Arial"/>
                <w:szCs w:val="14"/>
              </w:rPr>
              <w:t>--</w:t>
            </w:r>
          </w:p>
        </w:tc>
        <w:tc>
          <w:tcPr>
            <w:tcW w:w="313" w:type="dxa"/>
            <w:tcBorders>
              <w:top w:val="nil"/>
              <w:bottom w:val="nil"/>
            </w:tcBorders>
            <w:shd w:val="clear" w:color="auto" w:fill="auto"/>
            <w:vAlign w:val="center"/>
          </w:tcPr>
          <w:p w14:paraId="08F66493" w14:textId="77777777" w:rsidR="007B337C" w:rsidRPr="00BF2AAF" w:rsidRDefault="007B337C" w:rsidP="007B337C">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p>
        </w:tc>
        <w:tc>
          <w:tcPr>
            <w:tcW w:w="1088" w:type="dxa"/>
            <w:tcBorders>
              <w:top w:val="nil"/>
              <w:bottom w:val="nil"/>
            </w:tcBorders>
            <w:shd w:val="clear" w:color="auto" w:fill="auto"/>
            <w:vAlign w:val="center"/>
          </w:tcPr>
          <w:p w14:paraId="6F7D2009" w14:textId="1B1BFC07" w:rsidR="007B337C" w:rsidRPr="00BC0F1C" w:rsidRDefault="007B337C" w:rsidP="002115D4">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highlight w:val="yellow"/>
              </w:rPr>
            </w:pPr>
            <w:r w:rsidRPr="003C7C87">
              <w:t>1.759.011</w:t>
            </w:r>
          </w:p>
        </w:tc>
        <w:tc>
          <w:tcPr>
            <w:tcW w:w="699" w:type="dxa"/>
            <w:tcBorders>
              <w:top w:val="nil"/>
              <w:bottom w:val="nil"/>
            </w:tcBorders>
            <w:shd w:val="clear" w:color="auto" w:fill="auto"/>
            <w:vAlign w:val="center"/>
          </w:tcPr>
          <w:p w14:paraId="2E42E1CC" w14:textId="7B2C64AB" w:rsidR="007B337C" w:rsidRPr="00BC0F1C" w:rsidRDefault="007B337C" w:rsidP="002115D4">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highlight w:val="yellow"/>
              </w:rPr>
            </w:pPr>
            <w:r w:rsidRPr="007741E5">
              <w:t>14,40</w:t>
            </w:r>
          </w:p>
        </w:tc>
        <w:tc>
          <w:tcPr>
            <w:tcW w:w="979" w:type="dxa"/>
            <w:tcBorders>
              <w:top w:val="nil"/>
              <w:bottom w:val="nil"/>
            </w:tcBorders>
            <w:shd w:val="clear" w:color="auto" w:fill="auto"/>
            <w:vAlign w:val="center"/>
          </w:tcPr>
          <w:p w14:paraId="56DD1192" w14:textId="77777777" w:rsidR="007B337C" w:rsidRPr="00BF2AAF" w:rsidRDefault="007B337C" w:rsidP="002115D4">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BF2AAF">
              <w:rPr>
                <w:rFonts w:cs="Arial"/>
                <w:szCs w:val="14"/>
              </w:rPr>
              <w:t>1.586.371</w:t>
            </w:r>
          </w:p>
        </w:tc>
        <w:tc>
          <w:tcPr>
            <w:tcW w:w="698" w:type="dxa"/>
            <w:tcBorders>
              <w:top w:val="nil"/>
              <w:bottom w:val="nil"/>
            </w:tcBorders>
            <w:shd w:val="clear" w:color="auto" w:fill="auto"/>
            <w:vAlign w:val="center"/>
          </w:tcPr>
          <w:p w14:paraId="79F7EC4C" w14:textId="77777777" w:rsidR="007B337C" w:rsidRPr="00BF2AAF" w:rsidRDefault="007B337C" w:rsidP="002115D4">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2C750D">
              <w:t>18,64</w:t>
            </w:r>
          </w:p>
        </w:tc>
      </w:tr>
      <w:tr w:rsidR="007B337C" w:rsidRPr="00BF2AAF" w14:paraId="051D6704" w14:textId="77777777" w:rsidTr="002115D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07" w:type="dxa"/>
            <w:tcBorders>
              <w:top w:val="nil"/>
              <w:bottom w:val="nil"/>
            </w:tcBorders>
            <w:shd w:val="clear" w:color="auto" w:fill="auto"/>
            <w:vAlign w:val="center"/>
          </w:tcPr>
          <w:p w14:paraId="6FC42128" w14:textId="77777777" w:rsidR="007B337C" w:rsidRPr="00BF2AAF" w:rsidRDefault="007B337C" w:rsidP="007B337C">
            <w:pPr>
              <w:pStyle w:val="07-Legenda"/>
              <w:ind w:left="0" w:firstLine="0"/>
              <w:jc w:val="left"/>
              <w:rPr>
                <w:rFonts w:cs="Arial"/>
                <w:szCs w:val="14"/>
              </w:rPr>
            </w:pPr>
            <w:r w:rsidRPr="00284D21">
              <w:rPr>
                <w:rFonts w:cs="Arial"/>
                <w:b w:val="0"/>
                <w:szCs w:val="14"/>
              </w:rPr>
              <w:t>Comissões a receber</w:t>
            </w:r>
            <w:r>
              <w:rPr>
                <w:rFonts w:cs="Arial"/>
                <w:b w:val="0"/>
                <w:szCs w:val="14"/>
              </w:rPr>
              <w:t xml:space="preserve"> (a</w:t>
            </w:r>
            <w:r w:rsidRPr="00005DE0">
              <w:rPr>
                <w:rFonts w:cs="Arial"/>
                <w:b w:val="0"/>
                <w:szCs w:val="14"/>
              </w:rPr>
              <w:t>té 1 ano</w:t>
            </w:r>
            <w:r>
              <w:rPr>
                <w:rFonts w:cs="Arial"/>
                <w:b w:val="0"/>
                <w:szCs w:val="14"/>
              </w:rPr>
              <w:t>)</w:t>
            </w:r>
          </w:p>
        </w:tc>
        <w:tc>
          <w:tcPr>
            <w:tcW w:w="977" w:type="dxa"/>
            <w:tcBorders>
              <w:top w:val="nil"/>
              <w:bottom w:val="nil"/>
            </w:tcBorders>
            <w:shd w:val="clear" w:color="auto" w:fill="auto"/>
            <w:vAlign w:val="center"/>
          </w:tcPr>
          <w:p w14:paraId="5238E6D4" w14:textId="77777777" w:rsidR="007B337C" w:rsidRPr="00030A08" w:rsidRDefault="007B337C" w:rsidP="007B337C">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r w:rsidRPr="00030A08">
              <w:rPr>
                <w:rFonts w:cs="Arial"/>
                <w:szCs w:val="14"/>
              </w:rPr>
              <w:t>--</w:t>
            </w:r>
          </w:p>
        </w:tc>
        <w:tc>
          <w:tcPr>
            <w:tcW w:w="700" w:type="dxa"/>
            <w:tcBorders>
              <w:top w:val="nil"/>
              <w:bottom w:val="nil"/>
            </w:tcBorders>
            <w:shd w:val="clear" w:color="auto" w:fill="auto"/>
            <w:vAlign w:val="center"/>
          </w:tcPr>
          <w:p w14:paraId="6BFC310C" w14:textId="77777777" w:rsidR="007B337C" w:rsidRPr="00030A08" w:rsidRDefault="007B337C" w:rsidP="007B337C">
            <w:pPr>
              <w:pStyle w:val="07-Legenda"/>
              <w:jc w:val="right"/>
              <w:cnfStyle w:val="000000010000" w:firstRow="0" w:lastRow="0" w:firstColumn="0" w:lastColumn="0" w:oddVBand="0" w:evenVBand="0" w:oddHBand="0" w:evenHBand="1" w:firstRowFirstColumn="0" w:firstRowLastColumn="0" w:lastRowFirstColumn="0" w:lastRowLastColumn="0"/>
              <w:rPr>
                <w:rFonts w:cs="Arial"/>
              </w:rPr>
            </w:pPr>
            <w:r w:rsidRPr="00030A08">
              <w:rPr>
                <w:rFonts w:cs="Arial"/>
              </w:rPr>
              <w:t>--</w:t>
            </w:r>
          </w:p>
        </w:tc>
        <w:tc>
          <w:tcPr>
            <w:tcW w:w="978" w:type="dxa"/>
            <w:tcBorders>
              <w:top w:val="nil"/>
              <w:bottom w:val="nil"/>
            </w:tcBorders>
            <w:shd w:val="clear" w:color="auto" w:fill="auto"/>
            <w:vAlign w:val="center"/>
          </w:tcPr>
          <w:p w14:paraId="44F297FD" w14:textId="77777777" w:rsidR="007B337C" w:rsidRPr="00BF2AAF" w:rsidRDefault="007B337C" w:rsidP="007B337C">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r w:rsidRPr="00BF2AAF">
              <w:rPr>
                <w:rFonts w:cs="Arial"/>
                <w:szCs w:val="14"/>
              </w:rPr>
              <w:t>--</w:t>
            </w:r>
          </w:p>
        </w:tc>
        <w:tc>
          <w:tcPr>
            <w:tcW w:w="700" w:type="dxa"/>
            <w:tcBorders>
              <w:top w:val="nil"/>
              <w:bottom w:val="nil"/>
            </w:tcBorders>
            <w:shd w:val="clear" w:color="auto" w:fill="auto"/>
            <w:vAlign w:val="center"/>
          </w:tcPr>
          <w:p w14:paraId="29BD9DDA" w14:textId="77777777" w:rsidR="007B337C" w:rsidRPr="00BF2AAF" w:rsidRDefault="007B337C" w:rsidP="007B337C">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r w:rsidRPr="00BF2AAF">
              <w:rPr>
                <w:rFonts w:cs="Arial"/>
                <w:szCs w:val="14"/>
              </w:rPr>
              <w:t>--</w:t>
            </w:r>
          </w:p>
        </w:tc>
        <w:tc>
          <w:tcPr>
            <w:tcW w:w="313" w:type="dxa"/>
            <w:tcBorders>
              <w:top w:val="nil"/>
              <w:bottom w:val="nil"/>
            </w:tcBorders>
            <w:shd w:val="clear" w:color="auto" w:fill="auto"/>
            <w:vAlign w:val="center"/>
          </w:tcPr>
          <w:p w14:paraId="6A5D7EF9" w14:textId="77777777" w:rsidR="007B337C" w:rsidRPr="00BF2AAF" w:rsidRDefault="007B337C" w:rsidP="007B337C">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p>
        </w:tc>
        <w:tc>
          <w:tcPr>
            <w:tcW w:w="1088" w:type="dxa"/>
            <w:tcBorders>
              <w:top w:val="nil"/>
              <w:bottom w:val="nil"/>
            </w:tcBorders>
            <w:shd w:val="clear" w:color="auto" w:fill="auto"/>
            <w:vAlign w:val="center"/>
          </w:tcPr>
          <w:p w14:paraId="1FDCFAF0" w14:textId="72099109" w:rsidR="007B337C" w:rsidRPr="00B17C35" w:rsidRDefault="007B337C" w:rsidP="002115D4">
            <w:pPr>
              <w:pStyle w:val="07-Legenda"/>
              <w:jc w:val="right"/>
              <w:cnfStyle w:val="000000010000" w:firstRow="0" w:lastRow="0" w:firstColumn="0" w:lastColumn="0" w:oddVBand="0" w:evenVBand="0" w:oddHBand="0" w:evenHBand="1" w:firstRowFirstColumn="0" w:firstRowLastColumn="0" w:lastRowFirstColumn="0" w:lastRowLastColumn="0"/>
            </w:pPr>
            <w:r w:rsidRPr="003C7C87">
              <w:t>1.287.117</w:t>
            </w:r>
          </w:p>
        </w:tc>
        <w:tc>
          <w:tcPr>
            <w:tcW w:w="699" w:type="dxa"/>
            <w:tcBorders>
              <w:top w:val="nil"/>
              <w:bottom w:val="nil"/>
            </w:tcBorders>
            <w:shd w:val="clear" w:color="auto" w:fill="auto"/>
            <w:vAlign w:val="center"/>
          </w:tcPr>
          <w:p w14:paraId="7B9392EA" w14:textId="499EB346" w:rsidR="007B337C" w:rsidRPr="00B256F7" w:rsidRDefault="007B337C" w:rsidP="002115D4">
            <w:pPr>
              <w:pStyle w:val="07-Legenda"/>
              <w:jc w:val="right"/>
              <w:cnfStyle w:val="000000010000" w:firstRow="0" w:lastRow="0" w:firstColumn="0" w:lastColumn="0" w:oddVBand="0" w:evenVBand="0" w:oddHBand="0" w:evenHBand="1" w:firstRowFirstColumn="0" w:firstRowLastColumn="0" w:lastRowFirstColumn="0" w:lastRowLastColumn="0"/>
            </w:pPr>
            <w:r w:rsidRPr="007741E5">
              <w:t>10,53</w:t>
            </w:r>
          </w:p>
        </w:tc>
        <w:tc>
          <w:tcPr>
            <w:tcW w:w="979" w:type="dxa"/>
            <w:tcBorders>
              <w:top w:val="nil"/>
              <w:bottom w:val="nil"/>
            </w:tcBorders>
            <w:shd w:val="clear" w:color="auto" w:fill="auto"/>
            <w:vAlign w:val="center"/>
          </w:tcPr>
          <w:p w14:paraId="67781105" w14:textId="77777777" w:rsidR="007B337C" w:rsidRPr="00BF2AAF" w:rsidRDefault="007B337C" w:rsidP="002115D4">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r w:rsidRPr="009C3254">
              <w:rPr>
                <w:rFonts w:cs="Arial"/>
                <w:szCs w:val="14"/>
              </w:rPr>
              <w:t>1.128.077</w:t>
            </w:r>
          </w:p>
        </w:tc>
        <w:tc>
          <w:tcPr>
            <w:tcW w:w="698" w:type="dxa"/>
            <w:tcBorders>
              <w:top w:val="nil"/>
              <w:bottom w:val="nil"/>
            </w:tcBorders>
            <w:shd w:val="clear" w:color="auto" w:fill="auto"/>
            <w:vAlign w:val="center"/>
          </w:tcPr>
          <w:p w14:paraId="0431C9F5" w14:textId="77777777" w:rsidR="007B337C" w:rsidRPr="00BF2AAF" w:rsidRDefault="007B337C" w:rsidP="002115D4">
            <w:pPr>
              <w:pStyle w:val="07-Legenda"/>
              <w:jc w:val="right"/>
              <w:cnfStyle w:val="000000010000" w:firstRow="0" w:lastRow="0" w:firstColumn="0" w:lastColumn="0" w:oddVBand="0" w:evenVBand="0" w:oddHBand="0" w:evenHBand="1" w:firstRowFirstColumn="0" w:firstRowLastColumn="0" w:lastRowFirstColumn="0" w:lastRowLastColumn="0"/>
              <w:rPr>
                <w:rFonts w:cs="Arial"/>
              </w:rPr>
            </w:pPr>
            <w:r w:rsidRPr="002C750D">
              <w:t>13,26</w:t>
            </w:r>
          </w:p>
        </w:tc>
      </w:tr>
      <w:tr w:rsidR="007B337C" w:rsidRPr="00BF2AAF" w14:paraId="789F6F16" w14:textId="77777777" w:rsidTr="002115D4">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07" w:type="dxa"/>
            <w:tcBorders>
              <w:top w:val="nil"/>
              <w:bottom w:val="nil"/>
            </w:tcBorders>
            <w:shd w:val="clear" w:color="auto" w:fill="auto"/>
            <w:vAlign w:val="center"/>
          </w:tcPr>
          <w:p w14:paraId="5405C1F8" w14:textId="77777777" w:rsidR="007B337C" w:rsidRPr="00BF2AAF" w:rsidRDefault="007B337C" w:rsidP="007B337C">
            <w:pPr>
              <w:pStyle w:val="07-Legenda"/>
              <w:ind w:left="0" w:firstLine="0"/>
              <w:jc w:val="left"/>
              <w:rPr>
                <w:rFonts w:cs="Arial"/>
                <w:szCs w:val="14"/>
              </w:rPr>
            </w:pPr>
            <w:r w:rsidRPr="00284D21">
              <w:rPr>
                <w:rFonts w:cs="Arial"/>
                <w:b w:val="0"/>
                <w:szCs w:val="14"/>
              </w:rPr>
              <w:t>Comissões a receber</w:t>
            </w:r>
            <w:r>
              <w:rPr>
                <w:rFonts w:cs="Arial"/>
                <w:b w:val="0"/>
                <w:szCs w:val="14"/>
              </w:rPr>
              <w:t xml:space="preserve"> (m</w:t>
            </w:r>
            <w:r w:rsidRPr="00C4758E">
              <w:rPr>
                <w:rFonts w:cs="Arial"/>
                <w:b w:val="0"/>
                <w:szCs w:val="14"/>
              </w:rPr>
              <w:t>ais de 1 ano</w:t>
            </w:r>
            <w:r>
              <w:rPr>
                <w:rFonts w:cs="Arial"/>
                <w:b w:val="0"/>
                <w:szCs w:val="14"/>
              </w:rPr>
              <w:t>)</w:t>
            </w:r>
          </w:p>
        </w:tc>
        <w:tc>
          <w:tcPr>
            <w:tcW w:w="977" w:type="dxa"/>
            <w:tcBorders>
              <w:top w:val="nil"/>
              <w:bottom w:val="nil"/>
            </w:tcBorders>
            <w:shd w:val="clear" w:color="auto" w:fill="auto"/>
            <w:vAlign w:val="center"/>
          </w:tcPr>
          <w:p w14:paraId="7BEF25CD" w14:textId="77777777" w:rsidR="007B337C" w:rsidRPr="00030A08" w:rsidRDefault="007B337C" w:rsidP="007B337C">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030A08">
              <w:rPr>
                <w:rFonts w:cs="Arial"/>
                <w:szCs w:val="14"/>
              </w:rPr>
              <w:t>--</w:t>
            </w:r>
          </w:p>
        </w:tc>
        <w:tc>
          <w:tcPr>
            <w:tcW w:w="700" w:type="dxa"/>
            <w:tcBorders>
              <w:top w:val="nil"/>
              <w:bottom w:val="nil"/>
            </w:tcBorders>
            <w:shd w:val="clear" w:color="auto" w:fill="auto"/>
            <w:vAlign w:val="center"/>
          </w:tcPr>
          <w:p w14:paraId="208A1A18" w14:textId="77777777" w:rsidR="007B337C" w:rsidRPr="00030A08" w:rsidRDefault="007B337C" w:rsidP="007B337C">
            <w:pPr>
              <w:pStyle w:val="07-Legenda"/>
              <w:jc w:val="right"/>
              <w:cnfStyle w:val="000000100000" w:firstRow="0" w:lastRow="0" w:firstColumn="0" w:lastColumn="0" w:oddVBand="0" w:evenVBand="0" w:oddHBand="1" w:evenHBand="0" w:firstRowFirstColumn="0" w:firstRowLastColumn="0" w:lastRowFirstColumn="0" w:lastRowLastColumn="0"/>
              <w:rPr>
                <w:rFonts w:cs="Arial"/>
              </w:rPr>
            </w:pPr>
            <w:r w:rsidRPr="00030A08">
              <w:rPr>
                <w:rFonts w:cs="Arial"/>
              </w:rPr>
              <w:t>--</w:t>
            </w:r>
          </w:p>
        </w:tc>
        <w:tc>
          <w:tcPr>
            <w:tcW w:w="978" w:type="dxa"/>
            <w:tcBorders>
              <w:top w:val="nil"/>
              <w:bottom w:val="nil"/>
            </w:tcBorders>
            <w:shd w:val="clear" w:color="auto" w:fill="auto"/>
            <w:vAlign w:val="center"/>
          </w:tcPr>
          <w:p w14:paraId="6D17BE7E" w14:textId="77777777" w:rsidR="007B337C" w:rsidRPr="00BF2AAF" w:rsidRDefault="007B337C" w:rsidP="007B337C">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BF2AAF">
              <w:rPr>
                <w:rFonts w:cs="Arial"/>
                <w:szCs w:val="14"/>
              </w:rPr>
              <w:t>--</w:t>
            </w:r>
          </w:p>
        </w:tc>
        <w:tc>
          <w:tcPr>
            <w:tcW w:w="700" w:type="dxa"/>
            <w:tcBorders>
              <w:top w:val="nil"/>
              <w:bottom w:val="nil"/>
            </w:tcBorders>
            <w:shd w:val="clear" w:color="auto" w:fill="auto"/>
            <w:vAlign w:val="center"/>
          </w:tcPr>
          <w:p w14:paraId="42F3D552" w14:textId="77777777" w:rsidR="007B337C" w:rsidRPr="00BF2AAF" w:rsidRDefault="007B337C" w:rsidP="007B337C">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BF2AAF">
              <w:rPr>
                <w:rFonts w:cs="Arial"/>
                <w:szCs w:val="14"/>
              </w:rPr>
              <w:t>--</w:t>
            </w:r>
          </w:p>
        </w:tc>
        <w:tc>
          <w:tcPr>
            <w:tcW w:w="313" w:type="dxa"/>
            <w:tcBorders>
              <w:top w:val="nil"/>
              <w:bottom w:val="nil"/>
            </w:tcBorders>
            <w:shd w:val="clear" w:color="auto" w:fill="auto"/>
            <w:vAlign w:val="center"/>
          </w:tcPr>
          <w:p w14:paraId="1F4B73D9" w14:textId="77777777" w:rsidR="007B337C" w:rsidRPr="00BF2AAF" w:rsidRDefault="007B337C" w:rsidP="007B337C">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p>
        </w:tc>
        <w:tc>
          <w:tcPr>
            <w:tcW w:w="1088" w:type="dxa"/>
            <w:tcBorders>
              <w:top w:val="nil"/>
              <w:bottom w:val="nil"/>
            </w:tcBorders>
            <w:shd w:val="clear" w:color="auto" w:fill="auto"/>
            <w:vAlign w:val="center"/>
          </w:tcPr>
          <w:p w14:paraId="2CA80321" w14:textId="55668C61" w:rsidR="007B337C" w:rsidRPr="00B17C35" w:rsidRDefault="007B337C" w:rsidP="002115D4">
            <w:pPr>
              <w:pStyle w:val="07-Legenda"/>
              <w:jc w:val="right"/>
              <w:cnfStyle w:val="000000100000" w:firstRow="0" w:lastRow="0" w:firstColumn="0" w:lastColumn="0" w:oddVBand="0" w:evenVBand="0" w:oddHBand="1" w:evenHBand="0" w:firstRowFirstColumn="0" w:firstRowLastColumn="0" w:lastRowFirstColumn="0" w:lastRowLastColumn="0"/>
            </w:pPr>
            <w:r w:rsidRPr="003C7C87">
              <w:t>1.387.299</w:t>
            </w:r>
          </w:p>
        </w:tc>
        <w:tc>
          <w:tcPr>
            <w:tcW w:w="699" w:type="dxa"/>
            <w:tcBorders>
              <w:top w:val="nil"/>
              <w:bottom w:val="nil"/>
            </w:tcBorders>
            <w:shd w:val="clear" w:color="auto" w:fill="auto"/>
            <w:vAlign w:val="center"/>
          </w:tcPr>
          <w:p w14:paraId="448CE4C7" w14:textId="7139EC56" w:rsidR="007B337C" w:rsidRPr="00B256F7" w:rsidRDefault="007B337C" w:rsidP="002115D4">
            <w:pPr>
              <w:pStyle w:val="07-Legenda"/>
              <w:jc w:val="right"/>
              <w:cnfStyle w:val="000000100000" w:firstRow="0" w:lastRow="0" w:firstColumn="0" w:lastColumn="0" w:oddVBand="0" w:evenVBand="0" w:oddHBand="1" w:evenHBand="0" w:firstRowFirstColumn="0" w:firstRowLastColumn="0" w:lastRowFirstColumn="0" w:lastRowLastColumn="0"/>
            </w:pPr>
            <w:r w:rsidRPr="007741E5">
              <w:t>11,36</w:t>
            </w:r>
          </w:p>
        </w:tc>
        <w:tc>
          <w:tcPr>
            <w:tcW w:w="979" w:type="dxa"/>
            <w:tcBorders>
              <w:top w:val="nil"/>
              <w:bottom w:val="nil"/>
            </w:tcBorders>
            <w:shd w:val="clear" w:color="auto" w:fill="auto"/>
            <w:vAlign w:val="center"/>
          </w:tcPr>
          <w:p w14:paraId="6C316D53" w14:textId="77777777" w:rsidR="007B337C" w:rsidRPr="00BF2AAF" w:rsidRDefault="007B337C" w:rsidP="002115D4">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D7198E">
              <w:rPr>
                <w:rFonts w:cs="Arial"/>
                <w:szCs w:val="14"/>
              </w:rPr>
              <w:t>1.046.897</w:t>
            </w:r>
          </w:p>
        </w:tc>
        <w:tc>
          <w:tcPr>
            <w:tcW w:w="698" w:type="dxa"/>
            <w:tcBorders>
              <w:top w:val="nil"/>
              <w:bottom w:val="nil"/>
            </w:tcBorders>
            <w:shd w:val="clear" w:color="auto" w:fill="auto"/>
            <w:vAlign w:val="center"/>
          </w:tcPr>
          <w:p w14:paraId="3F3BEA7C" w14:textId="77777777" w:rsidR="007B337C" w:rsidRPr="00BF2AAF" w:rsidRDefault="007B337C" w:rsidP="002115D4">
            <w:pPr>
              <w:pStyle w:val="07-Legenda"/>
              <w:jc w:val="right"/>
              <w:cnfStyle w:val="000000100000" w:firstRow="0" w:lastRow="0" w:firstColumn="0" w:lastColumn="0" w:oddVBand="0" w:evenVBand="0" w:oddHBand="1" w:evenHBand="0" w:firstRowFirstColumn="0" w:firstRowLastColumn="0" w:lastRowFirstColumn="0" w:lastRowLastColumn="0"/>
              <w:rPr>
                <w:rFonts w:cs="Arial"/>
              </w:rPr>
            </w:pPr>
            <w:r w:rsidRPr="002C750D">
              <w:t>12,3</w:t>
            </w:r>
            <w:r>
              <w:t>1</w:t>
            </w:r>
          </w:p>
        </w:tc>
      </w:tr>
      <w:tr w:rsidR="001B71FE" w:rsidRPr="00BF2AAF" w14:paraId="4FA0C67F" w14:textId="77777777" w:rsidTr="002115D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07" w:type="dxa"/>
            <w:tcBorders>
              <w:top w:val="nil"/>
              <w:bottom w:val="single" w:sz="2" w:space="0" w:color="1F3864" w:themeColor="accent1" w:themeShade="80"/>
            </w:tcBorders>
            <w:shd w:val="clear" w:color="auto" w:fill="auto"/>
            <w:vAlign w:val="center"/>
          </w:tcPr>
          <w:p w14:paraId="1775893E" w14:textId="77777777" w:rsidR="001B71FE" w:rsidRPr="00BF2AAF" w:rsidRDefault="001B71FE" w:rsidP="001B71FE">
            <w:pPr>
              <w:pStyle w:val="07-Legenda"/>
              <w:jc w:val="left"/>
              <w:rPr>
                <w:rFonts w:cs="Arial"/>
                <w:i/>
                <w:szCs w:val="14"/>
                <w:lang w:val="en-US"/>
              </w:rPr>
            </w:pPr>
            <w:r w:rsidRPr="00BF2AAF">
              <w:rPr>
                <w:rFonts w:cs="Arial"/>
                <w:szCs w:val="14"/>
                <w:lang w:val="en-US"/>
              </w:rPr>
              <w:t>Total</w:t>
            </w:r>
          </w:p>
        </w:tc>
        <w:tc>
          <w:tcPr>
            <w:tcW w:w="977" w:type="dxa"/>
            <w:tcBorders>
              <w:top w:val="nil"/>
              <w:bottom w:val="single" w:sz="2" w:space="0" w:color="1F3864" w:themeColor="accent1" w:themeShade="80"/>
            </w:tcBorders>
            <w:shd w:val="clear" w:color="auto" w:fill="auto"/>
            <w:vAlign w:val="center"/>
          </w:tcPr>
          <w:p w14:paraId="131ED8E2" w14:textId="718A7891" w:rsidR="001B71FE" w:rsidRPr="00030A08" w:rsidRDefault="001B71FE" w:rsidP="001B71FE">
            <w:pPr>
              <w:pStyle w:val="07-Legenda"/>
              <w:jc w:val="right"/>
              <w:cnfStyle w:val="000000010000" w:firstRow="0" w:lastRow="0" w:firstColumn="0" w:lastColumn="0" w:oddVBand="0" w:evenVBand="0" w:oddHBand="0" w:evenHBand="1" w:firstRowFirstColumn="0" w:firstRowLastColumn="0" w:lastRowFirstColumn="0" w:lastRowLastColumn="0"/>
              <w:rPr>
                <w:rFonts w:cs="Arial"/>
                <w:b/>
                <w:bCs/>
                <w:szCs w:val="14"/>
                <w:highlight w:val="yellow"/>
              </w:rPr>
            </w:pPr>
            <w:r w:rsidRPr="00C370AB">
              <w:rPr>
                <w:b/>
                <w:bCs/>
              </w:rPr>
              <w:t>335.176</w:t>
            </w:r>
          </w:p>
        </w:tc>
        <w:tc>
          <w:tcPr>
            <w:tcW w:w="700" w:type="dxa"/>
            <w:tcBorders>
              <w:top w:val="nil"/>
              <w:bottom w:val="single" w:sz="2" w:space="0" w:color="1F3864" w:themeColor="accent1" w:themeShade="80"/>
            </w:tcBorders>
            <w:shd w:val="clear" w:color="auto" w:fill="auto"/>
            <w:vAlign w:val="center"/>
          </w:tcPr>
          <w:p w14:paraId="217302E9" w14:textId="77777777" w:rsidR="001B71FE" w:rsidRPr="00030A08" w:rsidRDefault="001B71FE" w:rsidP="001B71FE">
            <w:pPr>
              <w:pStyle w:val="07-Legenda"/>
              <w:jc w:val="right"/>
              <w:cnfStyle w:val="000000010000" w:firstRow="0" w:lastRow="0" w:firstColumn="0" w:lastColumn="0" w:oddVBand="0" w:evenVBand="0" w:oddHBand="0" w:evenHBand="1" w:firstRowFirstColumn="0" w:firstRowLastColumn="0" w:lastRowFirstColumn="0" w:lastRowLastColumn="0"/>
              <w:rPr>
                <w:rFonts w:cs="Arial"/>
                <w:b/>
                <w:bCs/>
                <w:szCs w:val="14"/>
                <w:highlight w:val="yellow"/>
              </w:rPr>
            </w:pPr>
            <w:r w:rsidRPr="00030A08">
              <w:rPr>
                <w:b/>
                <w:bCs/>
              </w:rPr>
              <w:t>100,00</w:t>
            </w:r>
          </w:p>
        </w:tc>
        <w:tc>
          <w:tcPr>
            <w:tcW w:w="978" w:type="dxa"/>
            <w:tcBorders>
              <w:top w:val="nil"/>
              <w:bottom w:val="single" w:sz="2" w:space="0" w:color="1F3864" w:themeColor="accent1" w:themeShade="80"/>
            </w:tcBorders>
            <w:shd w:val="clear" w:color="auto" w:fill="auto"/>
            <w:vAlign w:val="center"/>
          </w:tcPr>
          <w:p w14:paraId="54436FF2" w14:textId="77777777" w:rsidR="001B71FE" w:rsidRPr="00BF2AAF" w:rsidRDefault="001B71FE" w:rsidP="001B71FE">
            <w:pPr>
              <w:pStyle w:val="07-Legenda"/>
              <w:jc w:val="right"/>
              <w:cnfStyle w:val="000000010000" w:firstRow="0" w:lastRow="0" w:firstColumn="0" w:lastColumn="0" w:oddVBand="0" w:evenVBand="0" w:oddHBand="0" w:evenHBand="1" w:firstRowFirstColumn="0" w:firstRowLastColumn="0" w:lastRowFirstColumn="0" w:lastRowLastColumn="0"/>
              <w:rPr>
                <w:rFonts w:cs="Arial"/>
                <w:b/>
                <w:szCs w:val="14"/>
                <w:lang w:val="en-US"/>
              </w:rPr>
            </w:pPr>
            <w:r w:rsidRPr="00BF2AAF">
              <w:rPr>
                <w:rFonts w:cs="Arial"/>
                <w:b/>
              </w:rPr>
              <w:t>644.606</w:t>
            </w:r>
          </w:p>
        </w:tc>
        <w:tc>
          <w:tcPr>
            <w:tcW w:w="700" w:type="dxa"/>
            <w:tcBorders>
              <w:top w:val="nil"/>
              <w:bottom w:val="single" w:sz="2" w:space="0" w:color="1F3864" w:themeColor="accent1" w:themeShade="80"/>
            </w:tcBorders>
            <w:shd w:val="clear" w:color="auto" w:fill="auto"/>
            <w:vAlign w:val="center"/>
          </w:tcPr>
          <w:p w14:paraId="3A2A85CF" w14:textId="77777777" w:rsidR="001B71FE" w:rsidRPr="00BF2AAF" w:rsidRDefault="001B71FE" w:rsidP="001B71FE">
            <w:pPr>
              <w:pStyle w:val="07-Legenda"/>
              <w:jc w:val="right"/>
              <w:cnfStyle w:val="000000010000" w:firstRow="0" w:lastRow="0" w:firstColumn="0" w:lastColumn="0" w:oddVBand="0" w:evenVBand="0" w:oddHBand="0" w:evenHBand="1" w:firstRowFirstColumn="0" w:firstRowLastColumn="0" w:lastRowFirstColumn="0" w:lastRowLastColumn="0"/>
              <w:rPr>
                <w:rFonts w:cs="Arial"/>
                <w:b/>
                <w:szCs w:val="14"/>
                <w:lang w:val="en-US"/>
              </w:rPr>
            </w:pPr>
            <w:r w:rsidRPr="00BF2AAF">
              <w:rPr>
                <w:rFonts w:cs="Arial"/>
                <w:b/>
              </w:rPr>
              <w:t>100,00</w:t>
            </w:r>
          </w:p>
        </w:tc>
        <w:tc>
          <w:tcPr>
            <w:tcW w:w="313" w:type="dxa"/>
            <w:tcBorders>
              <w:top w:val="nil"/>
              <w:bottom w:val="single" w:sz="2" w:space="0" w:color="1F3864" w:themeColor="accent1" w:themeShade="80"/>
            </w:tcBorders>
            <w:shd w:val="clear" w:color="auto" w:fill="auto"/>
            <w:vAlign w:val="center"/>
          </w:tcPr>
          <w:p w14:paraId="0C5C2973" w14:textId="77777777" w:rsidR="001B71FE" w:rsidRPr="00BF2AAF" w:rsidRDefault="001B71FE" w:rsidP="001B71FE">
            <w:pPr>
              <w:pStyle w:val="07-Legenda"/>
              <w:jc w:val="right"/>
              <w:cnfStyle w:val="000000010000" w:firstRow="0" w:lastRow="0" w:firstColumn="0" w:lastColumn="0" w:oddVBand="0" w:evenVBand="0" w:oddHBand="0" w:evenHBand="1" w:firstRowFirstColumn="0" w:firstRowLastColumn="0" w:lastRowFirstColumn="0" w:lastRowLastColumn="0"/>
              <w:rPr>
                <w:rFonts w:cs="Arial"/>
                <w:b/>
                <w:szCs w:val="14"/>
                <w:lang w:val="en-US"/>
              </w:rPr>
            </w:pPr>
          </w:p>
        </w:tc>
        <w:tc>
          <w:tcPr>
            <w:tcW w:w="1088" w:type="dxa"/>
            <w:tcBorders>
              <w:top w:val="nil"/>
              <w:bottom w:val="single" w:sz="2" w:space="0" w:color="1F3864" w:themeColor="accent1" w:themeShade="80"/>
            </w:tcBorders>
            <w:shd w:val="clear" w:color="auto" w:fill="auto"/>
            <w:vAlign w:val="center"/>
          </w:tcPr>
          <w:p w14:paraId="46AECCAF" w14:textId="3F26CAD0" w:rsidR="001B71FE" w:rsidRPr="002115D4" w:rsidRDefault="001B71FE" w:rsidP="002115D4">
            <w:pPr>
              <w:pStyle w:val="07-Legenda"/>
              <w:jc w:val="right"/>
              <w:cnfStyle w:val="000000010000" w:firstRow="0" w:lastRow="0" w:firstColumn="0" w:lastColumn="0" w:oddVBand="0" w:evenVBand="0" w:oddHBand="0" w:evenHBand="1" w:firstRowFirstColumn="0" w:firstRowLastColumn="0" w:lastRowFirstColumn="0" w:lastRowLastColumn="0"/>
              <w:rPr>
                <w:rFonts w:cs="Arial"/>
                <w:b/>
                <w:bCs/>
                <w:szCs w:val="14"/>
                <w:highlight w:val="yellow"/>
                <w:lang w:val="en-US"/>
              </w:rPr>
            </w:pPr>
            <w:r w:rsidRPr="002115D4">
              <w:rPr>
                <w:b/>
                <w:bCs/>
              </w:rPr>
              <w:t>12.218.001</w:t>
            </w:r>
          </w:p>
        </w:tc>
        <w:tc>
          <w:tcPr>
            <w:tcW w:w="699" w:type="dxa"/>
            <w:tcBorders>
              <w:top w:val="nil"/>
              <w:bottom w:val="single" w:sz="2" w:space="0" w:color="1F3864" w:themeColor="accent1" w:themeShade="80"/>
            </w:tcBorders>
            <w:shd w:val="clear" w:color="auto" w:fill="auto"/>
            <w:vAlign w:val="center"/>
          </w:tcPr>
          <w:p w14:paraId="3AEF4059" w14:textId="77777777" w:rsidR="001B71FE" w:rsidRPr="00FA62AD" w:rsidRDefault="001B71FE" w:rsidP="002115D4">
            <w:pPr>
              <w:pStyle w:val="07-Legenda"/>
              <w:jc w:val="right"/>
              <w:cnfStyle w:val="000000010000" w:firstRow="0" w:lastRow="0" w:firstColumn="0" w:lastColumn="0" w:oddVBand="0" w:evenVBand="0" w:oddHBand="0" w:evenHBand="1" w:firstRowFirstColumn="0" w:firstRowLastColumn="0" w:lastRowFirstColumn="0" w:lastRowLastColumn="0"/>
              <w:rPr>
                <w:rFonts w:cs="Arial"/>
                <w:b/>
                <w:szCs w:val="14"/>
                <w:lang w:val="en-US"/>
              </w:rPr>
            </w:pPr>
            <w:r w:rsidRPr="00FA62AD">
              <w:rPr>
                <w:rFonts w:cs="Arial"/>
                <w:b/>
                <w:szCs w:val="14"/>
                <w:lang w:val="en-US"/>
              </w:rPr>
              <w:t>100,00</w:t>
            </w:r>
          </w:p>
        </w:tc>
        <w:tc>
          <w:tcPr>
            <w:tcW w:w="979" w:type="dxa"/>
            <w:tcBorders>
              <w:top w:val="nil"/>
              <w:bottom w:val="single" w:sz="2" w:space="0" w:color="1F3864" w:themeColor="accent1" w:themeShade="80"/>
            </w:tcBorders>
            <w:shd w:val="clear" w:color="auto" w:fill="auto"/>
            <w:vAlign w:val="center"/>
          </w:tcPr>
          <w:p w14:paraId="078469F5" w14:textId="77777777" w:rsidR="001B71FE" w:rsidRPr="00BF2AAF" w:rsidRDefault="001B71FE" w:rsidP="002115D4">
            <w:pPr>
              <w:pStyle w:val="07-Legenda"/>
              <w:jc w:val="right"/>
              <w:cnfStyle w:val="000000010000" w:firstRow="0" w:lastRow="0" w:firstColumn="0" w:lastColumn="0" w:oddVBand="0" w:evenVBand="0" w:oddHBand="0" w:evenHBand="1" w:firstRowFirstColumn="0" w:firstRowLastColumn="0" w:lastRowFirstColumn="0" w:lastRowLastColumn="0"/>
              <w:rPr>
                <w:rFonts w:cs="Arial"/>
                <w:b/>
                <w:szCs w:val="14"/>
                <w:lang w:val="en-US"/>
              </w:rPr>
            </w:pPr>
            <w:r>
              <w:rPr>
                <w:rFonts w:cs="Arial"/>
                <w:b/>
                <w:szCs w:val="14"/>
                <w:lang w:val="en-US"/>
              </w:rPr>
              <w:t>8.508.429</w:t>
            </w:r>
          </w:p>
        </w:tc>
        <w:tc>
          <w:tcPr>
            <w:tcW w:w="698" w:type="dxa"/>
            <w:tcBorders>
              <w:top w:val="nil"/>
              <w:bottom w:val="single" w:sz="2" w:space="0" w:color="1F3864" w:themeColor="accent1" w:themeShade="80"/>
            </w:tcBorders>
            <w:shd w:val="clear" w:color="auto" w:fill="auto"/>
            <w:vAlign w:val="center"/>
          </w:tcPr>
          <w:p w14:paraId="7DE18463" w14:textId="77777777" w:rsidR="001B71FE" w:rsidRPr="00BF2AAF" w:rsidRDefault="001B71FE" w:rsidP="002115D4">
            <w:pPr>
              <w:pStyle w:val="07-Legenda"/>
              <w:jc w:val="right"/>
              <w:cnfStyle w:val="000000010000" w:firstRow="0" w:lastRow="0" w:firstColumn="0" w:lastColumn="0" w:oddVBand="0" w:evenVBand="0" w:oddHBand="0" w:evenHBand="1" w:firstRowFirstColumn="0" w:firstRowLastColumn="0" w:lastRowFirstColumn="0" w:lastRowLastColumn="0"/>
              <w:rPr>
                <w:rFonts w:cs="Arial"/>
                <w:b/>
                <w:szCs w:val="14"/>
                <w:lang w:val="en-US"/>
              </w:rPr>
            </w:pPr>
            <w:r w:rsidRPr="00BF2AAF">
              <w:rPr>
                <w:rFonts w:cs="Arial"/>
                <w:b/>
              </w:rPr>
              <w:t>100,00</w:t>
            </w:r>
          </w:p>
        </w:tc>
      </w:tr>
    </w:tbl>
    <w:bookmarkEnd w:id="42"/>
    <w:p w14:paraId="65EBCBC7" w14:textId="72672246" w:rsidR="00814510" w:rsidRPr="00BF2AAF" w:rsidRDefault="00814510" w:rsidP="00814510">
      <w:pPr>
        <w:pStyle w:val="07-Legenda1"/>
        <w:numPr>
          <w:ilvl w:val="0"/>
          <w:numId w:val="46"/>
        </w:numPr>
        <w:tabs>
          <w:tab w:val="clear" w:pos="284"/>
        </w:tabs>
        <w:spacing w:line="240" w:lineRule="auto"/>
        <w:ind w:left="284" w:hanging="284"/>
        <w:rPr>
          <w:rFonts w:ascii="Arial" w:hAnsi="Arial" w:cs="Arial"/>
          <w:color w:val="000000" w:themeColor="text1"/>
          <w:szCs w:val="14"/>
        </w:rPr>
      </w:pPr>
      <w:r w:rsidRPr="00BF2AAF">
        <w:rPr>
          <w:rFonts w:ascii="Arial" w:hAnsi="Arial" w:cs="Arial"/>
          <w:color w:val="000000" w:themeColor="text1"/>
          <w:szCs w:val="14"/>
        </w:rPr>
        <w:t xml:space="preserve">Não inclui os valores referentes aos Fundos de Investimentos em Participações (FIP), com valor total de R$ </w:t>
      </w:r>
      <w:r w:rsidR="000F1310" w:rsidRPr="000F1310">
        <w:t>28.783</w:t>
      </w:r>
      <w:r>
        <w:rPr>
          <w:rFonts w:ascii="Arial" w:hAnsi="Arial" w:cs="Arial"/>
          <w:color w:val="000000" w:themeColor="text1"/>
          <w:szCs w:val="14"/>
        </w:rPr>
        <w:t xml:space="preserve"> </w:t>
      </w:r>
      <w:r w:rsidRPr="00BF2AAF">
        <w:rPr>
          <w:rFonts w:ascii="Arial" w:hAnsi="Arial" w:cs="Arial"/>
          <w:color w:val="000000" w:themeColor="text1"/>
          <w:szCs w:val="14"/>
        </w:rPr>
        <w:t xml:space="preserve">mil em </w:t>
      </w:r>
      <w:r w:rsidRPr="00C228BA">
        <w:rPr>
          <w:rFonts w:ascii="Arial" w:hAnsi="Arial" w:cs="Arial"/>
        </w:rPr>
        <w:t>3</w:t>
      </w:r>
      <w:r w:rsidR="000F1310">
        <w:rPr>
          <w:rFonts w:ascii="Arial" w:hAnsi="Arial" w:cs="Arial"/>
        </w:rPr>
        <w:t>1</w:t>
      </w:r>
      <w:r w:rsidRPr="00C228BA">
        <w:rPr>
          <w:rFonts w:ascii="Arial" w:hAnsi="Arial" w:cs="Arial"/>
        </w:rPr>
        <w:t>.</w:t>
      </w:r>
      <w:r w:rsidR="000F1310">
        <w:rPr>
          <w:rFonts w:ascii="Arial" w:hAnsi="Arial" w:cs="Arial"/>
        </w:rPr>
        <w:t>12</w:t>
      </w:r>
      <w:r w:rsidRPr="00C228BA">
        <w:rPr>
          <w:rFonts w:ascii="Arial" w:hAnsi="Arial" w:cs="Arial"/>
        </w:rPr>
        <w:t xml:space="preserve">.2024 </w:t>
      </w:r>
      <w:r w:rsidRPr="00BF2AAF">
        <w:rPr>
          <w:rFonts w:ascii="Arial" w:hAnsi="Arial" w:cs="Arial"/>
          <w:color w:val="000000" w:themeColor="text1"/>
          <w:szCs w:val="14"/>
        </w:rPr>
        <w:t xml:space="preserve">(R$ 21.020 </w:t>
      </w:r>
      <w:r>
        <w:rPr>
          <w:rFonts w:ascii="Arial" w:hAnsi="Arial" w:cs="Arial"/>
          <w:color w:val="000000" w:themeColor="text1"/>
          <w:szCs w:val="14"/>
        </w:rPr>
        <w:t>mil em 31.12.2023</w:t>
      </w:r>
      <w:r w:rsidRPr="00BF2AAF">
        <w:rPr>
          <w:rFonts w:ascii="Arial" w:hAnsi="Arial" w:cs="Arial"/>
          <w:color w:val="000000" w:themeColor="text1"/>
          <w:szCs w:val="14"/>
        </w:rPr>
        <w:t>).</w:t>
      </w:r>
    </w:p>
    <w:p w14:paraId="21F582BD" w14:textId="77777777" w:rsidR="00814510" w:rsidRPr="00BF2AAF" w:rsidRDefault="00814510" w:rsidP="00814510">
      <w:pPr>
        <w:pStyle w:val="06-Rmil"/>
        <w:rPr>
          <w:rFonts w:cs="Arial"/>
          <w:color w:val="000000" w:themeColor="text1"/>
        </w:rPr>
      </w:pPr>
      <w:bookmarkStart w:id="43" w:name="_Hlk94020747"/>
    </w:p>
    <w:bookmarkEnd w:id="43"/>
    <w:p w14:paraId="62A54049" w14:textId="77777777" w:rsidR="00814510" w:rsidRPr="00BF2AAF" w:rsidRDefault="00814510" w:rsidP="00E51AC2">
      <w:pPr>
        <w:pStyle w:val="05-Textonormal"/>
        <w:pageBreakBefore/>
        <w:rPr>
          <w:rFonts w:cs="Arial"/>
          <w:b/>
          <w:color w:val="1F3864" w:themeColor="accent1" w:themeShade="80"/>
        </w:rPr>
      </w:pPr>
      <w:r w:rsidRPr="00BF2AAF">
        <w:rPr>
          <w:rFonts w:cs="Arial"/>
          <w:b/>
          <w:color w:val="1F3864" w:themeColor="accent1" w:themeShade="80"/>
        </w:rPr>
        <w:lastRenderedPageBreak/>
        <w:t>a.4) Risco de liquidez e gestão de capital</w:t>
      </w:r>
    </w:p>
    <w:p w14:paraId="78A01020" w14:textId="77777777" w:rsidR="00814510" w:rsidRPr="00BF2AAF" w:rsidRDefault="00814510" w:rsidP="00814510">
      <w:pPr>
        <w:pStyle w:val="05-Textonormal"/>
        <w:rPr>
          <w:rFonts w:cs="Arial"/>
          <w:color w:val="000000" w:themeColor="text1"/>
        </w:rPr>
      </w:pPr>
      <w:r w:rsidRPr="00BF2AAF">
        <w:rPr>
          <w:rFonts w:cs="Arial"/>
          <w:color w:val="000000" w:themeColor="text1"/>
        </w:rPr>
        <w:t>O risco de liquidez é definido pelo Grupo como a possibilidade de impactos negativos devido à falta de recursos para honrar suas obrigações financeiras em função do descasamento entre ativos e passivos.</w:t>
      </w:r>
    </w:p>
    <w:p w14:paraId="2F979323" w14:textId="77777777" w:rsidR="00814510" w:rsidRPr="00BF2AAF" w:rsidRDefault="00814510" w:rsidP="00814510">
      <w:pPr>
        <w:pStyle w:val="05-Textonormal"/>
        <w:rPr>
          <w:rFonts w:cs="Arial"/>
          <w:color w:val="000000" w:themeColor="text1"/>
        </w:rPr>
      </w:pPr>
      <w:r w:rsidRPr="00BF2AAF">
        <w:rPr>
          <w:rFonts w:cs="Arial"/>
          <w:color w:val="000000" w:themeColor="text1"/>
        </w:rPr>
        <w:t>A BB Seguridade e suas controladas mantém ativos com alto grau de conversibilidade em espécie compatível com a necessidade de cobertura de passivos e outras destinações previstas para o curto prazo. Os parâmetros utilizados são definidos pela Política de Investimentos Financeiros e pelo Plano de Capital.</w:t>
      </w:r>
    </w:p>
    <w:p w14:paraId="64F474C3" w14:textId="77777777" w:rsidR="00814510" w:rsidRPr="00BF2AAF" w:rsidRDefault="00814510" w:rsidP="00814510">
      <w:pPr>
        <w:pStyle w:val="05-Textonormal"/>
        <w:rPr>
          <w:rFonts w:cs="Arial"/>
          <w:color w:val="000000" w:themeColor="text1"/>
        </w:rPr>
      </w:pPr>
      <w:r w:rsidRPr="00BF2AAF">
        <w:rPr>
          <w:rFonts w:cs="Arial"/>
          <w:color w:val="000000" w:themeColor="text1"/>
        </w:rPr>
        <w:t>O Plano de Capital, elaborado para um horizonte mínimo de três anos, apresenta os fluxos financeiros projetados da atividade operacional, como a remuneração recebida de comissões, de participações acionárias, os gastos inerentes à atividade do Grupo e os decorrentes de movimentos estratégicos, como a alocação de recursos em participações acionárias, investimentos estratégicos, desinvestimentos e alienações e considera a manutenção de margem de liquidez visando o equilíbrio financeiro em caso de eventos não previstos.</w:t>
      </w:r>
    </w:p>
    <w:p w14:paraId="11304EE2" w14:textId="37C5D189" w:rsidR="00814510" w:rsidRPr="00BF2AAF" w:rsidRDefault="00814510" w:rsidP="00814510">
      <w:pPr>
        <w:pStyle w:val="05-Textonormal"/>
        <w:rPr>
          <w:rFonts w:cs="Arial"/>
          <w:color w:val="000000" w:themeColor="text1"/>
        </w:rPr>
      </w:pPr>
      <w:r w:rsidRPr="00BF2AAF">
        <w:rPr>
          <w:rFonts w:cs="Arial"/>
          <w:color w:val="000000" w:themeColor="text1"/>
        </w:rPr>
        <w:t>Os principais passivos da BB Seguridade e suas controladas são referentes a despesas administrativas, pagamentos de tributos e</w:t>
      </w:r>
      <w:r w:rsidRPr="00BF2AAF">
        <w:rPr>
          <w:rFonts w:cs="Arial"/>
          <w:color w:val="000000" w:themeColor="text1"/>
          <w:lang w:eastAsia="en-US"/>
        </w:rPr>
        <w:t xml:space="preserve"> pagamentos de dividendos, conforme apresentado a seguir:</w:t>
      </w:r>
    </w:p>
    <w:p w14:paraId="054EF91D" w14:textId="77777777" w:rsidR="00814510" w:rsidRPr="00BF2AAF" w:rsidRDefault="00814510" w:rsidP="00814510">
      <w:pPr>
        <w:pStyle w:val="06-Rmil"/>
        <w:rPr>
          <w:rFonts w:cs="Arial"/>
          <w:color w:val="000000" w:themeColor="text1"/>
        </w:rPr>
      </w:pPr>
      <w:r w:rsidRPr="00BF2AAF">
        <w:rPr>
          <w:rFonts w:cs="Arial"/>
          <w:color w:val="000000" w:themeColor="text1"/>
        </w:rPr>
        <w:t>R$ mil</w:t>
      </w:r>
    </w:p>
    <w:tbl>
      <w:tblPr>
        <w:tblStyle w:val="TabeladeLista6Colorida-nfase5"/>
        <w:tblW w:w="9645" w:type="dxa"/>
        <w:jc w:val="center"/>
        <w:tblLayout w:type="fixed"/>
        <w:tblLook w:val="04A0" w:firstRow="1" w:lastRow="0" w:firstColumn="1" w:lastColumn="0" w:noHBand="0" w:noVBand="1"/>
      </w:tblPr>
      <w:tblGrid>
        <w:gridCol w:w="2072"/>
        <w:gridCol w:w="1465"/>
        <w:gridCol w:w="993"/>
        <w:gridCol w:w="1417"/>
        <w:gridCol w:w="1135"/>
        <w:gridCol w:w="316"/>
        <w:gridCol w:w="1106"/>
        <w:gridCol w:w="1141"/>
      </w:tblGrid>
      <w:tr w:rsidR="00814510" w:rsidRPr="00BF2AAF" w14:paraId="6860B0F0" w14:textId="77777777" w:rsidTr="008E376B">
        <w:trPr>
          <w:cnfStyle w:val="100000000000" w:firstRow="1" w:lastRow="0" w:firstColumn="0" w:lastColumn="0" w:oddVBand="0" w:evenVBand="0" w:oddHBand="0"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072" w:type="dxa"/>
            <w:tcBorders>
              <w:top w:val="single" w:sz="2" w:space="0" w:color="1F3864" w:themeColor="accent1" w:themeShade="80"/>
              <w:bottom w:val="single" w:sz="2" w:space="0" w:color="1F3864" w:themeColor="accent1" w:themeShade="80"/>
            </w:tcBorders>
            <w:shd w:val="clear" w:color="auto" w:fill="auto"/>
            <w:vAlign w:val="center"/>
          </w:tcPr>
          <w:p w14:paraId="41B78C2D" w14:textId="77777777" w:rsidR="00814510" w:rsidRPr="00BF2AAF" w:rsidRDefault="00814510">
            <w:pPr>
              <w:keepNext/>
              <w:jc w:val="center"/>
              <w:rPr>
                <w:rFonts w:ascii="Arial" w:hAnsi="Arial" w:cs="Arial"/>
                <w:sz w:val="14"/>
                <w:szCs w:val="14"/>
              </w:rPr>
            </w:pPr>
          </w:p>
        </w:tc>
        <w:tc>
          <w:tcPr>
            <w:tcW w:w="7573" w:type="dxa"/>
            <w:gridSpan w:val="7"/>
            <w:tcBorders>
              <w:top w:val="single" w:sz="2" w:space="0" w:color="1F3864" w:themeColor="accent1" w:themeShade="80"/>
              <w:bottom w:val="single" w:sz="2" w:space="0" w:color="1F3864" w:themeColor="accent1" w:themeShade="80"/>
            </w:tcBorders>
            <w:shd w:val="clear" w:color="auto" w:fill="auto"/>
            <w:vAlign w:val="center"/>
          </w:tcPr>
          <w:p w14:paraId="39896E7E" w14:textId="77777777" w:rsidR="00814510" w:rsidRPr="00BF2AAF" w:rsidRDefault="00814510" w:rsidP="008E376B">
            <w:pPr>
              <w:keepNext/>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BF2AAF">
              <w:rPr>
                <w:rFonts w:ascii="Arial" w:hAnsi="Arial" w:cs="Arial"/>
                <w:sz w:val="14"/>
                <w:szCs w:val="14"/>
              </w:rPr>
              <w:t>Controlador</w:t>
            </w:r>
          </w:p>
        </w:tc>
      </w:tr>
      <w:tr w:rsidR="00814510" w:rsidRPr="00BF2AAF" w14:paraId="7C6A2F2F" w14:textId="77777777">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37" w:type="dxa"/>
            <w:gridSpan w:val="2"/>
            <w:vMerge w:val="restart"/>
            <w:tcBorders>
              <w:top w:val="single" w:sz="2" w:space="0" w:color="1F3864" w:themeColor="accent1" w:themeShade="80"/>
              <w:bottom w:val="nil"/>
            </w:tcBorders>
            <w:shd w:val="clear" w:color="auto" w:fill="auto"/>
            <w:vAlign w:val="center"/>
          </w:tcPr>
          <w:p w14:paraId="6070C6DF" w14:textId="77777777" w:rsidR="00814510" w:rsidRPr="00BF2AAF" w:rsidRDefault="00814510">
            <w:pPr>
              <w:keepNext/>
              <w:rPr>
                <w:rFonts w:ascii="Arial" w:hAnsi="Arial" w:cs="Arial"/>
                <w:sz w:val="14"/>
                <w:szCs w:val="14"/>
              </w:rPr>
            </w:pPr>
            <w:r w:rsidRPr="00BF2AAF">
              <w:rPr>
                <w:rFonts w:ascii="Arial" w:hAnsi="Arial" w:cs="Arial"/>
                <w:sz w:val="14"/>
                <w:szCs w:val="14"/>
              </w:rPr>
              <w:t>Risco de Liquidez</w:t>
            </w:r>
          </w:p>
        </w:tc>
        <w:tc>
          <w:tcPr>
            <w:tcW w:w="993" w:type="dxa"/>
            <w:tcBorders>
              <w:top w:val="single" w:sz="2" w:space="0" w:color="1F3864" w:themeColor="accent1" w:themeShade="80"/>
              <w:bottom w:val="nil"/>
            </w:tcBorders>
            <w:shd w:val="clear" w:color="auto" w:fill="auto"/>
            <w:vAlign w:val="center"/>
          </w:tcPr>
          <w:p w14:paraId="618A3120" w14:textId="77777777" w:rsidR="00814510" w:rsidRPr="00BF2AAF" w:rsidRDefault="00814510">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p>
        </w:tc>
        <w:tc>
          <w:tcPr>
            <w:tcW w:w="2552" w:type="dxa"/>
            <w:gridSpan w:val="2"/>
            <w:tcBorders>
              <w:top w:val="single" w:sz="2" w:space="0" w:color="1F3864" w:themeColor="accent1" w:themeShade="80"/>
              <w:bottom w:val="single" w:sz="2" w:space="0" w:color="1F3864" w:themeColor="accent1" w:themeShade="80"/>
            </w:tcBorders>
            <w:shd w:val="clear" w:color="auto" w:fill="auto"/>
            <w:vAlign w:val="center"/>
          </w:tcPr>
          <w:p w14:paraId="0D8B89D8" w14:textId="6BDE5C93" w:rsidR="00814510" w:rsidRPr="00BF2AAF" w:rsidRDefault="00E72653">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E72653">
              <w:rPr>
                <w:rFonts w:ascii="Arial" w:hAnsi="Arial" w:cs="Arial"/>
                <w:b/>
                <w:sz w:val="14"/>
                <w:szCs w:val="14"/>
              </w:rPr>
              <w:t>31.12.2024</w:t>
            </w:r>
          </w:p>
        </w:tc>
        <w:tc>
          <w:tcPr>
            <w:tcW w:w="316" w:type="dxa"/>
            <w:tcBorders>
              <w:top w:val="single" w:sz="2" w:space="0" w:color="1F3864" w:themeColor="accent1" w:themeShade="80"/>
              <w:bottom w:val="nil"/>
            </w:tcBorders>
            <w:shd w:val="clear" w:color="auto" w:fill="auto"/>
            <w:vAlign w:val="center"/>
          </w:tcPr>
          <w:p w14:paraId="3D33E88E" w14:textId="77777777" w:rsidR="00814510" w:rsidRPr="00BF2AAF" w:rsidRDefault="00814510">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p>
        </w:tc>
        <w:tc>
          <w:tcPr>
            <w:tcW w:w="2247" w:type="dxa"/>
            <w:gridSpan w:val="2"/>
            <w:tcBorders>
              <w:top w:val="single" w:sz="2" w:space="0" w:color="1F3864" w:themeColor="accent1" w:themeShade="80"/>
              <w:bottom w:val="single" w:sz="2" w:space="0" w:color="1F3864" w:themeColor="accent1" w:themeShade="80"/>
            </w:tcBorders>
            <w:shd w:val="clear" w:color="auto" w:fill="auto"/>
            <w:vAlign w:val="center"/>
          </w:tcPr>
          <w:p w14:paraId="0B6D5533" w14:textId="77777777" w:rsidR="00814510" w:rsidRPr="00BF2AAF" w:rsidRDefault="00814510">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Pr>
                <w:rFonts w:ascii="Arial" w:hAnsi="Arial" w:cs="Arial"/>
                <w:b/>
                <w:sz w:val="14"/>
                <w:szCs w:val="14"/>
              </w:rPr>
              <w:t>31.12.2023</w:t>
            </w:r>
          </w:p>
        </w:tc>
      </w:tr>
      <w:tr w:rsidR="00814510" w:rsidRPr="00BF2AAF" w14:paraId="40D59EB1" w14:textId="77777777">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37" w:type="dxa"/>
            <w:gridSpan w:val="2"/>
            <w:vMerge/>
            <w:tcBorders>
              <w:top w:val="nil"/>
              <w:bottom w:val="single" w:sz="2" w:space="0" w:color="1F3864" w:themeColor="accent1" w:themeShade="80"/>
            </w:tcBorders>
            <w:shd w:val="clear" w:color="auto" w:fill="auto"/>
          </w:tcPr>
          <w:p w14:paraId="10A11DFB" w14:textId="77777777" w:rsidR="00814510" w:rsidRPr="00BF2AAF" w:rsidRDefault="00814510">
            <w:pPr>
              <w:pStyle w:val="08-Tabelageral"/>
              <w:jc w:val="left"/>
              <w:rPr>
                <w:rFonts w:cs="Arial"/>
                <w:b w:val="0"/>
                <w:szCs w:val="14"/>
              </w:rPr>
            </w:pPr>
          </w:p>
        </w:tc>
        <w:tc>
          <w:tcPr>
            <w:tcW w:w="993" w:type="dxa"/>
            <w:tcBorders>
              <w:top w:val="nil"/>
              <w:bottom w:val="single" w:sz="2" w:space="0" w:color="1F3864" w:themeColor="accent1" w:themeShade="80"/>
            </w:tcBorders>
            <w:shd w:val="clear" w:color="auto" w:fill="auto"/>
            <w:vAlign w:val="center"/>
          </w:tcPr>
          <w:p w14:paraId="1007DC0F" w14:textId="77777777" w:rsidR="00814510" w:rsidRPr="00BF2AAF" w:rsidRDefault="00814510">
            <w:pPr>
              <w:pStyle w:val="08-Tabelageral"/>
              <w:jc w:val="center"/>
              <w:cnfStyle w:val="000000010000" w:firstRow="0" w:lastRow="0" w:firstColumn="0" w:lastColumn="0" w:oddVBand="0" w:evenVBand="0" w:oddHBand="0" w:evenHBand="1" w:firstRowFirstColumn="0" w:firstRowLastColumn="0" w:lastRowFirstColumn="0" w:lastRowLastColumn="0"/>
              <w:rPr>
                <w:rFonts w:cs="Arial"/>
                <w:b/>
                <w:szCs w:val="14"/>
              </w:rPr>
            </w:pPr>
            <w:r w:rsidRPr="00BF2AAF">
              <w:rPr>
                <w:rFonts w:cs="Arial"/>
                <w:b/>
                <w:szCs w:val="14"/>
              </w:rPr>
              <w:t>Nota</w:t>
            </w:r>
          </w:p>
        </w:tc>
        <w:tc>
          <w:tcPr>
            <w:tcW w:w="1417" w:type="dxa"/>
            <w:tcBorders>
              <w:top w:val="single" w:sz="2" w:space="0" w:color="1F3864" w:themeColor="accent1" w:themeShade="80"/>
              <w:bottom w:val="single" w:sz="2" w:space="0" w:color="1F3864" w:themeColor="accent1" w:themeShade="80"/>
            </w:tcBorders>
            <w:shd w:val="clear" w:color="auto" w:fill="auto"/>
            <w:vAlign w:val="center"/>
          </w:tcPr>
          <w:p w14:paraId="1891F5EE" w14:textId="77777777" w:rsidR="00814510" w:rsidRPr="00BF2AAF" w:rsidRDefault="00814510">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BF2AAF">
              <w:rPr>
                <w:rFonts w:cs="Arial"/>
                <w:b/>
                <w:szCs w:val="14"/>
              </w:rPr>
              <w:t>Até 1 ano</w:t>
            </w:r>
          </w:p>
        </w:tc>
        <w:tc>
          <w:tcPr>
            <w:tcW w:w="1135" w:type="dxa"/>
            <w:tcBorders>
              <w:top w:val="single" w:sz="2" w:space="0" w:color="1F3864" w:themeColor="accent1" w:themeShade="80"/>
              <w:bottom w:val="single" w:sz="2" w:space="0" w:color="1F3864" w:themeColor="accent1" w:themeShade="80"/>
            </w:tcBorders>
            <w:shd w:val="clear" w:color="auto" w:fill="auto"/>
            <w:vAlign w:val="center"/>
          </w:tcPr>
          <w:p w14:paraId="32947411" w14:textId="77777777" w:rsidR="00814510" w:rsidRPr="00BF2AAF" w:rsidRDefault="00814510">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BF2AAF">
              <w:rPr>
                <w:rFonts w:cs="Arial"/>
                <w:b/>
                <w:szCs w:val="14"/>
              </w:rPr>
              <w:t>Mais de 1 ano</w:t>
            </w:r>
          </w:p>
        </w:tc>
        <w:tc>
          <w:tcPr>
            <w:tcW w:w="316" w:type="dxa"/>
            <w:tcBorders>
              <w:top w:val="nil"/>
              <w:bottom w:val="single" w:sz="2" w:space="0" w:color="1F3864" w:themeColor="accent1" w:themeShade="80"/>
            </w:tcBorders>
            <w:shd w:val="clear" w:color="auto" w:fill="auto"/>
            <w:vAlign w:val="center"/>
          </w:tcPr>
          <w:p w14:paraId="04358A65" w14:textId="77777777" w:rsidR="00814510" w:rsidRPr="00BF2AAF" w:rsidRDefault="00814510">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106" w:type="dxa"/>
            <w:tcBorders>
              <w:top w:val="single" w:sz="2" w:space="0" w:color="1F3864" w:themeColor="accent1" w:themeShade="80"/>
              <w:bottom w:val="single" w:sz="2" w:space="0" w:color="1F3864" w:themeColor="accent1" w:themeShade="80"/>
            </w:tcBorders>
            <w:shd w:val="clear" w:color="auto" w:fill="auto"/>
            <w:vAlign w:val="center"/>
          </w:tcPr>
          <w:p w14:paraId="150AEC7B" w14:textId="77777777" w:rsidR="00814510" w:rsidRPr="00BF2AAF" w:rsidRDefault="00814510">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BF2AAF">
              <w:rPr>
                <w:rFonts w:cs="Arial"/>
                <w:b/>
                <w:szCs w:val="14"/>
              </w:rPr>
              <w:t>Até 1 ano</w:t>
            </w:r>
          </w:p>
        </w:tc>
        <w:tc>
          <w:tcPr>
            <w:tcW w:w="1141" w:type="dxa"/>
            <w:tcBorders>
              <w:top w:val="single" w:sz="2" w:space="0" w:color="1F3864" w:themeColor="accent1" w:themeShade="80"/>
              <w:bottom w:val="single" w:sz="2" w:space="0" w:color="1F3864" w:themeColor="accent1" w:themeShade="80"/>
            </w:tcBorders>
            <w:shd w:val="clear" w:color="auto" w:fill="auto"/>
            <w:vAlign w:val="center"/>
          </w:tcPr>
          <w:p w14:paraId="5F1EEF77" w14:textId="77777777" w:rsidR="00814510" w:rsidRPr="00BF2AAF" w:rsidRDefault="00814510">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BF2AAF">
              <w:rPr>
                <w:rFonts w:cs="Arial"/>
                <w:b/>
                <w:szCs w:val="14"/>
              </w:rPr>
              <w:t>Mais de 1 ano</w:t>
            </w:r>
          </w:p>
        </w:tc>
      </w:tr>
      <w:tr w:rsidR="00814510" w:rsidRPr="00BF2AAF" w14:paraId="1AF1A885" w14:textId="77777777">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37" w:type="dxa"/>
            <w:gridSpan w:val="2"/>
            <w:tcBorders>
              <w:top w:val="single" w:sz="2" w:space="0" w:color="1F3864" w:themeColor="accent1" w:themeShade="80"/>
              <w:bottom w:val="nil"/>
            </w:tcBorders>
            <w:shd w:val="clear" w:color="auto" w:fill="auto"/>
            <w:vAlign w:val="center"/>
          </w:tcPr>
          <w:p w14:paraId="5E35CCCF" w14:textId="77777777" w:rsidR="00814510" w:rsidRPr="00BF2AAF" w:rsidRDefault="00814510">
            <w:pPr>
              <w:pStyle w:val="08-Tabelageral"/>
              <w:keepLines w:val="0"/>
              <w:jc w:val="left"/>
              <w:rPr>
                <w:rFonts w:cs="Arial"/>
                <w:b w:val="0"/>
                <w:szCs w:val="14"/>
              </w:rPr>
            </w:pPr>
            <w:r w:rsidRPr="00BF2AAF">
              <w:rPr>
                <w:rFonts w:cs="Arial"/>
                <w:b w:val="0"/>
                <w:szCs w:val="14"/>
              </w:rPr>
              <w:t>ATIVOS</w:t>
            </w:r>
          </w:p>
        </w:tc>
        <w:tc>
          <w:tcPr>
            <w:tcW w:w="993" w:type="dxa"/>
            <w:tcBorders>
              <w:top w:val="single" w:sz="2" w:space="0" w:color="1F3864" w:themeColor="accent1" w:themeShade="80"/>
              <w:bottom w:val="nil"/>
            </w:tcBorders>
            <w:shd w:val="clear" w:color="auto" w:fill="auto"/>
            <w:vAlign w:val="center"/>
          </w:tcPr>
          <w:p w14:paraId="50FEF93D" w14:textId="77777777" w:rsidR="00814510" w:rsidRPr="00BF2AAF" w:rsidRDefault="00814510">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p>
        </w:tc>
        <w:tc>
          <w:tcPr>
            <w:tcW w:w="1417" w:type="dxa"/>
            <w:tcBorders>
              <w:top w:val="single" w:sz="2" w:space="0" w:color="1F3864" w:themeColor="accent1" w:themeShade="80"/>
              <w:bottom w:val="nil"/>
            </w:tcBorders>
            <w:shd w:val="clear" w:color="auto" w:fill="auto"/>
            <w:vAlign w:val="center"/>
          </w:tcPr>
          <w:p w14:paraId="60AC8368" w14:textId="77777777" w:rsidR="00814510" w:rsidRPr="0083287D" w:rsidRDefault="00814510">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highlight w:val="yellow"/>
              </w:rPr>
            </w:pPr>
          </w:p>
        </w:tc>
        <w:tc>
          <w:tcPr>
            <w:tcW w:w="1135" w:type="dxa"/>
            <w:tcBorders>
              <w:top w:val="single" w:sz="2" w:space="0" w:color="1F3864" w:themeColor="accent1" w:themeShade="80"/>
              <w:bottom w:val="nil"/>
            </w:tcBorders>
            <w:shd w:val="clear" w:color="auto" w:fill="auto"/>
            <w:vAlign w:val="center"/>
          </w:tcPr>
          <w:p w14:paraId="553A1C59" w14:textId="77777777" w:rsidR="00814510" w:rsidRPr="0083287D" w:rsidRDefault="00814510">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highlight w:val="yellow"/>
              </w:rPr>
            </w:pPr>
          </w:p>
        </w:tc>
        <w:tc>
          <w:tcPr>
            <w:tcW w:w="316" w:type="dxa"/>
            <w:tcBorders>
              <w:top w:val="single" w:sz="2" w:space="0" w:color="1F3864" w:themeColor="accent1" w:themeShade="80"/>
              <w:bottom w:val="nil"/>
            </w:tcBorders>
            <w:shd w:val="clear" w:color="auto" w:fill="auto"/>
            <w:vAlign w:val="center"/>
          </w:tcPr>
          <w:p w14:paraId="315E6DEE" w14:textId="77777777" w:rsidR="00814510" w:rsidRPr="00BF2AAF" w:rsidRDefault="00814510">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p>
        </w:tc>
        <w:tc>
          <w:tcPr>
            <w:tcW w:w="1106" w:type="dxa"/>
            <w:tcBorders>
              <w:top w:val="single" w:sz="2" w:space="0" w:color="1F3864" w:themeColor="accent1" w:themeShade="80"/>
              <w:bottom w:val="nil"/>
            </w:tcBorders>
            <w:shd w:val="clear" w:color="auto" w:fill="auto"/>
            <w:vAlign w:val="center"/>
          </w:tcPr>
          <w:p w14:paraId="0EAC1702" w14:textId="77777777" w:rsidR="00814510" w:rsidRPr="00BF2AAF" w:rsidRDefault="00814510">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p>
        </w:tc>
        <w:tc>
          <w:tcPr>
            <w:tcW w:w="1141" w:type="dxa"/>
            <w:tcBorders>
              <w:top w:val="single" w:sz="2" w:space="0" w:color="1F3864" w:themeColor="accent1" w:themeShade="80"/>
              <w:bottom w:val="nil"/>
            </w:tcBorders>
            <w:shd w:val="clear" w:color="auto" w:fill="auto"/>
            <w:vAlign w:val="center"/>
          </w:tcPr>
          <w:p w14:paraId="7AFB6F81" w14:textId="77777777" w:rsidR="00814510" w:rsidRPr="00BF2AAF" w:rsidRDefault="00814510">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p>
        </w:tc>
      </w:tr>
      <w:tr w:rsidR="00814510" w:rsidRPr="009274D0" w14:paraId="26927F3C" w14:textId="77777777">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37" w:type="dxa"/>
            <w:gridSpan w:val="2"/>
            <w:tcBorders>
              <w:top w:val="nil"/>
              <w:bottom w:val="nil"/>
            </w:tcBorders>
            <w:shd w:val="clear" w:color="auto" w:fill="auto"/>
            <w:vAlign w:val="center"/>
          </w:tcPr>
          <w:p w14:paraId="43DAA526" w14:textId="77777777" w:rsidR="00814510" w:rsidRPr="009274D0" w:rsidRDefault="00814510">
            <w:pPr>
              <w:pStyle w:val="08-Tabelageral"/>
              <w:keepLines w:val="0"/>
              <w:jc w:val="left"/>
              <w:rPr>
                <w:rFonts w:cs="Arial"/>
                <w:b w:val="0"/>
                <w:szCs w:val="14"/>
              </w:rPr>
            </w:pPr>
            <w:r w:rsidRPr="009274D0">
              <w:rPr>
                <w:rFonts w:cs="Arial"/>
                <w:b w:val="0"/>
                <w:szCs w:val="14"/>
              </w:rPr>
              <w:t>Caixa e equivalentes de caixa</w:t>
            </w:r>
          </w:p>
        </w:tc>
        <w:tc>
          <w:tcPr>
            <w:tcW w:w="993" w:type="dxa"/>
            <w:tcBorders>
              <w:top w:val="nil"/>
              <w:bottom w:val="nil"/>
            </w:tcBorders>
            <w:shd w:val="clear" w:color="auto" w:fill="auto"/>
            <w:vAlign w:val="center"/>
          </w:tcPr>
          <w:p w14:paraId="35FE6A70" w14:textId="77777777" w:rsidR="00814510" w:rsidRPr="009274D0" w:rsidRDefault="00814510">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b/>
                <w:szCs w:val="14"/>
              </w:rPr>
            </w:pPr>
            <w:r w:rsidRPr="009274D0">
              <w:rPr>
                <w:rFonts w:cs="Arial"/>
                <w:szCs w:val="14"/>
              </w:rPr>
              <w:t>[15]</w:t>
            </w:r>
          </w:p>
        </w:tc>
        <w:tc>
          <w:tcPr>
            <w:tcW w:w="1417" w:type="dxa"/>
            <w:tcBorders>
              <w:top w:val="nil"/>
              <w:bottom w:val="nil"/>
            </w:tcBorders>
            <w:shd w:val="clear" w:color="auto" w:fill="auto"/>
            <w:vAlign w:val="center"/>
          </w:tcPr>
          <w:p w14:paraId="7C461709" w14:textId="4E8551DE" w:rsidR="00814510" w:rsidRPr="009274D0" w:rsidRDefault="001D27F7">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F871A8">
              <w:t>335.647</w:t>
            </w:r>
          </w:p>
        </w:tc>
        <w:tc>
          <w:tcPr>
            <w:tcW w:w="1135" w:type="dxa"/>
            <w:tcBorders>
              <w:top w:val="nil"/>
              <w:bottom w:val="nil"/>
            </w:tcBorders>
            <w:shd w:val="clear" w:color="auto" w:fill="auto"/>
            <w:vAlign w:val="center"/>
          </w:tcPr>
          <w:p w14:paraId="27EEB7FF" w14:textId="56D9600E" w:rsidR="00814510" w:rsidRPr="009274D0" w:rsidRDefault="00814510">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F871A8">
              <w:t>--</w:t>
            </w:r>
          </w:p>
        </w:tc>
        <w:tc>
          <w:tcPr>
            <w:tcW w:w="316" w:type="dxa"/>
            <w:tcBorders>
              <w:top w:val="nil"/>
              <w:bottom w:val="nil"/>
            </w:tcBorders>
            <w:shd w:val="clear" w:color="auto" w:fill="auto"/>
            <w:vAlign w:val="center"/>
          </w:tcPr>
          <w:p w14:paraId="0C1571B4" w14:textId="77777777" w:rsidR="00814510" w:rsidRPr="009274D0" w:rsidRDefault="00814510">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p>
        </w:tc>
        <w:tc>
          <w:tcPr>
            <w:tcW w:w="1106" w:type="dxa"/>
            <w:tcBorders>
              <w:top w:val="nil"/>
              <w:bottom w:val="nil"/>
            </w:tcBorders>
            <w:shd w:val="clear" w:color="auto" w:fill="auto"/>
            <w:vAlign w:val="center"/>
          </w:tcPr>
          <w:p w14:paraId="2DB7C57B" w14:textId="77777777" w:rsidR="00814510" w:rsidRPr="009274D0" w:rsidRDefault="00814510">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9274D0">
              <w:rPr>
                <w:rFonts w:cs="Arial"/>
                <w:szCs w:val="14"/>
              </w:rPr>
              <w:t>645.070</w:t>
            </w:r>
          </w:p>
        </w:tc>
        <w:tc>
          <w:tcPr>
            <w:tcW w:w="1141" w:type="dxa"/>
            <w:tcBorders>
              <w:top w:val="nil"/>
              <w:bottom w:val="nil"/>
            </w:tcBorders>
            <w:shd w:val="clear" w:color="auto" w:fill="auto"/>
            <w:vAlign w:val="center"/>
          </w:tcPr>
          <w:p w14:paraId="7E1FD745" w14:textId="77777777" w:rsidR="00814510" w:rsidRPr="009274D0" w:rsidRDefault="00814510">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9274D0">
              <w:rPr>
                <w:rFonts w:cs="Arial"/>
                <w:szCs w:val="14"/>
              </w:rPr>
              <w:t>--</w:t>
            </w:r>
          </w:p>
        </w:tc>
      </w:tr>
      <w:tr w:rsidR="00814510" w:rsidRPr="009274D0" w14:paraId="4C5324EB" w14:textId="77777777">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37" w:type="dxa"/>
            <w:gridSpan w:val="2"/>
            <w:tcBorders>
              <w:top w:val="nil"/>
              <w:bottom w:val="nil"/>
            </w:tcBorders>
            <w:shd w:val="clear" w:color="auto" w:fill="auto"/>
            <w:vAlign w:val="center"/>
          </w:tcPr>
          <w:p w14:paraId="5D27DC5D" w14:textId="77777777" w:rsidR="00814510" w:rsidRPr="009274D0" w:rsidRDefault="00814510">
            <w:pPr>
              <w:pStyle w:val="08-Tabelageral"/>
              <w:keepLines w:val="0"/>
              <w:jc w:val="left"/>
              <w:rPr>
                <w:rFonts w:cs="Arial"/>
                <w:b w:val="0"/>
                <w:szCs w:val="14"/>
              </w:rPr>
            </w:pPr>
            <w:r w:rsidRPr="009274D0">
              <w:rPr>
                <w:rFonts w:cs="Arial"/>
                <w:b w:val="0"/>
                <w:szCs w:val="14"/>
              </w:rPr>
              <w:t>Ativos financeiros ao valor justo por meio do resultado</w:t>
            </w:r>
          </w:p>
        </w:tc>
        <w:tc>
          <w:tcPr>
            <w:tcW w:w="993" w:type="dxa"/>
            <w:tcBorders>
              <w:top w:val="nil"/>
              <w:bottom w:val="nil"/>
            </w:tcBorders>
            <w:shd w:val="clear" w:color="auto" w:fill="auto"/>
            <w:vAlign w:val="center"/>
          </w:tcPr>
          <w:p w14:paraId="5D3DC522" w14:textId="77777777" w:rsidR="00814510" w:rsidRPr="009274D0" w:rsidRDefault="00814510">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r w:rsidRPr="009274D0">
              <w:rPr>
                <w:rFonts w:cs="Arial"/>
                <w:szCs w:val="14"/>
              </w:rPr>
              <w:t>[16.a]</w:t>
            </w:r>
          </w:p>
        </w:tc>
        <w:tc>
          <w:tcPr>
            <w:tcW w:w="1417" w:type="dxa"/>
            <w:tcBorders>
              <w:top w:val="nil"/>
              <w:bottom w:val="nil"/>
            </w:tcBorders>
            <w:shd w:val="clear" w:color="auto" w:fill="auto"/>
            <w:vAlign w:val="center"/>
          </w:tcPr>
          <w:p w14:paraId="25C09207" w14:textId="74169FC4" w:rsidR="00814510" w:rsidRPr="009274D0" w:rsidRDefault="00814510">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F871A8">
              <w:t>--</w:t>
            </w:r>
          </w:p>
        </w:tc>
        <w:tc>
          <w:tcPr>
            <w:tcW w:w="1135" w:type="dxa"/>
            <w:tcBorders>
              <w:top w:val="nil"/>
              <w:bottom w:val="nil"/>
            </w:tcBorders>
            <w:shd w:val="clear" w:color="auto" w:fill="auto"/>
            <w:vAlign w:val="center"/>
          </w:tcPr>
          <w:p w14:paraId="67AEE6DD" w14:textId="3DB5420C" w:rsidR="00814510" w:rsidRPr="009274D0" w:rsidRDefault="001D27F7">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F871A8">
              <w:t>28.783</w:t>
            </w:r>
          </w:p>
        </w:tc>
        <w:tc>
          <w:tcPr>
            <w:tcW w:w="316" w:type="dxa"/>
            <w:tcBorders>
              <w:top w:val="nil"/>
              <w:bottom w:val="nil"/>
            </w:tcBorders>
            <w:shd w:val="clear" w:color="auto" w:fill="auto"/>
            <w:vAlign w:val="center"/>
          </w:tcPr>
          <w:p w14:paraId="3BDBA1B3" w14:textId="77777777" w:rsidR="00814510" w:rsidRPr="009274D0" w:rsidRDefault="00814510">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p>
        </w:tc>
        <w:tc>
          <w:tcPr>
            <w:tcW w:w="1106" w:type="dxa"/>
            <w:tcBorders>
              <w:top w:val="nil"/>
              <w:bottom w:val="nil"/>
            </w:tcBorders>
            <w:shd w:val="clear" w:color="auto" w:fill="auto"/>
            <w:vAlign w:val="center"/>
          </w:tcPr>
          <w:p w14:paraId="73D71BB4" w14:textId="77777777" w:rsidR="00814510" w:rsidRPr="009274D0" w:rsidRDefault="00814510">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9274D0">
              <w:rPr>
                <w:rFonts w:cs="Arial"/>
                <w:szCs w:val="14"/>
              </w:rPr>
              <w:t>--</w:t>
            </w:r>
          </w:p>
        </w:tc>
        <w:tc>
          <w:tcPr>
            <w:tcW w:w="1141" w:type="dxa"/>
            <w:tcBorders>
              <w:top w:val="nil"/>
              <w:bottom w:val="nil"/>
            </w:tcBorders>
            <w:shd w:val="clear" w:color="auto" w:fill="auto"/>
            <w:vAlign w:val="center"/>
          </w:tcPr>
          <w:p w14:paraId="1E4EB3C4" w14:textId="77777777" w:rsidR="00814510" w:rsidRPr="009274D0" w:rsidRDefault="00814510">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r w:rsidRPr="009274D0">
              <w:rPr>
                <w:rFonts w:cs="Arial"/>
                <w:szCs w:val="14"/>
              </w:rPr>
              <w:t>21.020</w:t>
            </w:r>
          </w:p>
        </w:tc>
      </w:tr>
      <w:tr w:rsidR="00814510" w:rsidRPr="00BF2AAF" w14:paraId="711DDEB4" w14:textId="77777777">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37" w:type="dxa"/>
            <w:gridSpan w:val="2"/>
            <w:tcBorders>
              <w:top w:val="nil"/>
              <w:bottom w:val="nil"/>
            </w:tcBorders>
            <w:shd w:val="clear" w:color="auto" w:fill="auto"/>
            <w:vAlign w:val="center"/>
          </w:tcPr>
          <w:p w14:paraId="2CBC267C" w14:textId="77777777" w:rsidR="00814510" w:rsidRPr="009274D0" w:rsidRDefault="00814510">
            <w:pPr>
              <w:pStyle w:val="08-Tabelageral"/>
              <w:keepLines w:val="0"/>
              <w:jc w:val="left"/>
              <w:rPr>
                <w:rFonts w:cs="Arial"/>
                <w:b w:val="0"/>
                <w:szCs w:val="14"/>
              </w:rPr>
            </w:pPr>
            <w:r w:rsidRPr="009274D0">
              <w:rPr>
                <w:rFonts w:cs="Arial"/>
                <w:b w:val="0"/>
                <w:szCs w:val="14"/>
              </w:rPr>
              <w:t>Dividendos/JCP a receber</w:t>
            </w:r>
          </w:p>
        </w:tc>
        <w:tc>
          <w:tcPr>
            <w:tcW w:w="993" w:type="dxa"/>
            <w:tcBorders>
              <w:top w:val="nil"/>
              <w:bottom w:val="nil"/>
            </w:tcBorders>
            <w:shd w:val="clear" w:color="auto" w:fill="auto"/>
            <w:vAlign w:val="center"/>
          </w:tcPr>
          <w:p w14:paraId="491D3817" w14:textId="77777777" w:rsidR="00814510" w:rsidRPr="009274D0" w:rsidRDefault="00814510">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b/>
                <w:szCs w:val="14"/>
              </w:rPr>
            </w:pPr>
            <w:r w:rsidRPr="009274D0">
              <w:rPr>
                <w:rFonts w:cs="Arial"/>
                <w:szCs w:val="14"/>
              </w:rPr>
              <w:t>[17]</w:t>
            </w:r>
          </w:p>
        </w:tc>
        <w:tc>
          <w:tcPr>
            <w:tcW w:w="1417" w:type="dxa"/>
            <w:tcBorders>
              <w:top w:val="nil"/>
              <w:bottom w:val="nil"/>
            </w:tcBorders>
            <w:shd w:val="clear" w:color="auto" w:fill="auto"/>
            <w:vAlign w:val="center"/>
          </w:tcPr>
          <w:p w14:paraId="00FDAA6B" w14:textId="083131DA" w:rsidR="00814510" w:rsidRPr="009274D0" w:rsidRDefault="001D27F7">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F871A8">
              <w:t>4.145.40</w:t>
            </w:r>
            <w:r w:rsidR="00E02B37">
              <w:t>2</w:t>
            </w:r>
          </w:p>
        </w:tc>
        <w:tc>
          <w:tcPr>
            <w:tcW w:w="1135" w:type="dxa"/>
            <w:tcBorders>
              <w:top w:val="nil"/>
              <w:bottom w:val="nil"/>
            </w:tcBorders>
            <w:shd w:val="clear" w:color="auto" w:fill="auto"/>
            <w:vAlign w:val="center"/>
          </w:tcPr>
          <w:p w14:paraId="1E7F791B" w14:textId="19C6DAE7" w:rsidR="00814510" w:rsidRPr="009274D0" w:rsidRDefault="00814510">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F871A8">
              <w:t>--</w:t>
            </w:r>
          </w:p>
        </w:tc>
        <w:tc>
          <w:tcPr>
            <w:tcW w:w="316" w:type="dxa"/>
            <w:tcBorders>
              <w:top w:val="nil"/>
              <w:bottom w:val="nil"/>
            </w:tcBorders>
            <w:shd w:val="clear" w:color="auto" w:fill="auto"/>
            <w:vAlign w:val="center"/>
          </w:tcPr>
          <w:p w14:paraId="1B55B70F" w14:textId="77777777" w:rsidR="00814510" w:rsidRPr="009274D0" w:rsidRDefault="00814510">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p>
        </w:tc>
        <w:tc>
          <w:tcPr>
            <w:tcW w:w="1106" w:type="dxa"/>
            <w:tcBorders>
              <w:top w:val="nil"/>
              <w:bottom w:val="nil"/>
            </w:tcBorders>
            <w:shd w:val="clear" w:color="auto" w:fill="auto"/>
            <w:vAlign w:val="center"/>
          </w:tcPr>
          <w:p w14:paraId="425C8CE8" w14:textId="77777777" w:rsidR="00814510" w:rsidRPr="009274D0" w:rsidRDefault="00814510">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9274D0">
              <w:rPr>
                <w:rFonts w:cs="Arial"/>
                <w:szCs w:val="14"/>
              </w:rPr>
              <w:t>2.362.126</w:t>
            </w:r>
          </w:p>
        </w:tc>
        <w:tc>
          <w:tcPr>
            <w:tcW w:w="1141" w:type="dxa"/>
            <w:tcBorders>
              <w:top w:val="nil"/>
              <w:bottom w:val="nil"/>
            </w:tcBorders>
            <w:shd w:val="clear" w:color="auto" w:fill="auto"/>
            <w:vAlign w:val="center"/>
          </w:tcPr>
          <w:p w14:paraId="7396894A" w14:textId="77777777" w:rsidR="00814510" w:rsidRPr="00BF2AAF" w:rsidRDefault="00814510">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9274D0">
              <w:rPr>
                <w:rFonts w:cs="Arial"/>
                <w:szCs w:val="14"/>
              </w:rPr>
              <w:t>--</w:t>
            </w:r>
          </w:p>
        </w:tc>
      </w:tr>
      <w:tr w:rsidR="00814510" w:rsidRPr="00BF2AAF" w14:paraId="5712432F" w14:textId="77777777">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37" w:type="dxa"/>
            <w:gridSpan w:val="2"/>
            <w:tcBorders>
              <w:top w:val="nil"/>
              <w:bottom w:val="nil"/>
            </w:tcBorders>
            <w:shd w:val="clear" w:color="auto" w:fill="auto"/>
            <w:vAlign w:val="center"/>
          </w:tcPr>
          <w:p w14:paraId="21F5A54A" w14:textId="77777777" w:rsidR="00814510" w:rsidRPr="00BF2AAF" w:rsidRDefault="00814510">
            <w:pPr>
              <w:pStyle w:val="08-Tabelageral"/>
              <w:jc w:val="left"/>
              <w:rPr>
                <w:rFonts w:cs="Arial"/>
                <w:b w:val="0"/>
                <w:szCs w:val="14"/>
              </w:rPr>
            </w:pPr>
          </w:p>
        </w:tc>
        <w:tc>
          <w:tcPr>
            <w:tcW w:w="993" w:type="dxa"/>
            <w:tcBorders>
              <w:top w:val="nil"/>
              <w:bottom w:val="nil"/>
            </w:tcBorders>
            <w:shd w:val="clear" w:color="auto" w:fill="auto"/>
            <w:vAlign w:val="center"/>
          </w:tcPr>
          <w:p w14:paraId="67D2D222" w14:textId="77777777" w:rsidR="00814510" w:rsidRPr="00BF2AAF" w:rsidRDefault="00814510">
            <w:pPr>
              <w:pStyle w:val="07-Legenda"/>
              <w:keepNext/>
              <w:jc w:val="center"/>
              <w:cnfStyle w:val="000000100000" w:firstRow="0" w:lastRow="0" w:firstColumn="0" w:lastColumn="0" w:oddVBand="0" w:evenVBand="0" w:oddHBand="1" w:evenHBand="0" w:firstRowFirstColumn="0" w:firstRowLastColumn="0" w:lastRowFirstColumn="0" w:lastRowLastColumn="0"/>
              <w:rPr>
                <w:rFonts w:cs="Arial"/>
                <w:szCs w:val="14"/>
              </w:rPr>
            </w:pPr>
          </w:p>
        </w:tc>
        <w:tc>
          <w:tcPr>
            <w:tcW w:w="1417" w:type="dxa"/>
            <w:tcBorders>
              <w:top w:val="nil"/>
              <w:bottom w:val="nil"/>
            </w:tcBorders>
            <w:shd w:val="clear" w:color="auto" w:fill="auto"/>
            <w:vAlign w:val="center"/>
          </w:tcPr>
          <w:p w14:paraId="1DD462C8" w14:textId="77777777" w:rsidR="00814510" w:rsidRPr="0083287D" w:rsidRDefault="00814510">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highlight w:val="yellow"/>
              </w:rPr>
            </w:pPr>
          </w:p>
        </w:tc>
        <w:tc>
          <w:tcPr>
            <w:tcW w:w="1135" w:type="dxa"/>
            <w:tcBorders>
              <w:top w:val="nil"/>
              <w:bottom w:val="nil"/>
            </w:tcBorders>
            <w:shd w:val="clear" w:color="auto" w:fill="auto"/>
            <w:vAlign w:val="center"/>
          </w:tcPr>
          <w:p w14:paraId="77DE52DE" w14:textId="77777777" w:rsidR="00814510" w:rsidRPr="0083287D" w:rsidRDefault="00814510">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highlight w:val="yellow"/>
              </w:rPr>
            </w:pPr>
          </w:p>
        </w:tc>
        <w:tc>
          <w:tcPr>
            <w:tcW w:w="316" w:type="dxa"/>
            <w:tcBorders>
              <w:top w:val="nil"/>
              <w:bottom w:val="nil"/>
            </w:tcBorders>
            <w:shd w:val="clear" w:color="auto" w:fill="auto"/>
            <w:vAlign w:val="center"/>
          </w:tcPr>
          <w:p w14:paraId="271E020A" w14:textId="77777777" w:rsidR="00814510" w:rsidRPr="00BF2AAF" w:rsidRDefault="00814510">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p>
        </w:tc>
        <w:tc>
          <w:tcPr>
            <w:tcW w:w="1106" w:type="dxa"/>
            <w:tcBorders>
              <w:top w:val="nil"/>
              <w:bottom w:val="nil"/>
            </w:tcBorders>
            <w:shd w:val="clear" w:color="auto" w:fill="auto"/>
            <w:vAlign w:val="center"/>
          </w:tcPr>
          <w:p w14:paraId="454108FB" w14:textId="77777777" w:rsidR="00814510" w:rsidRPr="00BF2AAF" w:rsidRDefault="00814510">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p>
        </w:tc>
        <w:tc>
          <w:tcPr>
            <w:tcW w:w="1141" w:type="dxa"/>
            <w:tcBorders>
              <w:top w:val="nil"/>
              <w:bottom w:val="nil"/>
            </w:tcBorders>
            <w:shd w:val="clear" w:color="auto" w:fill="auto"/>
            <w:vAlign w:val="center"/>
          </w:tcPr>
          <w:p w14:paraId="6B026CBB" w14:textId="77777777" w:rsidR="00814510" w:rsidRPr="00BF2AAF" w:rsidRDefault="00814510">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p>
        </w:tc>
      </w:tr>
      <w:tr w:rsidR="00814510" w:rsidRPr="00BF2AAF" w14:paraId="73A32287" w14:textId="77777777">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37" w:type="dxa"/>
            <w:gridSpan w:val="2"/>
            <w:tcBorders>
              <w:top w:val="nil"/>
              <w:bottom w:val="nil"/>
            </w:tcBorders>
            <w:shd w:val="clear" w:color="auto" w:fill="auto"/>
            <w:vAlign w:val="center"/>
          </w:tcPr>
          <w:p w14:paraId="72A848A6" w14:textId="77777777" w:rsidR="00814510" w:rsidRPr="00BF2AAF" w:rsidRDefault="00814510">
            <w:pPr>
              <w:pStyle w:val="08-Tabelageral"/>
              <w:keepLines w:val="0"/>
              <w:jc w:val="left"/>
              <w:rPr>
                <w:rFonts w:cs="Arial"/>
                <w:b w:val="0"/>
                <w:szCs w:val="14"/>
              </w:rPr>
            </w:pPr>
            <w:r w:rsidRPr="00BF2AAF">
              <w:rPr>
                <w:rFonts w:cs="Arial"/>
                <w:b w:val="0"/>
                <w:szCs w:val="14"/>
              </w:rPr>
              <w:t>PASSIVOS</w:t>
            </w:r>
          </w:p>
        </w:tc>
        <w:tc>
          <w:tcPr>
            <w:tcW w:w="993" w:type="dxa"/>
            <w:tcBorders>
              <w:top w:val="nil"/>
              <w:bottom w:val="nil"/>
            </w:tcBorders>
            <w:shd w:val="clear" w:color="auto" w:fill="auto"/>
            <w:vAlign w:val="center"/>
          </w:tcPr>
          <w:p w14:paraId="3CF7FBB2" w14:textId="77777777" w:rsidR="00814510" w:rsidRPr="00BF2AAF" w:rsidRDefault="00814510">
            <w:pPr>
              <w:pStyle w:val="07-Legenda"/>
              <w:keepNext/>
              <w:jc w:val="center"/>
              <w:cnfStyle w:val="000000010000" w:firstRow="0" w:lastRow="0" w:firstColumn="0" w:lastColumn="0" w:oddVBand="0" w:evenVBand="0" w:oddHBand="0" w:evenHBand="1" w:firstRowFirstColumn="0" w:firstRowLastColumn="0" w:lastRowFirstColumn="0" w:lastRowLastColumn="0"/>
              <w:rPr>
                <w:rFonts w:cs="Arial"/>
                <w:szCs w:val="14"/>
              </w:rPr>
            </w:pPr>
          </w:p>
        </w:tc>
        <w:tc>
          <w:tcPr>
            <w:tcW w:w="1417" w:type="dxa"/>
            <w:tcBorders>
              <w:top w:val="nil"/>
              <w:bottom w:val="nil"/>
            </w:tcBorders>
            <w:shd w:val="clear" w:color="auto" w:fill="auto"/>
            <w:vAlign w:val="center"/>
          </w:tcPr>
          <w:p w14:paraId="107FAB04" w14:textId="77777777" w:rsidR="00814510" w:rsidRPr="0083287D" w:rsidRDefault="00814510">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highlight w:val="yellow"/>
              </w:rPr>
            </w:pPr>
          </w:p>
        </w:tc>
        <w:tc>
          <w:tcPr>
            <w:tcW w:w="1135" w:type="dxa"/>
            <w:tcBorders>
              <w:top w:val="nil"/>
              <w:bottom w:val="nil"/>
            </w:tcBorders>
            <w:shd w:val="clear" w:color="auto" w:fill="auto"/>
            <w:vAlign w:val="center"/>
          </w:tcPr>
          <w:p w14:paraId="0CD079A5" w14:textId="77777777" w:rsidR="00814510" w:rsidRPr="0083287D" w:rsidRDefault="00814510">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highlight w:val="yellow"/>
              </w:rPr>
            </w:pPr>
          </w:p>
        </w:tc>
        <w:tc>
          <w:tcPr>
            <w:tcW w:w="316" w:type="dxa"/>
            <w:tcBorders>
              <w:top w:val="nil"/>
              <w:bottom w:val="nil"/>
            </w:tcBorders>
            <w:shd w:val="clear" w:color="auto" w:fill="auto"/>
            <w:vAlign w:val="center"/>
          </w:tcPr>
          <w:p w14:paraId="34D76378" w14:textId="77777777" w:rsidR="00814510" w:rsidRPr="00BF2AAF" w:rsidRDefault="00814510">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p>
        </w:tc>
        <w:tc>
          <w:tcPr>
            <w:tcW w:w="1106" w:type="dxa"/>
            <w:tcBorders>
              <w:top w:val="nil"/>
              <w:bottom w:val="nil"/>
            </w:tcBorders>
            <w:shd w:val="clear" w:color="auto" w:fill="auto"/>
            <w:vAlign w:val="center"/>
          </w:tcPr>
          <w:p w14:paraId="460FB2BB" w14:textId="77777777" w:rsidR="00814510" w:rsidRPr="00BF2AAF" w:rsidRDefault="00814510">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p>
        </w:tc>
        <w:tc>
          <w:tcPr>
            <w:tcW w:w="1141" w:type="dxa"/>
            <w:tcBorders>
              <w:top w:val="nil"/>
              <w:bottom w:val="nil"/>
            </w:tcBorders>
            <w:shd w:val="clear" w:color="auto" w:fill="auto"/>
            <w:vAlign w:val="center"/>
          </w:tcPr>
          <w:p w14:paraId="63489C5A" w14:textId="77777777" w:rsidR="00814510" w:rsidRPr="00BF2AAF" w:rsidRDefault="00814510">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p>
        </w:tc>
      </w:tr>
      <w:tr w:rsidR="00814510" w:rsidRPr="00D96FC1" w14:paraId="4BA8509D" w14:textId="77777777">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37" w:type="dxa"/>
            <w:gridSpan w:val="2"/>
            <w:tcBorders>
              <w:top w:val="nil"/>
              <w:bottom w:val="nil"/>
            </w:tcBorders>
            <w:shd w:val="clear" w:color="auto" w:fill="auto"/>
            <w:vAlign w:val="center"/>
          </w:tcPr>
          <w:p w14:paraId="54707C38" w14:textId="77777777" w:rsidR="00814510" w:rsidRPr="00D96FC1" w:rsidRDefault="00814510">
            <w:pPr>
              <w:pStyle w:val="08-Tabelageral"/>
              <w:jc w:val="left"/>
              <w:rPr>
                <w:rFonts w:cs="Arial"/>
                <w:b w:val="0"/>
                <w:szCs w:val="14"/>
              </w:rPr>
            </w:pPr>
            <w:r w:rsidRPr="00D96FC1">
              <w:rPr>
                <w:rFonts w:cs="Arial"/>
                <w:b w:val="0"/>
                <w:szCs w:val="14"/>
              </w:rPr>
              <w:t>Obrigações societárias e estatutárias</w:t>
            </w:r>
          </w:p>
        </w:tc>
        <w:tc>
          <w:tcPr>
            <w:tcW w:w="993" w:type="dxa"/>
            <w:tcBorders>
              <w:top w:val="nil"/>
              <w:bottom w:val="nil"/>
            </w:tcBorders>
            <w:shd w:val="clear" w:color="auto" w:fill="auto"/>
            <w:vAlign w:val="center"/>
          </w:tcPr>
          <w:p w14:paraId="7A5A4ED3" w14:textId="77777777" w:rsidR="00814510" w:rsidRPr="00D96FC1" w:rsidRDefault="00814510">
            <w:pPr>
              <w:pStyle w:val="07-Legenda"/>
              <w:keepNext/>
              <w:jc w:val="center"/>
              <w:cnfStyle w:val="000000100000" w:firstRow="0" w:lastRow="0" w:firstColumn="0" w:lastColumn="0" w:oddVBand="0" w:evenVBand="0" w:oddHBand="1" w:evenHBand="0" w:firstRowFirstColumn="0" w:firstRowLastColumn="0" w:lastRowFirstColumn="0" w:lastRowLastColumn="0"/>
              <w:rPr>
                <w:rFonts w:cs="Arial"/>
                <w:szCs w:val="14"/>
              </w:rPr>
            </w:pPr>
            <w:r w:rsidRPr="00D96FC1">
              <w:rPr>
                <w:rFonts w:cs="Arial"/>
                <w:szCs w:val="14"/>
              </w:rPr>
              <w:t>[21]</w:t>
            </w:r>
          </w:p>
        </w:tc>
        <w:tc>
          <w:tcPr>
            <w:tcW w:w="1417" w:type="dxa"/>
            <w:tcBorders>
              <w:top w:val="nil"/>
              <w:bottom w:val="nil"/>
            </w:tcBorders>
            <w:shd w:val="clear" w:color="auto" w:fill="auto"/>
            <w:vAlign w:val="center"/>
          </w:tcPr>
          <w:p w14:paraId="758EF6BA" w14:textId="6133A695" w:rsidR="00814510" w:rsidRPr="00D96FC1" w:rsidRDefault="00FE3050">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0B3642">
              <w:t>4.411.346</w:t>
            </w:r>
          </w:p>
        </w:tc>
        <w:tc>
          <w:tcPr>
            <w:tcW w:w="1135" w:type="dxa"/>
            <w:tcBorders>
              <w:top w:val="nil"/>
              <w:bottom w:val="nil"/>
            </w:tcBorders>
            <w:shd w:val="clear" w:color="auto" w:fill="auto"/>
            <w:vAlign w:val="center"/>
          </w:tcPr>
          <w:p w14:paraId="089C2400" w14:textId="77777777" w:rsidR="00814510" w:rsidRPr="00D96FC1" w:rsidRDefault="00814510">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D96FC1">
              <w:rPr>
                <w:rFonts w:cs="Arial"/>
                <w:szCs w:val="14"/>
              </w:rPr>
              <w:t>--</w:t>
            </w:r>
          </w:p>
        </w:tc>
        <w:tc>
          <w:tcPr>
            <w:tcW w:w="316" w:type="dxa"/>
            <w:tcBorders>
              <w:top w:val="nil"/>
              <w:bottom w:val="nil"/>
            </w:tcBorders>
            <w:shd w:val="clear" w:color="auto" w:fill="auto"/>
            <w:vAlign w:val="center"/>
          </w:tcPr>
          <w:p w14:paraId="691DD32A" w14:textId="77777777" w:rsidR="00814510" w:rsidRPr="00D96FC1" w:rsidRDefault="00814510">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p>
        </w:tc>
        <w:tc>
          <w:tcPr>
            <w:tcW w:w="1106" w:type="dxa"/>
            <w:tcBorders>
              <w:top w:val="nil"/>
              <w:bottom w:val="nil"/>
            </w:tcBorders>
            <w:shd w:val="clear" w:color="auto" w:fill="auto"/>
            <w:vAlign w:val="center"/>
          </w:tcPr>
          <w:p w14:paraId="383AD0D1" w14:textId="77777777" w:rsidR="00814510" w:rsidRPr="00D96FC1" w:rsidRDefault="00814510">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D96FC1">
              <w:rPr>
                <w:rFonts w:cs="Arial"/>
                <w:szCs w:val="14"/>
              </w:rPr>
              <w:t>2.455.309</w:t>
            </w:r>
          </w:p>
        </w:tc>
        <w:tc>
          <w:tcPr>
            <w:tcW w:w="1141" w:type="dxa"/>
            <w:tcBorders>
              <w:top w:val="nil"/>
              <w:bottom w:val="nil"/>
            </w:tcBorders>
            <w:shd w:val="clear" w:color="auto" w:fill="auto"/>
            <w:vAlign w:val="center"/>
          </w:tcPr>
          <w:p w14:paraId="4369C49B" w14:textId="77777777" w:rsidR="00814510" w:rsidRPr="00D96FC1" w:rsidRDefault="00814510">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D96FC1">
              <w:rPr>
                <w:rFonts w:cs="Arial"/>
                <w:szCs w:val="14"/>
              </w:rPr>
              <w:t>--</w:t>
            </w:r>
          </w:p>
        </w:tc>
      </w:tr>
      <w:tr w:rsidR="00814510" w:rsidRPr="00D96FC1" w14:paraId="6FF7A37A" w14:textId="77777777">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37" w:type="dxa"/>
            <w:gridSpan w:val="2"/>
            <w:tcBorders>
              <w:top w:val="nil"/>
              <w:bottom w:val="nil"/>
            </w:tcBorders>
            <w:shd w:val="clear" w:color="auto" w:fill="auto"/>
            <w:vAlign w:val="center"/>
          </w:tcPr>
          <w:p w14:paraId="13297CDE" w14:textId="77777777" w:rsidR="00814510" w:rsidRPr="00D96FC1" w:rsidRDefault="00814510">
            <w:pPr>
              <w:pStyle w:val="08-Tabelageral"/>
              <w:jc w:val="left"/>
              <w:rPr>
                <w:rFonts w:cs="Arial"/>
                <w:b w:val="0"/>
                <w:szCs w:val="14"/>
              </w:rPr>
            </w:pPr>
            <w:r w:rsidRPr="00D96FC1">
              <w:rPr>
                <w:rFonts w:cs="Arial"/>
                <w:b w:val="0"/>
                <w:szCs w:val="14"/>
              </w:rPr>
              <w:t xml:space="preserve">Passivos por </w:t>
            </w:r>
            <w:r>
              <w:rPr>
                <w:rFonts w:cs="Arial"/>
                <w:b w:val="0"/>
                <w:szCs w:val="14"/>
              </w:rPr>
              <w:t>tributos</w:t>
            </w:r>
            <w:r w:rsidRPr="00D96FC1">
              <w:rPr>
                <w:rFonts w:cs="Arial"/>
                <w:b w:val="0"/>
                <w:szCs w:val="14"/>
              </w:rPr>
              <w:t xml:space="preserve"> correntes</w:t>
            </w:r>
          </w:p>
        </w:tc>
        <w:tc>
          <w:tcPr>
            <w:tcW w:w="993" w:type="dxa"/>
            <w:tcBorders>
              <w:top w:val="nil"/>
              <w:bottom w:val="nil"/>
            </w:tcBorders>
            <w:shd w:val="clear" w:color="auto" w:fill="auto"/>
            <w:vAlign w:val="center"/>
          </w:tcPr>
          <w:p w14:paraId="39A7FE5B" w14:textId="77777777" w:rsidR="00814510" w:rsidRPr="00D96FC1" w:rsidRDefault="00814510">
            <w:pPr>
              <w:pStyle w:val="07-Legenda"/>
              <w:keepNext/>
              <w:jc w:val="center"/>
              <w:cnfStyle w:val="000000010000" w:firstRow="0" w:lastRow="0" w:firstColumn="0" w:lastColumn="0" w:oddVBand="0" w:evenVBand="0" w:oddHBand="0" w:evenHBand="1" w:firstRowFirstColumn="0" w:firstRowLastColumn="0" w:lastRowFirstColumn="0" w:lastRowLastColumn="0"/>
              <w:rPr>
                <w:rFonts w:cs="Arial"/>
                <w:szCs w:val="14"/>
              </w:rPr>
            </w:pPr>
            <w:r w:rsidRPr="00D96FC1">
              <w:rPr>
                <w:rFonts w:cs="Arial"/>
                <w:szCs w:val="14"/>
              </w:rPr>
              <w:t>[12.g]</w:t>
            </w:r>
          </w:p>
        </w:tc>
        <w:tc>
          <w:tcPr>
            <w:tcW w:w="1417" w:type="dxa"/>
            <w:tcBorders>
              <w:top w:val="nil"/>
              <w:bottom w:val="nil"/>
            </w:tcBorders>
            <w:shd w:val="clear" w:color="auto" w:fill="auto"/>
            <w:vAlign w:val="center"/>
          </w:tcPr>
          <w:p w14:paraId="7CD5BB40" w14:textId="7D2D05FA" w:rsidR="00814510" w:rsidRPr="00D96FC1" w:rsidRDefault="00FE3050">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r w:rsidRPr="000B3642">
              <w:t>602</w:t>
            </w:r>
          </w:p>
        </w:tc>
        <w:tc>
          <w:tcPr>
            <w:tcW w:w="1135" w:type="dxa"/>
            <w:tcBorders>
              <w:top w:val="nil"/>
              <w:bottom w:val="nil"/>
            </w:tcBorders>
            <w:shd w:val="clear" w:color="auto" w:fill="auto"/>
            <w:vAlign w:val="center"/>
          </w:tcPr>
          <w:p w14:paraId="2E7D906B" w14:textId="77777777" w:rsidR="00814510" w:rsidRPr="00D96FC1" w:rsidRDefault="00814510">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r w:rsidRPr="00D96FC1">
              <w:rPr>
                <w:rFonts w:cs="Arial"/>
                <w:szCs w:val="14"/>
              </w:rPr>
              <w:t>--</w:t>
            </w:r>
          </w:p>
        </w:tc>
        <w:tc>
          <w:tcPr>
            <w:tcW w:w="316" w:type="dxa"/>
            <w:tcBorders>
              <w:top w:val="nil"/>
              <w:bottom w:val="nil"/>
            </w:tcBorders>
            <w:shd w:val="clear" w:color="auto" w:fill="auto"/>
            <w:vAlign w:val="center"/>
          </w:tcPr>
          <w:p w14:paraId="221A309D" w14:textId="77777777" w:rsidR="00814510" w:rsidRPr="00D96FC1" w:rsidRDefault="00814510">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p>
        </w:tc>
        <w:tc>
          <w:tcPr>
            <w:tcW w:w="1106" w:type="dxa"/>
            <w:tcBorders>
              <w:top w:val="nil"/>
              <w:bottom w:val="nil"/>
            </w:tcBorders>
            <w:shd w:val="clear" w:color="auto" w:fill="auto"/>
            <w:vAlign w:val="center"/>
          </w:tcPr>
          <w:p w14:paraId="61C7C569" w14:textId="77777777" w:rsidR="00814510" w:rsidRPr="00D96FC1" w:rsidRDefault="00814510">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r w:rsidRPr="00D96FC1">
              <w:rPr>
                <w:rFonts w:cs="Arial"/>
                <w:szCs w:val="14"/>
              </w:rPr>
              <w:t>689</w:t>
            </w:r>
          </w:p>
        </w:tc>
        <w:tc>
          <w:tcPr>
            <w:tcW w:w="1141" w:type="dxa"/>
            <w:tcBorders>
              <w:top w:val="nil"/>
              <w:bottom w:val="nil"/>
            </w:tcBorders>
            <w:shd w:val="clear" w:color="auto" w:fill="auto"/>
            <w:vAlign w:val="center"/>
          </w:tcPr>
          <w:p w14:paraId="47ED26D5" w14:textId="77777777" w:rsidR="00814510" w:rsidRPr="00D96FC1" w:rsidRDefault="00814510">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r w:rsidRPr="00D96FC1">
              <w:rPr>
                <w:rFonts w:cs="Arial"/>
                <w:szCs w:val="14"/>
              </w:rPr>
              <w:t>--</w:t>
            </w:r>
          </w:p>
        </w:tc>
      </w:tr>
      <w:tr w:rsidR="00814510" w:rsidRPr="00BF2AAF" w14:paraId="3F128751" w14:textId="77777777">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37" w:type="dxa"/>
            <w:gridSpan w:val="2"/>
            <w:tcBorders>
              <w:top w:val="nil"/>
              <w:bottom w:val="single" w:sz="2" w:space="0" w:color="1F3864" w:themeColor="accent1" w:themeShade="80"/>
            </w:tcBorders>
            <w:shd w:val="clear" w:color="auto" w:fill="auto"/>
            <w:vAlign w:val="center"/>
          </w:tcPr>
          <w:p w14:paraId="0A4760F5" w14:textId="77777777" w:rsidR="00814510" w:rsidRPr="00D96FC1" w:rsidRDefault="00814510">
            <w:pPr>
              <w:pStyle w:val="08-Tabelageral"/>
              <w:jc w:val="left"/>
              <w:rPr>
                <w:rFonts w:cs="Arial"/>
                <w:b w:val="0"/>
                <w:szCs w:val="14"/>
              </w:rPr>
            </w:pPr>
            <w:r w:rsidRPr="00D96FC1">
              <w:rPr>
                <w:rFonts w:cs="Arial"/>
                <w:b w:val="0"/>
                <w:szCs w:val="14"/>
              </w:rPr>
              <w:t>Outros passivos</w:t>
            </w:r>
          </w:p>
        </w:tc>
        <w:tc>
          <w:tcPr>
            <w:tcW w:w="993" w:type="dxa"/>
            <w:tcBorders>
              <w:top w:val="nil"/>
              <w:bottom w:val="single" w:sz="2" w:space="0" w:color="1F3864" w:themeColor="accent1" w:themeShade="80"/>
            </w:tcBorders>
            <w:shd w:val="clear" w:color="auto" w:fill="auto"/>
            <w:vAlign w:val="center"/>
          </w:tcPr>
          <w:p w14:paraId="6F5F3E30" w14:textId="77777777" w:rsidR="00814510" w:rsidRPr="00D96FC1" w:rsidRDefault="00814510">
            <w:pPr>
              <w:pStyle w:val="07-Legenda"/>
              <w:keepNext/>
              <w:jc w:val="center"/>
              <w:cnfStyle w:val="000000100000" w:firstRow="0" w:lastRow="0" w:firstColumn="0" w:lastColumn="0" w:oddVBand="0" w:evenVBand="0" w:oddHBand="1" w:evenHBand="0" w:firstRowFirstColumn="0" w:firstRowLastColumn="0" w:lastRowFirstColumn="0" w:lastRowLastColumn="0"/>
              <w:rPr>
                <w:rFonts w:cs="Arial"/>
                <w:szCs w:val="14"/>
                <w:lang w:val="en-US"/>
              </w:rPr>
            </w:pPr>
            <w:r w:rsidRPr="00D96FC1">
              <w:rPr>
                <w:rFonts w:cs="Arial"/>
                <w:szCs w:val="14"/>
                <w:lang w:val="en-US"/>
              </w:rPr>
              <w:t>[24]</w:t>
            </w:r>
          </w:p>
        </w:tc>
        <w:tc>
          <w:tcPr>
            <w:tcW w:w="1417" w:type="dxa"/>
            <w:tcBorders>
              <w:top w:val="nil"/>
              <w:bottom w:val="single" w:sz="2" w:space="0" w:color="1F3864" w:themeColor="accent1" w:themeShade="80"/>
            </w:tcBorders>
            <w:shd w:val="clear" w:color="auto" w:fill="auto"/>
            <w:vAlign w:val="center"/>
          </w:tcPr>
          <w:p w14:paraId="33E1B791" w14:textId="3A2AFF19" w:rsidR="00814510" w:rsidRPr="00D96FC1" w:rsidRDefault="00FE3050">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0B3642">
              <w:t>12.829</w:t>
            </w:r>
          </w:p>
        </w:tc>
        <w:tc>
          <w:tcPr>
            <w:tcW w:w="1135" w:type="dxa"/>
            <w:tcBorders>
              <w:top w:val="nil"/>
              <w:bottom w:val="single" w:sz="2" w:space="0" w:color="1F3864" w:themeColor="accent1" w:themeShade="80"/>
            </w:tcBorders>
            <w:shd w:val="clear" w:color="auto" w:fill="auto"/>
            <w:vAlign w:val="center"/>
          </w:tcPr>
          <w:p w14:paraId="754C0087" w14:textId="77777777" w:rsidR="00814510" w:rsidRPr="00D96FC1" w:rsidRDefault="00814510">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D96FC1">
              <w:rPr>
                <w:rFonts w:cs="Arial"/>
                <w:szCs w:val="14"/>
              </w:rPr>
              <w:t>--</w:t>
            </w:r>
          </w:p>
        </w:tc>
        <w:tc>
          <w:tcPr>
            <w:tcW w:w="316" w:type="dxa"/>
            <w:tcBorders>
              <w:top w:val="nil"/>
              <w:bottom w:val="single" w:sz="2" w:space="0" w:color="1F3864" w:themeColor="accent1" w:themeShade="80"/>
            </w:tcBorders>
            <w:shd w:val="clear" w:color="auto" w:fill="auto"/>
            <w:vAlign w:val="center"/>
          </w:tcPr>
          <w:p w14:paraId="7FBD267D" w14:textId="77777777" w:rsidR="00814510" w:rsidRPr="00D96FC1" w:rsidRDefault="00814510">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p>
        </w:tc>
        <w:tc>
          <w:tcPr>
            <w:tcW w:w="1106" w:type="dxa"/>
            <w:tcBorders>
              <w:top w:val="nil"/>
              <w:bottom w:val="single" w:sz="2" w:space="0" w:color="1F3864" w:themeColor="accent1" w:themeShade="80"/>
            </w:tcBorders>
            <w:shd w:val="clear" w:color="auto" w:fill="auto"/>
            <w:vAlign w:val="center"/>
          </w:tcPr>
          <w:p w14:paraId="167A7589" w14:textId="77777777" w:rsidR="00814510" w:rsidRPr="00D96FC1" w:rsidRDefault="00814510">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D96FC1">
              <w:rPr>
                <w:rFonts w:cs="Arial"/>
                <w:szCs w:val="14"/>
              </w:rPr>
              <w:t>13.488</w:t>
            </w:r>
          </w:p>
        </w:tc>
        <w:tc>
          <w:tcPr>
            <w:tcW w:w="1141" w:type="dxa"/>
            <w:tcBorders>
              <w:top w:val="nil"/>
              <w:bottom w:val="single" w:sz="2" w:space="0" w:color="1F3864" w:themeColor="accent1" w:themeShade="80"/>
            </w:tcBorders>
            <w:shd w:val="clear" w:color="auto" w:fill="auto"/>
            <w:vAlign w:val="center"/>
          </w:tcPr>
          <w:p w14:paraId="72FBC070" w14:textId="77777777" w:rsidR="00814510" w:rsidRPr="00BF2AAF" w:rsidRDefault="00814510">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D96FC1">
              <w:rPr>
                <w:rFonts w:cs="Arial"/>
                <w:szCs w:val="14"/>
              </w:rPr>
              <w:t>--</w:t>
            </w:r>
          </w:p>
        </w:tc>
      </w:tr>
    </w:tbl>
    <w:p w14:paraId="44DE075E" w14:textId="77777777" w:rsidR="00814510" w:rsidRDefault="00814510" w:rsidP="00814510">
      <w:pPr>
        <w:pStyle w:val="06-Rmil"/>
        <w:rPr>
          <w:rFonts w:cs="Arial"/>
          <w:color w:val="000000" w:themeColor="text1"/>
        </w:rPr>
      </w:pPr>
    </w:p>
    <w:p w14:paraId="14CD6BEE" w14:textId="77777777" w:rsidR="00814510" w:rsidRPr="00BF2AAF" w:rsidRDefault="00814510" w:rsidP="00814510">
      <w:pPr>
        <w:pStyle w:val="06-Rmil"/>
        <w:rPr>
          <w:rFonts w:cs="Arial"/>
          <w:color w:val="000000" w:themeColor="text1"/>
        </w:rPr>
      </w:pPr>
      <w:r w:rsidRPr="00BF2AAF">
        <w:rPr>
          <w:rFonts w:cs="Arial"/>
          <w:color w:val="000000" w:themeColor="text1"/>
        </w:rPr>
        <w:t>R$ mil</w:t>
      </w:r>
    </w:p>
    <w:tbl>
      <w:tblPr>
        <w:tblStyle w:val="TabeladeLista6Colorida-nfase5"/>
        <w:tblW w:w="9639" w:type="dxa"/>
        <w:jc w:val="center"/>
        <w:tblLayout w:type="fixed"/>
        <w:tblLook w:val="04A0" w:firstRow="1" w:lastRow="0" w:firstColumn="1" w:lastColumn="0" w:noHBand="0" w:noVBand="1"/>
      </w:tblPr>
      <w:tblGrid>
        <w:gridCol w:w="2074"/>
        <w:gridCol w:w="1471"/>
        <w:gridCol w:w="992"/>
        <w:gridCol w:w="1418"/>
        <w:gridCol w:w="1134"/>
        <w:gridCol w:w="312"/>
        <w:gridCol w:w="1105"/>
        <w:gridCol w:w="1133"/>
      </w:tblGrid>
      <w:tr w:rsidR="00814510" w:rsidRPr="00BF2AAF" w14:paraId="69E251C9" w14:textId="77777777">
        <w:trPr>
          <w:cnfStyle w:val="100000000000" w:firstRow="1" w:lastRow="0" w:firstColumn="0" w:lastColumn="0" w:oddVBand="0" w:evenVBand="0" w:oddHBand="0"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074" w:type="dxa"/>
            <w:tcBorders>
              <w:top w:val="single" w:sz="2" w:space="0" w:color="1F3864" w:themeColor="accent1" w:themeShade="80"/>
              <w:bottom w:val="single" w:sz="2" w:space="0" w:color="1F3864" w:themeColor="accent1" w:themeShade="80"/>
            </w:tcBorders>
            <w:shd w:val="clear" w:color="auto" w:fill="auto"/>
            <w:vAlign w:val="center"/>
          </w:tcPr>
          <w:p w14:paraId="27B24794" w14:textId="77777777" w:rsidR="00814510" w:rsidRPr="00BF2AAF" w:rsidRDefault="00814510">
            <w:pPr>
              <w:keepNext/>
              <w:jc w:val="center"/>
              <w:rPr>
                <w:rFonts w:ascii="Arial" w:hAnsi="Arial" w:cs="Arial"/>
                <w:sz w:val="14"/>
                <w:szCs w:val="14"/>
              </w:rPr>
            </w:pPr>
          </w:p>
        </w:tc>
        <w:tc>
          <w:tcPr>
            <w:tcW w:w="7565" w:type="dxa"/>
            <w:gridSpan w:val="7"/>
            <w:tcBorders>
              <w:top w:val="single" w:sz="2" w:space="0" w:color="1F3864" w:themeColor="accent1" w:themeShade="80"/>
              <w:bottom w:val="single" w:sz="2" w:space="0" w:color="1F3864" w:themeColor="accent1" w:themeShade="80"/>
            </w:tcBorders>
            <w:shd w:val="clear" w:color="auto" w:fill="auto"/>
            <w:vAlign w:val="center"/>
          </w:tcPr>
          <w:p w14:paraId="7D70C27E" w14:textId="77777777" w:rsidR="00814510" w:rsidRPr="00BF2AAF" w:rsidRDefault="00814510">
            <w:pPr>
              <w:keepNext/>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BF2AAF">
              <w:rPr>
                <w:rFonts w:ascii="Arial" w:hAnsi="Arial" w:cs="Arial"/>
                <w:sz w:val="14"/>
                <w:szCs w:val="14"/>
              </w:rPr>
              <w:t>Consolidado</w:t>
            </w:r>
          </w:p>
        </w:tc>
      </w:tr>
      <w:tr w:rsidR="00814510" w:rsidRPr="00BF2AAF" w14:paraId="5760A9BA" w14:textId="77777777">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vMerge w:val="restart"/>
            <w:tcBorders>
              <w:top w:val="single" w:sz="2" w:space="0" w:color="1F3864" w:themeColor="accent1" w:themeShade="80"/>
              <w:bottom w:val="single" w:sz="2" w:space="0" w:color="1F3864" w:themeColor="accent1" w:themeShade="80"/>
            </w:tcBorders>
            <w:shd w:val="clear" w:color="auto" w:fill="auto"/>
            <w:vAlign w:val="center"/>
          </w:tcPr>
          <w:p w14:paraId="2A686928" w14:textId="77777777" w:rsidR="00814510" w:rsidRPr="00BF2AAF" w:rsidRDefault="00814510">
            <w:pPr>
              <w:keepNext/>
              <w:rPr>
                <w:rFonts w:ascii="Arial" w:hAnsi="Arial" w:cs="Arial"/>
                <w:sz w:val="14"/>
                <w:szCs w:val="14"/>
              </w:rPr>
            </w:pPr>
            <w:r w:rsidRPr="00BF2AAF">
              <w:rPr>
                <w:rFonts w:ascii="Arial" w:hAnsi="Arial" w:cs="Arial"/>
                <w:sz w:val="14"/>
                <w:szCs w:val="14"/>
              </w:rPr>
              <w:t>Risco de Liquidez</w:t>
            </w:r>
          </w:p>
        </w:tc>
        <w:tc>
          <w:tcPr>
            <w:tcW w:w="992" w:type="dxa"/>
            <w:tcBorders>
              <w:top w:val="single" w:sz="2" w:space="0" w:color="1F3864" w:themeColor="accent1" w:themeShade="80"/>
              <w:bottom w:val="nil"/>
            </w:tcBorders>
            <w:shd w:val="clear" w:color="auto" w:fill="auto"/>
            <w:vAlign w:val="center"/>
          </w:tcPr>
          <w:p w14:paraId="0296F4E8" w14:textId="77777777" w:rsidR="00814510" w:rsidRPr="00BF2AAF" w:rsidRDefault="00814510">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p>
        </w:tc>
        <w:tc>
          <w:tcPr>
            <w:tcW w:w="2552" w:type="dxa"/>
            <w:gridSpan w:val="2"/>
            <w:tcBorders>
              <w:top w:val="single" w:sz="2" w:space="0" w:color="1F3864" w:themeColor="accent1" w:themeShade="80"/>
              <w:bottom w:val="single" w:sz="2" w:space="0" w:color="1F3864" w:themeColor="accent1" w:themeShade="80"/>
            </w:tcBorders>
            <w:shd w:val="clear" w:color="auto" w:fill="auto"/>
            <w:vAlign w:val="center"/>
          </w:tcPr>
          <w:p w14:paraId="743E25CB" w14:textId="14DC2C46" w:rsidR="00814510" w:rsidRPr="00BF2AAF" w:rsidRDefault="00E72653">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E72653">
              <w:rPr>
                <w:rFonts w:ascii="Arial" w:hAnsi="Arial" w:cs="Arial"/>
                <w:b/>
                <w:sz w:val="14"/>
                <w:szCs w:val="14"/>
              </w:rPr>
              <w:t>31.12.2024</w:t>
            </w:r>
          </w:p>
        </w:tc>
        <w:tc>
          <w:tcPr>
            <w:tcW w:w="312" w:type="dxa"/>
            <w:tcBorders>
              <w:top w:val="single" w:sz="2" w:space="0" w:color="1F3864" w:themeColor="accent1" w:themeShade="80"/>
              <w:bottom w:val="nil"/>
            </w:tcBorders>
            <w:shd w:val="clear" w:color="auto" w:fill="auto"/>
            <w:vAlign w:val="center"/>
          </w:tcPr>
          <w:p w14:paraId="0F3CE1D3" w14:textId="77777777" w:rsidR="00814510" w:rsidRPr="00BF2AAF" w:rsidRDefault="00814510">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p>
        </w:tc>
        <w:tc>
          <w:tcPr>
            <w:tcW w:w="2238" w:type="dxa"/>
            <w:gridSpan w:val="2"/>
            <w:tcBorders>
              <w:top w:val="single" w:sz="2" w:space="0" w:color="1F3864" w:themeColor="accent1" w:themeShade="80"/>
              <w:bottom w:val="single" w:sz="2" w:space="0" w:color="1F3864" w:themeColor="accent1" w:themeShade="80"/>
            </w:tcBorders>
            <w:shd w:val="clear" w:color="auto" w:fill="auto"/>
            <w:vAlign w:val="center"/>
          </w:tcPr>
          <w:p w14:paraId="2DB0169F" w14:textId="77777777" w:rsidR="00814510" w:rsidRPr="00BF2AAF" w:rsidRDefault="00814510">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Pr>
                <w:rFonts w:ascii="Arial" w:hAnsi="Arial" w:cs="Arial"/>
                <w:b/>
                <w:sz w:val="14"/>
                <w:szCs w:val="14"/>
              </w:rPr>
              <w:t>31.12.2023</w:t>
            </w:r>
          </w:p>
        </w:tc>
      </w:tr>
      <w:tr w:rsidR="00814510" w:rsidRPr="00BF2AAF" w14:paraId="60182F54" w14:textId="77777777">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vMerge/>
            <w:tcBorders>
              <w:top w:val="single" w:sz="2" w:space="0" w:color="1F3864" w:themeColor="accent1" w:themeShade="80"/>
              <w:bottom w:val="single" w:sz="2" w:space="0" w:color="1F3864" w:themeColor="accent1" w:themeShade="80"/>
            </w:tcBorders>
            <w:shd w:val="clear" w:color="auto" w:fill="auto"/>
          </w:tcPr>
          <w:p w14:paraId="325C27DA" w14:textId="77777777" w:rsidR="00814510" w:rsidRPr="00BF2AAF" w:rsidRDefault="00814510">
            <w:pPr>
              <w:pStyle w:val="08-Tabelageral"/>
              <w:keepLines w:val="0"/>
              <w:jc w:val="left"/>
              <w:rPr>
                <w:rFonts w:cs="Arial"/>
                <w:b w:val="0"/>
                <w:szCs w:val="14"/>
              </w:rPr>
            </w:pPr>
          </w:p>
        </w:tc>
        <w:tc>
          <w:tcPr>
            <w:tcW w:w="992" w:type="dxa"/>
            <w:tcBorders>
              <w:top w:val="nil"/>
              <w:bottom w:val="single" w:sz="2" w:space="0" w:color="1F3864" w:themeColor="accent1" w:themeShade="80"/>
            </w:tcBorders>
            <w:shd w:val="clear" w:color="auto" w:fill="auto"/>
            <w:vAlign w:val="center"/>
          </w:tcPr>
          <w:p w14:paraId="1471A386" w14:textId="77777777" w:rsidR="00814510" w:rsidRPr="00BF2AAF" w:rsidRDefault="00814510">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b/>
                <w:szCs w:val="14"/>
              </w:rPr>
            </w:pPr>
            <w:r w:rsidRPr="00BF2AAF">
              <w:rPr>
                <w:rFonts w:cs="Arial"/>
                <w:b/>
                <w:szCs w:val="14"/>
              </w:rPr>
              <w:t>Nota</w:t>
            </w:r>
          </w:p>
        </w:tc>
        <w:tc>
          <w:tcPr>
            <w:tcW w:w="1418" w:type="dxa"/>
            <w:tcBorders>
              <w:top w:val="single" w:sz="2" w:space="0" w:color="1F3864" w:themeColor="accent1" w:themeShade="80"/>
              <w:bottom w:val="single" w:sz="2" w:space="0" w:color="1F3864" w:themeColor="accent1" w:themeShade="80"/>
            </w:tcBorders>
            <w:shd w:val="clear" w:color="auto" w:fill="auto"/>
            <w:vAlign w:val="center"/>
          </w:tcPr>
          <w:p w14:paraId="669B1089" w14:textId="77777777" w:rsidR="00814510" w:rsidRPr="00BF2AAF" w:rsidRDefault="00814510">
            <w:pPr>
              <w:pStyle w:val="08-Tabelageral"/>
              <w:keepLines w:val="0"/>
              <w:cnfStyle w:val="000000010000" w:firstRow="0" w:lastRow="0" w:firstColumn="0" w:lastColumn="0" w:oddVBand="0" w:evenVBand="0" w:oddHBand="0" w:evenHBand="1" w:firstRowFirstColumn="0" w:firstRowLastColumn="0" w:lastRowFirstColumn="0" w:lastRowLastColumn="0"/>
              <w:rPr>
                <w:rFonts w:cs="Arial"/>
                <w:b/>
                <w:szCs w:val="14"/>
              </w:rPr>
            </w:pPr>
            <w:r w:rsidRPr="00BF2AAF">
              <w:rPr>
                <w:rFonts w:cs="Arial"/>
                <w:b/>
                <w:szCs w:val="14"/>
              </w:rPr>
              <w:t xml:space="preserve">Até 1 ano </w:t>
            </w:r>
          </w:p>
        </w:tc>
        <w:tc>
          <w:tcPr>
            <w:tcW w:w="1134" w:type="dxa"/>
            <w:tcBorders>
              <w:top w:val="single" w:sz="2" w:space="0" w:color="1F3864" w:themeColor="accent1" w:themeShade="80"/>
              <w:bottom w:val="single" w:sz="2" w:space="0" w:color="1F3864" w:themeColor="accent1" w:themeShade="80"/>
            </w:tcBorders>
            <w:shd w:val="clear" w:color="auto" w:fill="auto"/>
            <w:vAlign w:val="center"/>
          </w:tcPr>
          <w:p w14:paraId="65D65533" w14:textId="77777777" w:rsidR="00814510" w:rsidRPr="00BF2AAF" w:rsidRDefault="00814510">
            <w:pPr>
              <w:pStyle w:val="08-Tabelageral"/>
              <w:keepLines w:val="0"/>
              <w:cnfStyle w:val="000000010000" w:firstRow="0" w:lastRow="0" w:firstColumn="0" w:lastColumn="0" w:oddVBand="0" w:evenVBand="0" w:oddHBand="0" w:evenHBand="1" w:firstRowFirstColumn="0" w:firstRowLastColumn="0" w:lastRowFirstColumn="0" w:lastRowLastColumn="0"/>
              <w:rPr>
                <w:rFonts w:cs="Arial"/>
                <w:b/>
                <w:szCs w:val="14"/>
              </w:rPr>
            </w:pPr>
            <w:r w:rsidRPr="00BF2AAF">
              <w:rPr>
                <w:rFonts w:cs="Arial"/>
                <w:b/>
                <w:szCs w:val="14"/>
              </w:rPr>
              <w:t>Mais de 1 ano</w:t>
            </w:r>
          </w:p>
        </w:tc>
        <w:tc>
          <w:tcPr>
            <w:tcW w:w="312" w:type="dxa"/>
            <w:tcBorders>
              <w:top w:val="nil"/>
              <w:bottom w:val="single" w:sz="2" w:space="0" w:color="1F3864" w:themeColor="accent1" w:themeShade="80"/>
            </w:tcBorders>
            <w:shd w:val="clear" w:color="auto" w:fill="auto"/>
            <w:vAlign w:val="center"/>
          </w:tcPr>
          <w:p w14:paraId="6A8F61E9" w14:textId="77777777" w:rsidR="00814510" w:rsidRPr="00BF2AAF" w:rsidRDefault="00814510">
            <w:pPr>
              <w:pStyle w:val="08-Tabelageral"/>
              <w:keepLines w:val="0"/>
              <w:cnfStyle w:val="000000010000" w:firstRow="0" w:lastRow="0" w:firstColumn="0" w:lastColumn="0" w:oddVBand="0" w:evenVBand="0" w:oddHBand="0" w:evenHBand="1" w:firstRowFirstColumn="0" w:firstRowLastColumn="0" w:lastRowFirstColumn="0" w:lastRowLastColumn="0"/>
              <w:rPr>
                <w:rFonts w:cs="Arial"/>
                <w:b/>
                <w:szCs w:val="14"/>
              </w:rPr>
            </w:pPr>
          </w:p>
        </w:tc>
        <w:tc>
          <w:tcPr>
            <w:tcW w:w="1105" w:type="dxa"/>
            <w:tcBorders>
              <w:top w:val="single" w:sz="2" w:space="0" w:color="1F3864" w:themeColor="accent1" w:themeShade="80"/>
              <w:bottom w:val="single" w:sz="2" w:space="0" w:color="1F3864" w:themeColor="accent1" w:themeShade="80"/>
            </w:tcBorders>
            <w:shd w:val="clear" w:color="auto" w:fill="auto"/>
            <w:vAlign w:val="center"/>
          </w:tcPr>
          <w:p w14:paraId="19AC266D" w14:textId="77777777" w:rsidR="00814510" w:rsidRPr="00BF2AAF" w:rsidRDefault="00814510">
            <w:pPr>
              <w:pStyle w:val="08-Tabelageral"/>
              <w:keepLines w:val="0"/>
              <w:cnfStyle w:val="000000010000" w:firstRow="0" w:lastRow="0" w:firstColumn="0" w:lastColumn="0" w:oddVBand="0" w:evenVBand="0" w:oddHBand="0" w:evenHBand="1" w:firstRowFirstColumn="0" w:firstRowLastColumn="0" w:lastRowFirstColumn="0" w:lastRowLastColumn="0"/>
              <w:rPr>
                <w:rFonts w:cs="Arial"/>
                <w:b/>
                <w:szCs w:val="14"/>
              </w:rPr>
            </w:pPr>
            <w:r w:rsidRPr="00BF2AAF">
              <w:rPr>
                <w:rFonts w:cs="Arial"/>
                <w:b/>
                <w:szCs w:val="14"/>
              </w:rPr>
              <w:t xml:space="preserve">Até 1 ano </w:t>
            </w:r>
          </w:p>
        </w:tc>
        <w:tc>
          <w:tcPr>
            <w:tcW w:w="1133" w:type="dxa"/>
            <w:tcBorders>
              <w:top w:val="single" w:sz="2" w:space="0" w:color="1F3864" w:themeColor="accent1" w:themeShade="80"/>
              <w:bottom w:val="single" w:sz="2" w:space="0" w:color="1F3864" w:themeColor="accent1" w:themeShade="80"/>
            </w:tcBorders>
            <w:shd w:val="clear" w:color="auto" w:fill="auto"/>
            <w:vAlign w:val="center"/>
          </w:tcPr>
          <w:p w14:paraId="7C4AE3F5" w14:textId="77777777" w:rsidR="00814510" w:rsidRPr="00BF2AAF" w:rsidRDefault="00814510">
            <w:pPr>
              <w:pStyle w:val="08-Tabelageral"/>
              <w:keepLines w:val="0"/>
              <w:cnfStyle w:val="000000010000" w:firstRow="0" w:lastRow="0" w:firstColumn="0" w:lastColumn="0" w:oddVBand="0" w:evenVBand="0" w:oddHBand="0" w:evenHBand="1" w:firstRowFirstColumn="0" w:firstRowLastColumn="0" w:lastRowFirstColumn="0" w:lastRowLastColumn="0"/>
              <w:rPr>
                <w:rFonts w:cs="Arial"/>
                <w:b/>
                <w:szCs w:val="14"/>
              </w:rPr>
            </w:pPr>
            <w:r w:rsidRPr="00BF2AAF">
              <w:rPr>
                <w:rFonts w:cs="Arial"/>
                <w:b/>
                <w:szCs w:val="14"/>
              </w:rPr>
              <w:t>Mais de 1 ano</w:t>
            </w:r>
          </w:p>
        </w:tc>
      </w:tr>
      <w:tr w:rsidR="00814510" w:rsidRPr="00284D21" w14:paraId="433A5C92"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tcBorders>
              <w:top w:val="single" w:sz="2" w:space="0" w:color="1F3864" w:themeColor="accent1" w:themeShade="80"/>
              <w:bottom w:val="nil"/>
            </w:tcBorders>
            <w:shd w:val="clear" w:color="auto" w:fill="auto"/>
            <w:vAlign w:val="center"/>
          </w:tcPr>
          <w:p w14:paraId="1ADC9723" w14:textId="77777777" w:rsidR="00814510" w:rsidRPr="00284D21" w:rsidRDefault="00814510">
            <w:pPr>
              <w:pStyle w:val="08-Tabelageral"/>
              <w:keepLines w:val="0"/>
              <w:jc w:val="left"/>
              <w:rPr>
                <w:rFonts w:cs="Arial"/>
                <w:b w:val="0"/>
                <w:bCs w:val="0"/>
                <w:szCs w:val="14"/>
              </w:rPr>
            </w:pPr>
            <w:r w:rsidRPr="00284D21">
              <w:rPr>
                <w:rFonts w:cs="Arial"/>
                <w:b w:val="0"/>
                <w:szCs w:val="14"/>
              </w:rPr>
              <w:t>ATIVOS</w:t>
            </w:r>
          </w:p>
        </w:tc>
        <w:tc>
          <w:tcPr>
            <w:tcW w:w="992" w:type="dxa"/>
            <w:tcBorders>
              <w:top w:val="single" w:sz="2" w:space="0" w:color="1F3864" w:themeColor="accent1" w:themeShade="80"/>
              <w:bottom w:val="nil"/>
            </w:tcBorders>
            <w:shd w:val="clear" w:color="auto" w:fill="auto"/>
            <w:vAlign w:val="center"/>
          </w:tcPr>
          <w:p w14:paraId="1B9EE997" w14:textId="77777777" w:rsidR="00814510" w:rsidRPr="00284D21" w:rsidRDefault="00814510">
            <w:pPr>
              <w:pStyle w:val="07-Legenda"/>
              <w:keepNext/>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p>
        </w:tc>
        <w:tc>
          <w:tcPr>
            <w:tcW w:w="1418" w:type="dxa"/>
            <w:tcBorders>
              <w:top w:val="single" w:sz="2" w:space="0" w:color="1F3864" w:themeColor="accent1" w:themeShade="80"/>
              <w:bottom w:val="nil"/>
            </w:tcBorders>
            <w:shd w:val="clear" w:color="auto" w:fill="auto"/>
            <w:vAlign w:val="center"/>
          </w:tcPr>
          <w:p w14:paraId="3A741175" w14:textId="77777777" w:rsidR="00814510" w:rsidRPr="00284D21" w:rsidRDefault="00814510">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p>
        </w:tc>
        <w:tc>
          <w:tcPr>
            <w:tcW w:w="1134" w:type="dxa"/>
            <w:tcBorders>
              <w:top w:val="single" w:sz="2" w:space="0" w:color="1F3864" w:themeColor="accent1" w:themeShade="80"/>
              <w:bottom w:val="nil"/>
            </w:tcBorders>
            <w:shd w:val="clear" w:color="auto" w:fill="auto"/>
            <w:vAlign w:val="center"/>
          </w:tcPr>
          <w:p w14:paraId="11CE99E9" w14:textId="77777777" w:rsidR="00814510" w:rsidRPr="00284D21" w:rsidRDefault="00814510">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p>
        </w:tc>
        <w:tc>
          <w:tcPr>
            <w:tcW w:w="312" w:type="dxa"/>
            <w:tcBorders>
              <w:top w:val="single" w:sz="2" w:space="0" w:color="1F3864" w:themeColor="accent1" w:themeShade="80"/>
              <w:bottom w:val="nil"/>
            </w:tcBorders>
            <w:shd w:val="clear" w:color="auto" w:fill="auto"/>
            <w:vAlign w:val="center"/>
          </w:tcPr>
          <w:p w14:paraId="3DF34268" w14:textId="77777777" w:rsidR="00814510" w:rsidRPr="00284D21" w:rsidRDefault="00814510">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p>
        </w:tc>
        <w:tc>
          <w:tcPr>
            <w:tcW w:w="1105" w:type="dxa"/>
            <w:tcBorders>
              <w:top w:val="single" w:sz="2" w:space="0" w:color="1F3864" w:themeColor="accent1" w:themeShade="80"/>
              <w:bottom w:val="nil"/>
            </w:tcBorders>
            <w:shd w:val="clear" w:color="auto" w:fill="auto"/>
            <w:vAlign w:val="center"/>
          </w:tcPr>
          <w:p w14:paraId="3847638D" w14:textId="77777777" w:rsidR="00814510" w:rsidRPr="00284D21" w:rsidRDefault="00814510">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p>
        </w:tc>
        <w:tc>
          <w:tcPr>
            <w:tcW w:w="1133" w:type="dxa"/>
            <w:tcBorders>
              <w:top w:val="single" w:sz="2" w:space="0" w:color="1F3864" w:themeColor="accent1" w:themeShade="80"/>
              <w:bottom w:val="nil"/>
            </w:tcBorders>
            <w:shd w:val="clear" w:color="auto" w:fill="auto"/>
            <w:vAlign w:val="center"/>
          </w:tcPr>
          <w:p w14:paraId="25C2F4E9" w14:textId="77777777" w:rsidR="00814510" w:rsidRPr="00284D21" w:rsidRDefault="00814510">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p>
        </w:tc>
      </w:tr>
      <w:tr w:rsidR="00814510" w:rsidRPr="00284D21" w14:paraId="3358608E"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tcBorders>
              <w:top w:val="nil"/>
              <w:bottom w:val="nil"/>
            </w:tcBorders>
            <w:shd w:val="clear" w:color="auto" w:fill="auto"/>
            <w:vAlign w:val="center"/>
          </w:tcPr>
          <w:p w14:paraId="30FE2348" w14:textId="77777777" w:rsidR="00814510" w:rsidRPr="00284D21" w:rsidRDefault="00814510">
            <w:pPr>
              <w:pStyle w:val="08-Tabelageral"/>
              <w:keepLines w:val="0"/>
              <w:jc w:val="left"/>
              <w:rPr>
                <w:rFonts w:cs="Arial"/>
                <w:b w:val="0"/>
                <w:bCs w:val="0"/>
                <w:szCs w:val="14"/>
              </w:rPr>
            </w:pPr>
            <w:r w:rsidRPr="00284D21">
              <w:rPr>
                <w:rFonts w:cs="Arial"/>
                <w:b w:val="0"/>
                <w:szCs w:val="14"/>
              </w:rPr>
              <w:t>Caixa e equivalentes de caixa</w:t>
            </w:r>
          </w:p>
        </w:tc>
        <w:tc>
          <w:tcPr>
            <w:tcW w:w="992" w:type="dxa"/>
            <w:tcBorders>
              <w:top w:val="nil"/>
              <w:bottom w:val="nil"/>
            </w:tcBorders>
            <w:shd w:val="clear" w:color="auto" w:fill="auto"/>
            <w:vAlign w:val="center"/>
          </w:tcPr>
          <w:p w14:paraId="209C5D9F" w14:textId="77777777" w:rsidR="00814510" w:rsidRPr="00284D21" w:rsidRDefault="00814510">
            <w:pPr>
              <w:pStyle w:val="07-Legenda"/>
              <w:keepNext/>
              <w:keepLines w:val="0"/>
              <w:jc w:val="center"/>
              <w:cnfStyle w:val="000000010000" w:firstRow="0" w:lastRow="0" w:firstColumn="0" w:lastColumn="0" w:oddVBand="0" w:evenVBand="0" w:oddHBand="0" w:evenHBand="1" w:firstRowFirstColumn="0" w:firstRowLastColumn="0" w:lastRowFirstColumn="0" w:lastRowLastColumn="0"/>
              <w:rPr>
                <w:rFonts w:cs="Arial"/>
                <w:szCs w:val="14"/>
              </w:rPr>
            </w:pPr>
            <w:r w:rsidRPr="00284D21">
              <w:rPr>
                <w:rFonts w:cs="Arial"/>
                <w:szCs w:val="14"/>
              </w:rPr>
              <w:t>[15]</w:t>
            </w:r>
          </w:p>
        </w:tc>
        <w:tc>
          <w:tcPr>
            <w:tcW w:w="1418" w:type="dxa"/>
            <w:tcBorders>
              <w:top w:val="nil"/>
              <w:bottom w:val="nil"/>
            </w:tcBorders>
            <w:shd w:val="clear" w:color="auto" w:fill="auto"/>
            <w:vAlign w:val="center"/>
          </w:tcPr>
          <w:p w14:paraId="29C055C9" w14:textId="6F36E5BD" w:rsidR="00814510" w:rsidRPr="00284D21" w:rsidRDefault="00C458A6">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r w:rsidRPr="003A61BB">
              <w:t>7.789.875</w:t>
            </w:r>
          </w:p>
        </w:tc>
        <w:tc>
          <w:tcPr>
            <w:tcW w:w="1134" w:type="dxa"/>
            <w:tcBorders>
              <w:top w:val="nil"/>
              <w:bottom w:val="nil"/>
            </w:tcBorders>
            <w:shd w:val="clear" w:color="auto" w:fill="auto"/>
            <w:vAlign w:val="center"/>
          </w:tcPr>
          <w:p w14:paraId="52A7BC43" w14:textId="4C7F69F3" w:rsidR="00814510" w:rsidRPr="00284D21" w:rsidRDefault="00814510">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r w:rsidRPr="003A61BB">
              <w:t>--</w:t>
            </w:r>
          </w:p>
        </w:tc>
        <w:tc>
          <w:tcPr>
            <w:tcW w:w="312" w:type="dxa"/>
            <w:tcBorders>
              <w:top w:val="nil"/>
              <w:bottom w:val="nil"/>
            </w:tcBorders>
            <w:shd w:val="clear" w:color="auto" w:fill="auto"/>
            <w:vAlign w:val="center"/>
          </w:tcPr>
          <w:p w14:paraId="07EE31AE" w14:textId="77777777" w:rsidR="00814510" w:rsidRPr="00284D21" w:rsidRDefault="00814510">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p>
        </w:tc>
        <w:tc>
          <w:tcPr>
            <w:tcW w:w="1105" w:type="dxa"/>
            <w:tcBorders>
              <w:top w:val="nil"/>
              <w:bottom w:val="nil"/>
            </w:tcBorders>
            <w:shd w:val="clear" w:color="auto" w:fill="auto"/>
            <w:vAlign w:val="center"/>
          </w:tcPr>
          <w:p w14:paraId="57F4A3CC" w14:textId="77777777" w:rsidR="00814510" w:rsidRPr="00284D21" w:rsidRDefault="00814510">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r w:rsidRPr="00284D21">
              <w:rPr>
                <w:rFonts w:cs="Arial"/>
                <w:szCs w:val="14"/>
              </w:rPr>
              <w:t>4.752.742</w:t>
            </w:r>
          </w:p>
        </w:tc>
        <w:tc>
          <w:tcPr>
            <w:tcW w:w="1133" w:type="dxa"/>
            <w:tcBorders>
              <w:top w:val="nil"/>
              <w:bottom w:val="nil"/>
            </w:tcBorders>
            <w:shd w:val="clear" w:color="auto" w:fill="auto"/>
            <w:vAlign w:val="center"/>
          </w:tcPr>
          <w:p w14:paraId="5F3C9CCD" w14:textId="77777777" w:rsidR="00814510" w:rsidRPr="00284D21" w:rsidRDefault="00814510">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r w:rsidRPr="00284D21">
              <w:rPr>
                <w:rFonts w:cs="Arial"/>
                <w:szCs w:val="14"/>
              </w:rPr>
              <w:t>--</w:t>
            </w:r>
          </w:p>
        </w:tc>
      </w:tr>
      <w:tr w:rsidR="00814510" w:rsidRPr="00284D21" w14:paraId="04C3AE59"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tcBorders>
              <w:top w:val="nil"/>
              <w:bottom w:val="nil"/>
            </w:tcBorders>
            <w:shd w:val="clear" w:color="auto" w:fill="auto"/>
            <w:vAlign w:val="center"/>
          </w:tcPr>
          <w:p w14:paraId="607CF9A1" w14:textId="77777777" w:rsidR="00814510" w:rsidRPr="00284D21" w:rsidRDefault="00814510">
            <w:pPr>
              <w:pStyle w:val="08-Tabelageral"/>
              <w:keepLines w:val="0"/>
              <w:jc w:val="left"/>
              <w:rPr>
                <w:rFonts w:cs="Arial"/>
                <w:b w:val="0"/>
                <w:bCs w:val="0"/>
                <w:szCs w:val="14"/>
              </w:rPr>
            </w:pPr>
            <w:r w:rsidRPr="00284D21">
              <w:rPr>
                <w:rFonts w:cs="Arial"/>
                <w:b w:val="0"/>
                <w:bCs w:val="0"/>
                <w:szCs w:val="14"/>
              </w:rPr>
              <w:t>Ativos financeiros mensurados ao valor justo por meio do resultado</w:t>
            </w:r>
          </w:p>
        </w:tc>
        <w:tc>
          <w:tcPr>
            <w:tcW w:w="992" w:type="dxa"/>
            <w:tcBorders>
              <w:top w:val="nil"/>
              <w:bottom w:val="nil"/>
            </w:tcBorders>
            <w:shd w:val="clear" w:color="auto" w:fill="auto"/>
            <w:vAlign w:val="center"/>
          </w:tcPr>
          <w:p w14:paraId="358191B8" w14:textId="77777777" w:rsidR="00814510" w:rsidRPr="00284D21" w:rsidRDefault="00814510">
            <w:pPr>
              <w:pStyle w:val="07-Legenda"/>
              <w:keepNext/>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r w:rsidRPr="00284D21">
              <w:rPr>
                <w:rFonts w:cs="Arial"/>
                <w:szCs w:val="14"/>
              </w:rPr>
              <w:t>[16.a]</w:t>
            </w:r>
          </w:p>
        </w:tc>
        <w:tc>
          <w:tcPr>
            <w:tcW w:w="1418" w:type="dxa"/>
            <w:tcBorders>
              <w:top w:val="nil"/>
              <w:bottom w:val="nil"/>
            </w:tcBorders>
            <w:shd w:val="clear" w:color="auto" w:fill="auto"/>
            <w:vAlign w:val="center"/>
          </w:tcPr>
          <w:p w14:paraId="46C01FD4" w14:textId="449D4A0F" w:rsidR="00814510" w:rsidRPr="00284D21" w:rsidRDefault="00814510">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3A61BB">
              <w:t>--</w:t>
            </w:r>
          </w:p>
        </w:tc>
        <w:tc>
          <w:tcPr>
            <w:tcW w:w="1134" w:type="dxa"/>
            <w:tcBorders>
              <w:top w:val="nil"/>
              <w:bottom w:val="nil"/>
            </w:tcBorders>
            <w:shd w:val="clear" w:color="auto" w:fill="auto"/>
            <w:vAlign w:val="center"/>
          </w:tcPr>
          <w:p w14:paraId="5391D5A4" w14:textId="64E09B3B" w:rsidR="00814510" w:rsidRPr="00284D21" w:rsidRDefault="00C458A6">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3A61BB">
              <w:t>28.783</w:t>
            </w:r>
          </w:p>
        </w:tc>
        <w:tc>
          <w:tcPr>
            <w:tcW w:w="312" w:type="dxa"/>
            <w:tcBorders>
              <w:top w:val="nil"/>
              <w:bottom w:val="nil"/>
            </w:tcBorders>
            <w:shd w:val="clear" w:color="auto" w:fill="auto"/>
            <w:vAlign w:val="center"/>
          </w:tcPr>
          <w:p w14:paraId="1CBDD550" w14:textId="77777777" w:rsidR="00814510" w:rsidRPr="00284D21" w:rsidRDefault="00814510">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p>
        </w:tc>
        <w:tc>
          <w:tcPr>
            <w:tcW w:w="1105" w:type="dxa"/>
            <w:tcBorders>
              <w:top w:val="nil"/>
              <w:bottom w:val="nil"/>
            </w:tcBorders>
            <w:shd w:val="clear" w:color="auto" w:fill="auto"/>
            <w:vAlign w:val="center"/>
          </w:tcPr>
          <w:p w14:paraId="39AD24A5" w14:textId="77777777" w:rsidR="00814510" w:rsidRPr="00284D21" w:rsidRDefault="00814510">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284D21">
              <w:rPr>
                <w:rFonts w:cs="Arial"/>
                <w:szCs w:val="14"/>
              </w:rPr>
              <w:t>--</w:t>
            </w:r>
          </w:p>
        </w:tc>
        <w:tc>
          <w:tcPr>
            <w:tcW w:w="1133" w:type="dxa"/>
            <w:tcBorders>
              <w:top w:val="nil"/>
              <w:bottom w:val="nil"/>
            </w:tcBorders>
            <w:shd w:val="clear" w:color="auto" w:fill="auto"/>
            <w:vAlign w:val="center"/>
          </w:tcPr>
          <w:p w14:paraId="4263ABD4" w14:textId="77777777" w:rsidR="00814510" w:rsidRPr="00284D21" w:rsidRDefault="00814510">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57235A">
              <w:rPr>
                <w:rFonts w:cs="Arial"/>
                <w:szCs w:val="14"/>
              </w:rPr>
              <w:t>1.607.391</w:t>
            </w:r>
          </w:p>
        </w:tc>
      </w:tr>
      <w:tr w:rsidR="00814510" w:rsidRPr="00284D21" w14:paraId="685B2301"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tcBorders>
              <w:top w:val="nil"/>
              <w:bottom w:val="nil"/>
            </w:tcBorders>
            <w:shd w:val="clear" w:color="auto" w:fill="auto"/>
            <w:vAlign w:val="center"/>
          </w:tcPr>
          <w:p w14:paraId="62044700" w14:textId="77777777" w:rsidR="00814510" w:rsidRPr="00284D21" w:rsidRDefault="00814510">
            <w:pPr>
              <w:pStyle w:val="08-Tabelageral"/>
              <w:keepLines w:val="0"/>
              <w:jc w:val="left"/>
              <w:rPr>
                <w:rFonts w:cs="Arial"/>
                <w:szCs w:val="14"/>
              </w:rPr>
            </w:pPr>
            <w:r w:rsidRPr="00284D21">
              <w:rPr>
                <w:rFonts w:cs="Arial"/>
                <w:b w:val="0"/>
                <w:bCs w:val="0"/>
                <w:szCs w:val="14"/>
              </w:rPr>
              <w:t>Ativos financeiros mensurados pelo custo amortizado</w:t>
            </w:r>
          </w:p>
        </w:tc>
        <w:tc>
          <w:tcPr>
            <w:tcW w:w="992" w:type="dxa"/>
            <w:tcBorders>
              <w:top w:val="nil"/>
              <w:bottom w:val="nil"/>
            </w:tcBorders>
            <w:shd w:val="clear" w:color="auto" w:fill="auto"/>
            <w:vAlign w:val="center"/>
          </w:tcPr>
          <w:p w14:paraId="5924AD74" w14:textId="77777777" w:rsidR="00814510" w:rsidRPr="00284D21" w:rsidRDefault="00814510">
            <w:pPr>
              <w:pStyle w:val="07-Legenda"/>
              <w:keepNext/>
              <w:keepLines w:val="0"/>
              <w:jc w:val="center"/>
              <w:cnfStyle w:val="000000010000" w:firstRow="0" w:lastRow="0" w:firstColumn="0" w:lastColumn="0" w:oddVBand="0" w:evenVBand="0" w:oddHBand="0" w:evenHBand="1" w:firstRowFirstColumn="0" w:firstRowLastColumn="0" w:lastRowFirstColumn="0" w:lastRowLastColumn="0"/>
              <w:rPr>
                <w:rFonts w:cs="Arial"/>
                <w:szCs w:val="14"/>
              </w:rPr>
            </w:pPr>
            <w:r w:rsidRPr="00284D21">
              <w:rPr>
                <w:rFonts w:cs="Arial"/>
                <w:szCs w:val="14"/>
              </w:rPr>
              <w:t>[16.b]</w:t>
            </w:r>
          </w:p>
        </w:tc>
        <w:tc>
          <w:tcPr>
            <w:tcW w:w="1418" w:type="dxa"/>
            <w:tcBorders>
              <w:top w:val="nil"/>
              <w:bottom w:val="nil"/>
            </w:tcBorders>
            <w:shd w:val="clear" w:color="auto" w:fill="auto"/>
            <w:vAlign w:val="center"/>
          </w:tcPr>
          <w:p w14:paraId="6F1F2EE7" w14:textId="58B09073" w:rsidR="00814510" w:rsidRPr="00284D21" w:rsidRDefault="00C458A6">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r w:rsidRPr="003A61BB">
              <w:t>719.101</w:t>
            </w:r>
          </w:p>
        </w:tc>
        <w:tc>
          <w:tcPr>
            <w:tcW w:w="1134" w:type="dxa"/>
            <w:tcBorders>
              <w:top w:val="nil"/>
              <w:bottom w:val="nil"/>
            </w:tcBorders>
            <w:shd w:val="clear" w:color="auto" w:fill="auto"/>
            <w:vAlign w:val="center"/>
          </w:tcPr>
          <w:p w14:paraId="1A57461C" w14:textId="5C2C2D06" w:rsidR="00814510" w:rsidRPr="00284D21" w:rsidRDefault="00C458A6">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r w:rsidRPr="003A61BB">
              <w:t>1.039.910</w:t>
            </w:r>
          </w:p>
        </w:tc>
        <w:tc>
          <w:tcPr>
            <w:tcW w:w="312" w:type="dxa"/>
            <w:tcBorders>
              <w:top w:val="nil"/>
              <w:bottom w:val="nil"/>
            </w:tcBorders>
            <w:shd w:val="clear" w:color="auto" w:fill="auto"/>
            <w:vAlign w:val="center"/>
          </w:tcPr>
          <w:p w14:paraId="2129731F" w14:textId="77777777" w:rsidR="00814510" w:rsidRPr="00284D21" w:rsidRDefault="00814510">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p>
        </w:tc>
        <w:tc>
          <w:tcPr>
            <w:tcW w:w="1105" w:type="dxa"/>
            <w:tcBorders>
              <w:top w:val="nil"/>
              <w:bottom w:val="nil"/>
            </w:tcBorders>
            <w:shd w:val="clear" w:color="auto" w:fill="auto"/>
            <w:vAlign w:val="center"/>
          </w:tcPr>
          <w:p w14:paraId="4E3222A9" w14:textId="77777777" w:rsidR="00814510" w:rsidRPr="00284D21" w:rsidRDefault="00814510">
            <w:pPr>
              <w:pStyle w:val="07-Legenda"/>
              <w:jc w:val="right"/>
              <w:cnfStyle w:val="000000010000" w:firstRow="0" w:lastRow="0" w:firstColumn="0" w:lastColumn="0" w:oddVBand="0" w:evenVBand="0" w:oddHBand="0" w:evenHBand="1" w:firstRowFirstColumn="0" w:firstRowLastColumn="0" w:lastRowFirstColumn="0" w:lastRowLastColumn="0"/>
              <w:rPr>
                <w:rFonts w:cs="Arial"/>
                <w:bCs/>
                <w:szCs w:val="14"/>
              </w:rPr>
            </w:pPr>
            <w:r w:rsidRPr="00284D21">
              <w:rPr>
                <w:rFonts w:cs="Arial"/>
                <w:bCs/>
                <w:szCs w:val="14"/>
              </w:rPr>
              <w:t>--</w:t>
            </w:r>
          </w:p>
        </w:tc>
        <w:tc>
          <w:tcPr>
            <w:tcW w:w="1133" w:type="dxa"/>
            <w:tcBorders>
              <w:top w:val="nil"/>
              <w:bottom w:val="nil"/>
            </w:tcBorders>
            <w:shd w:val="clear" w:color="auto" w:fill="auto"/>
            <w:vAlign w:val="center"/>
          </w:tcPr>
          <w:p w14:paraId="74688249" w14:textId="77777777" w:rsidR="00814510" w:rsidRPr="00284D21" w:rsidRDefault="00814510">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w:t>
            </w:r>
          </w:p>
        </w:tc>
      </w:tr>
      <w:tr w:rsidR="00814510" w:rsidRPr="00284D21" w14:paraId="6F5D4598"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tcBorders>
              <w:top w:val="nil"/>
              <w:bottom w:val="nil"/>
            </w:tcBorders>
            <w:shd w:val="clear" w:color="auto" w:fill="auto"/>
            <w:vAlign w:val="center"/>
          </w:tcPr>
          <w:p w14:paraId="0B5ABA34" w14:textId="77777777" w:rsidR="00814510" w:rsidRPr="00284D21" w:rsidRDefault="00814510">
            <w:pPr>
              <w:pStyle w:val="08-Tabelageral"/>
              <w:keepLines w:val="0"/>
              <w:jc w:val="left"/>
              <w:rPr>
                <w:rFonts w:cs="Arial"/>
                <w:b w:val="0"/>
                <w:bCs w:val="0"/>
                <w:szCs w:val="14"/>
              </w:rPr>
            </w:pPr>
            <w:r w:rsidRPr="00284D21">
              <w:rPr>
                <w:rFonts w:cs="Arial"/>
                <w:b w:val="0"/>
                <w:szCs w:val="14"/>
              </w:rPr>
              <w:t>Comissões a receber</w:t>
            </w:r>
          </w:p>
        </w:tc>
        <w:tc>
          <w:tcPr>
            <w:tcW w:w="992" w:type="dxa"/>
            <w:tcBorders>
              <w:top w:val="nil"/>
              <w:bottom w:val="nil"/>
            </w:tcBorders>
            <w:shd w:val="clear" w:color="auto" w:fill="auto"/>
            <w:vAlign w:val="center"/>
          </w:tcPr>
          <w:p w14:paraId="32A61264" w14:textId="77777777" w:rsidR="00814510" w:rsidRPr="00284D21" w:rsidRDefault="00814510">
            <w:pPr>
              <w:pStyle w:val="07-Legenda"/>
              <w:keepNext/>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r w:rsidRPr="00284D21">
              <w:rPr>
                <w:rFonts w:cs="Arial"/>
                <w:szCs w:val="14"/>
              </w:rPr>
              <w:t>[18]</w:t>
            </w:r>
          </w:p>
        </w:tc>
        <w:tc>
          <w:tcPr>
            <w:tcW w:w="1418" w:type="dxa"/>
            <w:tcBorders>
              <w:top w:val="nil"/>
              <w:bottom w:val="nil"/>
            </w:tcBorders>
            <w:shd w:val="clear" w:color="auto" w:fill="auto"/>
            <w:vAlign w:val="center"/>
          </w:tcPr>
          <w:p w14:paraId="281C5455" w14:textId="07BF8EA4" w:rsidR="00814510" w:rsidRPr="00284D21" w:rsidRDefault="00C458A6">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3A61BB">
              <w:t>1.287.117</w:t>
            </w:r>
          </w:p>
        </w:tc>
        <w:tc>
          <w:tcPr>
            <w:tcW w:w="1134" w:type="dxa"/>
            <w:tcBorders>
              <w:top w:val="nil"/>
              <w:bottom w:val="nil"/>
            </w:tcBorders>
            <w:shd w:val="clear" w:color="auto" w:fill="auto"/>
            <w:vAlign w:val="center"/>
          </w:tcPr>
          <w:p w14:paraId="61DBF7BA" w14:textId="71F8E3EC" w:rsidR="00814510" w:rsidRPr="00284D21" w:rsidRDefault="00C458A6">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3A61BB">
              <w:t>1.387.299</w:t>
            </w:r>
          </w:p>
        </w:tc>
        <w:tc>
          <w:tcPr>
            <w:tcW w:w="312" w:type="dxa"/>
            <w:tcBorders>
              <w:top w:val="nil"/>
              <w:bottom w:val="nil"/>
            </w:tcBorders>
            <w:shd w:val="clear" w:color="auto" w:fill="auto"/>
            <w:vAlign w:val="center"/>
          </w:tcPr>
          <w:p w14:paraId="4EBB72E9" w14:textId="77777777" w:rsidR="00814510" w:rsidRPr="00284D21" w:rsidRDefault="00814510">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p>
        </w:tc>
        <w:tc>
          <w:tcPr>
            <w:tcW w:w="1105" w:type="dxa"/>
            <w:tcBorders>
              <w:top w:val="nil"/>
              <w:bottom w:val="nil"/>
            </w:tcBorders>
            <w:shd w:val="clear" w:color="auto" w:fill="auto"/>
            <w:vAlign w:val="center"/>
          </w:tcPr>
          <w:p w14:paraId="08343468" w14:textId="77777777" w:rsidR="00814510" w:rsidRPr="00284D21" w:rsidRDefault="00814510">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284D21">
              <w:rPr>
                <w:rFonts w:cs="Arial"/>
                <w:szCs w:val="14"/>
              </w:rPr>
              <w:t>1.128.077</w:t>
            </w:r>
          </w:p>
        </w:tc>
        <w:tc>
          <w:tcPr>
            <w:tcW w:w="1133" w:type="dxa"/>
            <w:tcBorders>
              <w:top w:val="nil"/>
              <w:bottom w:val="nil"/>
            </w:tcBorders>
            <w:shd w:val="clear" w:color="auto" w:fill="auto"/>
            <w:vAlign w:val="center"/>
          </w:tcPr>
          <w:p w14:paraId="55CB3280" w14:textId="77777777" w:rsidR="00814510" w:rsidRPr="00284D21" w:rsidRDefault="00814510">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284D21">
              <w:rPr>
                <w:rFonts w:cs="Arial"/>
                <w:szCs w:val="14"/>
              </w:rPr>
              <w:t>1.046.897</w:t>
            </w:r>
          </w:p>
        </w:tc>
      </w:tr>
      <w:tr w:rsidR="00814510" w:rsidRPr="00BF2AAF" w14:paraId="13B74757"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tcBorders>
              <w:top w:val="nil"/>
              <w:bottom w:val="nil"/>
            </w:tcBorders>
            <w:shd w:val="clear" w:color="auto" w:fill="auto"/>
            <w:vAlign w:val="center"/>
          </w:tcPr>
          <w:p w14:paraId="6843C40A" w14:textId="77777777" w:rsidR="00814510" w:rsidRPr="00284D21" w:rsidRDefault="00814510">
            <w:pPr>
              <w:pStyle w:val="08-Tabelageral"/>
              <w:keepLines w:val="0"/>
              <w:jc w:val="left"/>
              <w:rPr>
                <w:rFonts w:cs="Arial"/>
                <w:b w:val="0"/>
                <w:bCs w:val="0"/>
                <w:szCs w:val="14"/>
              </w:rPr>
            </w:pPr>
            <w:r w:rsidRPr="00284D21">
              <w:rPr>
                <w:rFonts w:cs="Arial"/>
                <w:b w:val="0"/>
                <w:szCs w:val="14"/>
              </w:rPr>
              <w:t>Dividendos/JCP a receber</w:t>
            </w:r>
          </w:p>
        </w:tc>
        <w:tc>
          <w:tcPr>
            <w:tcW w:w="992" w:type="dxa"/>
            <w:tcBorders>
              <w:top w:val="nil"/>
              <w:bottom w:val="nil"/>
            </w:tcBorders>
            <w:shd w:val="clear" w:color="auto" w:fill="auto"/>
            <w:vAlign w:val="center"/>
          </w:tcPr>
          <w:p w14:paraId="0AC49C29" w14:textId="77777777" w:rsidR="00814510" w:rsidRPr="00284D21" w:rsidRDefault="00814510">
            <w:pPr>
              <w:pStyle w:val="07-Legenda"/>
              <w:keepNext/>
              <w:keepLines w:val="0"/>
              <w:jc w:val="center"/>
              <w:cnfStyle w:val="000000010000" w:firstRow="0" w:lastRow="0" w:firstColumn="0" w:lastColumn="0" w:oddVBand="0" w:evenVBand="0" w:oddHBand="0" w:evenHBand="1" w:firstRowFirstColumn="0" w:firstRowLastColumn="0" w:lastRowFirstColumn="0" w:lastRowLastColumn="0"/>
              <w:rPr>
                <w:rFonts w:cs="Arial"/>
                <w:szCs w:val="14"/>
              </w:rPr>
            </w:pPr>
            <w:r w:rsidRPr="00284D21">
              <w:rPr>
                <w:rFonts w:cs="Arial"/>
                <w:szCs w:val="14"/>
              </w:rPr>
              <w:t>[17]</w:t>
            </w:r>
          </w:p>
        </w:tc>
        <w:tc>
          <w:tcPr>
            <w:tcW w:w="1418" w:type="dxa"/>
            <w:tcBorders>
              <w:top w:val="nil"/>
              <w:bottom w:val="nil"/>
            </w:tcBorders>
            <w:shd w:val="clear" w:color="auto" w:fill="auto"/>
            <w:vAlign w:val="center"/>
          </w:tcPr>
          <w:p w14:paraId="33A79348" w14:textId="3F365387" w:rsidR="00814510" w:rsidRPr="00284D21" w:rsidRDefault="00814510">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r w:rsidRPr="003A61BB">
              <w:t>--</w:t>
            </w:r>
          </w:p>
        </w:tc>
        <w:tc>
          <w:tcPr>
            <w:tcW w:w="1134" w:type="dxa"/>
            <w:tcBorders>
              <w:top w:val="nil"/>
              <w:bottom w:val="nil"/>
            </w:tcBorders>
            <w:shd w:val="clear" w:color="auto" w:fill="auto"/>
            <w:vAlign w:val="center"/>
          </w:tcPr>
          <w:p w14:paraId="3ECA0873" w14:textId="09BA1789" w:rsidR="00814510" w:rsidRPr="00284D21" w:rsidRDefault="00814510">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r w:rsidRPr="003A61BB">
              <w:t>--</w:t>
            </w:r>
          </w:p>
        </w:tc>
        <w:tc>
          <w:tcPr>
            <w:tcW w:w="312" w:type="dxa"/>
            <w:tcBorders>
              <w:top w:val="nil"/>
              <w:bottom w:val="nil"/>
            </w:tcBorders>
            <w:shd w:val="clear" w:color="auto" w:fill="auto"/>
            <w:vAlign w:val="center"/>
          </w:tcPr>
          <w:p w14:paraId="67B2EEB4" w14:textId="77777777" w:rsidR="00814510" w:rsidRPr="00284D21" w:rsidRDefault="00814510">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p>
        </w:tc>
        <w:tc>
          <w:tcPr>
            <w:tcW w:w="1105" w:type="dxa"/>
            <w:tcBorders>
              <w:top w:val="nil"/>
              <w:bottom w:val="nil"/>
            </w:tcBorders>
            <w:shd w:val="clear" w:color="auto" w:fill="auto"/>
            <w:vAlign w:val="center"/>
          </w:tcPr>
          <w:p w14:paraId="567C61CE" w14:textId="77777777" w:rsidR="00814510" w:rsidRPr="00284D21" w:rsidRDefault="00814510">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r w:rsidRPr="00284D21">
              <w:rPr>
                <w:rFonts w:cs="Arial"/>
                <w:bCs/>
                <w:szCs w:val="14"/>
              </w:rPr>
              <w:t>444</w:t>
            </w:r>
          </w:p>
        </w:tc>
        <w:tc>
          <w:tcPr>
            <w:tcW w:w="1133" w:type="dxa"/>
            <w:tcBorders>
              <w:top w:val="nil"/>
              <w:bottom w:val="nil"/>
            </w:tcBorders>
            <w:shd w:val="clear" w:color="auto" w:fill="auto"/>
            <w:vAlign w:val="center"/>
          </w:tcPr>
          <w:p w14:paraId="7CC103AF" w14:textId="77777777" w:rsidR="00814510" w:rsidRPr="00BF2AAF" w:rsidRDefault="00814510">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r w:rsidRPr="00284D21">
              <w:rPr>
                <w:rFonts w:cs="Arial"/>
                <w:bCs/>
                <w:szCs w:val="14"/>
              </w:rPr>
              <w:t>--</w:t>
            </w:r>
          </w:p>
        </w:tc>
      </w:tr>
      <w:tr w:rsidR="00814510" w:rsidRPr="00BF2AAF" w14:paraId="7C020BF8"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tcBorders>
              <w:top w:val="nil"/>
              <w:bottom w:val="nil"/>
            </w:tcBorders>
            <w:shd w:val="clear" w:color="auto" w:fill="auto"/>
            <w:vAlign w:val="center"/>
          </w:tcPr>
          <w:p w14:paraId="79388455" w14:textId="77777777" w:rsidR="00814510" w:rsidRPr="00BF2AAF" w:rsidRDefault="00814510">
            <w:pPr>
              <w:pStyle w:val="08-Tabelageral"/>
              <w:keepLines w:val="0"/>
              <w:jc w:val="left"/>
              <w:rPr>
                <w:rFonts w:cs="Arial"/>
                <w:b w:val="0"/>
                <w:bCs w:val="0"/>
                <w:szCs w:val="14"/>
              </w:rPr>
            </w:pPr>
          </w:p>
        </w:tc>
        <w:tc>
          <w:tcPr>
            <w:tcW w:w="992" w:type="dxa"/>
            <w:tcBorders>
              <w:top w:val="nil"/>
              <w:bottom w:val="nil"/>
            </w:tcBorders>
            <w:shd w:val="clear" w:color="auto" w:fill="auto"/>
            <w:vAlign w:val="center"/>
          </w:tcPr>
          <w:p w14:paraId="0839A5C5" w14:textId="77777777" w:rsidR="00814510" w:rsidRPr="00BF2AAF" w:rsidRDefault="00814510">
            <w:pPr>
              <w:pStyle w:val="07-Legenda"/>
              <w:keepNext/>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p>
        </w:tc>
        <w:tc>
          <w:tcPr>
            <w:tcW w:w="1418" w:type="dxa"/>
            <w:tcBorders>
              <w:top w:val="nil"/>
              <w:bottom w:val="nil"/>
            </w:tcBorders>
            <w:shd w:val="clear" w:color="auto" w:fill="auto"/>
            <w:vAlign w:val="center"/>
          </w:tcPr>
          <w:p w14:paraId="269937D5" w14:textId="77777777" w:rsidR="00814510" w:rsidRPr="001A6FDE" w:rsidRDefault="00814510">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highlight w:val="yellow"/>
              </w:rPr>
            </w:pPr>
          </w:p>
        </w:tc>
        <w:tc>
          <w:tcPr>
            <w:tcW w:w="1134" w:type="dxa"/>
            <w:tcBorders>
              <w:top w:val="nil"/>
              <w:bottom w:val="nil"/>
            </w:tcBorders>
            <w:shd w:val="clear" w:color="auto" w:fill="auto"/>
            <w:vAlign w:val="center"/>
          </w:tcPr>
          <w:p w14:paraId="5EFFA1DF" w14:textId="77777777" w:rsidR="00814510" w:rsidRPr="001A6FDE" w:rsidRDefault="00814510">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highlight w:val="yellow"/>
              </w:rPr>
            </w:pPr>
          </w:p>
        </w:tc>
        <w:tc>
          <w:tcPr>
            <w:tcW w:w="312" w:type="dxa"/>
            <w:tcBorders>
              <w:top w:val="nil"/>
              <w:bottom w:val="nil"/>
            </w:tcBorders>
            <w:shd w:val="clear" w:color="auto" w:fill="auto"/>
            <w:vAlign w:val="center"/>
          </w:tcPr>
          <w:p w14:paraId="0FF1CA65" w14:textId="77777777" w:rsidR="00814510" w:rsidRPr="00BF2AAF" w:rsidRDefault="00814510">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p>
        </w:tc>
        <w:tc>
          <w:tcPr>
            <w:tcW w:w="1105" w:type="dxa"/>
            <w:tcBorders>
              <w:top w:val="nil"/>
              <w:bottom w:val="nil"/>
            </w:tcBorders>
            <w:shd w:val="clear" w:color="auto" w:fill="auto"/>
            <w:vAlign w:val="center"/>
          </w:tcPr>
          <w:p w14:paraId="49EE4B20" w14:textId="77777777" w:rsidR="00814510" w:rsidRPr="00BF2AAF" w:rsidRDefault="00814510">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p>
        </w:tc>
        <w:tc>
          <w:tcPr>
            <w:tcW w:w="1133" w:type="dxa"/>
            <w:tcBorders>
              <w:top w:val="nil"/>
              <w:bottom w:val="nil"/>
            </w:tcBorders>
            <w:shd w:val="clear" w:color="auto" w:fill="auto"/>
            <w:vAlign w:val="center"/>
          </w:tcPr>
          <w:p w14:paraId="55C4DA93" w14:textId="77777777" w:rsidR="00814510" w:rsidRPr="00BF2AAF" w:rsidRDefault="00814510">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p>
        </w:tc>
      </w:tr>
      <w:tr w:rsidR="00814510" w:rsidRPr="00BF2AAF" w14:paraId="54B188FA"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tcBorders>
              <w:top w:val="nil"/>
              <w:bottom w:val="nil"/>
            </w:tcBorders>
            <w:shd w:val="clear" w:color="auto" w:fill="auto"/>
            <w:vAlign w:val="center"/>
          </w:tcPr>
          <w:p w14:paraId="75922FBD" w14:textId="77777777" w:rsidR="00814510" w:rsidRPr="00BF2AAF" w:rsidRDefault="00814510">
            <w:pPr>
              <w:pStyle w:val="08-Tabelageral"/>
              <w:keepLines w:val="0"/>
              <w:jc w:val="left"/>
              <w:rPr>
                <w:rFonts w:cs="Arial"/>
                <w:b w:val="0"/>
                <w:bCs w:val="0"/>
                <w:szCs w:val="14"/>
              </w:rPr>
            </w:pPr>
            <w:r w:rsidRPr="00BF2AAF">
              <w:rPr>
                <w:rFonts w:cs="Arial"/>
                <w:b w:val="0"/>
                <w:szCs w:val="14"/>
              </w:rPr>
              <w:t>PASSIVOS</w:t>
            </w:r>
          </w:p>
        </w:tc>
        <w:tc>
          <w:tcPr>
            <w:tcW w:w="992" w:type="dxa"/>
            <w:tcBorders>
              <w:top w:val="nil"/>
              <w:bottom w:val="nil"/>
            </w:tcBorders>
            <w:shd w:val="clear" w:color="auto" w:fill="auto"/>
            <w:vAlign w:val="center"/>
          </w:tcPr>
          <w:p w14:paraId="043E4F3D" w14:textId="77777777" w:rsidR="00814510" w:rsidRPr="00BF2AAF" w:rsidRDefault="00814510">
            <w:pPr>
              <w:pStyle w:val="07-Legenda"/>
              <w:keepNext/>
              <w:keepLines w:val="0"/>
              <w:jc w:val="center"/>
              <w:cnfStyle w:val="000000010000" w:firstRow="0" w:lastRow="0" w:firstColumn="0" w:lastColumn="0" w:oddVBand="0" w:evenVBand="0" w:oddHBand="0" w:evenHBand="1" w:firstRowFirstColumn="0" w:firstRowLastColumn="0" w:lastRowFirstColumn="0" w:lastRowLastColumn="0"/>
              <w:rPr>
                <w:rFonts w:cs="Arial"/>
                <w:szCs w:val="14"/>
              </w:rPr>
            </w:pPr>
          </w:p>
        </w:tc>
        <w:tc>
          <w:tcPr>
            <w:tcW w:w="1418" w:type="dxa"/>
            <w:tcBorders>
              <w:top w:val="nil"/>
              <w:bottom w:val="nil"/>
            </w:tcBorders>
            <w:shd w:val="clear" w:color="auto" w:fill="auto"/>
            <w:vAlign w:val="center"/>
          </w:tcPr>
          <w:p w14:paraId="65728816" w14:textId="77777777" w:rsidR="00814510" w:rsidRPr="001A6FDE" w:rsidRDefault="00814510">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highlight w:val="yellow"/>
              </w:rPr>
            </w:pPr>
          </w:p>
        </w:tc>
        <w:tc>
          <w:tcPr>
            <w:tcW w:w="1134" w:type="dxa"/>
            <w:tcBorders>
              <w:top w:val="nil"/>
              <w:bottom w:val="nil"/>
            </w:tcBorders>
            <w:shd w:val="clear" w:color="auto" w:fill="auto"/>
            <w:vAlign w:val="center"/>
          </w:tcPr>
          <w:p w14:paraId="75DBA548" w14:textId="77777777" w:rsidR="00814510" w:rsidRPr="001A6FDE" w:rsidRDefault="00814510">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highlight w:val="yellow"/>
              </w:rPr>
            </w:pPr>
          </w:p>
        </w:tc>
        <w:tc>
          <w:tcPr>
            <w:tcW w:w="312" w:type="dxa"/>
            <w:tcBorders>
              <w:top w:val="nil"/>
              <w:bottom w:val="nil"/>
            </w:tcBorders>
            <w:shd w:val="clear" w:color="auto" w:fill="auto"/>
            <w:vAlign w:val="center"/>
          </w:tcPr>
          <w:p w14:paraId="0660AD93" w14:textId="77777777" w:rsidR="00814510" w:rsidRPr="00BF2AAF" w:rsidRDefault="00814510">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p>
        </w:tc>
        <w:tc>
          <w:tcPr>
            <w:tcW w:w="1105" w:type="dxa"/>
            <w:tcBorders>
              <w:top w:val="nil"/>
              <w:bottom w:val="nil"/>
            </w:tcBorders>
            <w:shd w:val="clear" w:color="auto" w:fill="auto"/>
            <w:vAlign w:val="center"/>
          </w:tcPr>
          <w:p w14:paraId="45EFA1F7" w14:textId="77777777" w:rsidR="00814510" w:rsidRPr="00BF2AAF" w:rsidRDefault="00814510">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p>
        </w:tc>
        <w:tc>
          <w:tcPr>
            <w:tcW w:w="1133" w:type="dxa"/>
            <w:tcBorders>
              <w:top w:val="nil"/>
              <w:bottom w:val="nil"/>
            </w:tcBorders>
            <w:shd w:val="clear" w:color="auto" w:fill="auto"/>
            <w:vAlign w:val="center"/>
          </w:tcPr>
          <w:p w14:paraId="1525581A" w14:textId="77777777" w:rsidR="00814510" w:rsidRPr="00BF2AAF" w:rsidRDefault="00814510">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p>
        </w:tc>
      </w:tr>
      <w:tr w:rsidR="00814510" w:rsidRPr="00E44042" w14:paraId="5CCF0935"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tcBorders>
              <w:top w:val="nil"/>
              <w:bottom w:val="nil"/>
            </w:tcBorders>
            <w:shd w:val="clear" w:color="auto" w:fill="auto"/>
            <w:vAlign w:val="center"/>
          </w:tcPr>
          <w:p w14:paraId="39E0CD1E" w14:textId="77777777" w:rsidR="00814510" w:rsidRPr="00E44042" w:rsidRDefault="00814510">
            <w:pPr>
              <w:pStyle w:val="08-Tabelageral"/>
              <w:keepLines w:val="0"/>
              <w:jc w:val="left"/>
              <w:rPr>
                <w:rFonts w:cs="Arial"/>
                <w:b w:val="0"/>
                <w:bCs w:val="0"/>
                <w:szCs w:val="14"/>
              </w:rPr>
            </w:pPr>
            <w:r w:rsidRPr="00E44042">
              <w:rPr>
                <w:rFonts w:cs="Arial"/>
                <w:b w:val="0"/>
                <w:szCs w:val="14"/>
              </w:rPr>
              <w:t>Obrigações societárias e estatutárias</w:t>
            </w:r>
          </w:p>
        </w:tc>
        <w:tc>
          <w:tcPr>
            <w:tcW w:w="992" w:type="dxa"/>
            <w:tcBorders>
              <w:top w:val="nil"/>
              <w:bottom w:val="nil"/>
            </w:tcBorders>
            <w:shd w:val="clear" w:color="auto" w:fill="auto"/>
            <w:vAlign w:val="center"/>
          </w:tcPr>
          <w:p w14:paraId="0029B9C4" w14:textId="77777777" w:rsidR="00814510" w:rsidRPr="00E44042" w:rsidRDefault="00814510">
            <w:pPr>
              <w:pStyle w:val="07-Legenda"/>
              <w:keepNext/>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r w:rsidRPr="00E44042">
              <w:rPr>
                <w:rFonts w:cs="Arial"/>
                <w:szCs w:val="14"/>
              </w:rPr>
              <w:t>[21]</w:t>
            </w:r>
          </w:p>
        </w:tc>
        <w:tc>
          <w:tcPr>
            <w:tcW w:w="1418" w:type="dxa"/>
            <w:tcBorders>
              <w:top w:val="nil"/>
              <w:bottom w:val="nil"/>
            </w:tcBorders>
            <w:shd w:val="clear" w:color="auto" w:fill="auto"/>
            <w:vAlign w:val="center"/>
          </w:tcPr>
          <w:p w14:paraId="5BC83AB7" w14:textId="76614999" w:rsidR="00814510" w:rsidRPr="00E44042" w:rsidRDefault="004832D4">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D92827">
              <w:t>4.411.346</w:t>
            </w:r>
          </w:p>
        </w:tc>
        <w:tc>
          <w:tcPr>
            <w:tcW w:w="1134" w:type="dxa"/>
            <w:tcBorders>
              <w:top w:val="nil"/>
              <w:bottom w:val="nil"/>
            </w:tcBorders>
            <w:shd w:val="clear" w:color="auto" w:fill="auto"/>
            <w:vAlign w:val="center"/>
          </w:tcPr>
          <w:p w14:paraId="2B816642" w14:textId="050A2F61" w:rsidR="00814510" w:rsidRPr="00E44042" w:rsidRDefault="00814510">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D92827">
              <w:t>--</w:t>
            </w:r>
          </w:p>
        </w:tc>
        <w:tc>
          <w:tcPr>
            <w:tcW w:w="312" w:type="dxa"/>
            <w:tcBorders>
              <w:top w:val="nil"/>
              <w:bottom w:val="nil"/>
            </w:tcBorders>
            <w:shd w:val="clear" w:color="auto" w:fill="auto"/>
            <w:vAlign w:val="center"/>
          </w:tcPr>
          <w:p w14:paraId="1E3CC9CB" w14:textId="77777777" w:rsidR="00814510" w:rsidRPr="00E44042" w:rsidRDefault="00814510">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p>
        </w:tc>
        <w:tc>
          <w:tcPr>
            <w:tcW w:w="1105" w:type="dxa"/>
            <w:tcBorders>
              <w:top w:val="nil"/>
              <w:bottom w:val="nil"/>
            </w:tcBorders>
            <w:shd w:val="clear" w:color="auto" w:fill="auto"/>
            <w:vAlign w:val="center"/>
          </w:tcPr>
          <w:p w14:paraId="1D164618" w14:textId="77777777" w:rsidR="00814510" w:rsidRPr="00E44042" w:rsidRDefault="00814510">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E44042">
              <w:rPr>
                <w:rFonts w:cs="Arial"/>
                <w:szCs w:val="14"/>
              </w:rPr>
              <w:t>2.455.309</w:t>
            </w:r>
          </w:p>
        </w:tc>
        <w:tc>
          <w:tcPr>
            <w:tcW w:w="1133" w:type="dxa"/>
            <w:tcBorders>
              <w:top w:val="nil"/>
              <w:bottom w:val="nil"/>
            </w:tcBorders>
            <w:shd w:val="clear" w:color="auto" w:fill="auto"/>
            <w:vAlign w:val="center"/>
          </w:tcPr>
          <w:p w14:paraId="7A8BB5EC" w14:textId="77777777" w:rsidR="00814510" w:rsidRPr="00E44042" w:rsidRDefault="00814510">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E44042">
              <w:rPr>
                <w:rFonts w:cs="Arial"/>
                <w:szCs w:val="14"/>
              </w:rPr>
              <w:t>--</w:t>
            </w:r>
          </w:p>
        </w:tc>
      </w:tr>
      <w:tr w:rsidR="00814510" w:rsidRPr="00E44042" w14:paraId="184BEC49"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tcBorders>
              <w:top w:val="nil"/>
              <w:bottom w:val="nil"/>
            </w:tcBorders>
            <w:shd w:val="clear" w:color="auto" w:fill="auto"/>
            <w:vAlign w:val="center"/>
          </w:tcPr>
          <w:p w14:paraId="0DA11471" w14:textId="77777777" w:rsidR="00814510" w:rsidRPr="00E44042" w:rsidRDefault="00814510">
            <w:pPr>
              <w:pStyle w:val="08-Tabelageral"/>
              <w:keepLines w:val="0"/>
              <w:jc w:val="left"/>
              <w:rPr>
                <w:rFonts w:cs="Arial"/>
                <w:b w:val="0"/>
                <w:bCs w:val="0"/>
                <w:szCs w:val="14"/>
              </w:rPr>
            </w:pPr>
            <w:r w:rsidRPr="00E44042">
              <w:rPr>
                <w:rFonts w:cs="Arial"/>
                <w:b w:val="0"/>
                <w:szCs w:val="14"/>
              </w:rPr>
              <w:t xml:space="preserve">Passivos por </w:t>
            </w:r>
            <w:r>
              <w:rPr>
                <w:rFonts w:cs="Arial"/>
                <w:b w:val="0"/>
                <w:szCs w:val="14"/>
              </w:rPr>
              <w:t>tributos</w:t>
            </w:r>
            <w:r w:rsidRPr="00E44042">
              <w:rPr>
                <w:rFonts w:cs="Arial"/>
                <w:b w:val="0"/>
                <w:szCs w:val="14"/>
              </w:rPr>
              <w:t xml:space="preserve"> correntes</w:t>
            </w:r>
          </w:p>
        </w:tc>
        <w:tc>
          <w:tcPr>
            <w:tcW w:w="992" w:type="dxa"/>
            <w:tcBorders>
              <w:top w:val="nil"/>
              <w:bottom w:val="nil"/>
            </w:tcBorders>
            <w:shd w:val="clear" w:color="auto" w:fill="auto"/>
            <w:vAlign w:val="center"/>
          </w:tcPr>
          <w:p w14:paraId="7799F2E3" w14:textId="77777777" w:rsidR="00814510" w:rsidRPr="00E44042" w:rsidRDefault="00814510">
            <w:pPr>
              <w:pStyle w:val="07-Legenda"/>
              <w:keepNext/>
              <w:keepLines w:val="0"/>
              <w:jc w:val="center"/>
              <w:cnfStyle w:val="000000010000" w:firstRow="0" w:lastRow="0" w:firstColumn="0" w:lastColumn="0" w:oddVBand="0" w:evenVBand="0" w:oddHBand="0" w:evenHBand="1" w:firstRowFirstColumn="0" w:firstRowLastColumn="0" w:lastRowFirstColumn="0" w:lastRowLastColumn="0"/>
              <w:rPr>
                <w:rFonts w:cs="Arial"/>
                <w:szCs w:val="14"/>
              </w:rPr>
            </w:pPr>
            <w:r w:rsidRPr="00E44042">
              <w:rPr>
                <w:rFonts w:cs="Arial"/>
                <w:szCs w:val="14"/>
              </w:rPr>
              <w:t>[12.g]</w:t>
            </w:r>
          </w:p>
        </w:tc>
        <w:tc>
          <w:tcPr>
            <w:tcW w:w="1418" w:type="dxa"/>
            <w:tcBorders>
              <w:top w:val="nil"/>
              <w:bottom w:val="nil"/>
            </w:tcBorders>
            <w:shd w:val="clear" w:color="auto" w:fill="auto"/>
            <w:vAlign w:val="center"/>
          </w:tcPr>
          <w:p w14:paraId="6807E560" w14:textId="0C55F23F" w:rsidR="00814510" w:rsidRPr="00E44042" w:rsidRDefault="004832D4">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r w:rsidRPr="00D92827">
              <w:t>1.117.805</w:t>
            </w:r>
          </w:p>
        </w:tc>
        <w:tc>
          <w:tcPr>
            <w:tcW w:w="1134" w:type="dxa"/>
            <w:tcBorders>
              <w:top w:val="nil"/>
              <w:bottom w:val="nil"/>
            </w:tcBorders>
            <w:shd w:val="clear" w:color="auto" w:fill="auto"/>
            <w:vAlign w:val="center"/>
          </w:tcPr>
          <w:p w14:paraId="11F777E8" w14:textId="6E748281" w:rsidR="00814510" w:rsidRPr="00E44042" w:rsidRDefault="00814510">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r w:rsidRPr="00D92827">
              <w:t>--</w:t>
            </w:r>
          </w:p>
        </w:tc>
        <w:tc>
          <w:tcPr>
            <w:tcW w:w="312" w:type="dxa"/>
            <w:tcBorders>
              <w:top w:val="nil"/>
              <w:bottom w:val="nil"/>
            </w:tcBorders>
            <w:shd w:val="clear" w:color="auto" w:fill="auto"/>
            <w:vAlign w:val="center"/>
          </w:tcPr>
          <w:p w14:paraId="5DBFC590" w14:textId="77777777" w:rsidR="00814510" w:rsidRPr="00E44042" w:rsidRDefault="00814510">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p>
        </w:tc>
        <w:tc>
          <w:tcPr>
            <w:tcW w:w="1105" w:type="dxa"/>
            <w:tcBorders>
              <w:top w:val="nil"/>
              <w:bottom w:val="nil"/>
            </w:tcBorders>
            <w:shd w:val="clear" w:color="auto" w:fill="auto"/>
            <w:vAlign w:val="center"/>
          </w:tcPr>
          <w:p w14:paraId="210B0DB1" w14:textId="77777777" w:rsidR="00814510" w:rsidRPr="00E44042" w:rsidRDefault="00814510">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r w:rsidRPr="00E44042">
              <w:rPr>
                <w:rFonts w:cs="Arial"/>
                <w:bCs/>
                <w:szCs w:val="14"/>
              </w:rPr>
              <w:t>950.663</w:t>
            </w:r>
          </w:p>
        </w:tc>
        <w:tc>
          <w:tcPr>
            <w:tcW w:w="1133" w:type="dxa"/>
            <w:tcBorders>
              <w:top w:val="nil"/>
              <w:bottom w:val="nil"/>
            </w:tcBorders>
            <w:shd w:val="clear" w:color="auto" w:fill="auto"/>
            <w:vAlign w:val="center"/>
          </w:tcPr>
          <w:p w14:paraId="4018F3C0" w14:textId="77777777" w:rsidR="00814510" w:rsidRPr="00E44042" w:rsidRDefault="00814510">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r w:rsidRPr="00E44042">
              <w:rPr>
                <w:rFonts w:cs="Arial"/>
                <w:bCs/>
                <w:szCs w:val="14"/>
              </w:rPr>
              <w:t>--</w:t>
            </w:r>
          </w:p>
        </w:tc>
      </w:tr>
      <w:tr w:rsidR="00814510" w:rsidRPr="00E44042" w14:paraId="6F696A06"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tcBorders>
              <w:top w:val="nil"/>
              <w:bottom w:val="nil"/>
            </w:tcBorders>
            <w:shd w:val="clear" w:color="auto" w:fill="auto"/>
            <w:vAlign w:val="center"/>
          </w:tcPr>
          <w:p w14:paraId="33B476B3" w14:textId="77777777" w:rsidR="00814510" w:rsidRPr="00E44042" w:rsidRDefault="00814510">
            <w:pPr>
              <w:pStyle w:val="08-Tabelageral"/>
              <w:keepLines w:val="0"/>
              <w:jc w:val="left"/>
              <w:rPr>
                <w:rFonts w:cs="Arial"/>
                <w:b w:val="0"/>
                <w:bCs w:val="0"/>
                <w:szCs w:val="14"/>
              </w:rPr>
            </w:pPr>
            <w:r w:rsidRPr="00E44042">
              <w:rPr>
                <w:rFonts w:cs="Arial"/>
                <w:b w:val="0"/>
                <w:szCs w:val="14"/>
              </w:rPr>
              <w:t xml:space="preserve">Comissões a apropriar </w:t>
            </w:r>
            <w:r w:rsidRPr="00E44042">
              <w:rPr>
                <w:rFonts w:cs="Arial"/>
                <w:b w:val="0"/>
                <w:szCs w:val="14"/>
                <w:vertAlign w:val="superscript"/>
              </w:rPr>
              <w:t>(1)</w:t>
            </w:r>
          </w:p>
        </w:tc>
        <w:tc>
          <w:tcPr>
            <w:tcW w:w="992" w:type="dxa"/>
            <w:tcBorders>
              <w:top w:val="nil"/>
              <w:bottom w:val="nil"/>
            </w:tcBorders>
            <w:shd w:val="clear" w:color="auto" w:fill="auto"/>
            <w:vAlign w:val="center"/>
          </w:tcPr>
          <w:p w14:paraId="2D3A8420" w14:textId="77777777" w:rsidR="00814510" w:rsidRPr="00E44042" w:rsidRDefault="00814510">
            <w:pPr>
              <w:pStyle w:val="07-Legenda"/>
              <w:keepNext/>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r w:rsidRPr="00E44042">
              <w:rPr>
                <w:rFonts w:cs="Arial"/>
                <w:szCs w:val="14"/>
              </w:rPr>
              <w:t>[23]</w:t>
            </w:r>
          </w:p>
        </w:tc>
        <w:tc>
          <w:tcPr>
            <w:tcW w:w="1418" w:type="dxa"/>
            <w:tcBorders>
              <w:top w:val="nil"/>
              <w:bottom w:val="nil"/>
            </w:tcBorders>
            <w:shd w:val="clear" w:color="auto" w:fill="auto"/>
            <w:vAlign w:val="center"/>
          </w:tcPr>
          <w:p w14:paraId="38EB83F6" w14:textId="7B7EEC56" w:rsidR="00814510" w:rsidRPr="00E44042" w:rsidRDefault="004832D4">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D92827">
              <w:t>2.627.914</w:t>
            </w:r>
          </w:p>
        </w:tc>
        <w:tc>
          <w:tcPr>
            <w:tcW w:w="1134" w:type="dxa"/>
            <w:tcBorders>
              <w:top w:val="nil"/>
              <w:bottom w:val="nil"/>
            </w:tcBorders>
            <w:shd w:val="clear" w:color="auto" w:fill="auto"/>
            <w:vAlign w:val="center"/>
          </w:tcPr>
          <w:p w14:paraId="3E324105" w14:textId="09C74DFD" w:rsidR="00814510" w:rsidRPr="00E44042" w:rsidRDefault="004832D4">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D92827">
              <w:t>3.391.326</w:t>
            </w:r>
          </w:p>
        </w:tc>
        <w:tc>
          <w:tcPr>
            <w:tcW w:w="312" w:type="dxa"/>
            <w:tcBorders>
              <w:top w:val="nil"/>
              <w:bottom w:val="nil"/>
            </w:tcBorders>
            <w:shd w:val="clear" w:color="auto" w:fill="auto"/>
            <w:vAlign w:val="center"/>
          </w:tcPr>
          <w:p w14:paraId="28F52FB0" w14:textId="77777777" w:rsidR="00814510" w:rsidRPr="00E44042" w:rsidRDefault="00814510">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p>
        </w:tc>
        <w:tc>
          <w:tcPr>
            <w:tcW w:w="1105" w:type="dxa"/>
            <w:tcBorders>
              <w:top w:val="nil"/>
              <w:bottom w:val="nil"/>
            </w:tcBorders>
            <w:shd w:val="clear" w:color="auto" w:fill="auto"/>
            <w:vAlign w:val="center"/>
          </w:tcPr>
          <w:p w14:paraId="613348BB" w14:textId="77777777" w:rsidR="00814510" w:rsidRPr="00E44042" w:rsidRDefault="00814510">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E44042">
              <w:rPr>
                <w:rFonts w:cs="Arial"/>
                <w:szCs w:val="14"/>
              </w:rPr>
              <w:t>1.952.798</w:t>
            </w:r>
          </w:p>
        </w:tc>
        <w:tc>
          <w:tcPr>
            <w:tcW w:w="1133" w:type="dxa"/>
            <w:tcBorders>
              <w:top w:val="nil"/>
              <w:bottom w:val="nil"/>
            </w:tcBorders>
            <w:shd w:val="clear" w:color="auto" w:fill="auto"/>
            <w:vAlign w:val="center"/>
          </w:tcPr>
          <w:p w14:paraId="077A06F4" w14:textId="77777777" w:rsidR="00814510" w:rsidRPr="00E44042" w:rsidRDefault="00814510">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E44042">
              <w:rPr>
                <w:rFonts w:cs="Arial"/>
                <w:szCs w:val="14"/>
              </w:rPr>
              <w:t>2.735.359</w:t>
            </w:r>
          </w:p>
        </w:tc>
      </w:tr>
      <w:tr w:rsidR="00814510" w:rsidRPr="00BF2AAF" w14:paraId="7857B7A2"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tcBorders>
              <w:top w:val="nil"/>
              <w:bottom w:val="single" w:sz="2" w:space="0" w:color="1F3864" w:themeColor="accent1" w:themeShade="80"/>
            </w:tcBorders>
            <w:shd w:val="clear" w:color="auto" w:fill="auto"/>
            <w:vAlign w:val="center"/>
          </w:tcPr>
          <w:p w14:paraId="3A15488A" w14:textId="77777777" w:rsidR="00814510" w:rsidRPr="00E44042" w:rsidRDefault="00814510">
            <w:pPr>
              <w:pStyle w:val="08-Tabelageral"/>
              <w:keepLines w:val="0"/>
              <w:jc w:val="left"/>
              <w:rPr>
                <w:rFonts w:cs="Arial"/>
                <w:b w:val="0"/>
                <w:bCs w:val="0"/>
                <w:szCs w:val="14"/>
              </w:rPr>
            </w:pPr>
            <w:r w:rsidRPr="00E44042">
              <w:rPr>
                <w:rFonts w:cs="Arial"/>
                <w:b w:val="0"/>
                <w:szCs w:val="14"/>
              </w:rPr>
              <w:t>Outros passivos</w:t>
            </w:r>
          </w:p>
        </w:tc>
        <w:tc>
          <w:tcPr>
            <w:tcW w:w="992" w:type="dxa"/>
            <w:tcBorders>
              <w:top w:val="nil"/>
              <w:bottom w:val="single" w:sz="2" w:space="0" w:color="1F3864" w:themeColor="accent1" w:themeShade="80"/>
            </w:tcBorders>
            <w:shd w:val="clear" w:color="auto" w:fill="auto"/>
            <w:vAlign w:val="center"/>
          </w:tcPr>
          <w:p w14:paraId="5D8CA063" w14:textId="77777777" w:rsidR="00814510" w:rsidRPr="00E44042" w:rsidRDefault="00814510">
            <w:pPr>
              <w:pStyle w:val="07-Legenda"/>
              <w:keepNext/>
              <w:keepLines w:val="0"/>
              <w:jc w:val="center"/>
              <w:cnfStyle w:val="000000010000" w:firstRow="0" w:lastRow="0" w:firstColumn="0" w:lastColumn="0" w:oddVBand="0" w:evenVBand="0" w:oddHBand="0" w:evenHBand="1" w:firstRowFirstColumn="0" w:firstRowLastColumn="0" w:lastRowFirstColumn="0" w:lastRowLastColumn="0"/>
              <w:rPr>
                <w:rFonts w:cs="Arial"/>
                <w:szCs w:val="14"/>
              </w:rPr>
            </w:pPr>
            <w:r w:rsidRPr="00E44042">
              <w:rPr>
                <w:rFonts w:cs="Arial"/>
                <w:szCs w:val="14"/>
              </w:rPr>
              <w:t>[24]</w:t>
            </w:r>
          </w:p>
        </w:tc>
        <w:tc>
          <w:tcPr>
            <w:tcW w:w="1418" w:type="dxa"/>
            <w:tcBorders>
              <w:top w:val="nil"/>
              <w:bottom w:val="single" w:sz="2" w:space="0" w:color="1F3864" w:themeColor="accent1" w:themeShade="80"/>
            </w:tcBorders>
            <w:shd w:val="clear" w:color="auto" w:fill="auto"/>
            <w:vAlign w:val="center"/>
          </w:tcPr>
          <w:p w14:paraId="76F1D007" w14:textId="46D026BA" w:rsidR="00814510" w:rsidRPr="00E44042" w:rsidRDefault="004832D4">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r w:rsidRPr="00D92827">
              <w:t>92.781</w:t>
            </w:r>
          </w:p>
        </w:tc>
        <w:tc>
          <w:tcPr>
            <w:tcW w:w="1134" w:type="dxa"/>
            <w:tcBorders>
              <w:top w:val="nil"/>
              <w:bottom w:val="single" w:sz="2" w:space="0" w:color="1F3864" w:themeColor="accent1" w:themeShade="80"/>
            </w:tcBorders>
            <w:shd w:val="clear" w:color="auto" w:fill="auto"/>
            <w:vAlign w:val="center"/>
          </w:tcPr>
          <w:p w14:paraId="35C6831F" w14:textId="25A863FF" w:rsidR="00814510" w:rsidRPr="00E44042" w:rsidRDefault="00814510">
            <w:pPr>
              <w:pStyle w:val="07-Legenda"/>
              <w:ind w:left="0" w:firstLine="0"/>
              <w:jc w:val="right"/>
              <w:cnfStyle w:val="000000010000" w:firstRow="0" w:lastRow="0" w:firstColumn="0" w:lastColumn="0" w:oddVBand="0" w:evenVBand="0" w:oddHBand="0" w:evenHBand="1" w:firstRowFirstColumn="0" w:firstRowLastColumn="0" w:lastRowFirstColumn="0" w:lastRowLastColumn="0"/>
              <w:rPr>
                <w:rFonts w:cs="Arial"/>
                <w:szCs w:val="14"/>
              </w:rPr>
            </w:pPr>
            <w:r w:rsidRPr="00D92827">
              <w:t>--</w:t>
            </w:r>
          </w:p>
        </w:tc>
        <w:tc>
          <w:tcPr>
            <w:tcW w:w="312" w:type="dxa"/>
            <w:tcBorders>
              <w:top w:val="nil"/>
              <w:bottom w:val="single" w:sz="2" w:space="0" w:color="1F3864" w:themeColor="accent1" w:themeShade="80"/>
            </w:tcBorders>
            <w:shd w:val="clear" w:color="auto" w:fill="auto"/>
            <w:vAlign w:val="center"/>
          </w:tcPr>
          <w:p w14:paraId="1BA1095E" w14:textId="77777777" w:rsidR="00814510" w:rsidRPr="00E44042" w:rsidRDefault="00814510">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p>
        </w:tc>
        <w:tc>
          <w:tcPr>
            <w:tcW w:w="1105" w:type="dxa"/>
            <w:tcBorders>
              <w:top w:val="nil"/>
              <w:bottom w:val="single" w:sz="2" w:space="0" w:color="1F3864" w:themeColor="accent1" w:themeShade="80"/>
            </w:tcBorders>
            <w:shd w:val="clear" w:color="auto" w:fill="auto"/>
            <w:vAlign w:val="center"/>
          </w:tcPr>
          <w:p w14:paraId="0BF10B1B" w14:textId="77777777" w:rsidR="00814510" w:rsidRPr="00E44042" w:rsidRDefault="00814510">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r w:rsidRPr="00E44042">
              <w:rPr>
                <w:rFonts w:cs="Arial"/>
                <w:bCs/>
                <w:szCs w:val="14"/>
              </w:rPr>
              <w:t>103.447</w:t>
            </w:r>
          </w:p>
        </w:tc>
        <w:tc>
          <w:tcPr>
            <w:tcW w:w="1133" w:type="dxa"/>
            <w:tcBorders>
              <w:top w:val="nil"/>
              <w:bottom w:val="single" w:sz="2" w:space="0" w:color="1F3864" w:themeColor="accent1" w:themeShade="80"/>
            </w:tcBorders>
            <w:shd w:val="clear" w:color="auto" w:fill="auto"/>
            <w:vAlign w:val="center"/>
          </w:tcPr>
          <w:p w14:paraId="3943C7E0" w14:textId="77777777" w:rsidR="00814510" w:rsidRPr="00BF2AAF" w:rsidRDefault="00814510">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r w:rsidRPr="00E44042">
              <w:rPr>
                <w:rFonts w:cs="Arial"/>
                <w:bCs/>
                <w:szCs w:val="14"/>
              </w:rPr>
              <w:t>--</w:t>
            </w:r>
          </w:p>
        </w:tc>
      </w:tr>
    </w:tbl>
    <w:p w14:paraId="582CCB32" w14:textId="77777777" w:rsidR="00814510" w:rsidRPr="00BF2AAF" w:rsidRDefault="00814510" w:rsidP="00814510">
      <w:pPr>
        <w:pStyle w:val="05-Textonormal"/>
        <w:numPr>
          <w:ilvl w:val="0"/>
          <w:numId w:val="47"/>
        </w:numPr>
        <w:spacing w:before="40" w:after="0" w:line="240" w:lineRule="auto"/>
        <w:ind w:left="284" w:hanging="284"/>
        <w:rPr>
          <w:rFonts w:cs="Arial"/>
          <w:bCs/>
          <w:color w:val="000000" w:themeColor="text1"/>
          <w:sz w:val="14"/>
          <w:szCs w:val="14"/>
        </w:rPr>
      </w:pPr>
      <w:r w:rsidRPr="00BF2AAF">
        <w:rPr>
          <w:rStyle w:val="normaltextrun"/>
          <w:rFonts w:cs="Arial"/>
          <w:color w:val="000000" w:themeColor="text1"/>
          <w:sz w:val="14"/>
          <w:szCs w:val="14"/>
          <w:shd w:val="clear" w:color="auto" w:fill="FFFFFF"/>
        </w:rPr>
        <w:t>As comissões a apropriar referem-se às receitas de corretagem a serem reconhecidas ao longo da vigência dos contratos de seguros, e cujos valores correspondentes são recebidos, em grande parte, antes desse prazo. Portanto, em geral, as comissões a apropriar não representam valores a serem desembolsados e, consequentemente, não geram impactos relevantes na liquidez da Companhia.</w:t>
      </w:r>
      <w:r w:rsidRPr="00BF2AAF">
        <w:rPr>
          <w:rStyle w:val="eop"/>
          <w:rFonts w:cs="Arial"/>
          <w:color w:val="000000" w:themeColor="text1"/>
          <w:sz w:val="14"/>
          <w:szCs w:val="14"/>
          <w:shd w:val="clear" w:color="auto" w:fill="FFFFFF"/>
        </w:rPr>
        <w:t> </w:t>
      </w:r>
    </w:p>
    <w:p w14:paraId="497C150E" w14:textId="77777777" w:rsidR="00814510" w:rsidRPr="00BF2AAF" w:rsidRDefault="00814510" w:rsidP="00514594">
      <w:pPr>
        <w:pStyle w:val="05-Textonormal"/>
        <w:pageBreakBefore/>
        <w:rPr>
          <w:rFonts w:cs="Arial"/>
          <w:b/>
          <w:color w:val="1F3864" w:themeColor="accent1" w:themeShade="80"/>
        </w:rPr>
      </w:pPr>
      <w:r w:rsidRPr="00BF2AAF">
        <w:rPr>
          <w:rFonts w:cs="Arial"/>
          <w:b/>
          <w:color w:val="1F3864" w:themeColor="accent1" w:themeShade="80"/>
        </w:rPr>
        <w:lastRenderedPageBreak/>
        <w:t>b) Governança de riscos aplicada às sociedades investidas</w:t>
      </w:r>
    </w:p>
    <w:p w14:paraId="38409666" w14:textId="77777777" w:rsidR="00814510" w:rsidRPr="00BF2AAF" w:rsidRDefault="00814510" w:rsidP="00814510">
      <w:pPr>
        <w:pStyle w:val="05-Textonormal"/>
        <w:rPr>
          <w:rFonts w:cs="Arial"/>
          <w:color w:val="000000" w:themeColor="text1"/>
        </w:rPr>
      </w:pPr>
      <w:bookmarkStart w:id="44" w:name="_Hlk125378427"/>
      <w:r w:rsidRPr="00BF2AAF">
        <w:rPr>
          <w:rFonts w:cs="Arial"/>
          <w:color w:val="000000" w:themeColor="text1"/>
        </w:rPr>
        <w:t>As sociedades investidas da BB Seguridade possuem estruturas próprias de gerenciamento de riscos compatíveis com a natureza e complexidade de seus negócios, sendo que as reguladas pela Superintendência de Seguros Privados (Susep) atendem aos requisitos definidos pelo regulador, estabelecidos nas Resoluções CNSP nº 416/2021 e CNSP nº 432/2021 e alterações posteriores e na Circular Susep n°648/2021 e alterações posteriores. Para companhias reguladas pela Agência Nacional de Saúde Suplementar (ANS), aplica-se a Resolução Normativa nº 518/2022 e alterações posteriores que dispõe sobre adoção de práticas mínimas de governança corporativa com ênfase em controles internos e gestão de riscos, para fins de solvência das operadoras de planos de assistência à saúde.</w:t>
      </w:r>
      <w:bookmarkEnd w:id="44"/>
    </w:p>
    <w:p w14:paraId="20D69881" w14:textId="77777777" w:rsidR="00814510" w:rsidRPr="00BF2AAF" w:rsidRDefault="00814510" w:rsidP="00814510">
      <w:pPr>
        <w:pStyle w:val="05-Textonormal"/>
        <w:rPr>
          <w:rFonts w:cs="Arial"/>
          <w:color w:val="000000" w:themeColor="text1"/>
        </w:rPr>
      </w:pPr>
      <w:bookmarkStart w:id="45" w:name="_Hlk125495176"/>
      <w:r w:rsidRPr="00BF2AAF">
        <w:rPr>
          <w:rFonts w:cs="Arial"/>
          <w:color w:val="000000" w:themeColor="text1"/>
        </w:rPr>
        <w:t xml:space="preserve">A Resolução CNSP n°416/2021 </w:t>
      </w:r>
      <w:bookmarkStart w:id="46" w:name="_Hlk125495257"/>
      <w:bookmarkEnd w:id="45"/>
      <w:r w:rsidRPr="00BF2AAF">
        <w:rPr>
          <w:rFonts w:cs="Arial"/>
          <w:color w:val="000000" w:themeColor="text1"/>
        </w:rPr>
        <w:t xml:space="preserve">e alterações posteriores </w:t>
      </w:r>
      <w:r w:rsidRPr="00BF2AAF">
        <w:rPr>
          <w:rFonts w:cs="Arial"/>
        </w:rPr>
        <w:t>dispõe sobre o Sistema de Controles Internos, a Estrutura de Gestão de Riscos e a atividade de Auditoria Interna, estabelecendo a obrigatoriedade de Diretor estatutário responsável pelos controles internos e conformidade</w:t>
      </w:r>
      <w:bookmarkEnd w:id="46"/>
      <w:r w:rsidRPr="00BF2AAF">
        <w:rPr>
          <w:rFonts w:cs="Arial"/>
        </w:rPr>
        <w:t>, de Políticas específicas referentes aos riscos geridos e de Comitê de Riscos estatutário com participação de maioria de membros independentes</w:t>
      </w:r>
      <w:r w:rsidRPr="00BF2AAF">
        <w:rPr>
          <w:rFonts w:cs="Arial"/>
          <w:color w:val="000000" w:themeColor="text1"/>
        </w:rPr>
        <w:t xml:space="preserve">. </w:t>
      </w:r>
    </w:p>
    <w:p w14:paraId="63A55159" w14:textId="77777777" w:rsidR="00814510" w:rsidRPr="00BF2AAF" w:rsidRDefault="00814510" w:rsidP="00814510">
      <w:pPr>
        <w:pStyle w:val="05-Textonormal"/>
        <w:rPr>
          <w:rFonts w:cs="Arial"/>
          <w:color w:val="000000" w:themeColor="text1"/>
        </w:rPr>
      </w:pPr>
      <w:r w:rsidRPr="00BF2AAF">
        <w:rPr>
          <w:rFonts w:cs="Arial"/>
          <w:color w:val="000000" w:themeColor="text1"/>
        </w:rPr>
        <w:t>A Circular Susep nº 666/2022, dispõe sobre requisitos de sustentabilidade, a serem observados pelas sociedades seguradoras, entidades abertas de previdência complementar (</w:t>
      </w:r>
      <w:proofErr w:type="spellStart"/>
      <w:r w:rsidRPr="00BF2AAF">
        <w:rPr>
          <w:rFonts w:cs="Arial"/>
          <w:color w:val="000000" w:themeColor="text1"/>
        </w:rPr>
        <w:t>EAPCs</w:t>
      </w:r>
      <w:proofErr w:type="spellEnd"/>
      <w:r w:rsidRPr="00BF2AAF">
        <w:rPr>
          <w:rFonts w:cs="Arial"/>
          <w:color w:val="000000" w:themeColor="text1"/>
        </w:rPr>
        <w:t>), sociedades de capitalização e resseguradores locais.</w:t>
      </w:r>
    </w:p>
    <w:p w14:paraId="582E9DEB" w14:textId="77777777" w:rsidR="00814510" w:rsidRPr="00BF2AAF" w:rsidRDefault="00814510" w:rsidP="00814510">
      <w:pPr>
        <w:pStyle w:val="05-Textonormal"/>
        <w:rPr>
          <w:rFonts w:cs="Arial"/>
          <w:color w:val="000000" w:themeColor="text1"/>
        </w:rPr>
      </w:pPr>
      <w:r w:rsidRPr="00BF2AAF">
        <w:rPr>
          <w:rFonts w:cs="Arial"/>
          <w:color w:val="000000" w:themeColor="text1"/>
        </w:rPr>
        <w:t>A partir dos resultados dos trabalhos executados pelas investidas, a BB Seguridade monitora e avalia, continuamente, os níveis de exposição a riscos atuando, via governança, para assegurar a adoção das melhores práticas de gestão de riscos em suas investidas.</w:t>
      </w:r>
    </w:p>
    <w:p w14:paraId="0F6D315E" w14:textId="77777777" w:rsidR="00814510" w:rsidRPr="00BF2AAF" w:rsidRDefault="00814510" w:rsidP="00814510">
      <w:pPr>
        <w:pStyle w:val="01-Textonormal"/>
        <w:rPr>
          <w:rFonts w:cs="Arial"/>
          <w:b/>
          <w:bCs/>
          <w:color w:val="1F3864" w:themeColor="accent1" w:themeShade="80"/>
        </w:rPr>
      </w:pPr>
      <w:r w:rsidRPr="00BF2AAF">
        <w:rPr>
          <w:rFonts w:cs="Arial"/>
          <w:b/>
          <w:bCs/>
          <w:color w:val="1F3864" w:themeColor="accent1" w:themeShade="80"/>
        </w:rPr>
        <w:t>b.1) Gestão de capital, solvência e cobertura das provisões técnicas das sociedades investidas</w:t>
      </w:r>
    </w:p>
    <w:p w14:paraId="6B0B9353" w14:textId="77777777" w:rsidR="00814510" w:rsidRPr="00BF2AAF" w:rsidRDefault="00814510" w:rsidP="00814510">
      <w:pPr>
        <w:pStyle w:val="05-Textonormal"/>
        <w:rPr>
          <w:rFonts w:cs="Arial"/>
          <w:color w:val="000000" w:themeColor="text1"/>
        </w:rPr>
      </w:pPr>
      <w:bookmarkStart w:id="47" w:name="_Hlk46330189"/>
      <w:r w:rsidRPr="00BF2AAF">
        <w:rPr>
          <w:rFonts w:cs="Arial"/>
          <w:color w:val="000000" w:themeColor="text1"/>
        </w:rPr>
        <w:t>Na gestão de capital das sociedades investidas supervisionadas pela Susep, o principal indicador utilizado é o Capital Mínimo Requerido (CMR), que representa o capital total que uma companhia deve manter, a qualquer tempo, para operar, e visa garantir os riscos inerentes às suas operações, conforme regulamentado pela Resolução CNSP n° 432/2021 e alterações posteriores.</w:t>
      </w:r>
    </w:p>
    <w:p w14:paraId="361FCF7D" w14:textId="77777777" w:rsidR="00814510" w:rsidRPr="00BF2AAF" w:rsidRDefault="00814510" w:rsidP="00814510">
      <w:pPr>
        <w:pStyle w:val="05-Textonormal"/>
        <w:rPr>
          <w:rFonts w:cs="Arial"/>
          <w:color w:val="000000" w:themeColor="text1"/>
        </w:rPr>
      </w:pPr>
      <w:r w:rsidRPr="00BF2AAF">
        <w:rPr>
          <w:rFonts w:cs="Arial"/>
          <w:color w:val="000000" w:themeColor="text1"/>
        </w:rPr>
        <w:t>O CMR é composto por parcelas referentes aos riscos de subscrição, crédito, operacional e mercado e a suficiência de capital é medida utilizando-se o Patrimônio Líquido Ajustado (PLA) da companhia, que deve ser igual ou superior ao CMR calculado.</w:t>
      </w:r>
    </w:p>
    <w:p w14:paraId="7D67BD75" w14:textId="77777777" w:rsidR="00814510" w:rsidRPr="00BF2AAF" w:rsidRDefault="00814510" w:rsidP="00814510">
      <w:pPr>
        <w:pStyle w:val="05-Textonormal"/>
        <w:rPr>
          <w:rFonts w:eastAsiaTheme="minorHAnsi" w:cs="Arial"/>
          <w:color w:val="000000" w:themeColor="text1"/>
        </w:rPr>
      </w:pPr>
      <w:r w:rsidRPr="00BF2AAF">
        <w:rPr>
          <w:rFonts w:cs="Arial"/>
          <w:color w:val="000000" w:themeColor="text1"/>
        </w:rPr>
        <w:t>A Resolução CNSP n°432/2021 e alterações posteriores estabelece modelos para cálculo de provisões técnicas, exigindo ativos líquidos suficientes para cobertura dessas provisões e manutenção da liquidez da companhia. Além disso, traz</w:t>
      </w:r>
      <w:r w:rsidRPr="00BF2AAF">
        <w:rPr>
          <w:rFonts w:eastAsiaTheme="minorHAnsi" w:cs="Arial"/>
          <w:color w:val="000000" w:themeColor="text1"/>
        </w:rPr>
        <w:t xml:space="preserve"> critérios para a elaboração de planos de regularização de solvência e suficiência de cobertura em casos de desenquadramentos regulatórios. Importante destacar que as empresas investidas, conforme diretrizes definidas pelo Grupo, não têm apetite ao risco de desenquadramento de solvência regulatória. </w:t>
      </w:r>
    </w:p>
    <w:p w14:paraId="0FDC238C" w14:textId="77777777" w:rsidR="00814510" w:rsidRPr="00BF2AAF" w:rsidRDefault="00814510" w:rsidP="00814510">
      <w:pPr>
        <w:pStyle w:val="05-Textonormal"/>
        <w:rPr>
          <w:rFonts w:cs="Arial"/>
          <w:color w:val="000000" w:themeColor="text1"/>
        </w:rPr>
      </w:pPr>
      <w:bookmarkStart w:id="48" w:name="_Hlk91233861"/>
      <w:bookmarkStart w:id="49" w:name="_Hlk94020221"/>
      <w:bookmarkStart w:id="50" w:name="_Hlk60747359"/>
      <w:bookmarkEnd w:id="47"/>
      <w:r w:rsidRPr="00BF2AAF">
        <w:rPr>
          <w:rFonts w:cs="Arial"/>
          <w:color w:val="000000" w:themeColor="text1"/>
        </w:rPr>
        <w:t>Para a companhia regulada pela Agência Nacional de Saúde Suplementar (ANS) existem regras para constituição de provisões técnicas e critérios de manutenção de PLA e Margem de Solvência (MS) de acordo com a Resolução Normativa n° 569/2022 e alterações posteriores.</w:t>
      </w:r>
      <w:bookmarkStart w:id="51" w:name="_Hlk94020448"/>
      <w:bookmarkStart w:id="52" w:name="_Hlk38298119"/>
      <w:bookmarkStart w:id="53" w:name="_Hlk38297593"/>
      <w:bookmarkEnd w:id="48"/>
      <w:bookmarkEnd w:id="49"/>
      <w:bookmarkEnd w:id="50"/>
    </w:p>
    <w:p w14:paraId="0B4C7706" w14:textId="77777777" w:rsidR="00814510" w:rsidRPr="00BF2AAF" w:rsidRDefault="00814510" w:rsidP="00814510">
      <w:pPr>
        <w:pStyle w:val="05-Textonormal"/>
        <w:rPr>
          <w:rFonts w:eastAsiaTheme="minorHAnsi" w:cs="Arial"/>
          <w:color w:val="000000" w:themeColor="text1"/>
        </w:rPr>
      </w:pPr>
      <w:r w:rsidRPr="00BF2AAF">
        <w:rPr>
          <w:rFonts w:eastAsiaTheme="minorHAnsi" w:cs="Arial"/>
          <w:color w:val="000000" w:themeColor="text1"/>
        </w:rPr>
        <w:t>Para as investidas em que é exigido capital mínimo, há a busca por manutenção de capital adicional ao regulatório, com a finalidade de minimizar as chances de descumprimento dos montantes exigidos e em consonância com apetite a riscos definido por seus Conselhos de Administração.</w:t>
      </w:r>
    </w:p>
    <w:p w14:paraId="3C38E57F" w14:textId="2FB8C9E8" w:rsidR="00192323" w:rsidRPr="00BF2AAF" w:rsidRDefault="00814510" w:rsidP="00814510">
      <w:pPr>
        <w:rPr>
          <w:rFonts w:ascii="Arial" w:hAnsi="Arial" w:cs="Arial"/>
          <w:b/>
          <w:color w:val="000000" w:themeColor="text1"/>
          <w:szCs w:val="18"/>
        </w:rPr>
      </w:pPr>
      <w:r w:rsidRPr="0094024F">
        <w:rPr>
          <w:rFonts w:ascii="Arial" w:eastAsiaTheme="minorHAnsi" w:hAnsi="Arial" w:cs="Arial"/>
          <w:color w:val="000000" w:themeColor="text1"/>
          <w:spacing w:val="-2"/>
          <w:sz w:val="18"/>
          <w:szCs w:val="18"/>
          <w:lang w:eastAsia="pt-BR"/>
        </w:rPr>
        <w:t>Em 3</w:t>
      </w:r>
      <w:r w:rsidR="00E72653">
        <w:rPr>
          <w:rFonts w:ascii="Arial" w:eastAsiaTheme="minorHAnsi" w:hAnsi="Arial" w:cs="Arial"/>
          <w:color w:val="000000" w:themeColor="text1"/>
          <w:spacing w:val="-2"/>
          <w:sz w:val="18"/>
          <w:szCs w:val="18"/>
          <w:lang w:eastAsia="pt-BR"/>
        </w:rPr>
        <w:t>1</w:t>
      </w:r>
      <w:r w:rsidRPr="0094024F">
        <w:rPr>
          <w:rFonts w:ascii="Arial" w:eastAsiaTheme="minorHAnsi" w:hAnsi="Arial" w:cs="Arial"/>
          <w:color w:val="000000" w:themeColor="text1"/>
          <w:spacing w:val="-2"/>
          <w:sz w:val="18"/>
          <w:szCs w:val="18"/>
          <w:lang w:eastAsia="pt-BR"/>
        </w:rPr>
        <w:t xml:space="preserve"> de </w:t>
      </w:r>
      <w:r w:rsidR="00E72653">
        <w:rPr>
          <w:rFonts w:ascii="Arial" w:eastAsiaTheme="minorHAnsi" w:hAnsi="Arial" w:cs="Arial"/>
          <w:color w:val="000000" w:themeColor="text1"/>
          <w:spacing w:val="-2"/>
          <w:sz w:val="18"/>
          <w:szCs w:val="18"/>
          <w:lang w:eastAsia="pt-BR"/>
        </w:rPr>
        <w:t>d</w:t>
      </w:r>
      <w:r>
        <w:rPr>
          <w:rFonts w:ascii="Arial" w:eastAsiaTheme="minorHAnsi" w:hAnsi="Arial" w:cs="Arial"/>
          <w:color w:val="000000" w:themeColor="text1"/>
          <w:spacing w:val="-2"/>
          <w:sz w:val="18"/>
          <w:szCs w:val="18"/>
          <w:lang w:eastAsia="pt-BR"/>
        </w:rPr>
        <w:t>e</w:t>
      </w:r>
      <w:r w:rsidR="00E72653">
        <w:rPr>
          <w:rFonts w:ascii="Arial" w:eastAsiaTheme="minorHAnsi" w:hAnsi="Arial" w:cs="Arial"/>
          <w:color w:val="000000" w:themeColor="text1"/>
          <w:spacing w:val="-2"/>
          <w:sz w:val="18"/>
          <w:szCs w:val="18"/>
          <w:lang w:eastAsia="pt-BR"/>
        </w:rPr>
        <w:t>z</w:t>
      </w:r>
      <w:r>
        <w:rPr>
          <w:rFonts w:ascii="Arial" w:eastAsiaTheme="minorHAnsi" w:hAnsi="Arial" w:cs="Arial"/>
          <w:color w:val="000000" w:themeColor="text1"/>
          <w:spacing w:val="-2"/>
          <w:sz w:val="18"/>
          <w:szCs w:val="18"/>
          <w:lang w:eastAsia="pt-BR"/>
        </w:rPr>
        <w:t>embr</w:t>
      </w:r>
      <w:r w:rsidRPr="0094024F">
        <w:rPr>
          <w:rFonts w:ascii="Arial" w:eastAsiaTheme="minorHAnsi" w:hAnsi="Arial" w:cs="Arial"/>
          <w:color w:val="000000" w:themeColor="text1"/>
          <w:spacing w:val="-2"/>
          <w:sz w:val="18"/>
          <w:szCs w:val="18"/>
          <w:lang w:eastAsia="pt-BR"/>
        </w:rPr>
        <w:t>o de 2024, considerando os dados fornecidos por cada investida, todas as empresas nas quais a BB Seguridade detém participação e que estão sujeitas à exigência de capital regulatório, apresentavam suficiência de capital, solvência e cobertura de provisões técnicas, em conformidade com a legislação vigente aplicável</w:t>
      </w:r>
      <w:r w:rsidRPr="000137BD">
        <w:rPr>
          <w:rFonts w:ascii="Arial" w:eastAsiaTheme="minorHAnsi" w:hAnsi="Arial" w:cs="Arial"/>
          <w:color w:val="000000" w:themeColor="text1"/>
          <w:spacing w:val="-2"/>
          <w:sz w:val="18"/>
          <w:szCs w:val="18"/>
          <w:lang w:eastAsia="pt-BR"/>
        </w:rPr>
        <w:t>.</w:t>
      </w:r>
      <w:bookmarkEnd w:id="51"/>
      <w:bookmarkEnd w:id="52"/>
      <w:bookmarkEnd w:id="53"/>
    </w:p>
    <w:p w14:paraId="14769C89" w14:textId="77777777" w:rsidR="005C6C41" w:rsidRPr="00BF2AAF" w:rsidRDefault="005C6C41" w:rsidP="00514594">
      <w:pPr>
        <w:pStyle w:val="02-TtulodeNota"/>
        <w:keepNext/>
        <w:keepLines/>
        <w:pageBreakBefore/>
        <w:rPr>
          <w:rFonts w:cs="Arial"/>
        </w:rPr>
      </w:pPr>
      <w:bookmarkStart w:id="54" w:name="_Toc189757070"/>
      <w:bookmarkStart w:id="55" w:name="_Hlk148980455"/>
      <w:r w:rsidRPr="00BF2AAF">
        <w:rPr>
          <w:rFonts w:cs="Arial"/>
        </w:rPr>
        <w:lastRenderedPageBreak/>
        <w:t>6 – INFORMAÇÕES POR SEGMENTO</w:t>
      </w:r>
      <w:bookmarkEnd w:id="54"/>
    </w:p>
    <w:p w14:paraId="3770E788" w14:textId="77777777" w:rsidR="00E617DF" w:rsidRDefault="00E617DF" w:rsidP="00E617DF">
      <w:pPr>
        <w:pStyle w:val="05-Textonormal"/>
      </w:pPr>
      <w:r>
        <w:t xml:space="preserve">As informações por segmento foram elaboradas de acordo com os critérios utilizados pela Administração na avaliação do desempenho, na tomada de decisões quanto à alocação de recursos para investimentos e outros fins, considerando-se o ambiente regulatório e as semelhanças entre produtos e serviços. </w:t>
      </w:r>
    </w:p>
    <w:p w14:paraId="016F1DDC" w14:textId="77777777" w:rsidR="00E617DF" w:rsidRDefault="00E617DF" w:rsidP="00E617DF">
      <w:pPr>
        <w:pStyle w:val="05-Textonormal"/>
      </w:pPr>
      <w:r>
        <w:t xml:space="preserve">As operações do Grupo BB Seguridade estão divididas, basicamente, em dois segmentos: i) seguridade (negócios de risco e acumulação), que contempla operações de seguros, previdência aberta, capitalização e assistência odontológica; e </w:t>
      </w:r>
      <w:proofErr w:type="spellStart"/>
      <w:r>
        <w:t>ii</w:t>
      </w:r>
      <w:proofErr w:type="spellEnd"/>
      <w:r>
        <w:t>) corretagem (negócios de distribuição).</w:t>
      </w:r>
    </w:p>
    <w:p w14:paraId="1ED91F0C" w14:textId="77777777" w:rsidR="00E617DF" w:rsidRPr="003E794F" w:rsidRDefault="00E617DF" w:rsidP="00E617DF">
      <w:pPr>
        <w:pStyle w:val="01-TtulodeNota"/>
        <w:rPr>
          <w:color w:val="1F3864" w:themeColor="accent1" w:themeShade="80"/>
          <w:sz w:val="18"/>
        </w:rPr>
      </w:pPr>
      <w:r w:rsidRPr="003E794F">
        <w:rPr>
          <w:color w:val="1F3864" w:themeColor="accent1" w:themeShade="80"/>
          <w:sz w:val="18"/>
        </w:rPr>
        <w:t>a) Segmento Seguridade</w:t>
      </w:r>
    </w:p>
    <w:p w14:paraId="0A88C397" w14:textId="77777777" w:rsidR="00E617DF" w:rsidRDefault="00E617DF" w:rsidP="00E617DF">
      <w:pPr>
        <w:pStyle w:val="05-Textonormal"/>
      </w:pPr>
      <w:r>
        <w:t>Nesse segmento são registrados os resultados oriundos da oferta de produtos e serviços relacionados a seguros de vida, patrimonial, rural, riscos especiais e financeiros, transportes, cascos, habitacional e pessoas, planos de previdência complementar, planos odontológicos e planos de capitalização.</w:t>
      </w:r>
    </w:p>
    <w:p w14:paraId="3BC4279F" w14:textId="77777777" w:rsidR="00E617DF" w:rsidRDefault="00E617DF" w:rsidP="00E617DF">
      <w:pPr>
        <w:pStyle w:val="05-Textonormal"/>
      </w:pPr>
      <w:r>
        <w:t>O resultado desse segmento provém, principalmente, das receitas com prêmios de seguros, contribuições de planos de previdência, contribuições de planos odontológicos e títulos de capitalização, deduzidas das despesas de comercialização, provisões técnicas e despesas com sinistros.</w:t>
      </w:r>
    </w:p>
    <w:p w14:paraId="6F30E3F3" w14:textId="77777777" w:rsidR="00E617DF" w:rsidRDefault="00E617DF" w:rsidP="00E617DF">
      <w:pPr>
        <w:pStyle w:val="05-Textonormal"/>
      </w:pPr>
      <w:r>
        <w:t>O registro contábil desses resultados é efetuado por meio de equivalência patrimonial dos investimentos em participações societárias. Na nota explicativa 7 – Investimento em Participações Societárias consta a descrição</w:t>
      </w:r>
      <w:r w:rsidRPr="00CF48B6">
        <w:t xml:space="preserve"> dos Investimentos em Participações Societárias, por Segmento </w:t>
      </w:r>
      <w:r>
        <w:t>e</w:t>
      </w:r>
      <w:r w:rsidRPr="00CF48B6">
        <w:t xml:space="preserve"> Ramo de Atuação</w:t>
      </w:r>
      <w:r>
        <w:t>.</w:t>
      </w:r>
    </w:p>
    <w:p w14:paraId="41A5DA10" w14:textId="77777777" w:rsidR="00E617DF" w:rsidRPr="003E794F" w:rsidRDefault="00E617DF" w:rsidP="00514594">
      <w:pPr>
        <w:pStyle w:val="01-TtulodeNota"/>
        <w:rPr>
          <w:color w:val="1F3864" w:themeColor="accent1" w:themeShade="80"/>
          <w:sz w:val="18"/>
        </w:rPr>
      </w:pPr>
      <w:r w:rsidRPr="003E794F">
        <w:rPr>
          <w:color w:val="1F3864" w:themeColor="accent1" w:themeShade="80"/>
          <w:sz w:val="18"/>
        </w:rPr>
        <w:t>b) Segmento Corretagem</w:t>
      </w:r>
    </w:p>
    <w:p w14:paraId="12AB6A29" w14:textId="77777777" w:rsidR="00E617DF" w:rsidRDefault="00E617DF" w:rsidP="00E617DF">
      <w:pPr>
        <w:pStyle w:val="05-Textonormal"/>
      </w:pPr>
      <w:r>
        <w:t>Nesse segmento são registrados os resultados oriundos das receitas com corretagem e a administração, realização, promoção e viabilização de negócios de seguros dos ramos elementares, vida e capitalização, planos de previdência aberta e planos odontológicos</w:t>
      </w:r>
      <w:r w:rsidRPr="00CF48B6">
        <w:t>.</w:t>
      </w:r>
      <w:r>
        <w:t xml:space="preserve"> Compreende os valores da BB Corretora e sua investida </w:t>
      </w:r>
      <w:proofErr w:type="spellStart"/>
      <w:r>
        <w:t>Ciclic</w:t>
      </w:r>
      <w:proofErr w:type="spellEnd"/>
      <w:r>
        <w:t>.</w:t>
      </w:r>
    </w:p>
    <w:p w14:paraId="55147245" w14:textId="77777777" w:rsidR="00E617DF" w:rsidRPr="003E794F" w:rsidRDefault="00E617DF" w:rsidP="00E617DF">
      <w:pPr>
        <w:pStyle w:val="01-TtulodeNota"/>
        <w:rPr>
          <w:color w:val="1F3864" w:themeColor="accent1" w:themeShade="80"/>
          <w:sz w:val="18"/>
        </w:rPr>
      </w:pPr>
      <w:r w:rsidRPr="003E794F">
        <w:rPr>
          <w:color w:val="1F3864" w:themeColor="accent1" w:themeShade="80"/>
          <w:sz w:val="18"/>
        </w:rPr>
        <w:t>c) Demonstração do Resultado por Segmento</w:t>
      </w:r>
    </w:p>
    <w:p w14:paraId="0C70B6EF" w14:textId="67393A00" w:rsidR="00E617DF" w:rsidRPr="008D3175" w:rsidRDefault="00461E6D" w:rsidP="00E51AC2">
      <w:pPr>
        <w:spacing w:after="0"/>
        <w:ind w:left="7788" w:firstLine="708"/>
        <w:jc w:val="right"/>
        <w:rPr>
          <w:rFonts w:ascii="Arial" w:hAnsi="Arial" w:cs="Arial"/>
          <w:b/>
          <w:sz w:val="14"/>
          <w:szCs w:val="18"/>
        </w:rPr>
      </w:pPr>
      <w:r>
        <w:rPr>
          <w:rFonts w:ascii="Arial" w:hAnsi="Arial" w:cs="Arial"/>
          <w:b/>
          <w:sz w:val="14"/>
          <w:szCs w:val="18"/>
        </w:rPr>
        <w:t>R</w:t>
      </w:r>
      <w:r w:rsidR="00E617DF" w:rsidRPr="008D3175">
        <w:rPr>
          <w:rFonts w:ascii="Arial" w:hAnsi="Arial" w:cs="Arial"/>
          <w:b/>
          <w:sz w:val="14"/>
          <w:szCs w:val="18"/>
        </w:rPr>
        <w:t>$ mil</w:t>
      </w:r>
    </w:p>
    <w:tbl>
      <w:tblPr>
        <w:tblW w:w="9639" w:type="dxa"/>
        <w:jc w:val="center"/>
        <w:tblLayout w:type="fixed"/>
        <w:tblLook w:val="04A0" w:firstRow="1" w:lastRow="0" w:firstColumn="1" w:lastColumn="0" w:noHBand="0" w:noVBand="1"/>
      </w:tblPr>
      <w:tblGrid>
        <w:gridCol w:w="4643"/>
        <w:gridCol w:w="1426"/>
        <w:gridCol w:w="1853"/>
        <w:gridCol w:w="1717"/>
      </w:tblGrid>
      <w:tr w:rsidR="00E617DF" w:rsidRPr="001D6BE8" w14:paraId="0A793C9D" w14:textId="77777777" w:rsidTr="00E51AC2">
        <w:trPr>
          <w:trHeight w:hRule="exact" w:val="238"/>
          <w:jc w:val="center"/>
        </w:trPr>
        <w:tc>
          <w:tcPr>
            <w:tcW w:w="4324" w:type="dxa"/>
            <w:tcBorders>
              <w:top w:val="single" w:sz="4" w:space="0" w:color="auto"/>
            </w:tcBorders>
            <w:shd w:val="clear" w:color="auto" w:fill="auto"/>
          </w:tcPr>
          <w:p w14:paraId="5B269795" w14:textId="77777777" w:rsidR="00E617DF" w:rsidRPr="001D6BE8" w:rsidRDefault="00E617DF">
            <w:pPr>
              <w:pStyle w:val="08-Tabelageral"/>
              <w:jc w:val="left"/>
              <w:rPr>
                <w:rFonts w:cs="Arial"/>
                <w:b/>
              </w:rPr>
            </w:pPr>
          </w:p>
        </w:tc>
        <w:tc>
          <w:tcPr>
            <w:tcW w:w="1328" w:type="dxa"/>
            <w:tcBorders>
              <w:top w:val="single" w:sz="4" w:space="0" w:color="auto"/>
              <w:bottom w:val="single" w:sz="2" w:space="0" w:color="1F3864" w:themeColor="accent1" w:themeShade="80"/>
            </w:tcBorders>
            <w:shd w:val="clear" w:color="auto" w:fill="auto"/>
            <w:vAlign w:val="center"/>
          </w:tcPr>
          <w:p w14:paraId="72922823" w14:textId="77777777" w:rsidR="00E617DF" w:rsidRPr="00A24524" w:rsidRDefault="00E617DF">
            <w:pPr>
              <w:pStyle w:val="08-Tabelageral"/>
              <w:ind w:hanging="203"/>
              <w:jc w:val="center"/>
              <w:rPr>
                <w:rFonts w:cs="Arial"/>
                <w:b/>
              </w:rPr>
            </w:pPr>
          </w:p>
        </w:tc>
        <w:tc>
          <w:tcPr>
            <w:tcW w:w="1726" w:type="dxa"/>
            <w:tcBorders>
              <w:top w:val="single" w:sz="2" w:space="0" w:color="1F3864" w:themeColor="accent1" w:themeShade="80"/>
              <w:bottom w:val="single" w:sz="2" w:space="0" w:color="1F3864" w:themeColor="accent1" w:themeShade="80"/>
            </w:tcBorders>
            <w:shd w:val="clear" w:color="auto" w:fill="auto"/>
            <w:vAlign w:val="center"/>
          </w:tcPr>
          <w:p w14:paraId="6C1AADF7" w14:textId="77777777" w:rsidR="00E617DF" w:rsidRPr="00A24524" w:rsidRDefault="00E617DF">
            <w:pPr>
              <w:pStyle w:val="08-Tabelageral"/>
              <w:jc w:val="center"/>
              <w:rPr>
                <w:rFonts w:cs="Arial"/>
                <w:b/>
              </w:rPr>
            </w:pPr>
            <w:r>
              <w:rPr>
                <w:rFonts w:cs="Arial"/>
                <w:b/>
              </w:rPr>
              <w:t>Exercício de 2024</w:t>
            </w:r>
          </w:p>
        </w:tc>
        <w:tc>
          <w:tcPr>
            <w:tcW w:w="1599" w:type="dxa"/>
            <w:tcBorders>
              <w:top w:val="single" w:sz="2" w:space="0" w:color="1F3864" w:themeColor="accent1" w:themeShade="80"/>
              <w:bottom w:val="single" w:sz="2" w:space="0" w:color="1F3864" w:themeColor="accent1" w:themeShade="80"/>
            </w:tcBorders>
            <w:shd w:val="clear" w:color="auto" w:fill="auto"/>
            <w:vAlign w:val="center"/>
          </w:tcPr>
          <w:p w14:paraId="5690C242" w14:textId="77777777" w:rsidR="00E617DF" w:rsidRPr="00A24524" w:rsidRDefault="00E617DF">
            <w:pPr>
              <w:pStyle w:val="08-Tabelageral"/>
              <w:jc w:val="center"/>
              <w:rPr>
                <w:rFonts w:cs="Arial"/>
                <w:b/>
              </w:rPr>
            </w:pPr>
          </w:p>
        </w:tc>
      </w:tr>
      <w:tr w:rsidR="00E617DF" w:rsidRPr="001D6BE8" w14:paraId="2F30D782" w14:textId="77777777" w:rsidTr="00E51AC2">
        <w:trPr>
          <w:trHeight w:hRule="exact" w:val="436"/>
          <w:jc w:val="center"/>
        </w:trPr>
        <w:tc>
          <w:tcPr>
            <w:tcW w:w="4324" w:type="dxa"/>
            <w:tcBorders>
              <w:bottom w:val="single" w:sz="4" w:space="0" w:color="auto"/>
            </w:tcBorders>
            <w:shd w:val="clear" w:color="auto" w:fill="auto"/>
          </w:tcPr>
          <w:p w14:paraId="68171652" w14:textId="77777777" w:rsidR="00E617DF" w:rsidRPr="001D6BE8" w:rsidRDefault="00E617DF">
            <w:pPr>
              <w:pStyle w:val="08-Tabelageral"/>
              <w:jc w:val="left"/>
              <w:rPr>
                <w:rFonts w:cs="Arial"/>
                <w:b/>
              </w:rPr>
            </w:pPr>
          </w:p>
        </w:tc>
        <w:tc>
          <w:tcPr>
            <w:tcW w:w="1328" w:type="dxa"/>
            <w:tcBorders>
              <w:top w:val="single" w:sz="2" w:space="0" w:color="1F3864" w:themeColor="accent1" w:themeShade="80"/>
              <w:bottom w:val="single" w:sz="2" w:space="0" w:color="1F3864" w:themeColor="accent1" w:themeShade="80"/>
            </w:tcBorders>
            <w:shd w:val="clear" w:color="auto" w:fill="auto"/>
            <w:vAlign w:val="center"/>
          </w:tcPr>
          <w:p w14:paraId="58C025F9" w14:textId="77777777" w:rsidR="00E617DF" w:rsidRPr="00A24524" w:rsidRDefault="00E617DF">
            <w:pPr>
              <w:pStyle w:val="08-Tabelageral"/>
              <w:rPr>
                <w:rFonts w:cs="Arial"/>
                <w:b/>
              </w:rPr>
            </w:pPr>
            <w:r w:rsidRPr="00A24524">
              <w:rPr>
                <w:rFonts w:cs="Arial"/>
                <w:b/>
              </w:rPr>
              <w:t>Seguridade</w:t>
            </w:r>
          </w:p>
        </w:tc>
        <w:tc>
          <w:tcPr>
            <w:tcW w:w="1726" w:type="dxa"/>
            <w:tcBorders>
              <w:top w:val="single" w:sz="2" w:space="0" w:color="1F3864" w:themeColor="accent1" w:themeShade="80"/>
              <w:bottom w:val="single" w:sz="2" w:space="0" w:color="1F3864" w:themeColor="accent1" w:themeShade="80"/>
            </w:tcBorders>
            <w:shd w:val="clear" w:color="auto" w:fill="auto"/>
            <w:vAlign w:val="center"/>
          </w:tcPr>
          <w:p w14:paraId="5E7DA7A8" w14:textId="77777777" w:rsidR="00E617DF" w:rsidRPr="00A24524" w:rsidRDefault="00E617DF">
            <w:pPr>
              <w:pStyle w:val="08-Tabelageral"/>
              <w:rPr>
                <w:rFonts w:cs="Arial"/>
                <w:b/>
              </w:rPr>
            </w:pPr>
            <w:r w:rsidRPr="00A24524">
              <w:rPr>
                <w:rFonts w:cs="Arial"/>
                <w:b/>
              </w:rPr>
              <w:t>Corretagem</w:t>
            </w:r>
          </w:p>
        </w:tc>
        <w:tc>
          <w:tcPr>
            <w:tcW w:w="1599" w:type="dxa"/>
            <w:tcBorders>
              <w:top w:val="single" w:sz="2" w:space="0" w:color="1F3864" w:themeColor="accent1" w:themeShade="80"/>
              <w:bottom w:val="single" w:sz="2" w:space="0" w:color="1F3864" w:themeColor="accent1" w:themeShade="80"/>
            </w:tcBorders>
            <w:shd w:val="clear" w:color="auto" w:fill="auto"/>
            <w:vAlign w:val="center"/>
          </w:tcPr>
          <w:p w14:paraId="1595CEF2" w14:textId="77777777" w:rsidR="00E617DF" w:rsidRPr="00A24524" w:rsidRDefault="00E617DF">
            <w:pPr>
              <w:pStyle w:val="08-Tabelageral"/>
              <w:rPr>
                <w:rFonts w:cs="Arial"/>
                <w:b/>
              </w:rPr>
            </w:pPr>
            <w:r w:rsidRPr="00A24524">
              <w:rPr>
                <w:rFonts w:cs="Arial"/>
                <w:b/>
              </w:rPr>
              <w:t>Total</w:t>
            </w:r>
          </w:p>
        </w:tc>
      </w:tr>
      <w:tr w:rsidR="00E617DF" w:rsidRPr="00CF3BC4" w14:paraId="1044D2F5" w14:textId="77777777" w:rsidTr="00E51AC2">
        <w:trPr>
          <w:trHeight w:val="238"/>
          <w:jc w:val="center"/>
        </w:trPr>
        <w:tc>
          <w:tcPr>
            <w:tcW w:w="4324" w:type="dxa"/>
            <w:tcBorders>
              <w:top w:val="single" w:sz="4" w:space="0" w:color="auto"/>
            </w:tcBorders>
            <w:shd w:val="clear" w:color="auto" w:fill="auto"/>
          </w:tcPr>
          <w:p w14:paraId="7FC8558A" w14:textId="77777777" w:rsidR="00E617DF" w:rsidRPr="00CF3BC4" w:rsidRDefault="00E617DF">
            <w:pPr>
              <w:pStyle w:val="08-Tabelageral"/>
              <w:jc w:val="left"/>
              <w:rPr>
                <w:rFonts w:cs="Arial"/>
                <w:b/>
                <w:szCs w:val="14"/>
              </w:rPr>
            </w:pPr>
            <w:r w:rsidRPr="00CF3BC4">
              <w:rPr>
                <w:rFonts w:cs="Arial"/>
                <w:b/>
                <w:szCs w:val="14"/>
              </w:rPr>
              <w:t>Receitas Operacionais</w:t>
            </w:r>
          </w:p>
        </w:tc>
        <w:tc>
          <w:tcPr>
            <w:tcW w:w="1328" w:type="dxa"/>
            <w:tcBorders>
              <w:top w:val="single" w:sz="2" w:space="0" w:color="1F3864" w:themeColor="accent1" w:themeShade="80"/>
            </w:tcBorders>
            <w:shd w:val="clear" w:color="auto" w:fill="auto"/>
            <w:vAlign w:val="bottom"/>
          </w:tcPr>
          <w:p w14:paraId="43867BA1" w14:textId="77777777" w:rsidR="00E617DF" w:rsidRPr="00CF3BC4" w:rsidRDefault="00E617DF">
            <w:pPr>
              <w:pStyle w:val="08-Tabelageral"/>
              <w:rPr>
                <w:b/>
              </w:rPr>
            </w:pPr>
            <w:r>
              <w:rPr>
                <w:b/>
              </w:rPr>
              <w:t>5.304.528</w:t>
            </w:r>
          </w:p>
        </w:tc>
        <w:tc>
          <w:tcPr>
            <w:tcW w:w="1726" w:type="dxa"/>
            <w:tcBorders>
              <w:top w:val="single" w:sz="2" w:space="0" w:color="1F3864" w:themeColor="accent1" w:themeShade="80"/>
            </w:tcBorders>
            <w:shd w:val="clear" w:color="auto" w:fill="auto"/>
            <w:vAlign w:val="bottom"/>
          </w:tcPr>
          <w:p w14:paraId="1941A9EE" w14:textId="77777777" w:rsidR="00E617DF" w:rsidRPr="00CF3BC4" w:rsidRDefault="00E617DF">
            <w:pPr>
              <w:pStyle w:val="08-Tabelageral"/>
              <w:rPr>
                <w:b/>
              </w:rPr>
            </w:pPr>
            <w:r>
              <w:rPr>
                <w:b/>
              </w:rPr>
              <w:t>4.875.488</w:t>
            </w:r>
          </w:p>
        </w:tc>
        <w:tc>
          <w:tcPr>
            <w:tcW w:w="1599" w:type="dxa"/>
            <w:tcBorders>
              <w:top w:val="single" w:sz="2" w:space="0" w:color="1F3864" w:themeColor="accent1" w:themeShade="80"/>
            </w:tcBorders>
            <w:shd w:val="clear" w:color="auto" w:fill="auto"/>
            <w:vAlign w:val="bottom"/>
          </w:tcPr>
          <w:p w14:paraId="0720CC28" w14:textId="77777777" w:rsidR="00E617DF" w:rsidRPr="00CF3BC4" w:rsidRDefault="00E617DF">
            <w:pPr>
              <w:pStyle w:val="08-Tabelageral"/>
              <w:rPr>
                <w:b/>
              </w:rPr>
            </w:pPr>
            <w:r>
              <w:rPr>
                <w:b/>
              </w:rPr>
              <w:t>10.180.016</w:t>
            </w:r>
          </w:p>
        </w:tc>
      </w:tr>
      <w:tr w:rsidR="00E617DF" w:rsidRPr="001D6BE8" w14:paraId="261164AF" w14:textId="77777777" w:rsidTr="00E51AC2">
        <w:trPr>
          <w:trHeight w:val="238"/>
          <w:jc w:val="center"/>
        </w:trPr>
        <w:tc>
          <w:tcPr>
            <w:tcW w:w="4324" w:type="dxa"/>
            <w:shd w:val="clear" w:color="auto" w:fill="auto"/>
          </w:tcPr>
          <w:p w14:paraId="3B5DABDD" w14:textId="77777777" w:rsidR="00E617DF" w:rsidRPr="00C806B0" w:rsidRDefault="00E617DF">
            <w:pPr>
              <w:pStyle w:val="08-Tabelageral"/>
              <w:ind w:left="113"/>
              <w:jc w:val="left"/>
              <w:rPr>
                <w:rFonts w:cs="Arial"/>
                <w:b/>
                <w:szCs w:val="14"/>
              </w:rPr>
            </w:pPr>
            <w:r w:rsidRPr="00C806B0">
              <w:rPr>
                <w:rFonts w:cs="Arial"/>
                <w:szCs w:val="14"/>
              </w:rPr>
              <w:t>Resultado de investimentos em participações societárias</w:t>
            </w:r>
          </w:p>
        </w:tc>
        <w:tc>
          <w:tcPr>
            <w:tcW w:w="1328" w:type="dxa"/>
            <w:shd w:val="clear" w:color="auto" w:fill="auto"/>
            <w:vAlign w:val="bottom"/>
          </w:tcPr>
          <w:p w14:paraId="1397133B" w14:textId="77777777" w:rsidR="00E617DF" w:rsidRPr="00651800" w:rsidRDefault="00E617DF">
            <w:pPr>
              <w:pStyle w:val="08-Tabelageral"/>
            </w:pPr>
            <w:r>
              <w:t>5.304.528</w:t>
            </w:r>
          </w:p>
        </w:tc>
        <w:tc>
          <w:tcPr>
            <w:tcW w:w="1726" w:type="dxa"/>
            <w:shd w:val="clear" w:color="auto" w:fill="auto"/>
            <w:vAlign w:val="bottom"/>
          </w:tcPr>
          <w:p w14:paraId="25C97F06" w14:textId="77777777" w:rsidR="00E617DF" w:rsidRPr="00651800" w:rsidRDefault="00E617DF">
            <w:pPr>
              <w:pStyle w:val="08-Tabelageral"/>
            </w:pPr>
            <w:r>
              <w:t>7.436</w:t>
            </w:r>
          </w:p>
        </w:tc>
        <w:tc>
          <w:tcPr>
            <w:tcW w:w="1599" w:type="dxa"/>
            <w:shd w:val="clear" w:color="auto" w:fill="auto"/>
            <w:vAlign w:val="bottom"/>
          </w:tcPr>
          <w:p w14:paraId="3E1AD2AF" w14:textId="77777777" w:rsidR="00E617DF" w:rsidRPr="00651800" w:rsidRDefault="00E617DF">
            <w:pPr>
              <w:pStyle w:val="08-Tabelageral"/>
            </w:pPr>
            <w:r>
              <w:t>5.311.964</w:t>
            </w:r>
          </w:p>
        </w:tc>
      </w:tr>
      <w:tr w:rsidR="00E617DF" w:rsidRPr="001D6BE8" w14:paraId="32D4A210" w14:textId="77777777" w:rsidTr="00E51AC2">
        <w:trPr>
          <w:trHeight w:val="238"/>
          <w:jc w:val="center"/>
        </w:trPr>
        <w:tc>
          <w:tcPr>
            <w:tcW w:w="4324" w:type="dxa"/>
            <w:shd w:val="clear" w:color="auto" w:fill="auto"/>
          </w:tcPr>
          <w:p w14:paraId="045050A4" w14:textId="77777777" w:rsidR="00E617DF" w:rsidRPr="00C806B0" w:rsidRDefault="00E617DF">
            <w:pPr>
              <w:pStyle w:val="08-Tabelageral"/>
              <w:ind w:left="113"/>
              <w:jc w:val="left"/>
              <w:rPr>
                <w:rFonts w:cs="Arial"/>
                <w:b/>
                <w:szCs w:val="14"/>
              </w:rPr>
            </w:pPr>
            <w:r w:rsidRPr="00C806B0">
              <w:rPr>
                <w:rFonts w:cs="Arial"/>
                <w:szCs w:val="14"/>
              </w:rPr>
              <w:t>Receitas de comissões</w:t>
            </w:r>
            <w:r>
              <w:rPr>
                <w:rFonts w:cs="Arial"/>
                <w:szCs w:val="14"/>
              </w:rPr>
              <w:t>,</w:t>
            </w:r>
            <w:r w:rsidRPr="00C806B0">
              <w:rPr>
                <w:rFonts w:cs="Arial"/>
                <w:szCs w:val="14"/>
              </w:rPr>
              <w:t xml:space="preserve"> líquida</w:t>
            </w:r>
            <w:r>
              <w:rPr>
                <w:rFonts w:cs="Arial"/>
                <w:szCs w:val="14"/>
              </w:rPr>
              <w:t>s</w:t>
            </w:r>
          </w:p>
        </w:tc>
        <w:tc>
          <w:tcPr>
            <w:tcW w:w="1328" w:type="dxa"/>
            <w:shd w:val="clear" w:color="auto" w:fill="auto"/>
            <w:vAlign w:val="bottom"/>
          </w:tcPr>
          <w:p w14:paraId="1832467F" w14:textId="77777777" w:rsidR="00E617DF" w:rsidRPr="00651800" w:rsidRDefault="00E617DF">
            <w:pPr>
              <w:pStyle w:val="08-Tabelageral"/>
            </w:pPr>
            <w:r>
              <w:t>--</w:t>
            </w:r>
          </w:p>
        </w:tc>
        <w:tc>
          <w:tcPr>
            <w:tcW w:w="1726" w:type="dxa"/>
            <w:shd w:val="clear" w:color="auto" w:fill="auto"/>
            <w:vAlign w:val="bottom"/>
          </w:tcPr>
          <w:p w14:paraId="5BC74256" w14:textId="77777777" w:rsidR="00E617DF" w:rsidRPr="00651800" w:rsidRDefault="00E617DF">
            <w:pPr>
              <w:pStyle w:val="08-Tabelageral"/>
            </w:pPr>
            <w:r>
              <w:t>4.868.052</w:t>
            </w:r>
          </w:p>
        </w:tc>
        <w:tc>
          <w:tcPr>
            <w:tcW w:w="1599" w:type="dxa"/>
            <w:shd w:val="clear" w:color="auto" w:fill="auto"/>
            <w:vAlign w:val="bottom"/>
          </w:tcPr>
          <w:p w14:paraId="0648D309" w14:textId="77777777" w:rsidR="00E617DF" w:rsidRPr="00651800" w:rsidRDefault="00E617DF">
            <w:pPr>
              <w:pStyle w:val="08-Tabelageral"/>
            </w:pPr>
            <w:r>
              <w:t>4.868.052</w:t>
            </w:r>
          </w:p>
        </w:tc>
      </w:tr>
      <w:tr w:rsidR="00E617DF" w:rsidRPr="00CF3BC4" w14:paraId="0CD2F2EA" w14:textId="77777777" w:rsidTr="00E51AC2">
        <w:trPr>
          <w:trHeight w:val="238"/>
          <w:jc w:val="center"/>
        </w:trPr>
        <w:tc>
          <w:tcPr>
            <w:tcW w:w="4324" w:type="dxa"/>
            <w:shd w:val="clear" w:color="auto" w:fill="auto"/>
          </w:tcPr>
          <w:p w14:paraId="225A1695" w14:textId="77777777" w:rsidR="00E617DF" w:rsidRPr="00CF3BC4" w:rsidRDefault="00E617DF">
            <w:pPr>
              <w:pStyle w:val="08-Tabelageral"/>
              <w:jc w:val="left"/>
              <w:rPr>
                <w:rFonts w:cs="Arial"/>
                <w:b/>
                <w:szCs w:val="14"/>
              </w:rPr>
            </w:pPr>
            <w:r w:rsidRPr="00CF3BC4">
              <w:rPr>
                <w:rFonts w:cs="Arial"/>
                <w:b/>
                <w:szCs w:val="14"/>
              </w:rPr>
              <w:t>Custo dos Serviços Prestados</w:t>
            </w:r>
          </w:p>
        </w:tc>
        <w:tc>
          <w:tcPr>
            <w:tcW w:w="1328" w:type="dxa"/>
            <w:shd w:val="clear" w:color="auto" w:fill="auto"/>
            <w:vAlign w:val="bottom"/>
          </w:tcPr>
          <w:p w14:paraId="752112A4" w14:textId="77777777" w:rsidR="00E617DF" w:rsidRPr="00CF3BC4" w:rsidRDefault="00E617DF">
            <w:pPr>
              <w:pStyle w:val="08-Tabelageral"/>
              <w:rPr>
                <w:b/>
              </w:rPr>
            </w:pPr>
            <w:r>
              <w:rPr>
                <w:b/>
              </w:rPr>
              <w:t>--</w:t>
            </w:r>
          </w:p>
        </w:tc>
        <w:tc>
          <w:tcPr>
            <w:tcW w:w="1726" w:type="dxa"/>
            <w:shd w:val="clear" w:color="auto" w:fill="auto"/>
            <w:vAlign w:val="bottom"/>
          </w:tcPr>
          <w:p w14:paraId="10D5067B" w14:textId="77777777" w:rsidR="00E617DF" w:rsidRPr="00CF3BC4" w:rsidRDefault="00E617DF">
            <w:pPr>
              <w:pStyle w:val="08-Tabelageral"/>
              <w:rPr>
                <w:b/>
              </w:rPr>
            </w:pPr>
            <w:r>
              <w:rPr>
                <w:b/>
              </w:rPr>
              <w:t>(172.198)</w:t>
            </w:r>
          </w:p>
        </w:tc>
        <w:tc>
          <w:tcPr>
            <w:tcW w:w="1599" w:type="dxa"/>
            <w:shd w:val="clear" w:color="auto" w:fill="auto"/>
            <w:vAlign w:val="bottom"/>
          </w:tcPr>
          <w:p w14:paraId="57665B8C" w14:textId="77777777" w:rsidR="00E617DF" w:rsidRPr="00CF3BC4" w:rsidRDefault="00E617DF">
            <w:pPr>
              <w:pStyle w:val="08-Tabelageral"/>
              <w:rPr>
                <w:b/>
              </w:rPr>
            </w:pPr>
            <w:r>
              <w:rPr>
                <w:b/>
              </w:rPr>
              <w:t>(172.198)</w:t>
            </w:r>
          </w:p>
        </w:tc>
      </w:tr>
      <w:tr w:rsidR="00E617DF" w:rsidRPr="00CF3BC4" w14:paraId="3B942399" w14:textId="77777777" w:rsidTr="00E51AC2">
        <w:trPr>
          <w:trHeight w:val="238"/>
          <w:jc w:val="center"/>
        </w:trPr>
        <w:tc>
          <w:tcPr>
            <w:tcW w:w="4324" w:type="dxa"/>
            <w:shd w:val="clear" w:color="auto" w:fill="auto"/>
          </w:tcPr>
          <w:p w14:paraId="13BDA173" w14:textId="77777777" w:rsidR="00E617DF" w:rsidRPr="00CF3BC4" w:rsidRDefault="00E617DF">
            <w:pPr>
              <w:pStyle w:val="08-Tabelageral"/>
              <w:jc w:val="left"/>
              <w:rPr>
                <w:rFonts w:cs="Arial"/>
                <w:b/>
                <w:szCs w:val="14"/>
              </w:rPr>
            </w:pPr>
            <w:r w:rsidRPr="00CF3BC4">
              <w:rPr>
                <w:rFonts w:cs="Arial"/>
                <w:b/>
                <w:szCs w:val="14"/>
              </w:rPr>
              <w:t>Resultado Bruto</w:t>
            </w:r>
          </w:p>
        </w:tc>
        <w:tc>
          <w:tcPr>
            <w:tcW w:w="1328" w:type="dxa"/>
            <w:shd w:val="clear" w:color="auto" w:fill="auto"/>
            <w:vAlign w:val="bottom"/>
          </w:tcPr>
          <w:p w14:paraId="6CE77338" w14:textId="77777777" w:rsidR="00E617DF" w:rsidRPr="00CF3BC4" w:rsidRDefault="00E617DF">
            <w:pPr>
              <w:pStyle w:val="08-Tabelageral"/>
              <w:rPr>
                <w:b/>
              </w:rPr>
            </w:pPr>
            <w:r>
              <w:rPr>
                <w:b/>
              </w:rPr>
              <w:t>5.304.528</w:t>
            </w:r>
          </w:p>
        </w:tc>
        <w:tc>
          <w:tcPr>
            <w:tcW w:w="1726" w:type="dxa"/>
            <w:shd w:val="clear" w:color="auto" w:fill="auto"/>
            <w:vAlign w:val="bottom"/>
          </w:tcPr>
          <w:p w14:paraId="063C1F43" w14:textId="77777777" w:rsidR="00E617DF" w:rsidRPr="00CF3BC4" w:rsidRDefault="00E617DF">
            <w:pPr>
              <w:pStyle w:val="08-Tabelageral"/>
              <w:rPr>
                <w:b/>
              </w:rPr>
            </w:pPr>
            <w:r>
              <w:rPr>
                <w:b/>
              </w:rPr>
              <w:t>4.703.290</w:t>
            </w:r>
          </w:p>
        </w:tc>
        <w:tc>
          <w:tcPr>
            <w:tcW w:w="1599" w:type="dxa"/>
            <w:shd w:val="clear" w:color="auto" w:fill="auto"/>
            <w:vAlign w:val="bottom"/>
          </w:tcPr>
          <w:p w14:paraId="4B8800D1" w14:textId="77777777" w:rsidR="00E617DF" w:rsidRPr="00CF3BC4" w:rsidRDefault="00E617DF">
            <w:pPr>
              <w:pStyle w:val="08-Tabelageral"/>
              <w:rPr>
                <w:b/>
              </w:rPr>
            </w:pPr>
            <w:r>
              <w:rPr>
                <w:b/>
              </w:rPr>
              <w:t>10.007.818</w:t>
            </w:r>
          </w:p>
        </w:tc>
      </w:tr>
      <w:tr w:rsidR="00E617DF" w:rsidRPr="00CF3BC4" w14:paraId="0559ECA9" w14:textId="77777777" w:rsidTr="00E51AC2">
        <w:trPr>
          <w:trHeight w:val="238"/>
          <w:jc w:val="center"/>
        </w:trPr>
        <w:tc>
          <w:tcPr>
            <w:tcW w:w="4324" w:type="dxa"/>
            <w:shd w:val="clear" w:color="auto" w:fill="auto"/>
          </w:tcPr>
          <w:p w14:paraId="3D267DF9" w14:textId="77777777" w:rsidR="00E617DF" w:rsidRPr="00CF3BC4" w:rsidRDefault="00E617DF">
            <w:pPr>
              <w:pStyle w:val="08-Tabelageral"/>
              <w:jc w:val="left"/>
              <w:rPr>
                <w:rFonts w:cs="Arial"/>
                <w:b/>
                <w:szCs w:val="14"/>
              </w:rPr>
            </w:pPr>
            <w:r w:rsidRPr="00CF3BC4">
              <w:rPr>
                <w:rFonts w:cs="Arial"/>
                <w:b/>
                <w:szCs w:val="14"/>
              </w:rPr>
              <w:t>Outras Receitas e Despesas</w:t>
            </w:r>
          </w:p>
        </w:tc>
        <w:tc>
          <w:tcPr>
            <w:tcW w:w="1328" w:type="dxa"/>
            <w:shd w:val="clear" w:color="auto" w:fill="auto"/>
            <w:vAlign w:val="bottom"/>
          </w:tcPr>
          <w:p w14:paraId="08BB87B0" w14:textId="77777777" w:rsidR="00E617DF" w:rsidRPr="00CF3BC4" w:rsidRDefault="00E617DF">
            <w:pPr>
              <w:pStyle w:val="08-Tabelageral"/>
              <w:rPr>
                <w:b/>
              </w:rPr>
            </w:pPr>
            <w:r>
              <w:rPr>
                <w:b/>
              </w:rPr>
              <w:t>(37.524)</w:t>
            </w:r>
          </w:p>
        </w:tc>
        <w:tc>
          <w:tcPr>
            <w:tcW w:w="1726" w:type="dxa"/>
            <w:shd w:val="clear" w:color="auto" w:fill="auto"/>
            <w:vAlign w:val="bottom"/>
          </w:tcPr>
          <w:p w14:paraId="1D511054" w14:textId="77777777" w:rsidR="00E617DF" w:rsidRPr="00CF3BC4" w:rsidRDefault="00E617DF">
            <w:pPr>
              <w:pStyle w:val="08-Tabelageral"/>
              <w:rPr>
                <w:b/>
              </w:rPr>
            </w:pPr>
            <w:r>
              <w:rPr>
                <w:b/>
              </w:rPr>
              <w:t>(213.027)</w:t>
            </w:r>
          </w:p>
        </w:tc>
        <w:tc>
          <w:tcPr>
            <w:tcW w:w="1599" w:type="dxa"/>
            <w:shd w:val="clear" w:color="auto" w:fill="auto"/>
            <w:vAlign w:val="bottom"/>
          </w:tcPr>
          <w:p w14:paraId="49EC327E" w14:textId="77777777" w:rsidR="00E617DF" w:rsidRPr="00CF3BC4" w:rsidRDefault="00E617DF">
            <w:pPr>
              <w:pStyle w:val="08-Tabelageral"/>
              <w:rPr>
                <w:b/>
              </w:rPr>
            </w:pPr>
            <w:r>
              <w:rPr>
                <w:b/>
              </w:rPr>
              <w:t>(250.551)</w:t>
            </w:r>
          </w:p>
        </w:tc>
      </w:tr>
      <w:tr w:rsidR="00E617DF" w:rsidRPr="001D6BE8" w14:paraId="597764A2" w14:textId="77777777" w:rsidTr="00E51AC2">
        <w:trPr>
          <w:trHeight w:val="238"/>
          <w:jc w:val="center"/>
        </w:trPr>
        <w:tc>
          <w:tcPr>
            <w:tcW w:w="4324" w:type="dxa"/>
            <w:shd w:val="clear" w:color="auto" w:fill="auto"/>
          </w:tcPr>
          <w:p w14:paraId="65D8BD8C" w14:textId="77777777" w:rsidR="00E617DF" w:rsidRPr="00C806B0" w:rsidRDefault="00E617DF">
            <w:pPr>
              <w:pStyle w:val="08-Tabelageral"/>
              <w:ind w:left="113"/>
              <w:jc w:val="left"/>
              <w:rPr>
                <w:rFonts w:cs="Arial"/>
                <w:b/>
                <w:szCs w:val="14"/>
              </w:rPr>
            </w:pPr>
            <w:r w:rsidRPr="00C806B0">
              <w:rPr>
                <w:rFonts w:cs="Arial"/>
                <w:szCs w:val="14"/>
              </w:rPr>
              <w:t>Despesas com pessoal</w:t>
            </w:r>
          </w:p>
        </w:tc>
        <w:tc>
          <w:tcPr>
            <w:tcW w:w="1328" w:type="dxa"/>
            <w:shd w:val="clear" w:color="auto" w:fill="auto"/>
            <w:vAlign w:val="bottom"/>
          </w:tcPr>
          <w:p w14:paraId="46EC9FDE" w14:textId="77777777" w:rsidR="00E617DF" w:rsidRPr="00651800" w:rsidRDefault="00E617DF">
            <w:pPr>
              <w:pStyle w:val="08-Tabelageral"/>
            </w:pPr>
            <w:r>
              <w:t>(20.873)</w:t>
            </w:r>
          </w:p>
        </w:tc>
        <w:tc>
          <w:tcPr>
            <w:tcW w:w="1726" w:type="dxa"/>
            <w:shd w:val="clear" w:color="auto" w:fill="auto"/>
            <w:vAlign w:val="bottom"/>
          </w:tcPr>
          <w:p w14:paraId="7EBDD2B9" w14:textId="77777777" w:rsidR="00E617DF" w:rsidRPr="00651800" w:rsidRDefault="00E617DF">
            <w:pPr>
              <w:pStyle w:val="08-Tabelageral"/>
            </w:pPr>
            <w:r>
              <w:t>(68.792)</w:t>
            </w:r>
          </w:p>
        </w:tc>
        <w:tc>
          <w:tcPr>
            <w:tcW w:w="1599" w:type="dxa"/>
            <w:shd w:val="clear" w:color="auto" w:fill="auto"/>
            <w:vAlign w:val="bottom"/>
          </w:tcPr>
          <w:p w14:paraId="534A038F" w14:textId="77777777" w:rsidR="00E617DF" w:rsidRPr="00651800" w:rsidRDefault="00E617DF">
            <w:pPr>
              <w:pStyle w:val="08-Tabelageral"/>
            </w:pPr>
            <w:r>
              <w:t>(89.665)</w:t>
            </w:r>
          </w:p>
        </w:tc>
      </w:tr>
      <w:tr w:rsidR="00E617DF" w:rsidRPr="001D6BE8" w14:paraId="20F53089" w14:textId="77777777" w:rsidTr="00E51AC2">
        <w:trPr>
          <w:trHeight w:val="238"/>
          <w:jc w:val="center"/>
        </w:trPr>
        <w:tc>
          <w:tcPr>
            <w:tcW w:w="4324" w:type="dxa"/>
            <w:shd w:val="clear" w:color="auto" w:fill="auto"/>
          </w:tcPr>
          <w:p w14:paraId="545C72F7" w14:textId="77777777" w:rsidR="00E617DF" w:rsidRPr="00C806B0" w:rsidRDefault="00E617DF">
            <w:pPr>
              <w:pStyle w:val="08-Tabelageral"/>
              <w:ind w:left="113"/>
              <w:jc w:val="left"/>
              <w:rPr>
                <w:rFonts w:cs="Arial"/>
                <w:b/>
                <w:szCs w:val="14"/>
              </w:rPr>
            </w:pPr>
            <w:r w:rsidRPr="00C806B0">
              <w:rPr>
                <w:rFonts w:cs="Arial"/>
                <w:szCs w:val="14"/>
              </w:rPr>
              <w:t xml:space="preserve">Despesas administrativas </w:t>
            </w:r>
            <w:r>
              <w:rPr>
                <w:rFonts w:cs="Arial"/>
                <w:szCs w:val="14"/>
              </w:rPr>
              <w:t>e com vendas</w:t>
            </w:r>
          </w:p>
        </w:tc>
        <w:tc>
          <w:tcPr>
            <w:tcW w:w="1328" w:type="dxa"/>
            <w:shd w:val="clear" w:color="auto" w:fill="auto"/>
            <w:vAlign w:val="bottom"/>
          </w:tcPr>
          <w:p w14:paraId="79B35EF2" w14:textId="77777777" w:rsidR="00E617DF" w:rsidRPr="00651800" w:rsidRDefault="00E617DF">
            <w:pPr>
              <w:pStyle w:val="08-Tabelageral"/>
            </w:pPr>
            <w:r>
              <w:t>(7.055)</w:t>
            </w:r>
          </w:p>
        </w:tc>
        <w:tc>
          <w:tcPr>
            <w:tcW w:w="1726" w:type="dxa"/>
            <w:shd w:val="clear" w:color="auto" w:fill="auto"/>
            <w:vAlign w:val="bottom"/>
          </w:tcPr>
          <w:p w14:paraId="714E555C" w14:textId="77777777" w:rsidR="00E617DF" w:rsidRPr="00651800" w:rsidRDefault="00E617DF">
            <w:pPr>
              <w:pStyle w:val="08-Tabelageral"/>
            </w:pPr>
            <w:r>
              <w:t>(100.443)</w:t>
            </w:r>
          </w:p>
        </w:tc>
        <w:tc>
          <w:tcPr>
            <w:tcW w:w="1599" w:type="dxa"/>
            <w:shd w:val="clear" w:color="auto" w:fill="auto"/>
            <w:vAlign w:val="bottom"/>
          </w:tcPr>
          <w:p w14:paraId="652D968B" w14:textId="77777777" w:rsidR="00E617DF" w:rsidRPr="00651800" w:rsidRDefault="00E617DF">
            <w:pPr>
              <w:pStyle w:val="08-Tabelageral"/>
            </w:pPr>
            <w:r>
              <w:t>(107.498)</w:t>
            </w:r>
          </w:p>
        </w:tc>
      </w:tr>
      <w:tr w:rsidR="00E617DF" w:rsidRPr="001D6BE8" w14:paraId="29FE3546" w14:textId="77777777" w:rsidTr="00E51AC2">
        <w:trPr>
          <w:trHeight w:val="238"/>
          <w:jc w:val="center"/>
        </w:trPr>
        <w:tc>
          <w:tcPr>
            <w:tcW w:w="4324" w:type="dxa"/>
            <w:shd w:val="clear" w:color="auto" w:fill="auto"/>
          </w:tcPr>
          <w:p w14:paraId="7953A9AB" w14:textId="77777777" w:rsidR="00E617DF" w:rsidRPr="00C806B0" w:rsidRDefault="00E617DF">
            <w:pPr>
              <w:pStyle w:val="08-Tabelageral"/>
              <w:ind w:left="113"/>
              <w:jc w:val="left"/>
              <w:rPr>
                <w:rFonts w:cs="Arial"/>
                <w:b/>
                <w:szCs w:val="14"/>
              </w:rPr>
            </w:pPr>
            <w:r w:rsidRPr="00C806B0">
              <w:rPr>
                <w:rFonts w:cs="Arial"/>
                <w:szCs w:val="14"/>
              </w:rPr>
              <w:t>Despesas tributárias</w:t>
            </w:r>
          </w:p>
        </w:tc>
        <w:tc>
          <w:tcPr>
            <w:tcW w:w="1328" w:type="dxa"/>
            <w:shd w:val="clear" w:color="auto" w:fill="auto"/>
            <w:vAlign w:val="bottom"/>
          </w:tcPr>
          <w:p w14:paraId="19A10447" w14:textId="77777777" w:rsidR="00E617DF" w:rsidRPr="00651800" w:rsidRDefault="00E617DF">
            <w:pPr>
              <w:pStyle w:val="08-Tabelageral"/>
            </w:pPr>
            <w:r>
              <w:t>(10.814)</w:t>
            </w:r>
          </w:p>
        </w:tc>
        <w:tc>
          <w:tcPr>
            <w:tcW w:w="1726" w:type="dxa"/>
            <w:shd w:val="clear" w:color="auto" w:fill="auto"/>
            <w:vAlign w:val="bottom"/>
          </w:tcPr>
          <w:p w14:paraId="512DD4B5" w14:textId="77777777" w:rsidR="00E617DF" w:rsidRPr="00651800" w:rsidRDefault="00E617DF">
            <w:pPr>
              <w:pStyle w:val="08-Tabelageral"/>
            </w:pPr>
            <w:r>
              <w:t>(23.559)</w:t>
            </w:r>
          </w:p>
        </w:tc>
        <w:tc>
          <w:tcPr>
            <w:tcW w:w="1599" w:type="dxa"/>
            <w:shd w:val="clear" w:color="auto" w:fill="auto"/>
            <w:vAlign w:val="bottom"/>
          </w:tcPr>
          <w:p w14:paraId="66461771" w14:textId="77777777" w:rsidR="00E617DF" w:rsidRPr="00651800" w:rsidRDefault="00E617DF">
            <w:pPr>
              <w:pStyle w:val="08-Tabelageral"/>
            </w:pPr>
            <w:r>
              <w:t>(34.373)</w:t>
            </w:r>
          </w:p>
        </w:tc>
      </w:tr>
      <w:tr w:rsidR="00E617DF" w:rsidRPr="001D6BE8" w14:paraId="45A34174" w14:textId="77777777" w:rsidTr="00E51AC2">
        <w:trPr>
          <w:trHeight w:val="238"/>
          <w:jc w:val="center"/>
        </w:trPr>
        <w:tc>
          <w:tcPr>
            <w:tcW w:w="4324" w:type="dxa"/>
            <w:shd w:val="clear" w:color="auto" w:fill="auto"/>
          </w:tcPr>
          <w:p w14:paraId="184E9580" w14:textId="77777777" w:rsidR="00E617DF" w:rsidRPr="00C806B0" w:rsidRDefault="00E617DF">
            <w:pPr>
              <w:pStyle w:val="08-Tabelageral"/>
              <w:ind w:left="113"/>
              <w:jc w:val="left"/>
              <w:rPr>
                <w:rFonts w:cs="Arial"/>
                <w:b/>
                <w:szCs w:val="14"/>
              </w:rPr>
            </w:pPr>
            <w:r w:rsidRPr="00C806B0">
              <w:rPr>
                <w:rFonts w:cs="Arial"/>
                <w:szCs w:val="14"/>
              </w:rPr>
              <w:t xml:space="preserve">Outras </w:t>
            </w:r>
          </w:p>
        </w:tc>
        <w:tc>
          <w:tcPr>
            <w:tcW w:w="1328" w:type="dxa"/>
            <w:shd w:val="clear" w:color="auto" w:fill="auto"/>
            <w:vAlign w:val="bottom"/>
          </w:tcPr>
          <w:p w14:paraId="19CA0587" w14:textId="77777777" w:rsidR="00E617DF" w:rsidRPr="00651800" w:rsidRDefault="00E617DF">
            <w:pPr>
              <w:pStyle w:val="08-Tabelageral"/>
            </w:pPr>
            <w:r>
              <w:t>1.218</w:t>
            </w:r>
          </w:p>
        </w:tc>
        <w:tc>
          <w:tcPr>
            <w:tcW w:w="1726" w:type="dxa"/>
            <w:shd w:val="clear" w:color="auto" w:fill="auto"/>
            <w:vAlign w:val="bottom"/>
          </w:tcPr>
          <w:p w14:paraId="7642BE18" w14:textId="77777777" w:rsidR="00E617DF" w:rsidRPr="00651800" w:rsidRDefault="00E617DF">
            <w:pPr>
              <w:pStyle w:val="08-Tabelageral"/>
            </w:pPr>
            <w:r>
              <w:t>(20.233)</w:t>
            </w:r>
          </w:p>
        </w:tc>
        <w:tc>
          <w:tcPr>
            <w:tcW w:w="1599" w:type="dxa"/>
            <w:shd w:val="clear" w:color="auto" w:fill="auto"/>
            <w:vAlign w:val="bottom"/>
          </w:tcPr>
          <w:p w14:paraId="79838571" w14:textId="77777777" w:rsidR="00E617DF" w:rsidRPr="00651800" w:rsidRDefault="00E617DF">
            <w:pPr>
              <w:pStyle w:val="08-Tabelageral"/>
            </w:pPr>
            <w:r>
              <w:t>(19.015)</w:t>
            </w:r>
          </w:p>
        </w:tc>
      </w:tr>
      <w:tr w:rsidR="00E617DF" w:rsidRPr="00CF3BC4" w14:paraId="72E1330D" w14:textId="77777777" w:rsidTr="00E51AC2">
        <w:trPr>
          <w:trHeight w:val="238"/>
          <w:jc w:val="center"/>
        </w:trPr>
        <w:tc>
          <w:tcPr>
            <w:tcW w:w="4324" w:type="dxa"/>
            <w:shd w:val="clear" w:color="auto" w:fill="auto"/>
          </w:tcPr>
          <w:p w14:paraId="2312CD4B" w14:textId="77777777" w:rsidR="00E617DF" w:rsidRPr="00CF3BC4" w:rsidRDefault="00E617DF">
            <w:pPr>
              <w:pStyle w:val="08-Tabelageral"/>
              <w:jc w:val="left"/>
              <w:rPr>
                <w:rFonts w:cs="Arial"/>
                <w:b/>
                <w:szCs w:val="14"/>
              </w:rPr>
            </w:pPr>
            <w:r w:rsidRPr="00CF3BC4">
              <w:rPr>
                <w:rFonts w:cs="Arial"/>
                <w:b/>
                <w:szCs w:val="14"/>
              </w:rPr>
              <w:t>Resultado Antes das Receitas e Despesas Financeiras</w:t>
            </w:r>
          </w:p>
        </w:tc>
        <w:tc>
          <w:tcPr>
            <w:tcW w:w="1328" w:type="dxa"/>
            <w:shd w:val="clear" w:color="auto" w:fill="auto"/>
            <w:vAlign w:val="bottom"/>
          </w:tcPr>
          <w:p w14:paraId="235A7B08" w14:textId="77777777" w:rsidR="00E617DF" w:rsidRPr="00CF3BC4" w:rsidRDefault="00E617DF">
            <w:pPr>
              <w:pStyle w:val="08-Tabelageral"/>
              <w:rPr>
                <w:b/>
              </w:rPr>
            </w:pPr>
            <w:r>
              <w:rPr>
                <w:b/>
              </w:rPr>
              <w:t>5.267.004</w:t>
            </w:r>
          </w:p>
        </w:tc>
        <w:tc>
          <w:tcPr>
            <w:tcW w:w="1726" w:type="dxa"/>
            <w:shd w:val="clear" w:color="auto" w:fill="auto"/>
            <w:vAlign w:val="bottom"/>
          </w:tcPr>
          <w:p w14:paraId="612EB201" w14:textId="77777777" w:rsidR="00E617DF" w:rsidRPr="00CF3BC4" w:rsidRDefault="00E617DF">
            <w:pPr>
              <w:pStyle w:val="08-Tabelageral"/>
              <w:rPr>
                <w:b/>
              </w:rPr>
            </w:pPr>
            <w:r>
              <w:rPr>
                <w:b/>
              </w:rPr>
              <w:t>4.490.263</w:t>
            </w:r>
          </w:p>
        </w:tc>
        <w:tc>
          <w:tcPr>
            <w:tcW w:w="1599" w:type="dxa"/>
            <w:shd w:val="clear" w:color="auto" w:fill="auto"/>
            <w:vAlign w:val="bottom"/>
          </w:tcPr>
          <w:p w14:paraId="576FB0DF" w14:textId="77777777" w:rsidR="00E617DF" w:rsidRPr="00CF3BC4" w:rsidRDefault="00E617DF">
            <w:pPr>
              <w:pStyle w:val="08-Tabelageral"/>
              <w:rPr>
                <w:b/>
              </w:rPr>
            </w:pPr>
            <w:r>
              <w:rPr>
                <w:b/>
              </w:rPr>
              <w:t>9.757.267</w:t>
            </w:r>
          </w:p>
        </w:tc>
      </w:tr>
      <w:tr w:rsidR="00E617DF" w:rsidRPr="00CF3BC4" w14:paraId="1DD8558E" w14:textId="77777777" w:rsidTr="00E51AC2">
        <w:trPr>
          <w:trHeight w:val="238"/>
          <w:jc w:val="center"/>
        </w:trPr>
        <w:tc>
          <w:tcPr>
            <w:tcW w:w="4324" w:type="dxa"/>
            <w:shd w:val="clear" w:color="auto" w:fill="auto"/>
          </w:tcPr>
          <w:p w14:paraId="447063F9" w14:textId="77777777" w:rsidR="00E617DF" w:rsidRPr="00CF3BC4" w:rsidRDefault="00E617DF">
            <w:pPr>
              <w:pStyle w:val="08-Tabelageral"/>
              <w:jc w:val="left"/>
              <w:rPr>
                <w:rFonts w:cs="Arial"/>
                <w:b/>
                <w:szCs w:val="14"/>
              </w:rPr>
            </w:pPr>
            <w:r w:rsidRPr="00CF3BC4">
              <w:rPr>
                <w:rFonts w:cs="Arial"/>
                <w:b/>
                <w:szCs w:val="14"/>
              </w:rPr>
              <w:t>Resultado Financeiro</w:t>
            </w:r>
          </w:p>
        </w:tc>
        <w:tc>
          <w:tcPr>
            <w:tcW w:w="1328" w:type="dxa"/>
            <w:shd w:val="clear" w:color="auto" w:fill="auto"/>
            <w:vAlign w:val="bottom"/>
          </w:tcPr>
          <w:p w14:paraId="26B810D0" w14:textId="77777777" w:rsidR="00E617DF" w:rsidRPr="00CF3BC4" w:rsidRDefault="00E617DF">
            <w:pPr>
              <w:pStyle w:val="08-Tabelageral"/>
              <w:rPr>
                <w:b/>
              </w:rPr>
            </w:pPr>
            <w:r>
              <w:rPr>
                <w:b/>
              </w:rPr>
              <w:t>174.370</w:t>
            </w:r>
          </w:p>
        </w:tc>
        <w:tc>
          <w:tcPr>
            <w:tcW w:w="1726" w:type="dxa"/>
            <w:shd w:val="clear" w:color="auto" w:fill="auto"/>
            <w:vAlign w:val="bottom"/>
          </w:tcPr>
          <w:p w14:paraId="7E69CEBB" w14:textId="77777777" w:rsidR="00E617DF" w:rsidRPr="00CF3BC4" w:rsidRDefault="00E617DF">
            <w:pPr>
              <w:pStyle w:val="08-Tabelageral"/>
              <w:rPr>
                <w:b/>
              </w:rPr>
            </w:pPr>
            <w:r>
              <w:rPr>
                <w:b/>
              </w:rPr>
              <w:t>479.352</w:t>
            </w:r>
          </w:p>
        </w:tc>
        <w:tc>
          <w:tcPr>
            <w:tcW w:w="1599" w:type="dxa"/>
            <w:shd w:val="clear" w:color="auto" w:fill="auto"/>
            <w:vAlign w:val="bottom"/>
          </w:tcPr>
          <w:p w14:paraId="3C2CCD9A" w14:textId="77777777" w:rsidR="00E617DF" w:rsidRPr="00CF3BC4" w:rsidRDefault="00E617DF">
            <w:pPr>
              <w:pStyle w:val="08-Tabelageral"/>
              <w:rPr>
                <w:b/>
              </w:rPr>
            </w:pPr>
            <w:r>
              <w:rPr>
                <w:b/>
              </w:rPr>
              <w:t>653.722</w:t>
            </w:r>
          </w:p>
        </w:tc>
      </w:tr>
      <w:tr w:rsidR="00E617DF" w:rsidRPr="001D6BE8" w14:paraId="43EC9C9B" w14:textId="77777777" w:rsidTr="00E51AC2">
        <w:trPr>
          <w:trHeight w:val="238"/>
          <w:jc w:val="center"/>
        </w:trPr>
        <w:tc>
          <w:tcPr>
            <w:tcW w:w="4324" w:type="dxa"/>
            <w:shd w:val="clear" w:color="auto" w:fill="auto"/>
          </w:tcPr>
          <w:p w14:paraId="0F56DC71" w14:textId="77777777" w:rsidR="00E617DF" w:rsidRPr="00C806B0" w:rsidRDefault="00E617DF">
            <w:pPr>
              <w:pStyle w:val="08-Tabelageral"/>
              <w:ind w:left="113"/>
              <w:jc w:val="left"/>
              <w:rPr>
                <w:rFonts w:cs="Arial"/>
                <w:b/>
                <w:szCs w:val="14"/>
              </w:rPr>
            </w:pPr>
            <w:r w:rsidRPr="00C806B0">
              <w:rPr>
                <w:rFonts w:cs="Arial"/>
                <w:szCs w:val="14"/>
              </w:rPr>
              <w:t>Receitas financeiras</w:t>
            </w:r>
          </w:p>
        </w:tc>
        <w:tc>
          <w:tcPr>
            <w:tcW w:w="1328" w:type="dxa"/>
            <w:shd w:val="clear" w:color="auto" w:fill="auto"/>
            <w:vAlign w:val="bottom"/>
          </w:tcPr>
          <w:p w14:paraId="125382D7" w14:textId="45C2F109" w:rsidR="00E617DF" w:rsidRPr="00651800" w:rsidRDefault="00E617DF">
            <w:pPr>
              <w:pStyle w:val="08-Tabelageral"/>
            </w:pPr>
            <w:r>
              <w:t>190.82</w:t>
            </w:r>
            <w:r w:rsidR="00C91FF7">
              <w:t>5</w:t>
            </w:r>
          </w:p>
        </w:tc>
        <w:tc>
          <w:tcPr>
            <w:tcW w:w="1726" w:type="dxa"/>
            <w:shd w:val="clear" w:color="auto" w:fill="auto"/>
            <w:vAlign w:val="bottom"/>
          </w:tcPr>
          <w:p w14:paraId="28CF36E4" w14:textId="77777777" w:rsidR="00E617DF" w:rsidRPr="00651800" w:rsidRDefault="00E617DF">
            <w:pPr>
              <w:pStyle w:val="08-Tabelageral"/>
            </w:pPr>
            <w:r>
              <w:t>505.535</w:t>
            </w:r>
          </w:p>
        </w:tc>
        <w:tc>
          <w:tcPr>
            <w:tcW w:w="1599" w:type="dxa"/>
            <w:shd w:val="clear" w:color="auto" w:fill="auto"/>
            <w:vAlign w:val="bottom"/>
          </w:tcPr>
          <w:p w14:paraId="307998EE" w14:textId="709D66F2" w:rsidR="00E617DF" w:rsidRPr="00651800" w:rsidRDefault="00E617DF">
            <w:pPr>
              <w:pStyle w:val="08-Tabelageral"/>
            </w:pPr>
            <w:r>
              <w:t>696.36</w:t>
            </w:r>
            <w:r w:rsidR="00AE02ED">
              <w:t>0</w:t>
            </w:r>
          </w:p>
        </w:tc>
      </w:tr>
      <w:tr w:rsidR="00E617DF" w:rsidRPr="001D6BE8" w14:paraId="022C46DF" w14:textId="77777777" w:rsidTr="00E51AC2">
        <w:trPr>
          <w:trHeight w:val="238"/>
          <w:jc w:val="center"/>
        </w:trPr>
        <w:tc>
          <w:tcPr>
            <w:tcW w:w="4324" w:type="dxa"/>
            <w:shd w:val="clear" w:color="auto" w:fill="auto"/>
          </w:tcPr>
          <w:p w14:paraId="6740BE59" w14:textId="77777777" w:rsidR="00E617DF" w:rsidRPr="00C806B0" w:rsidRDefault="00E617DF">
            <w:pPr>
              <w:pStyle w:val="08-Tabelageral"/>
              <w:ind w:left="113"/>
              <w:jc w:val="left"/>
              <w:rPr>
                <w:rFonts w:cs="Arial"/>
                <w:b/>
                <w:szCs w:val="14"/>
              </w:rPr>
            </w:pPr>
            <w:r w:rsidRPr="00C806B0">
              <w:rPr>
                <w:rFonts w:cs="Arial"/>
                <w:szCs w:val="14"/>
              </w:rPr>
              <w:t xml:space="preserve">Despesas financeiras </w:t>
            </w:r>
          </w:p>
        </w:tc>
        <w:tc>
          <w:tcPr>
            <w:tcW w:w="1328" w:type="dxa"/>
            <w:shd w:val="clear" w:color="auto" w:fill="auto"/>
            <w:vAlign w:val="bottom"/>
          </w:tcPr>
          <w:p w14:paraId="39D34695" w14:textId="0B49498A" w:rsidR="00E617DF" w:rsidRPr="00651800" w:rsidRDefault="00E617DF">
            <w:pPr>
              <w:pStyle w:val="08-Tabelageral"/>
            </w:pPr>
            <w:r>
              <w:t>(16.45</w:t>
            </w:r>
            <w:r w:rsidR="00C91FF7">
              <w:t>5</w:t>
            </w:r>
            <w:r>
              <w:t>)</w:t>
            </w:r>
          </w:p>
        </w:tc>
        <w:tc>
          <w:tcPr>
            <w:tcW w:w="1726" w:type="dxa"/>
            <w:shd w:val="clear" w:color="auto" w:fill="auto"/>
            <w:vAlign w:val="bottom"/>
          </w:tcPr>
          <w:p w14:paraId="79478B55" w14:textId="77777777" w:rsidR="00E617DF" w:rsidRPr="00651800" w:rsidRDefault="00E617DF">
            <w:pPr>
              <w:pStyle w:val="08-Tabelageral"/>
            </w:pPr>
            <w:r>
              <w:t>(26.183)</w:t>
            </w:r>
          </w:p>
        </w:tc>
        <w:tc>
          <w:tcPr>
            <w:tcW w:w="1599" w:type="dxa"/>
            <w:shd w:val="clear" w:color="auto" w:fill="auto"/>
            <w:vAlign w:val="bottom"/>
          </w:tcPr>
          <w:p w14:paraId="48B9277A" w14:textId="4AE408E9" w:rsidR="00E617DF" w:rsidRPr="00651800" w:rsidRDefault="00E617DF">
            <w:pPr>
              <w:pStyle w:val="08-Tabelageral"/>
            </w:pPr>
            <w:r>
              <w:t>(42.6</w:t>
            </w:r>
            <w:r w:rsidR="00AE02ED">
              <w:t>38</w:t>
            </w:r>
            <w:r>
              <w:t>)</w:t>
            </w:r>
          </w:p>
        </w:tc>
      </w:tr>
      <w:tr w:rsidR="00E617DF" w:rsidRPr="00CF3BC4" w14:paraId="40CD6833" w14:textId="77777777" w:rsidTr="00E51AC2">
        <w:trPr>
          <w:trHeight w:val="238"/>
          <w:jc w:val="center"/>
        </w:trPr>
        <w:tc>
          <w:tcPr>
            <w:tcW w:w="4324" w:type="dxa"/>
            <w:shd w:val="clear" w:color="auto" w:fill="auto"/>
          </w:tcPr>
          <w:p w14:paraId="77A77A6D" w14:textId="77777777" w:rsidR="00E617DF" w:rsidRPr="00CF3BC4" w:rsidRDefault="00E617DF">
            <w:pPr>
              <w:pStyle w:val="08-Tabelageral"/>
              <w:jc w:val="left"/>
              <w:rPr>
                <w:rFonts w:cs="Arial"/>
                <w:b/>
                <w:szCs w:val="14"/>
              </w:rPr>
            </w:pPr>
            <w:r w:rsidRPr="00CF3BC4">
              <w:rPr>
                <w:rFonts w:cs="Arial"/>
                <w:b/>
                <w:szCs w:val="14"/>
              </w:rPr>
              <w:t>Resultado Antes do Imposto de Renda e Contribuição Social</w:t>
            </w:r>
          </w:p>
        </w:tc>
        <w:tc>
          <w:tcPr>
            <w:tcW w:w="1328" w:type="dxa"/>
            <w:shd w:val="clear" w:color="auto" w:fill="auto"/>
            <w:vAlign w:val="bottom"/>
          </w:tcPr>
          <w:p w14:paraId="6F10A840" w14:textId="77777777" w:rsidR="00E617DF" w:rsidRPr="00CF3BC4" w:rsidRDefault="00E617DF">
            <w:pPr>
              <w:pStyle w:val="08-Tabelageral"/>
              <w:rPr>
                <w:b/>
              </w:rPr>
            </w:pPr>
            <w:r>
              <w:rPr>
                <w:b/>
              </w:rPr>
              <w:t>5.441.374</w:t>
            </w:r>
          </w:p>
        </w:tc>
        <w:tc>
          <w:tcPr>
            <w:tcW w:w="1726" w:type="dxa"/>
            <w:shd w:val="clear" w:color="auto" w:fill="auto"/>
            <w:vAlign w:val="bottom"/>
          </w:tcPr>
          <w:p w14:paraId="6D138B5E" w14:textId="77777777" w:rsidR="00E617DF" w:rsidRPr="00CF3BC4" w:rsidRDefault="00E617DF">
            <w:pPr>
              <w:pStyle w:val="08-Tabelageral"/>
              <w:rPr>
                <w:b/>
              </w:rPr>
            </w:pPr>
            <w:r>
              <w:rPr>
                <w:b/>
              </w:rPr>
              <w:t>4.969.615</w:t>
            </w:r>
          </w:p>
        </w:tc>
        <w:tc>
          <w:tcPr>
            <w:tcW w:w="1599" w:type="dxa"/>
            <w:shd w:val="clear" w:color="auto" w:fill="auto"/>
            <w:vAlign w:val="bottom"/>
          </w:tcPr>
          <w:p w14:paraId="21D6998D" w14:textId="77777777" w:rsidR="00E617DF" w:rsidRPr="00CF3BC4" w:rsidRDefault="00E617DF">
            <w:pPr>
              <w:pStyle w:val="08-Tabelageral"/>
              <w:rPr>
                <w:b/>
              </w:rPr>
            </w:pPr>
            <w:r>
              <w:rPr>
                <w:b/>
              </w:rPr>
              <w:t>10.410.989</w:t>
            </w:r>
          </w:p>
        </w:tc>
      </w:tr>
      <w:tr w:rsidR="00E617DF" w:rsidRPr="00C2766D" w14:paraId="57D30997" w14:textId="77777777" w:rsidTr="00E51AC2">
        <w:trPr>
          <w:trHeight w:val="238"/>
          <w:jc w:val="center"/>
        </w:trPr>
        <w:tc>
          <w:tcPr>
            <w:tcW w:w="4324" w:type="dxa"/>
            <w:shd w:val="clear" w:color="auto" w:fill="auto"/>
          </w:tcPr>
          <w:p w14:paraId="23234C4A" w14:textId="77777777" w:rsidR="00E617DF" w:rsidRPr="00C2766D" w:rsidRDefault="00E617DF">
            <w:pPr>
              <w:pStyle w:val="08-Tabelageral"/>
              <w:ind w:left="113"/>
              <w:jc w:val="left"/>
              <w:rPr>
                <w:rFonts w:cs="Arial"/>
                <w:bCs/>
                <w:szCs w:val="14"/>
              </w:rPr>
            </w:pPr>
            <w:r w:rsidRPr="00A869C3">
              <w:rPr>
                <w:rFonts w:cs="Arial"/>
                <w:szCs w:val="14"/>
              </w:rPr>
              <w:t>Imposto de Renda e Contribuição Social</w:t>
            </w:r>
          </w:p>
        </w:tc>
        <w:tc>
          <w:tcPr>
            <w:tcW w:w="1328" w:type="dxa"/>
            <w:shd w:val="clear" w:color="auto" w:fill="auto"/>
            <w:vAlign w:val="bottom"/>
          </w:tcPr>
          <w:p w14:paraId="1C326B9B" w14:textId="77777777" w:rsidR="00E617DF" w:rsidRPr="00C2766D" w:rsidRDefault="00E617DF">
            <w:pPr>
              <w:pStyle w:val="08-Tabelageral"/>
              <w:rPr>
                <w:bCs/>
              </w:rPr>
            </w:pPr>
            <w:r>
              <w:rPr>
                <w:bCs/>
              </w:rPr>
              <w:t>(46.160)</w:t>
            </w:r>
          </w:p>
        </w:tc>
        <w:tc>
          <w:tcPr>
            <w:tcW w:w="1726" w:type="dxa"/>
            <w:shd w:val="clear" w:color="auto" w:fill="auto"/>
            <w:vAlign w:val="bottom"/>
          </w:tcPr>
          <w:p w14:paraId="5556E00A" w14:textId="77777777" w:rsidR="00E617DF" w:rsidRPr="00C2766D" w:rsidRDefault="00E617DF">
            <w:pPr>
              <w:pStyle w:val="08-Tabelageral"/>
              <w:rPr>
                <w:bCs/>
              </w:rPr>
            </w:pPr>
            <w:r>
              <w:rPr>
                <w:bCs/>
              </w:rPr>
              <w:t>(1.661.476)</w:t>
            </w:r>
          </w:p>
        </w:tc>
        <w:tc>
          <w:tcPr>
            <w:tcW w:w="1599" w:type="dxa"/>
            <w:shd w:val="clear" w:color="auto" w:fill="auto"/>
            <w:vAlign w:val="bottom"/>
          </w:tcPr>
          <w:p w14:paraId="00DDCB75" w14:textId="77777777" w:rsidR="00E617DF" w:rsidRPr="00C2766D" w:rsidRDefault="00E617DF">
            <w:pPr>
              <w:pStyle w:val="08-Tabelageral"/>
              <w:rPr>
                <w:bCs/>
              </w:rPr>
            </w:pPr>
            <w:r>
              <w:rPr>
                <w:bCs/>
              </w:rPr>
              <w:t>(1.707.636)</w:t>
            </w:r>
          </w:p>
        </w:tc>
      </w:tr>
      <w:tr w:rsidR="00E617DF" w:rsidRPr="00CF3BC4" w14:paraId="0C198929" w14:textId="77777777" w:rsidTr="00E51AC2">
        <w:trPr>
          <w:trHeight w:val="238"/>
          <w:jc w:val="center"/>
        </w:trPr>
        <w:tc>
          <w:tcPr>
            <w:tcW w:w="4324" w:type="dxa"/>
            <w:tcBorders>
              <w:bottom w:val="single" w:sz="2" w:space="0" w:color="1F3864" w:themeColor="accent1" w:themeShade="80"/>
            </w:tcBorders>
            <w:shd w:val="clear" w:color="auto" w:fill="auto"/>
          </w:tcPr>
          <w:p w14:paraId="5623C7A3" w14:textId="77777777" w:rsidR="00E617DF" w:rsidRPr="00CF3BC4" w:rsidRDefault="00E617DF">
            <w:pPr>
              <w:pStyle w:val="08-Tabelageral"/>
              <w:jc w:val="left"/>
              <w:rPr>
                <w:rFonts w:cs="Arial"/>
                <w:b/>
                <w:szCs w:val="14"/>
              </w:rPr>
            </w:pPr>
            <w:r w:rsidRPr="00CF3BC4">
              <w:rPr>
                <w:rFonts w:cs="Arial"/>
                <w:b/>
                <w:szCs w:val="14"/>
              </w:rPr>
              <w:t xml:space="preserve">Lucro Líquido do </w:t>
            </w:r>
            <w:r>
              <w:rPr>
                <w:rFonts w:cs="Arial"/>
                <w:b/>
                <w:szCs w:val="14"/>
              </w:rPr>
              <w:t>Período</w:t>
            </w:r>
          </w:p>
        </w:tc>
        <w:tc>
          <w:tcPr>
            <w:tcW w:w="1328" w:type="dxa"/>
            <w:tcBorders>
              <w:bottom w:val="single" w:sz="2" w:space="0" w:color="1F3864" w:themeColor="accent1" w:themeShade="80"/>
            </w:tcBorders>
            <w:shd w:val="clear" w:color="auto" w:fill="auto"/>
            <w:vAlign w:val="bottom"/>
          </w:tcPr>
          <w:p w14:paraId="35AE9F18" w14:textId="77777777" w:rsidR="00E617DF" w:rsidRPr="00CF3BC4" w:rsidRDefault="00E617DF">
            <w:pPr>
              <w:pStyle w:val="08-Tabelageral"/>
              <w:rPr>
                <w:b/>
              </w:rPr>
            </w:pPr>
            <w:r>
              <w:rPr>
                <w:b/>
              </w:rPr>
              <w:t>5.395.214</w:t>
            </w:r>
          </w:p>
        </w:tc>
        <w:tc>
          <w:tcPr>
            <w:tcW w:w="1726" w:type="dxa"/>
            <w:tcBorders>
              <w:bottom w:val="single" w:sz="2" w:space="0" w:color="1F3864" w:themeColor="accent1" w:themeShade="80"/>
            </w:tcBorders>
            <w:shd w:val="clear" w:color="auto" w:fill="auto"/>
            <w:vAlign w:val="bottom"/>
          </w:tcPr>
          <w:p w14:paraId="071A1E42" w14:textId="77777777" w:rsidR="00E617DF" w:rsidRPr="00CF3BC4" w:rsidRDefault="00E617DF">
            <w:pPr>
              <w:pStyle w:val="08-Tabelageral"/>
              <w:rPr>
                <w:b/>
              </w:rPr>
            </w:pPr>
            <w:r>
              <w:rPr>
                <w:b/>
              </w:rPr>
              <w:t>3.308.139</w:t>
            </w:r>
          </w:p>
        </w:tc>
        <w:tc>
          <w:tcPr>
            <w:tcW w:w="1599" w:type="dxa"/>
            <w:tcBorders>
              <w:bottom w:val="single" w:sz="2" w:space="0" w:color="1F3864" w:themeColor="accent1" w:themeShade="80"/>
            </w:tcBorders>
            <w:shd w:val="clear" w:color="auto" w:fill="auto"/>
            <w:vAlign w:val="bottom"/>
          </w:tcPr>
          <w:p w14:paraId="100788D8" w14:textId="77777777" w:rsidR="00E617DF" w:rsidRPr="00CF3BC4" w:rsidRDefault="00E617DF">
            <w:pPr>
              <w:pStyle w:val="08-Tabelageral"/>
              <w:rPr>
                <w:b/>
              </w:rPr>
            </w:pPr>
            <w:r>
              <w:rPr>
                <w:b/>
              </w:rPr>
              <w:t>8.703.353</w:t>
            </w:r>
          </w:p>
        </w:tc>
      </w:tr>
    </w:tbl>
    <w:p w14:paraId="4AAF9055" w14:textId="77777777" w:rsidR="00E617DF" w:rsidRDefault="00E617DF" w:rsidP="00E51AC2">
      <w:pPr>
        <w:pStyle w:val="01-Textonormal"/>
        <w:widowControl w:val="0"/>
      </w:pPr>
    </w:p>
    <w:p w14:paraId="2DFD25F0" w14:textId="77777777" w:rsidR="00E617DF" w:rsidRPr="00E51AC2" w:rsidRDefault="00E617DF" w:rsidP="00514594">
      <w:pPr>
        <w:pStyle w:val="06-Rmil"/>
        <w:pageBreakBefore/>
        <w:rPr>
          <w:rFonts w:cs="Arial"/>
          <w:color w:val="000000" w:themeColor="text1"/>
        </w:rPr>
      </w:pPr>
      <w:bookmarkStart w:id="56" w:name="_Hlk75968720"/>
      <w:r w:rsidRPr="00E51AC2">
        <w:rPr>
          <w:rFonts w:cs="Arial"/>
          <w:color w:val="000000" w:themeColor="text1"/>
        </w:rPr>
        <w:lastRenderedPageBreak/>
        <w:t>R$ mil</w:t>
      </w:r>
    </w:p>
    <w:tbl>
      <w:tblPr>
        <w:tblW w:w="9639" w:type="dxa"/>
        <w:jc w:val="center"/>
        <w:tblLayout w:type="fixed"/>
        <w:tblLook w:val="04A0" w:firstRow="1" w:lastRow="0" w:firstColumn="1" w:lastColumn="0" w:noHBand="0" w:noVBand="1"/>
      </w:tblPr>
      <w:tblGrid>
        <w:gridCol w:w="4576"/>
        <w:gridCol w:w="1405"/>
        <w:gridCol w:w="1673"/>
        <w:gridCol w:w="1985"/>
      </w:tblGrid>
      <w:tr w:rsidR="00E617DF" w:rsidRPr="001D6BE8" w14:paraId="5A9D9540" w14:textId="77777777" w:rsidTr="00E51AC2">
        <w:trPr>
          <w:trHeight w:hRule="exact" w:val="238"/>
          <w:jc w:val="center"/>
        </w:trPr>
        <w:tc>
          <w:tcPr>
            <w:tcW w:w="4324" w:type="dxa"/>
            <w:tcBorders>
              <w:top w:val="single" w:sz="4" w:space="0" w:color="auto"/>
            </w:tcBorders>
            <w:shd w:val="clear" w:color="auto" w:fill="auto"/>
          </w:tcPr>
          <w:p w14:paraId="63A53AAF" w14:textId="77777777" w:rsidR="00E617DF" w:rsidRPr="001D6BE8" w:rsidRDefault="00E617DF">
            <w:pPr>
              <w:pStyle w:val="08-Tabelageral"/>
              <w:jc w:val="left"/>
              <w:rPr>
                <w:rFonts w:cs="Arial"/>
                <w:b/>
              </w:rPr>
            </w:pPr>
          </w:p>
        </w:tc>
        <w:tc>
          <w:tcPr>
            <w:tcW w:w="1328" w:type="dxa"/>
            <w:tcBorders>
              <w:top w:val="single" w:sz="4" w:space="0" w:color="auto"/>
              <w:bottom w:val="single" w:sz="2" w:space="0" w:color="1F3864" w:themeColor="accent1" w:themeShade="80"/>
            </w:tcBorders>
            <w:shd w:val="clear" w:color="auto" w:fill="auto"/>
            <w:vAlign w:val="center"/>
          </w:tcPr>
          <w:p w14:paraId="54C924E3" w14:textId="77777777" w:rsidR="00E617DF" w:rsidRPr="00A24524" w:rsidRDefault="00E617DF">
            <w:pPr>
              <w:pStyle w:val="08-Tabelageral"/>
              <w:ind w:hanging="203"/>
              <w:jc w:val="center"/>
              <w:rPr>
                <w:rFonts w:cs="Arial"/>
                <w:b/>
              </w:rPr>
            </w:pPr>
          </w:p>
        </w:tc>
        <w:tc>
          <w:tcPr>
            <w:tcW w:w="1581" w:type="dxa"/>
            <w:tcBorders>
              <w:top w:val="single" w:sz="2" w:space="0" w:color="1F3864" w:themeColor="accent1" w:themeShade="80"/>
              <w:bottom w:val="single" w:sz="2" w:space="0" w:color="1F3864" w:themeColor="accent1" w:themeShade="80"/>
            </w:tcBorders>
            <w:shd w:val="clear" w:color="auto" w:fill="auto"/>
            <w:vAlign w:val="center"/>
          </w:tcPr>
          <w:p w14:paraId="43990616" w14:textId="77777777" w:rsidR="00E617DF" w:rsidRPr="00A24524" w:rsidRDefault="00E617DF">
            <w:pPr>
              <w:pStyle w:val="08-Tabelageral"/>
              <w:jc w:val="center"/>
              <w:rPr>
                <w:rFonts w:cs="Arial"/>
                <w:b/>
              </w:rPr>
            </w:pPr>
            <w:r>
              <w:rPr>
                <w:rFonts w:cs="Arial"/>
                <w:b/>
              </w:rPr>
              <w:t>Exercício de 2023</w:t>
            </w:r>
          </w:p>
        </w:tc>
        <w:tc>
          <w:tcPr>
            <w:tcW w:w="1876" w:type="dxa"/>
            <w:tcBorders>
              <w:top w:val="single" w:sz="2" w:space="0" w:color="1F3864" w:themeColor="accent1" w:themeShade="80"/>
              <w:bottom w:val="single" w:sz="2" w:space="0" w:color="1F3864" w:themeColor="accent1" w:themeShade="80"/>
            </w:tcBorders>
            <w:shd w:val="clear" w:color="auto" w:fill="auto"/>
            <w:vAlign w:val="center"/>
          </w:tcPr>
          <w:p w14:paraId="608B49DD" w14:textId="77777777" w:rsidR="00E617DF" w:rsidRPr="00A24524" w:rsidRDefault="00E617DF">
            <w:pPr>
              <w:pStyle w:val="08-Tabelageral"/>
              <w:jc w:val="center"/>
              <w:rPr>
                <w:rFonts w:cs="Arial"/>
                <w:b/>
              </w:rPr>
            </w:pPr>
          </w:p>
        </w:tc>
      </w:tr>
      <w:tr w:rsidR="00E617DF" w:rsidRPr="001D6BE8" w14:paraId="25723352" w14:textId="77777777" w:rsidTr="00E51AC2">
        <w:trPr>
          <w:trHeight w:hRule="exact" w:val="436"/>
          <w:jc w:val="center"/>
        </w:trPr>
        <w:tc>
          <w:tcPr>
            <w:tcW w:w="4324" w:type="dxa"/>
            <w:tcBorders>
              <w:bottom w:val="single" w:sz="4" w:space="0" w:color="auto"/>
            </w:tcBorders>
            <w:shd w:val="clear" w:color="auto" w:fill="auto"/>
          </w:tcPr>
          <w:p w14:paraId="6A739CA7" w14:textId="77777777" w:rsidR="00E617DF" w:rsidRPr="001D6BE8" w:rsidRDefault="00E617DF">
            <w:pPr>
              <w:pStyle w:val="08-Tabelageral"/>
              <w:jc w:val="left"/>
              <w:rPr>
                <w:rFonts w:cs="Arial"/>
                <w:b/>
              </w:rPr>
            </w:pPr>
          </w:p>
        </w:tc>
        <w:tc>
          <w:tcPr>
            <w:tcW w:w="1328" w:type="dxa"/>
            <w:tcBorders>
              <w:top w:val="single" w:sz="2" w:space="0" w:color="1F3864" w:themeColor="accent1" w:themeShade="80"/>
              <w:bottom w:val="single" w:sz="2" w:space="0" w:color="1F3864" w:themeColor="accent1" w:themeShade="80"/>
            </w:tcBorders>
            <w:shd w:val="clear" w:color="auto" w:fill="auto"/>
            <w:vAlign w:val="center"/>
          </w:tcPr>
          <w:p w14:paraId="704D9BCA" w14:textId="77777777" w:rsidR="00E617DF" w:rsidRPr="00A24524" w:rsidRDefault="00E617DF">
            <w:pPr>
              <w:pStyle w:val="08-Tabelageral"/>
              <w:rPr>
                <w:rFonts w:cs="Arial"/>
                <w:b/>
              </w:rPr>
            </w:pPr>
            <w:r w:rsidRPr="00A24524">
              <w:rPr>
                <w:rFonts w:cs="Arial"/>
                <w:b/>
              </w:rPr>
              <w:t>Seguridade</w:t>
            </w:r>
          </w:p>
        </w:tc>
        <w:tc>
          <w:tcPr>
            <w:tcW w:w="1581" w:type="dxa"/>
            <w:tcBorders>
              <w:top w:val="single" w:sz="2" w:space="0" w:color="1F3864" w:themeColor="accent1" w:themeShade="80"/>
              <w:bottom w:val="single" w:sz="2" w:space="0" w:color="1F3864" w:themeColor="accent1" w:themeShade="80"/>
            </w:tcBorders>
            <w:shd w:val="clear" w:color="auto" w:fill="auto"/>
            <w:vAlign w:val="center"/>
          </w:tcPr>
          <w:p w14:paraId="6C5E8E83" w14:textId="77777777" w:rsidR="00E617DF" w:rsidRPr="00A24524" w:rsidRDefault="00E617DF">
            <w:pPr>
              <w:pStyle w:val="08-Tabelageral"/>
              <w:rPr>
                <w:rFonts w:cs="Arial"/>
                <w:b/>
              </w:rPr>
            </w:pPr>
            <w:r w:rsidRPr="00A24524">
              <w:rPr>
                <w:rFonts w:cs="Arial"/>
                <w:b/>
              </w:rPr>
              <w:t>Corretagem</w:t>
            </w:r>
          </w:p>
        </w:tc>
        <w:tc>
          <w:tcPr>
            <w:tcW w:w="1876" w:type="dxa"/>
            <w:tcBorders>
              <w:top w:val="single" w:sz="2" w:space="0" w:color="1F3864" w:themeColor="accent1" w:themeShade="80"/>
              <w:bottom w:val="single" w:sz="2" w:space="0" w:color="1F3864" w:themeColor="accent1" w:themeShade="80"/>
            </w:tcBorders>
            <w:shd w:val="clear" w:color="auto" w:fill="auto"/>
            <w:vAlign w:val="center"/>
          </w:tcPr>
          <w:p w14:paraId="028E3ACB" w14:textId="77777777" w:rsidR="00E617DF" w:rsidRPr="00A24524" w:rsidRDefault="00E617DF">
            <w:pPr>
              <w:pStyle w:val="08-Tabelageral"/>
              <w:rPr>
                <w:rFonts w:cs="Arial"/>
                <w:b/>
              </w:rPr>
            </w:pPr>
            <w:r w:rsidRPr="00A24524">
              <w:rPr>
                <w:rFonts w:cs="Arial"/>
                <w:b/>
              </w:rPr>
              <w:t>Total</w:t>
            </w:r>
          </w:p>
        </w:tc>
      </w:tr>
      <w:tr w:rsidR="00E617DF" w:rsidRPr="00CF3BC4" w14:paraId="31ADC247" w14:textId="77777777" w:rsidTr="00E51AC2">
        <w:trPr>
          <w:trHeight w:val="238"/>
          <w:jc w:val="center"/>
        </w:trPr>
        <w:tc>
          <w:tcPr>
            <w:tcW w:w="4324" w:type="dxa"/>
            <w:tcBorders>
              <w:top w:val="single" w:sz="4" w:space="0" w:color="auto"/>
            </w:tcBorders>
            <w:shd w:val="clear" w:color="auto" w:fill="auto"/>
          </w:tcPr>
          <w:p w14:paraId="2927A5C3" w14:textId="77777777" w:rsidR="00E617DF" w:rsidRPr="00CF3BC4" w:rsidRDefault="00E617DF">
            <w:pPr>
              <w:pStyle w:val="08-Tabelageral"/>
              <w:jc w:val="left"/>
              <w:rPr>
                <w:rFonts w:cs="Arial"/>
                <w:b/>
                <w:szCs w:val="14"/>
              </w:rPr>
            </w:pPr>
            <w:r w:rsidRPr="00CF3BC4">
              <w:rPr>
                <w:rFonts w:cs="Arial"/>
                <w:b/>
                <w:szCs w:val="14"/>
              </w:rPr>
              <w:t>Receitas Operacionais</w:t>
            </w:r>
          </w:p>
        </w:tc>
        <w:tc>
          <w:tcPr>
            <w:tcW w:w="1328" w:type="dxa"/>
            <w:tcBorders>
              <w:top w:val="single" w:sz="2" w:space="0" w:color="1F3864" w:themeColor="accent1" w:themeShade="80"/>
            </w:tcBorders>
            <w:shd w:val="clear" w:color="auto" w:fill="auto"/>
            <w:vAlign w:val="bottom"/>
          </w:tcPr>
          <w:p w14:paraId="710EF391" w14:textId="555EC095" w:rsidR="00E617DF" w:rsidRPr="00CF3BC4" w:rsidRDefault="00E617DF">
            <w:pPr>
              <w:pStyle w:val="08-Tabelageral"/>
              <w:rPr>
                <w:b/>
              </w:rPr>
            </w:pPr>
            <w:r>
              <w:rPr>
                <w:b/>
              </w:rPr>
              <w:t>4.887.138</w:t>
            </w:r>
          </w:p>
        </w:tc>
        <w:tc>
          <w:tcPr>
            <w:tcW w:w="1581" w:type="dxa"/>
            <w:tcBorders>
              <w:top w:val="single" w:sz="2" w:space="0" w:color="1F3864" w:themeColor="accent1" w:themeShade="80"/>
            </w:tcBorders>
            <w:shd w:val="clear" w:color="auto" w:fill="auto"/>
            <w:vAlign w:val="bottom"/>
          </w:tcPr>
          <w:p w14:paraId="65A2F7B0" w14:textId="443A40F1" w:rsidR="00E617DF" w:rsidRPr="00CF3BC4" w:rsidRDefault="00E617DF">
            <w:pPr>
              <w:pStyle w:val="08-Tabelageral"/>
              <w:rPr>
                <w:b/>
              </w:rPr>
            </w:pPr>
            <w:r>
              <w:rPr>
                <w:b/>
              </w:rPr>
              <w:t>4.427.</w:t>
            </w:r>
            <w:r w:rsidR="00A1654B">
              <w:rPr>
                <w:b/>
              </w:rPr>
              <w:t>722</w:t>
            </w:r>
          </w:p>
        </w:tc>
        <w:tc>
          <w:tcPr>
            <w:tcW w:w="1876" w:type="dxa"/>
            <w:tcBorders>
              <w:top w:val="single" w:sz="2" w:space="0" w:color="1F3864" w:themeColor="accent1" w:themeShade="80"/>
            </w:tcBorders>
            <w:shd w:val="clear" w:color="auto" w:fill="auto"/>
            <w:vAlign w:val="bottom"/>
          </w:tcPr>
          <w:p w14:paraId="3804F813" w14:textId="4F1D2881" w:rsidR="00E617DF" w:rsidRPr="00CF3BC4" w:rsidRDefault="00E617DF">
            <w:pPr>
              <w:pStyle w:val="08-Tabelageral"/>
              <w:rPr>
                <w:b/>
              </w:rPr>
            </w:pPr>
            <w:r>
              <w:rPr>
                <w:b/>
              </w:rPr>
              <w:t>9.314.</w:t>
            </w:r>
            <w:r w:rsidR="00A1654B">
              <w:rPr>
                <w:b/>
              </w:rPr>
              <w:t>860</w:t>
            </w:r>
          </w:p>
        </w:tc>
      </w:tr>
      <w:tr w:rsidR="00E617DF" w:rsidRPr="001D6BE8" w14:paraId="12278659" w14:textId="77777777" w:rsidTr="00E51AC2">
        <w:trPr>
          <w:trHeight w:val="238"/>
          <w:jc w:val="center"/>
        </w:trPr>
        <w:tc>
          <w:tcPr>
            <w:tcW w:w="4324" w:type="dxa"/>
            <w:shd w:val="clear" w:color="auto" w:fill="auto"/>
          </w:tcPr>
          <w:p w14:paraId="7202DB4E" w14:textId="77777777" w:rsidR="00E617DF" w:rsidRPr="00C806B0" w:rsidRDefault="00E617DF">
            <w:pPr>
              <w:pStyle w:val="08-Tabelageral"/>
              <w:ind w:left="113"/>
              <w:jc w:val="left"/>
              <w:rPr>
                <w:rFonts w:cs="Arial"/>
                <w:b/>
                <w:szCs w:val="14"/>
              </w:rPr>
            </w:pPr>
            <w:r w:rsidRPr="00C806B0">
              <w:rPr>
                <w:rFonts w:cs="Arial"/>
                <w:szCs w:val="14"/>
              </w:rPr>
              <w:t>Resultado de investimentos em participações societárias</w:t>
            </w:r>
          </w:p>
        </w:tc>
        <w:tc>
          <w:tcPr>
            <w:tcW w:w="1328" w:type="dxa"/>
            <w:shd w:val="clear" w:color="auto" w:fill="auto"/>
            <w:vAlign w:val="bottom"/>
          </w:tcPr>
          <w:p w14:paraId="72A44468" w14:textId="17980892" w:rsidR="00E617DF" w:rsidRPr="00651800" w:rsidRDefault="00E617DF">
            <w:pPr>
              <w:pStyle w:val="08-Tabelageral"/>
            </w:pPr>
            <w:r>
              <w:t>4.887.138</w:t>
            </w:r>
          </w:p>
        </w:tc>
        <w:tc>
          <w:tcPr>
            <w:tcW w:w="1581" w:type="dxa"/>
            <w:shd w:val="clear" w:color="auto" w:fill="auto"/>
            <w:vAlign w:val="bottom"/>
          </w:tcPr>
          <w:p w14:paraId="22E13A67" w14:textId="61CF3F46" w:rsidR="00E617DF" w:rsidRPr="00651800" w:rsidRDefault="00E617DF">
            <w:pPr>
              <w:pStyle w:val="08-Tabelageral"/>
            </w:pPr>
            <w:r>
              <w:t>3.</w:t>
            </w:r>
            <w:r w:rsidR="00A1654B">
              <w:t>320</w:t>
            </w:r>
          </w:p>
        </w:tc>
        <w:tc>
          <w:tcPr>
            <w:tcW w:w="1876" w:type="dxa"/>
            <w:shd w:val="clear" w:color="auto" w:fill="auto"/>
            <w:vAlign w:val="bottom"/>
          </w:tcPr>
          <w:p w14:paraId="358A3532" w14:textId="082E2BC5" w:rsidR="00E617DF" w:rsidRPr="00651800" w:rsidRDefault="00E617DF">
            <w:pPr>
              <w:pStyle w:val="08-Tabelageral"/>
            </w:pPr>
            <w:r>
              <w:t>4.890.</w:t>
            </w:r>
            <w:r w:rsidR="00A1654B">
              <w:t>458</w:t>
            </w:r>
          </w:p>
        </w:tc>
      </w:tr>
      <w:tr w:rsidR="00E617DF" w:rsidRPr="001D6BE8" w14:paraId="1498433B" w14:textId="77777777" w:rsidTr="00E51AC2">
        <w:trPr>
          <w:trHeight w:val="238"/>
          <w:jc w:val="center"/>
        </w:trPr>
        <w:tc>
          <w:tcPr>
            <w:tcW w:w="4324" w:type="dxa"/>
            <w:shd w:val="clear" w:color="auto" w:fill="auto"/>
          </w:tcPr>
          <w:p w14:paraId="1159CD3E" w14:textId="77777777" w:rsidR="00E617DF" w:rsidRPr="00C806B0" w:rsidRDefault="00E617DF">
            <w:pPr>
              <w:pStyle w:val="08-Tabelageral"/>
              <w:ind w:left="113"/>
              <w:jc w:val="left"/>
              <w:rPr>
                <w:rFonts w:cs="Arial"/>
                <w:b/>
                <w:szCs w:val="14"/>
              </w:rPr>
            </w:pPr>
            <w:r w:rsidRPr="00C806B0">
              <w:rPr>
                <w:rFonts w:cs="Arial"/>
                <w:szCs w:val="14"/>
              </w:rPr>
              <w:t>Receitas de comissões</w:t>
            </w:r>
            <w:r>
              <w:rPr>
                <w:rFonts w:cs="Arial"/>
                <w:szCs w:val="14"/>
              </w:rPr>
              <w:t>,</w:t>
            </w:r>
            <w:r w:rsidRPr="00C806B0">
              <w:rPr>
                <w:rFonts w:cs="Arial"/>
                <w:szCs w:val="14"/>
              </w:rPr>
              <w:t xml:space="preserve"> líquida</w:t>
            </w:r>
            <w:r>
              <w:rPr>
                <w:rFonts w:cs="Arial"/>
                <w:szCs w:val="14"/>
              </w:rPr>
              <w:t>s</w:t>
            </w:r>
          </w:p>
        </w:tc>
        <w:tc>
          <w:tcPr>
            <w:tcW w:w="1328" w:type="dxa"/>
            <w:shd w:val="clear" w:color="auto" w:fill="auto"/>
            <w:vAlign w:val="bottom"/>
          </w:tcPr>
          <w:p w14:paraId="3D236CE2" w14:textId="53530141" w:rsidR="00E617DF" w:rsidRPr="00651800" w:rsidRDefault="00E617DF">
            <w:pPr>
              <w:pStyle w:val="08-Tabelageral"/>
            </w:pPr>
            <w:r>
              <w:t>--</w:t>
            </w:r>
          </w:p>
        </w:tc>
        <w:tc>
          <w:tcPr>
            <w:tcW w:w="1581" w:type="dxa"/>
            <w:shd w:val="clear" w:color="auto" w:fill="auto"/>
            <w:vAlign w:val="bottom"/>
          </w:tcPr>
          <w:p w14:paraId="1314FE22" w14:textId="431B2FFB" w:rsidR="00E617DF" w:rsidRPr="00651800" w:rsidRDefault="00E617DF">
            <w:pPr>
              <w:pStyle w:val="08-Tabelageral"/>
            </w:pPr>
            <w:r>
              <w:t>4.424.402</w:t>
            </w:r>
          </w:p>
        </w:tc>
        <w:tc>
          <w:tcPr>
            <w:tcW w:w="1876" w:type="dxa"/>
            <w:shd w:val="clear" w:color="auto" w:fill="auto"/>
            <w:vAlign w:val="bottom"/>
          </w:tcPr>
          <w:p w14:paraId="276624A3" w14:textId="4C882051" w:rsidR="00E617DF" w:rsidRPr="00651800" w:rsidRDefault="00E617DF">
            <w:pPr>
              <w:pStyle w:val="08-Tabelageral"/>
            </w:pPr>
            <w:r>
              <w:t>4.424.402</w:t>
            </w:r>
          </w:p>
        </w:tc>
      </w:tr>
      <w:tr w:rsidR="00E617DF" w:rsidRPr="00CF3BC4" w14:paraId="53C36CB7" w14:textId="77777777" w:rsidTr="00E51AC2">
        <w:trPr>
          <w:trHeight w:val="238"/>
          <w:jc w:val="center"/>
        </w:trPr>
        <w:tc>
          <w:tcPr>
            <w:tcW w:w="4324" w:type="dxa"/>
            <w:shd w:val="clear" w:color="auto" w:fill="auto"/>
          </w:tcPr>
          <w:p w14:paraId="3057E2E2" w14:textId="77777777" w:rsidR="00E617DF" w:rsidRPr="00CF3BC4" w:rsidRDefault="00E617DF">
            <w:pPr>
              <w:pStyle w:val="08-Tabelageral"/>
              <w:jc w:val="left"/>
              <w:rPr>
                <w:rFonts w:cs="Arial"/>
                <w:b/>
                <w:szCs w:val="14"/>
              </w:rPr>
            </w:pPr>
            <w:r w:rsidRPr="00CF3BC4">
              <w:rPr>
                <w:rFonts w:cs="Arial"/>
                <w:b/>
                <w:szCs w:val="14"/>
              </w:rPr>
              <w:t>Custo dos Serviços Prestados</w:t>
            </w:r>
          </w:p>
        </w:tc>
        <w:tc>
          <w:tcPr>
            <w:tcW w:w="1328" w:type="dxa"/>
            <w:shd w:val="clear" w:color="auto" w:fill="auto"/>
            <w:vAlign w:val="bottom"/>
          </w:tcPr>
          <w:p w14:paraId="36A7D7A3" w14:textId="214AF395" w:rsidR="00E617DF" w:rsidRPr="00CF3BC4" w:rsidRDefault="00E617DF">
            <w:pPr>
              <w:pStyle w:val="08-Tabelageral"/>
              <w:rPr>
                <w:b/>
              </w:rPr>
            </w:pPr>
            <w:r>
              <w:rPr>
                <w:b/>
              </w:rPr>
              <w:t>--</w:t>
            </w:r>
          </w:p>
        </w:tc>
        <w:tc>
          <w:tcPr>
            <w:tcW w:w="1581" w:type="dxa"/>
            <w:shd w:val="clear" w:color="auto" w:fill="auto"/>
            <w:vAlign w:val="bottom"/>
          </w:tcPr>
          <w:p w14:paraId="60085264" w14:textId="716F133C" w:rsidR="00E617DF" w:rsidRPr="00CF3BC4" w:rsidRDefault="00E617DF">
            <w:pPr>
              <w:pStyle w:val="08-Tabelageral"/>
              <w:rPr>
                <w:b/>
              </w:rPr>
            </w:pPr>
            <w:r>
              <w:rPr>
                <w:b/>
              </w:rPr>
              <w:t>(188.792)</w:t>
            </w:r>
          </w:p>
        </w:tc>
        <w:tc>
          <w:tcPr>
            <w:tcW w:w="1876" w:type="dxa"/>
            <w:shd w:val="clear" w:color="auto" w:fill="auto"/>
            <w:vAlign w:val="bottom"/>
          </w:tcPr>
          <w:p w14:paraId="3A4DBFCA" w14:textId="727F93D1" w:rsidR="00E617DF" w:rsidRPr="00CF3BC4" w:rsidRDefault="00E617DF">
            <w:pPr>
              <w:pStyle w:val="08-Tabelageral"/>
              <w:rPr>
                <w:b/>
              </w:rPr>
            </w:pPr>
            <w:r>
              <w:rPr>
                <w:b/>
              </w:rPr>
              <w:t>(188.792)</w:t>
            </w:r>
          </w:p>
        </w:tc>
      </w:tr>
      <w:tr w:rsidR="00E617DF" w:rsidRPr="00CF3BC4" w14:paraId="4E165DA0" w14:textId="77777777" w:rsidTr="00E51AC2">
        <w:trPr>
          <w:trHeight w:val="238"/>
          <w:jc w:val="center"/>
        </w:trPr>
        <w:tc>
          <w:tcPr>
            <w:tcW w:w="4324" w:type="dxa"/>
            <w:shd w:val="clear" w:color="auto" w:fill="auto"/>
          </w:tcPr>
          <w:p w14:paraId="0B2E9B80" w14:textId="77777777" w:rsidR="00E617DF" w:rsidRPr="00CF3BC4" w:rsidRDefault="00E617DF">
            <w:pPr>
              <w:pStyle w:val="08-Tabelageral"/>
              <w:jc w:val="left"/>
              <w:rPr>
                <w:rFonts w:cs="Arial"/>
                <w:b/>
                <w:szCs w:val="14"/>
              </w:rPr>
            </w:pPr>
            <w:r w:rsidRPr="00CF3BC4">
              <w:rPr>
                <w:rFonts w:cs="Arial"/>
                <w:b/>
                <w:szCs w:val="14"/>
              </w:rPr>
              <w:t>Resultado Bruto</w:t>
            </w:r>
          </w:p>
        </w:tc>
        <w:tc>
          <w:tcPr>
            <w:tcW w:w="1328" w:type="dxa"/>
            <w:shd w:val="clear" w:color="auto" w:fill="auto"/>
            <w:vAlign w:val="bottom"/>
          </w:tcPr>
          <w:p w14:paraId="16102A03" w14:textId="4D4BC3E0" w:rsidR="00E617DF" w:rsidRPr="00CF3BC4" w:rsidRDefault="00E617DF">
            <w:pPr>
              <w:pStyle w:val="08-Tabelageral"/>
              <w:rPr>
                <w:b/>
              </w:rPr>
            </w:pPr>
            <w:r>
              <w:rPr>
                <w:b/>
              </w:rPr>
              <w:t>4.887.138</w:t>
            </w:r>
          </w:p>
        </w:tc>
        <w:tc>
          <w:tcPr>
            <w:tcW w:w="1581" w:type="dxa"/>
            <w:shd w:val="clear" w:color="auto" w:fill="auto"/>
            <w:vAlign w:val="bottom"/>
          </w:tcPr>
          <w:p w14:paraId="05286486" w14:textId="7BFC2180" w:rsidR="00E617DF" w:rsidRPr="00CF3BC4" w:rsidRDefault="00E617DF">
            <w:pPr>
              <w:pStyle w:val="08-Tabelageral"/>
              <w:rPr>
                <w:b/>
              </w:rPr>
            </w:pPr>
            <w:r>
              <w:rPr>
                <w:b/>
              </w:rPr>
              <w:t>4.238.</w:t>
            </w:r>
            <w:r w:rsidR="00A1654B">
              <w:rPr>
                <w:b/>
              </w:rPr>
              <w:t>930</w:t>
            </w:r>
          </w:p>
        </w:tc>
        <w:tc>
          <w:tcPr>
            <w:tcW w:w="1876" w:type="dxa"/>
            <w:shd w:val="clear" w:color="auto" w:fill="auto"/>
            <w:vAlign w:val="bottom"/>
          </w:tcPr>
          <w:p w14:paraId="79A51B54" w14:textId="5A471B65" w:rsidR="00E617DF" w:rsidRPr="00CF3BC4" w:rsidRDefault="00E617DF">
            <w:pPr>
              <w:pStyle w:val="08-Tabelageral"/>
              <w:rPr>
                <w:b/>
              </w:rPr>
            </w:pPr>
            <w:r>
              <w:rPr>
                <w:b/>
              </w:rPr>
              <w:t>9.126.</w:t>
            </w:r>
            <w:r w:rsidR="00A1654B">
              <w:rPr>
                <w:b/>
              </w:rPr>
              <w:t>068</w:t>
            </w:r>
          </w:p>
        </w:tc>
      </w:tr>
      <w:tr w:rsidR="00E617DF" w:rsidRPr="00CF3BC4" w14:paraId="7157DDD2" w14:textId="77777777" w:rsidTr="00E51AC2">
        <w:trPr>
          <w:trHeight w:val="238"/>
          <w:jc w:val="center"/>
        </w:trPr>
        <w:tc>
          <w:tcPr>
            <w:tcW w:w="4324" w:type="dxa"/>
            <w:shd w:val="clear" w:color="auto" w:fill="auto"/>
          </w:tcPr>
          <w:p w14:paraId="4B12A38F" w14:textId="77777777" w:rsidR="00E617DF" w:rsidRPr="00CF3BC4" w:rsidRDefault="00E617DF">
            <w:pPr>
              <w:pStyle w:val="08-Tabelageral"/>
              <w:jc w:val="left"/>
              <w:rPr>
                <w:rFonts w:cs="Arial"/>
                <w:b/>
                <w:szCs w:val="14"/>
              </w:rPr>
            </w:pPr>
            <w:r w:rsidRPr="00CF3BC4">
              <w:rPr>
                <w:rFonts w:cs="Arial"/>
                <w:b/>
                <w:szCs w:val="14"/>
              </w:rPr>
              <w:t>Outras Receitas e Despesas</w:t>
            </w:r>
          </w:p>
        </w:tc>
        <w:tc>
          <w:tcPr>
            <w:tcW w:w="1328" w:type="dxa"/>
            <w:shd w:val="clear" w:color="auto" w:fill="auto"/>
            <w:vAlign w:val="bottom"/>
          </w:tcPr>
          <w:p w14:paraId="25197606" w14:textId="0C08FDFD" w:rsidR="00E617DF" w:rsidRPr="00CF3BC4" w:rsidRDefault="00E617DF">
            <w:pPr>
              <w:pStyle w:val="08-Tabelageral"/>
              <w:rPr>
                <w:b/>
              </w:rPr>
            </w:pPr>
            <w:r>
              <w:rPr>
                <w:b/>
              </w:rPr>
              <w:t>(34.36</w:t>
            </w:r>
            <w:r w:rsidR="00783F1F">
              <w:rPr>
                <w:b/>
              </w:rPr>
              <w:t>7</w:t>
            </w:r>
            <w:r>
              <w:rPr>
                <w:b/>
              </w:rPr>
              <w:t>)</w:t>
            </w:r>
          </w:p>
        </w:tc>
        <w:tc>
          <w:tcPr>
            <w:tcW w:w="1581" w:type="dxa"/>
            <w:shd w:val="clear" w:color="auto" w:fill="auto"/>
            <w:vAlign w:val="bottom"/>
          </w:tcPr>
          <w:p w14:paraId="5CD18C2F" w14:textId="6E681D37" w:rsidR="00E617DF" w:rsidRPr="00CF3BC4" w:rsidRDefault="00E617DF">
            <w:pPr>
              <w:pStyle w:val="08-Tabelageral"/>
              <w:rPr>
                <w:b/>
              </w:rPr>
            </w:pPr>
            <w:r>
              <w:rPr>
                <w:b/>
              </w:rPr>
              <w:t>(185.</w:t>
            </w:r>
            <w:r w:rsidR="00A1654B">
              <w:rPr>
                <w:b/>
              </w:rPr>
              <w:t>934</w:t>
            </w:r>
            <w:r>
              <w:rPr>
                <w:b/>
              </w:rPr>
              <w:t>)</w:t>
            </w:r>
          </w:p>
        </w:tc>
        <w:tc>
          <w:tcPr>
            <w:tcW w:w="1876" w:type="dxa"/>
            <w:shd w:val="clear" w:color="auto" w:fill="auto"/>
            <w:vAlign w:val="bottom"/>
          </w:tcPr>
          <w:p w14:paraId="6DFBD644" w14:textId="49C260D6" w:rsidR="00E617DF" w:rsidRPr="00CF3BC4" w:rsidRDefault="00E617DF">
            <w:pPr>
              <w:pStyle w:val="08-Tabelageral"/>
              <w:rPr>
                <w:b/>
              </w:rPr>
            </w:pPr>
            <w:r>
              <w:rPr>
                <w:b/>
              </w:rPr>
              <w:t>(220.</w:t>
            </w:r>
            <w:r w:rsidR="00A1654B">
              <w:rPr>
                <w:b/>
              </w:rPr>
              <w:t>301</w:t>
            </w:r>
            <w:r>
              <w:rPr>
                <w:b/>
              </w:rPr>
              <w:t>)</w:t>
            </w:r>
          </w:p>
        </w:tc>
      </w:tr>
      <w:tr w:rsidR="00E617DF" w:rsidRPr="001D6BE8" w14:paraId="37C012B1" w14:textId="77777777" w:rsidTr="00E51AC2">
        <w:trPr>
          <w:trHeight w:val="238"/>
          <w:jc w:val="center"/>
        </w:trPr>
        <w:tc>
          <w:tcPr>
            <w:tcW w:w="4324" w:type="dxa"/>
            <w:shd w:val="clear" w:color="auto" w:fill="auto"/>
          </w:tcPr>
          <w:p w14:paraId="52E5A983" w14:textId="77777777" w:rsidR="00E617DF" w:rsidRPr="00C806B0" w:rsidRDefault="00E617DF">
            <w:pPr>
              <w:pStyle w:val="08-Tabelageral"/>
              <w:ind w:left="113"/>
              <w:jc w:val="left"/>
              <w:rPr>
                <w:rFonts w:cs="Arial"/>
                <w:b/>
                <w:szCs w:val="14"/>
              </w:rPr>
            </w:pPr>
            <w:r w:rsidRPr="00C806B0">
              <w:rPr>
                <w:rFonts w:cs="Arial"/>
                <w:szCs w:val="14"/>
              </w:rPr>
              <w:t>Despesas com pessoal</w:t>
            </w:r>
          </w:p>
        </w:tc>
        <w:tc>
          <w:tcPr>
            <w:tcW w:w="1328" w:type="dxa"/>
            <w:shd w:val="clear" w:color="auto" w:fill="auto"/>
            <w:vAlign w:val="bottom"/>
          </w:tcPr>
          <w:p w14:paraId="4FA4F9E7" w14:textId="7A30653D" w:rsidR="00E617DF" w:rsidRPr="00651800" w:rsidRDefault="00E617DF">
            <w:pPr>
              <w:pStyle w:val="08-Tabelageral"/>
            </w:pPr>
            <w:r>
              <w:t>(22.3</w:t>
            </w:r>
            <w:r w:rsidR="007000F9">
              <w:t>71</w:t>
            </w:r>
            <w:r>
              <w:t>)</w:t>
            </w:r>
          </w:p>
        </w:tc>
        <w:tc>
          <w:tcPr>
            <w:tcW w:w="1581" w:type="dxa"/>
            <w:shd w:val="clear" w:color="auto" w:fill="auto"/>
            <w:vAlign w:val="bottom"/>
          </w:tcPr>
          <w:p w14:paraId="071401AA" w14:textId="7990D3D4" w:rsidR="00E617DF" w:rsidRPr="00651800" w:rsidRDefault="00E617DF">
            <w:pPr>
              <w:pStyle w:val="08-Tabelageral"/>
            </w:pPr>
            <w:r>
              <w:t>(63.751)</w:t>
            </w:r>
          </w:p>
        </w:tc>
        <w:tc>
          <w:tcPr>
            <w:tcW w:w="1876" w:type="dxa"/>
            <w:shd w:val="clear" w:color="auto" w:fill="auto"/>
            <w:vAlign w:val="bottom"/>
          </w:tcPr>
          <w:p w14:paraId="25909C12" w14:textId="6CB43F43" w:rsidR="00E617DF" w:rsidRPr="00651800" w:rsidRDefault="00E617DF">
            <w:pPr>
              <w:pStyle w:val="08-Tabelageral"/>
            </w:pPr>
            <w:r>
              <w:t>(86.122)</w:t>
            </w:r>
          </w:p>
        </w:tc>
      </w:tr>
      <w:tr w:rsidR="00E617DF" w:rsidRPr="001D6BE8" w14:paraId="55B7ECDD" w14:textId="77777777" w:rsidTr="00E51AC2">
        <w:trPr>
          <w:trHeight w:val="238"/>
          <w:jc w:val="center"/>
        </w:trPr>
        <w:tc>
          <w:tcPr>
            <w:tcW w:w="4324" w:type="dxa"/>
            <w:shd w:val="clear" w:color="auto" w:fill="auto"/>
          </w:tcPr>
          <w:p w14:paraId="5E99D3F6" w14:textId="77777777" w:rsidR="00E617DF" w:rsidRPr="00C806B0" w:rsidRDefault="00E617DF">
            <w:pPr>
              <w:pStyle w:val="08-Tabelageral"/>
              <w:ind w:left="113"/>
              <w:jc w:val="left"/>
              <w:rPr>
                <w:rFonts w:cs="Arial"/>
                <w:b/>
                <w:szCs w:val="14"/>
              </w:rPr>
            </w:pPr>
            <w:r w:rsidRPr="00C806B0">
              <w:rPr>
                <w:rFonts w:cs="Arial"/>
                <w:szCs w:val="14"/>
              </w:rPr>
              <w:t xml:space="preserve">Despesas administrativas </w:t>
            </w:r>
            <w:r>
              <w:rPr>
                <w:rFonts w:cs="Arial"/>
                <w:szCs w:val="14"/>
              </w:rPr>
              <w:t>e com vendas</w:t>
            </w:r>
          </w:p>
        </w:tc>
        <w:tc>
          <w:tcPr>
            <w:tcW w:w="1328" w:type="dxa"/>
            <w:shd w:val="clear" w:color="auto" w:fill="auto"/>
            <w:vAlign w:val="bottom"/>
          </w:tcPr>
          <w:p w14:paraId="4E655F08" w14:textId="47A3863F" w:rsidR="00E617DF" w:rsidRPr="00651800" w:rsidRDefault="00E617DF">
            <w:pPr>
              <w:pStyle w:val="08-Tabelageral"/>
            </w:pPr>
            <w:r>
              <w:t>(5.923)</w:t>
            </w:r>
          </w:p>
        </w:tc>
        <w:tc>
          <w:tcPr>
            <w:tcW w:w="1581" w:type="dxa"/>
            <w:shd w:val="clear" w:color="auto" w:fill="auto"/>
            <w:vAlign w:val="bottom"/>
          </w:tcPr>
          <w:p w14:paraId="21FB8781" w14:textId="32C0FE11" w:rsidR="00E617DF" w:rsidRPr="00651800" w:rsidRDefault="00E617DF">
            <w:pPr>
              <w:pStyle w:val="08-Tabelageral"/>
            </w:pPr>
            <w:r>
              <w:t>(82.631)</w:t>
            </w:r>
          </w:p>
        </w:tc>
        <w:tc>
          <w:tcPr>
            <w:tcW w:w="1876" w:type="dxa"/>
            <w:shd w:val="clear" w:color="auto" w:fill="auto"/>
            <w:vAlign w:val="bottom"/>
          </w:tcPr>
          <w:p w14:paraId="498A3249" w14:textId="0BB7F697" w:rsidR="00E617DF" w:rsidRPr="00651800" w:rsidRDefault="00E617DF">
            <w:pPr>
              <w:pStyle w:val="08-Tabelageral"/>
            </w:pPr>
            <w:r>
              <w:t>(88.554)</w:t>
            </w:r>
          </w:p>
        </w:tc>
      </w:tr>
      <w:tr w:rsidR="00E617DF" w:rsidRPr="001D6BE8" w14:paraId="7AB29B87" w14:textId="77777777" w:rsidTr="00E51AC2">
        <w:trPr>
          <w:trHeight w:val="238"/>
          <w:jc w:val="center"/>
        </w:trPr>
        <w:tc>
          <w:tcPr>
            <w:tcW w:w="4324" w:type="dxa"/>
            <w:shd w:val="clear" w:color="auto" w:fill="auto"/>
          </w:tcPr>
          <w:p w14:paraId="0C06CC08" w14:textId="77777777" w:rsidR="00E617DF" w:rsidRPr="00C806B0" w:rsidRDefault="00E617DF">
            <w:pPr>
              <w:pStyle w:val="08-Tabelageral"/>
              <w:ind w:left="113"/>
              <w:jc w:val="left"/>
              <w:rPr>
                <w:rFonts w:cs="Arial"/>
                <w:b/>
                <w:szCs w:val="14"/>
              </w:rPr>
            </w:pPr>
            <w:r w:rsidRPr="00C806B0">
              <w:rPr>
                <w:rFonts w:cs="Arial"/>
                <w:szCs w:val="14"/>
              </w:rPr>
              <w:t>Despesas tributárias</w:t>
            </w:r>
          </w:p>
        </w:tc>
        <w:tc>
          <w:tcPr>
            <w:tcW w:w="1328" w:type="dxa"/>
            <w:shd w:val="clear" w:color="auto" w:fill="auto"/>
            <w:vAlign w:val="bottom"/>
          </w:tcPr>
          <w:p w14:paraId="7BCDF80A" w14:textId="45D3BD43" w:rsidR="00E617DF" w:rsidRPr="00651800" w:rsidRDefault="00E617DF">
            <w:pPr>
              <w:pStyle w:val="08-Tabelageral"/>
            </w:pPr>
            <w:r>
              <w:t>(13.167)</w:t>
            </w:r>
          </w:p>
        </w:tc>
        <w:tc>
          <w:tcPr>
            <w:tcW w:w="1581" w:type="dxa"/>
            <w:shd w:val="clear" w:color="auto" w:fill="auto"/>
            <w:vAlign w:val="bottom"/>
          </w:tcPr>
          <w:p w14:paraId="27B18D1F" w14:textId="02DF3A0C" w:rsidR="00E617DF" w:rsidRPr="00651800" w:rsidRDefault="00E617DF">
            <w:pPr>
              <w:pStyle w:val="08-Tabelageral"/>
            </w:pPr>
            <w:r>
              <w:t>(22.517)</w:t>
            </w:r>
          </w:p>
        </w:tc>
        <w:tc>
          <w:tcPr>
            <w:tcW w:w="1876" w:type="dxa"/>
            <w:shd w:val="clear" w:color="auto" w:fill="auto"/>
            <w:vAlign w:val="bottom"/>
          </w:tcPr>
          <w:p w14:paraId="617FB0E8" w14:textId="6CE59EF4" w:rsidR="00E617DF" w:rsidRPr="00651800" w:rsidRDefault="00E617DF">
            <w:pPr>
              <w:pStyle w:val="08-Tabelageral"/>
            </w:pPr>
            <w:r>
              <w:t>(35.684)</w:t>
            </w:r>
          </w:p>
        </w:tc>
      </w:tr>
      <w:tr w:rsidR="00E617DF" w:rsidRPr="001D6BE8" w14:paraId="2FE76429" w14:textId="77777777" w:rsidTr="00E51AC2">
        <w:trPr>
          <w:trHeight w:val="238"/>
          <w:jc w:val="center"/>
        </w:trPr>
        <w:tc>
          <w:tcPr>
            <w:tcW w:w="4324" w:type="dxa"/>
            <w:shd w:val="clear" w:color="auto" w:fill="auto"/>
          </w:tcPr>
          <w:p w14:paraId="310595C9" w14:textId="77777777" w:rsidR="00E617DF" w:rsidRPr="00C806B0" w:rsidRDefault="00E617DF">
            <w:pPr>
              <w:pStyle w:val="08-Tabelageral"/>
              <w:ind w:left="113"/>
              <w:jc w:val="left"/>
              <w:rPr>
                <w:rFonts w:cs="Arial"/>
                <w:b/>
                <w:szCs w:val="14"/>
              </w:rPr>
            </w:pPr>
            <w:r w:rsidRPr="00C806B0">
              <w:rPr>
                <w:rFonts w:cs="Arial"/>
                <w:szCs w:val="14"/>
              </w:rPr>
              <w:t xml:space="preserve">Outras </w:t>
            </w:r>
          </w:p>
        </w:tc>
        <w:tc>
          <w:tcPr>
            <w:tcW w:w="1328" w:type="dxa"/>
            <w:shd w:val="clear" w:color="auto" w:fill="auto"/>
            <w:vAlign w:val="bottom"/>
          </w:tcPr>
          <w:p w14:paraId="3E5010B8" w14:textId="3FFC0887" w:rsidR="00E617DF" w:rsidRPr="00651800" w:rsidRDefault="00E617DF">
            <w:pPr>
              <w:pStyle w:val="08-Tabelageral"/>
            </w:pPr>
            <w:r>
              <w:t>7.094</w:t>
            </w:r>
          </w:p>
        </w:tc>
        <w:tc>
          <w:tcPr>
            <w:tcW w:w="1581" w:type="dxa"/>
            <w:shd w:val="clear" w:color="auto" w:fill="auto"/>
            <w:vAlign w:val="bottom"/>
          </w:tcPr>
          <w:p w14:paraId="209E2E60" w14:textId="22C200A2" w:rsidR="00E617DF" w:rsidRPr="00651800" w:rsidRDefault="00E617DF">
            <w:pPr>
              <w:pStyle w:val="08-Tabelageral"/>
            </w:pPr>
            <w:r>
              <w:t>(17.</w:t>
            </w:r>
            <w:r w:rsidR="00A1654B">
              <w:t>035</w:t>
            </w:r>
            <w:r>
              <w:t>)</w:t>
            </w:r>
          </w:p>
        </w:tc>
        <w:tc>
          <w:tcPr>
            <w:tcW w:w="1876" w:type="dxa"/>
            <w:shd w:val="clear" w:color="auto" w:fill="auto"/>
            <w:vAlign w:val="bottom"/>
          </w:tcPr>
          <w:p w14:paraId="6F65CFF2" w14:textId="7C6E7239" w:rsidR="00E617DF" w:rsidRPr="00651800" w:rsidRDefault="00E617DF">
            <w:pPr>
              <w:pStyle w:val="08-Tabelageral"/>
            </w:pPr>
            <w:r>
              <w:t>(9.</w:t>
            </w:r>
            <w:r w:rsidR="00A1654B">
              <w:t>941</w:t>
            </w:r>
            <w:r>
              <w:t>)</w:t>
            </w:r>
          </w:p>
        </w:tc>
      </w:tr>
      <w:tr w:rsidR="00E617DF" w:rsidRPr="00CF3BC4" w14:paraId="46B4D330" w14:textId="77777777" w:rsidTr="00E51AC2">
        <w:trPr>
          <w:trHeight w:val="238"/>
          <w:jc w:val="center"/>
        </w:trPr>
        <w:tc>
          <w:tcPr>
            <w:tcW w:w="4324" w:type="dxa"/>
            <w:shd w:val="clear" w:color="auto" w:fill="auto"/>
          </w:tcPr>
          <w:p w14:paraId="5AFA4C70" w14:textId="77777777" w:rsidR="00E617DF" w:rsidRPr="00CF3BC4" w:rsidRDefault="00E617DF">
            <w:pPr>
              <w:pStyle w:val="08-Tabelageral"/>
              <w:jc w:val="left"/>
              <w:rPr>
                <w:rFonts w:cs="Arial"/>
                <w:b/>
                <w:szCs w:val="14"/>
              </w:rPr>
            </w:pPr>
            <w:r w:rsidRPr="00CF3BC4">
              <w:rPr>
                <w:rFonts w:cs="Arial"/>
                <w:b/>
                <w:szCs w:val="14"/>
              </w:rPr>
              <w:t>Resultado Antes das Receitas e Despesas Financeiras</w:t>
            </w:r>
          </w:p>
        </w:tc>
        <w:tc>
          <w:tcPr>
            <w:tcW w:w="1328" w:type="dxa"/>
            <w:shd w:val="clear" w:color="auto" w:fill="auto"/>
            <w:vAlign w:val="bottom"/>
          </w:tcPr>
          <w:p w14:paraId="4F5352D5" w14:textId="3F817461" w:rsidR="00E617DF" w:rsidRPr="00CF3BC4" w:rsidRDefault="00E617DF">
            <w:pPr>
              <w:pStyle w:val="08-Tabelageral"/>
              <w:rPr>
                <w:b/>
              </w:rPr>
            </w:pPr>
            <w:r>
              <w:rPr>
                <w:b/>
              </w:rPr>
              <w:t>4.852.77</w:t>
            </w:r>
            <w:r w:rsidR="007000F9">
              <w:rPr>
                <w:b/>
              </w:rPr>
              <w:t>1</w:t>
            </w:r>
          </w:p>
        </w:tc>
        <w:tc>
          <w:tcPr>
            <w:tcW w:w="1581" w:type="dxa"/>
            <w:shd w:val="clear" w:color="auto" w:fill="auto"/>
            <w:vAlign w:val="bottom"/>
          </w:tcPr>
          <w:p w14:paraId="4A9D8FAB" w14:textId="6472FACA" w:rsidR="00E617DF" w:rsidRPr="00CF3BC4" w:rsidRDefault="00E617DF">
            <w:pPr>
              <w:pStyle w:val="08-Tabelageral"/>
              <w:rPr>
                <w:b/>
              </w:rPr>
            </w:pPr>
            <w:r>
              <w:rPr>
                <w:b/>
              </w:rPr>
              <w:t>4.052.996</w:t>
            </w:r>
          </w:p>
        </w:tc>
        <w:tc>
          <w:tcPr>
            <w:tcW w:w="1876" w:type="dxa"/>
            <w:shd w:val="clear" w:color="auto" w:fill="auto"/>
            <w:vAlign w:val="bottom"/>
          </w:tcPr>
          <w:p w14:paraId="199D683E" w14:textId="2AF4DE0E" w:rsidR="00E617DF" w:rsidRPr="00CF3BC4" w:rsidRDefault="00E617DF">
            <w:pPr>
              <w:pStyle w:val="08-Tabelageral"/>
              <w:rPr>
                <w:b/>
              </w:rPr>
            </w:pPr>
            <w:r>
              <w:rPr>
                <w:b/>
              </w:rPr>
              <w:t>8.905.767</w:t>
            </w:r>
          </w:p>
        </w:tc>
      </w:tr>
      <w:tr w:rsidR="00E617DF" w:rsidRPr="00CF3BC4" w14:paraId="6E6D4289" w14:textId="77777777" w:rsidTr="00E51AC2">
        <w:trPr>
          <w:trHeight w:val="238"/>
          <w:jc w:val="center"/>
        </w:trPr>
        <w:tc>
          <w:tcPr>
            <w:tcW w:w="4324" w:type="dxa"/>
            <w:shd w:val="clear" w:color="auto" w:fill="auto"/>
          </w:tcPr>
          <w:p w14:paraId="2216A8EA" w14:textId="77777777" w:rsidR="00E617DF" w:rsidRPr="00CF3BC4" w:rsidRDefault="00E617DF">
            <w:pPr>
              <w:pStyle w:val="08-Tabelageral"/>
              <w:jc w:val="left"/>
              <w:rPr>
                <w:rFonts w:cs="Arial"/>
                <w:b/>
                <w:szCs w:val="14"/>
              </w:rPr>
            </w:pPr>
            <w:r w:rsidRPr="00CF3BC4">
              <w:rPr>
                <w:rFonts w:cs="Arial"/>
                <w:b/>
                <w:szCs w:val="14"/>
              </w:rPr>
              <w:t>Resultado Financeiro</w:t>
            </w:r>
          </w:p>
        </w:tc>
        <w:tc>
          <w:tcPr>
            <w:tcW w:w="1328" w:type="dxa"/>
            <w:shd w:val="clear" w:color="auto" w:fill="auto"/>
            <w:vAlign w:val="bottom"/>
          </w:tcPr>
          <w:p w14:paraId="5A5ACFA1" w14:textId="6DD7D642" w:rsidR="00E617DF" w:rsidRPr="00CF3BC4" w:rsidRDefault="00E617DF">
            <w:pPr>
              <w:pStyle w:val="08-Tabelageral"/>
              <w:rPr>
                <w:b/>
              </w:rPr>
            </w:pPr>
            <w:r>
              <w:rPr>
                <w:b/>
              </w:rPr>
              <w:t>143.688</w:t>
            </w:r>
          </w:p>
        </w:tc>
        <w:tc>
          <w:tcPr>
            <w:tcW w:w="1581" w:type="dxa"/>
            <w:shd w:val="clear" w:color="auto" w:fill="auto"/>
            <w:vAlign w:val="bottom"/>
          </w:tcPr>
          <w:p w14:paraId="68DC3D49" w14:textId="157FF280" w:rsidR="00E617DF" w:rsidRPr="00CF3BC4" w:rsidRDefault="00E617DF">
            <w:pPr>
              <w:pStyle w:val="08-Tabelageral"/>
              <w:rPr>
                <w:b/>
              </w:rPr>
            </w:pPr>
            <w:r>
              <w:rPr>
                <w:b/>
              </w:rPr>
              <w:t>443.</w:t>
            </w:r>
            <w:r w:rsidR="00A1654B">
              <w:rPr>
                <w:b/>
              </w:rPr>
              <w:t>857</w:t>
            </w:r>
          </w:p>
        </w:tc>
        <w:tc>
          <w:tcPr>
            <w:tcW w:w="1876" w:type="dxa"/>
            <w:shd w:val="clear" w:color="auto" w:fill="auto"/>
            <w:vAlign w:val="bottom"/>
          </w:tcPr>
          <w:p w14:paraId="642805A4" w14:textId="735ED752" w:rsidR="00E617DF" w:rsidRPr="00CF3BC4" w:rsidRDefault="00E617DF">
            <w:pPr>
              <w:pStyle w:val="08-Tabelageral"/>
              <w:rPr>
                <w:b/>
              </w:rPr>
            </w:pPr>
            <w:r>
              <w:rPr>
                <w:b/>
              </w:rPr>
              <w:t>587.</w:t>
            </w:r>
            <w:r w:rsidR="00A1654B">
              <w:rPr>
                <w:b/>
              </w:rPr>
              <w:t>545</w:t>
            </w:r>
          </w:p>
        </w:tc>
      </w:tr>
      <w:tr w:rsidR="00E617DF" w:rsidRPr="001D6BE8" w14:paraId="699A6C03" w14:textId="77777777" w:rsidTr="00E51AC2">
        <w:trPr>
          <w:trHeight w:val="238"/>
          <w:jc w:val="center"/>
        </w:trPr>
        <w:tc>
          <w:tcPr>
            <w:tcW w:w="4324" w:type="dxa"/>
            <w:shd w:val="clear" w:color="auto" w:fill="auto"/>
          </w:tcPr>
          <w:p w14:paraId="709E796D" w14:textId="77777777" w:rsidR="00E617DF" w:rsidRPr="00C806B0" w:rsidRDefault="00E617DF">
            <w:pPr>
              <w:pStyle w:val="08-Tabelageral"/>
              <w:ind w:left="113"/>
              <w:jc w:val="left"/>
              <w:rPr>
                <w:rFonts w:cs="Arial"/>
                <w:b/>
                <w:szCs w:val="14"/>
              </w:rPr>
            </w:pPr>
            <w:r w:rsidRPr="00C806B0">
              <w:rPr>
                <w:rFonts w:cs="Arial"/>
                <w:szCs w:val="14"/>
              </w:rPr>
              <w:t>Receitas financeiras</w:t>
            </w:r>
          </w:p>
        </w:tc>
        <w:tc>
          <w:tcPr>
            <w:tcW w:w="1328" w:type="dxa"/>
            <w:shd w:val="clear" w:color="auto" w:fill="auto"/>
            <w:vAlign w:val="bottom"/>
          </w:tcPr>
          <w:p w14:paraId="0AA54DF3" w14:textId="41108E88" w:rsidR="00E617DF" w:rsidRPr="00651800" w:rsidRDefault="00E617DF">
            <w:pPr>
              <w:pStyle w:val="08-Tabelageral"/>
            </w:pPr>
            <w:r>
              <w:t>193.56</w:t>
            </w:r>
            <w:r w:rsidR="007000F9">
              <w:t>8</w:t>
            </w:r>
          </w:p>
        </w:tc>
        <w:tc>
          <w:tcPr>
            <w:tcW w:w="1581" w:type="dxa"/>
            <w:shd w:val="clear" w:color="auto" w:fill="auto"/>
            <w:vAlign w:val="bottom"/>
          </w:tcPr>
          <w:p w14:paraId="02AC26CB" w14:textId="092858A9" w:rsidR="00E617DF" w:rsidRPr="00651800" w:rsidRDefault="00E617DF">
            <w:pPr>
              <w:pStyle w:val="08-Tabelageral"/>
            </w:pPr>
            <w:r>
              <w:t>477.365</w:t>
            </w:r>
          </w:p>
        </w:tc>
        <w:tc>
          <w:tcPr>
            <w:tcW w:w="1876" w:type="dxa"/>
            <w:shd w:val="clear" w:color="auto" w:fill="auto"/>
            <w:vAlign w:val="bottom"/>
          </w:tcPr>
          <w:p w14:paraId="2158E01D" w14:textId="3CF7F4A9" w:rsidR="00E617DF" w:rsidRPr="00651800" w:rsidRDefault="00E617DF">
            <w:pPr>
              <w:pStyle w:val="08-Tabelageral"/>
            </w:pPr>
            <w:r>
              <w:t>670.</w:t>
            </w:r>
            <w:r w:rsidR="00A1654B">
              <w:t>933</w:t>
            </w:r>
          </w:p>
        </w:tc>
      </w:tr>
      <w:tr w:rsidR="00E617DF" w:rsidRPr="001D6BE8" w14:paraId="28906E37" w14:textId="77777777" w:rsidTr="00E51AC2">
        <w:trPr>
          <w:trHeight w:val="238"/>
          <w:jc w:val="center"/>
        </w:trPr>
        <w:tc>
          <w:tcPr>
            <w:tcW w:w="4324" w:type="dxa"/>
            <w:shd w:val="clear" w:color="auto" w:fill="auto"/>
          </w:tcPr>
          <w:p w14:paraId="642E97C3" w14:textId="77777777" w:rsidR="00E617DF" w:rsidRPr="00C806B0" w:rsidRDefault="00E617DF">
            <w:pPr>
              <w:pStyle w:val="08-Tabelageral"/>
              <w:ind w:left="113"/>
              <w:jc w:val="left"/>
              <w:rPr>
                <w:rFonts w:cs="Arial"/>
                <w:b/>
                <w:szCs w:val="14"/>
              </w:rPr>
            </w:pPr>
            <w:r w:rsidRPr="00C806B0">
              <w:rPr>
                <w:rFonts w:cs="Arial"/>
                <w:szCs w:val="14"/>
              </w:rPr>
              <w:t xml:space="preserve">Despesas financeiras </w:t>
            </w:r>
          </w:p>
        </w:tc>
        <w:tc>
          <w:tcPr>
            <w:tcW w:w="1328" w:type="dxa"/>
            <w:shd w:val="clear" w:color="auto" w:fill="auto"/>
            <w:vAlign w:val="bottom"/>
          </w:tcPr>
          <w:p w14:paraId="6A810A86" w14:textId="3DD14503" w:rsidR="00E617DF" w:rsidRPr="00651800" w:rsidRDefault="00E617DF">
            <w:pPr>
              <w:pStyle w:val="08-Tabelageral"/>
            </w:pPr>
            <w:r>
              <w:t>(49.88</w:t>
            </w:r>
            <w:r w:rsidR="00BC05AC">
              <w:t>0</w:t>
            </w:r>
            <w:r>
              <w:t>)</w:t>
            </w:r>
          </w:p>
        </w:tc>
        <w:tc>
          <w:tcPr>
            <w:tcW w:w="1581" w:type="dxa"/>
            <w:shd w:val="clear" w:color="auto" w:fill="auto"/>
            <w:vAlign w:val="bottom"/>
          </w:tcPr>
          <w:p w14:paraId="737DAC17" w14:textId="1800F3D6" w:rsidR="00E617DF" w:rsidRPr="00651800" w:rsidRDefault="00E617DF">
            <w:pPr>
              <w:pStyle w:val="08-Tabelageral"/>
            </w:pPr>
            <w:r>
              <w:t>(33.</w:t>
            </w:r>
            <w:r w:rsidR="00A1654B">
              <w:t>508</w:t>
            </w:r>
            <w:r>
              <w:t>)</w:t>
            </w:r>
          </w:p>
        </w:tc>
        <w:tc>
          <w:tcPr>
            <w:tcW w:w="1876" w:type="dxa"/>
            <w:shd w:val="clear" w:color="auto" w:fill="auto"/>
            <w:vAlign w:val="bottom"/>
          </w:tcPr>
          <w:p w14:paraId="373FE066" w14:textId="6230454B" w:rsidR="00E617DF" w:rsidRPr="00651800" w:rsidRDefault="00E617DF">
            <w:pPr>
              <w:pStyle w:val="08-Tabelageral"/>
            </w:pPr>
            <w:r>
              <w:t>(83.388)</w:t>
            </w:r>
          </w:p>
        </w:tc>
      </w:tr>
      <w:tr w:rsidR="00E617DF" w:rsidRPr="00CF3BC4" w14:paraId="19AB2CD5" w14:textId="77777777" w:rsidTr="00E51AC2">
        <w:trPr>
          <w:trHeight w:val="238"/>
          <w:jc w:val="center"/>
        </w:trPr>
        <w:tc>
          <w:tcPr>
            <w:tcW w:w="4324" w:type="dxa"/>
            <w:shd w:val="clear" w:color="auto" w:fill="auto"/>
          </w:tcPr>
          <w:p w14:paraId="47E1008F" w14:textId="77777777" w:rsidR="00E617DF" w:rsidRPr="00CF3BC4" w:rsidRDefault="00E617DF">
            <w:pPr>
              <w:pStyle w:val="08-Tabelageral"/>
              <w:jc w:val="left"/>
              <w:rPr>
                <w:rFonts w:cs="Arial"/>
                <w:b/>
                <w:szCs w:val="14"/>
              </w:rPr>
            </w:pPr>
            <w:r w:rsidRPr="00CF3BC4">
              <w:rPr>
                <w:rFonts w:cs="Arial"/>
                <w:b/>
                <w:szCs w:val="14"/>
              </w:rPr>
              <w:t>Resultado Antes do Imposto de Renda e Contribuição Social</w:t>
            </w:r>
          </w:p>
        </w:tc>
        <w:tc>
          <w:tcPr>
            <w:tcW w:w="1328" w:type="dxa"/>
            <w:shd w:val="clear" w:color="auto" w:fill="auto"/>
            <w:vAlign w:val="bottom"/>
          </w:tcPr>
          <w:p w14:paraId="1DDF39DB" w14:textId="7B6C9D60" w:rsidR="00E617DF" w:rsidRPr="00CF3BC4" w:rsidRDefault="00E617DF">
            <w:pPr>
              <w:pStyle w:val="08-Tabelageral"/>
              <w:rPr>
                <w:b/>
              </w:rPr>
            </w:pPr>
            <w:r>
              <w:rPr>
                <w:b/>
              </w:rPr>
              <w:t>4.996.4</w:t>
            </w:r>
            <w:r w:rsidR="007000F9">
              <w:rPr>
                <w:b/>
              </w:rPr>
              <w:t>5</w:t>
            </w:r>
            <w:r w:rsidR="00BC05AC">
              <w:rPr>
                <w:b/>
              </w:rPr>
              <w:t>9</w:t>
            </w:r>
          </w:p>
        </w:tc>
        <w:tc>
          <w:tcPr>
            <w:tcW w:w="1581" w:type="dxa"/>
            <w:shd w:val="clear" w:color="auto" w:fill="auto"/>
            <w:vAlign w:val="bottom"/>
          </w:tcPr>
          <w:p w14:paraId="17BB3A1D" w14:textId="7C88264D" w:rsidR="00E617DF" w:rsidRPr="00CF3BC4" w:rsidRDefault="00E617DF">
            <w:pPr>
              <w:pStyle w:val="08-Tabelageral"/>
              <w:rPr>
                <w:b/>
              </w:rPr>
            </w:pPr>
            <w:r>
              <w:rPr>
                <w:b/>
              </w:rPr>
              <w:t>4.496.</w:t>
            </w:r>
            <w:r w:rsidR="00A1654B">
              <w:rPr>
                <w:b/>
              </w:rPr>
              <w:t>853</w:t>
            </w:r>
          </w:p>
        </w:tc>
        <w:tc>
          <w:tcPr>
            <w:tcW w:w="1876" w:type="dxa"/>
            <w:shd w:val="clear" w:color="auto" w:fill="auto"/>
            <w:vAlign w:val="bottom"/>
          </w:tcPr>
          <w:p w14:paraId="04B11CD1" w14:textId="717B1067" w:rsidR="00E617DF" w:rsidRPr="00CF3BC4" w:rsidRDefault="00E617DF">
            <w:pPr>
              <w:pStyle w:val="08-Tabelageral"/>
              <w:rPr>
                <w:b/>
              </w:rPr>
            </w:pPr>
            <w:r>
              <w:rPr>
                <w:b/>
              </w:rPr>
              <w:t>9.493.</w:t>
            </w:r>
            <w:r w:rsidR="00A1654B">
              <w:rPr>
                <w:b/>
              </w:rPr>
              <w:t>312</w:t>
            </w:r>
          </w:p>
        </w:tc>
      </w:tr>
      <w:tr w:rsidR="00E617DF" w:rsidRPr="00C2766D" w14:paraId="53C743F0" w14:textId="77777777" w:rsidTr="00E51AC2">
        <w:trPr>
          <w:trHeight w:val="238"/>
          <w:jc w:val="center"/>
        </w:trPr>
        <w:tc>
          <w:tcPr>
            <w:tcW w:w="4324" w:type="dxa"/>
            <w:shd w:val="clear" w:color="auto" w:fill="auto"/>
          </w:tcPr>
          <w:p w14:paraId="56E3B5FA" w14:textId="77777777" w:rsidR="00E617DF" w:rsidRPr="00C2766D" w:rsidRDefault="00E617DF">
            <w:pPr>
              <w:pStyle w:val="08-Tabelageral"/>
              <w:ind w:left="113"/>
              <w:jc w:val="left"/>
              <w:rPr>
                <w:rFonts w:cs="Arial"/>
                <w:bCs/>
                <w:szCs w:val="14"/>
              </w:rPr>
            </w:pPr>
            <w:r w:rsidRPr="00A869C3">
              <w:rPr>
                <w:rFonts w:cs="Arial"/>
                <w:szCs w:val="14"/>
              </w:rPr>
              <w:t>Imposto de Renda e Contribuição Social</w:t>
            </w:r>
          </w:p>
        </w:tc>
        <w:tc>
          <w:tcPr>
            <w:tcW w:w="1328" w:type="dxa"/>
            <w:shd w:val="clear" w:color="auto" w:fill="auto"/>
            <w:vAlign w:val="bottom"/>
          </w:tcPr>
          <w:p w14:paraId="78C92669" w14:textId="0C86251F" w:rsidR="00E617DF" w:rsidRPr="00C2766D" w:rsidRDefault="00E617DF">
            <w:pPr>
              <w:pStyle w:val="08-Tabelageral"/>
              <w:rPr>
                <w:bCs/>
              </w:rPr>
            </w:pPr>
            <w:r>
              <w:rPr>
                <w:bCs/>
              </w:rPr>
              <w:t>(37.655)</w:t>
            </w:r>
          </w:p>
        </w:tc>
        <w:tc>
          <w:tcPr>
            <w:tcW w:w="1581" w:type="dxa"/>
            <w:shd w:val="clear" w:color="auto" w:fill="auto"/>
            <w:vAlign w:val="bottom"/>
          </w:tcPr>
          <w:p w14:paraId="57D38E3E" w14:textId="3A961D4E" w:rsidR="00E617DF" w:rsidRPr="00C2766D" w:rsidRDefault="00E617DF">
            <w:pPr>
              <w:pStyle w:val="08-Tabelageral"/>
              <w:rPr>
                <w:bCs/>
              </w:rPr>
            </w:pPr>
            <w:r>
              <w:rPr>
                <w:bCs/>
              </w:rPr>
              <w:t>(1.508.</w:t>
            </w:r>
            <w:r w:rsidR="00A1654B">
              <w:rPr>
                <w:bCs/>
              </w:rPr>
              <w:t>454</w:t>
            </w:r>
            <w:r>
              <w:rPr>
                <w:bCs/>
              </w:rPr>
              <w:t>)</w:t>
            </w:r>
          </w:p>
        </w:tc>
        <w:tc>
          <w:tcPr>
            <w:tcW w:w="1876" w:type="dxa"/>
            <w:shd w:val="clear" w:color="auto" w:fill="auto"/>
            <w:vAlign w:val="bottom"/>
          </w:tcPr>
          <w:p w14:paraId="6A04C35A" w14:textId="59B59C1F" w:rsidR="00E617DF" w:rsidRPr="00C2766D" w:rsidRDefault="00E617DF">
            <w:pPr>
              <w:pStyle w:val="08-Tabelageral"/>
              <w:rPr>
                <w:bCs/>
              </w:rPr>
            </w:pPr>
            <w:r>
              <w:rPr>
                <w:bCs/>
              </w:rPr>
              <w:t>(1.546.</w:t>
            </w:r>
            <w:r w:rsidR="00A1654B">
              <w:rPr>
                <w:bCs/>
              </w:rPr>
              <w:t>109</w:t>
            </w:r>
            <w:r>
              <w:rPr>
                <w:bCs/>
              </w:rPr>
              <w:t>)</w:t>
            </w:r>
          </w:p>
        </w:tc>
      </w:tr>
      <w:tr w:rsidR="00E617DF" w:rsidRPr="00CF3BC4" w14:paraId="7DBFDDDC" w14:textId="77777777" w:rsidTr="00E51AC2">
        <w:trPr>
          <w:trHeight w:val="238"/>
          <w:jc w:val="center"/>
        </w:trPr>
        <w:tc>
          <w:tcPr>
            <w:tcW w:w="4324" w:type="dxa"/>
            <w:tcBorders>
              <w:bottom w:val="single" w:sz="2" w:space="0" w:color="1F3864" w:themeColor="accent1" w:themeShade="80"/>
            </w:tcBorders>
            <w:shd w:val="clear" w:color="auto" w:fill="auto"/>
          </w:tcPr>
          <w:p w14:paraId="1E862BC6" w14:textId="77777777" w:rsidR="00E617DF" w:rsidRPr="00CF3BC4" w:rsidRDefault="00E617DF">
            <w:pPr>
              <w:pStyle w:val="08-Tabelageral"/>
              <w:jc w:val="left"/>
              <w:rPr>
                <w:rFonts w:cs="Arial"/>
                <w:b/>
                <w:szCs w:val="14"/>
              </w:rPr>
            </w:pPr>
            <w:r w:rsidRPr="00CF3BC4">
              <w:rPr>
                <w:rFonts w:cs="Arial"/>
                <w:b/>
                <w:szCs w:val="14"/>
              </w:rPr>
              <w:t xml:space="preserve">Lucro Líquido do </w:t>
            </w:r>
            <w:r>
              <w:rPr>
                <w:rFonts w:cs="Arial"/>
                <w:b/>
                <w:szCs w:val="14"/>
              </w:rPr>
              <w:t>Período</w:t>
            </w:r>
          </w:p>
        </w:tc>
        <w:tc>
          <w:tcPr>
            <w:tcW w:w="1328" w:type="dxa"/>
            <w:tcBorders>
              <w:bottom w:val="single" w:sz="2" w:space="0" w:color="1F3864" w:themeColor="accent1" w:themeShade="80"/>
            </w:tcBorders>
            <w:shd w:val="clear" w:color="auto" w:fill="auto"/>
            <w:vAlign w:val="bottom"/>
          </w:tcPr>
          <w:p w14:paraId="1C4A1FC0" w14:textId="09F8447A" w:rsidR="00E617DF" w:rsidRPr="00CF3BC4" w:rsidRDefault="00E617DF">
            <w:pPr>
              <w:pStyle w:val="08-Tabelageral"/>
              <w:rPr>
                <w:b/>
              </w:rPr>
            </w:pPr>
            <w:r>
              <w:rPr>
                <w:b/>
              </w:rPr>
              <w:t>4.958.80</w:t>
            </w:r>
            <w:r w:rsidR="007000F9">
              <w:rPr>
                <w:b/>
              </w:rPr>
              <w:t>4</w:t>
            </w:r>
          </w:p>
        </w:tc>
        <w:tc>
          <w:tcPr>
            <w:tcW w:w="1581" w:type="dxa"/>
            <w:tcBorders>
              <w:bottom w:val="single" w:sz="2" w:space="0" w:color="1F3864" w:themeColor="accent1" w:themeShade="80"/>
            </w:tcBorders>
            <w:shd w:val="clear" w:color="auto" w:fill="auto"/>
            <w:vAlign w:val="bottom"/>
          </w:tcPr>
          <w:p w14:paraId="62B0D3E7" w14:textId="2DD4B837" w:rsidR="00E617DF" w:rsidRPr="00CF3BC4" w:rsidRDefault="00E617DF">
            <w:pPr>
              <w:pStyle w:val="08-Tabelageral"/>
              <w:rPr>
                <w:b/>
              </w:rPr>
            </w:pPr>
            <w:r>
              <w:rPr>
                <w:b/>
              </w:rPr>
              <w:t>2.988.399</w:t>
            </w:r>
          </w:p>
        </w:tc>
        <w:tc>
          <w:tcPr>
            <w:tcW w:w="1876" w:type="dxa"/>
            <w:tcBorders>
              <w:bottom w:val="single" w:sz="2" w:space="0" w:color="1F3864" w:themeColor="accent1" w:themeShade="80"/>
            </w:tcBorders>
            <w:shd w:val="clear" w:color="auto" w:fill="auto"/>
            <w:vAlign w:val="bottom"/>
          </w:tcPr>
          <w:p w14:paraId="34BE25E0" w14:textId="6227C7F4" w:rsidR="00E617DF" w:rsidRPr="00CF3BC4" w:rsidRDefault="00E617DF">
            <w:pPr>
              <w:pStyle w:val="08-Tabelageral"/>
              <w:rPr>
                <w:b/>
              </w:rPr>
            </w:pPr>
            <w:r>
              <w:rPr>
                <w:b/>
              </w:rPr>
              <w:t>7.947.203</w:t>
            </w:r>
          </w:p>
        </w:tc>
      </w:tr>
      <w:bookmarkEnd w:id="56"/>
    </w:tbl>
    <w:p w14:paraId="112328A8" w14:textId="77777777" w:rsidR="00E617DF" w:rsidRDefault="00E617DF" w:rsidP="00E617DF">
      <w:pPr>
        <w:spacing w:after="0"/>
        <w:jc w:val="right"/>
        <w:rPr>
          <w:rFonts w:ascii="Arial" w:hAnsi="Arial" w:cs="Arial"/>
          <w:b/>
          <w:sz w:val="14"/>
          <w:szCs w:val="18"/>
        </w:rPr>
      </w:pPr>
    </w:p>
    <w:p w14:paraId="0CDB6523" w14:textId="77777777" w:rsidR="00E617DF" w:rsidRDefault="00E617DF" w:rsidP="00E617DF">
      <w:pPr>
        <w:spacing w:after="0"/>
        <w:rPr>
          <w:rFonts w:ascii="Arial" w:hAnsi="Arial" w:cs="Arial"/>
          <w:sz w:val="14"/>
          <w:lang w:eastAsia="pt-BR"/>
        </w:rPr>
      </w:pPr>
    </w:p>
    <w:p w14:paraId="57C3BAB8" w14:textId="77777777" w:rsidR="00E617DF" w:rsidRDefault="00E617DF" w:rsidP="00514594">
      <w:pPr>
        <w:spacing w:after="0"/>
        <w:rPr>
          <w:rFonts w:ascii="Arial" w:hAnsi="Arial" w:cs="Arial"/>
          <w:b/>
          <w:color w:val="1F3864" w:themeColor="accent1" w:themeShade="80"/>
          <w:sz w:val="18"/>
          <w:szCs w:val="18"/>
        </w:rPr>
      </w:pPr>
      <w:r w:rsidRPr="00094995">
        <w:rPr>
          <w:rFonts w:ascii="Arial" w:hAnsi="Arial" w:cs="Arial"/>
          <w:b/>
          <w:color w:val="1F3864" w:themeColor="accent1" w:themeShade="80"/>
          <w:sz w:val="18"/>
          <w:szCs w:val="18"/>
        </w:rPr>
        <w:t>d) Balanço por Segmento</w:t>
      </w:r>
    </w:p>
    <w:p w14:paraId="0ADEF7DE" w14:textId="77777777" w:rsidR="00E617DF" w:rsidRDefault="00E617DF" w:rsidP="00E617DF">
      <w:pPr>
        <w:spacing w:after="0"/>
        <w:rPr>
          <w:rFonts w:ascii="Arial" w:hAnsi="Arial" w:cs="Arial"/>
          <w:b/>
          <w:color w:val="1F3864" w:themeColor="accent1" w:themeShade="80"/>
          <w:sz w:val="18"/>
          <w:szCs w:val="18"/>
        </w:rPr>
      </w:pPr>
    </w:p>
    <w:p w14:paraId="26D7BD04" w14:textId="77777777" w:rsidR="00E617DF" w:rsidRPr="00DE76A6" w:rsidRDefault="00E617DF" w:rsidP="00514594">
      <w:pPr>
        <w:spacing w:after="0"/>
        <w:ind w:left="7788" w:firstLine="708"/>
        <w:jc w:val="right"/>
        <w:rPr>
          <w:rFonts w:ascii="Arial" w:hAnsi="Arial" w:cs="Arial"/>
          <w:b/>
          <w:sz w:val="14"/>
          <w:szCs w:val="18"/>
        </w:rPr>
      </w:pPr>
      <w:r w:rsidRPr="008D3175">
        <w:rPr>
          <w:rFonts w:ascii="Arial" w:hAnsi="Arial" w:cs="Arial"/>
          <w:b/>
          <w:sz w:val="14"/>
          <w:szCs w:val="18"/>
        </w:rPr>
        <w:t>R$ mil</w:t>
      </w:r>
    </w:p>
    <w:tbl>
      <w:tblPr>
        <w:tblW w:w="9639" w:type="dxa"/>
        <w:jc w:val="center"/>
        <w:tblLayout w:type="fixed"/>
        <w:tblLook w:val="04A0" w:firstRow="1" w:lastRow="0" w:firstColumn="1" w:lastColumn="0" w:noHBand="0" w:noVBand="1"/>
      </w:tblPr>
      <w:tblGrid>
        <w:gridCol w:w="4576"/>
        <w:gridCol w:w="1405"/>
        <w:gridCol w:w="1673"/>
        <w:gridCol w:w="1985"/>
      </w:tblGrid>
      <w:tr w:rsidR="00E617DF" w:rsidRPr="001D6BE8" w14:paraId="6F12C95A" w14:textId="77777777" w:rsidTr="00514594">
        <w:trPr>
          <w:trHeight w:hRule="exact" w:val="238"/>
          <w:jc w:val="center"/>
        </w:trPr>
        <w:tc>
          <w:tcPr>
            <w:tcW w:w="4324" w:type="dxa"/>
            <w:tcBorders>
              <w:top w:val="single" w:sz="4" w:space="0" w:color="auto"/>
            </w:tcBorders>
            <w:shd w:val="clear" w:color="auto" w:fill="auto"/>
          </w:tcPr>
          <w:p w14:paraId="3D7B133A" w14:textId="77777777" w:rsidR="00E617DF" w:rsidRPr="001D6BE8" w:rsidRDefault="00E617DF">
            <w:pPr>
              <w:pStyle w:val="08-Tabelageral"/>
              <w:jc w:val="center"/>
              <w:rPr>
                <w:rFonts w:cs="Arial"/>
                <w:b/>
              </w:rPr>
            </w:pPr>
          </w:p>
        </w:tc>
        <w:tc>
          <w:tcPr>
            <w:tcW w:w="1328" w:type="dxa"/>
            <w:tcBorders>
              <w:top w:val="single" w:sz="4" w:space="0" w:color="auto"/>
              <w:bottom w:val="single" w:sz="2" w:space="0" w:color="1F3864" w:themeColor="accent1" w:themeShade="80"/>
            </w:tcBorders>
            <w:shd w:val="clear" w:color="auto" w:fill="auto"/>
            <w:vAlign w:val="center"/>
          </w:tcPr>
          <w:p w14:paraId="359D6A91" w14:textId="77777777" w:rsidR="00E617DF" w:rsidRPr="00A24524" w:rsidRDefault="00E617DF">
            <w:pPr>
              <w:pStyle w:val="08-Tabelageral"/>
              <w:ind w:hanging="203"/>
              <w:jc w:val="center"/>
              <w:rPr>
                <w:rFonts w:cs="Arial"/>
                <w:b/>
              </w:rPr>
            </w:pPr>
          </w:p>
        </w:tc>
        <w:tc>
          <w:tcPr>
            <w:tcW w:w="1581" w:type="dxa"/>
            <w:tcBorders>
              <w:top w:val="single" w:sz="2" w:space="0" w:color="1F3864" w:themeColor="accent1" w:themeShade="80"/>
              <w:bottom w:val="single" w:sz="2" w:space="0" w:color="1F3864" w:themeColor="accent1" w:themeShade="80"/>
            </w:tcBorders>
            <w:shd w:val="clear" w:color="auto" w:fill="auto"/>
            <w:vAlign w:val="center"/>
          </w:tcPr>
          <w:p w14:paraId="730E15FD" w14:textId="77777777" w:rsidR="00E617DF" w:rsidRPr="00A24524" w:rsidRDefault="00E617DF">
            <w:pPr>
              <w:pStyle w:val="08-Tabelageral"/>
              <w:jc w:val="center"/>
              <w:rPr>
                <w:rFonts w:cs="Arial"/>
                <w:b/>
              </w:rPr>
            </w:pPr>
            <w:r>
              <w:rPr>
                <w:rFonts w:cs="Arial"/>
                <w:b/>
              </w:rPr>
              <w:t>31.12.2024</w:t>
            </w:r>
          </w:p>
        </w:tc>
        <w:tc>
          <w:tcPr>
            <w:tcW w:w="1876" w:type="dxa"/>
            <w:tcBorders>
              <w:top w:val="single" w:sz="2" w:space="0" w:color="1F3864" w:themeColor="accent1" w:themeShade="80"/>
              <w:bottom w:val="single" w:sz="2" w:space="0" w:color="1F3864" w:themeColor="accent1" w:themeShade="80"/>
            </w:tcBorders>
            <w:shd w:val="clear" w:color="auto" w:fill="auto"/>
            <w:vAlign w:val="center"/>
          </w:tcPr>
          <w:p w14:paraId="7E6E7887" w14:textId="77777777" w:rsidR="00E617DF" w:rsidRPr="00A24524" w:rsidRDefault="00E617DF">
            <w:pPr>
              <w:pStyle w:val="08-Tabelageral"/>
              <w:jc w:val="center"/>
              <w:rPr>
                <w:rFonts w:cs="Arial"/>
                <w:b/>
              </w:rPr>
            </w:pPr>
          </w:p>
        </w:tc>
      </w:tr>
      <w:tr w:rsidR="00E617DF" w:rsidRPr="001D6BE8" w14:paraId="4DF631FE" w14:textId="77777777" w:rsidTr="00514594">
        <w:trPr>
          <w:trHeight w:hRule="exact" w:val="436"/>
          <w:jc w:val="center"/>
        </w:trPr>
        <w:tc>
          <w:tcPr>
            <w:tcW w:w="4324" w:type="dxa"/>
            <w:tcBorders>
              <w:bottom w:val="single" w:sz="4" w:space="0" w:color="auto"/>
            </w:tcBorders>
            <w:shd w:val="clear" w:color="auto" w:fill="auto"/>
          </w:tcPr>
          <w:p w14:paraId="3EC37AB4" w14:textId="77777777" w:rsidR="00E617DF" w:rsidRPr="001D6BE8" w:rsidRDefault="00E617DF">
            <w:pPr>
              <w:pStyle w:val="08-Tabelageral"/>
              <w:jc w:val="left"/>
              <w:rPr>
                <w:rFonts w:cs="Arial"/>
                <w:b/>
              </w:rPr>
            </w:pPr>
          </w:p>
        </w:tc>
        <w:tc>
          <w:tcPr>
            <w:tcW w:w="1328" w:type="dxa"/>
            <w:tcBorders>
              <w:top w:val="single" w:sz="2" w:space="0" w:color="1F3864" w:themeColor="accent1" w:themeShade="80"/>
              <w:bottom w:val="single" w:sz="2" w:space="0" w:color="1F3864" w:themeColor="accent1" w:themeShade="80"/>
            </w:tcBorders>
            <w:shd w:val="clear" w:color="auto" w:fill="auto"/>
            <w:vAlign w:val="center"/>
          </w:tcPr>
          <w:p w14:paraId="6C4732B7" w14:textId="77777777" w:rsidR="00E617DF" w:rsidRPr="00A24524" w:rsidRDefault="00E617DF">
            <w:pPr>
              <w:pStyle w:val="08-Tabelageral"/>
              <w:rPr>
                <w:rFonts w:cs="Arial"/>
                <w:b/>
              </w:rPr>
            </w:pPr>
            <w:r w:rsidRPr="00A24524">
              <w:rPr>
                <w:rFonts w:cs="Arial"/>
                <w:b/>
              </w:rPr>
              <w:t>Seguridade</w:t>
            </w:r>
          </w:p>
        </w:tc>
        <w:tc>
          <w:tcPr>
            <w:tcW w:w="1581" w:type="dxa"/>
            <w:tcBorders>
              <w:top w:val="single" w:sz="2" w:space="0" w:color="1F3864" w:themeColor="accent1" w:themeShade="80"/>
              <w:bottom w:val="single" w:sz="2" w:space="0" w:color="1F3864" w:themeColor="accent1" w:themeShade="80"/>
            </w:tcBorders>
            <w:shd w:val="clear" w:color="auto" w:fill="auto"/>
            <w:vAlign w:val="center"/>
          </w:tcPr>
          <w:p w14:paraId="027182D5" w14:textId="77777777" w:rsidR="00E617DF" w:rsidRPr="00A24524" w:rsidRDefault="00E617DF">
            <w:pPr>
              <w:pStyle w:val="08-Tabelageral"/>
              <w:rPr>
                <w:rFonts w:cs="Arial"/>
                <w:b/>
              </w:rPr>
            </w:pPr>
            <w:r w:rsidRPr="00A24524">
              <w:rPr>
                <w:rFonts w:cs="Arial"/>
                <w:b/>
              </w:rPr>
              <w:t>Corretagem</w:t>
            </w:r>
          </w:p>
        </w:tc>
        <w:tc>
          <w:tcPr>
            <w:tcW w:w="1876" w:type="dxa"/>
            <w:tcBorders>
              <w:top w:val="single" w:sz="2" w:space="0" w:color="1F3864" w:themeColor="accent1" w:themeShade="80"/>
              <w:bottom w:val="single" w:sz="2" w:space="0" w:color="1F3864" w:themeColor="accent1" w:themeShade="80"/>
            </w:tcBorders>
            <w:shd w:val="clear" w:color="auto" w:fill="auto"/>
            <w:vAlign w:val="center"/>
          </w:tcPr>
          <w:p w14:paraId="57B4CBAB" w14:textId="77777777" w:rsidR="00E617DF" w:rsidRPr="00A24524" w:rsidRDefault="00E617DF">
            <w:pPr>
              <w:pStyle w:val="08-Tabelageral"/>
              <w:rPr>
                <w:rFonts w:cs="Arial"/>
                <w:b/>
              </w:rPr>
            </w:pPr>
            <w:r w:rsidRPr="00A24524">
              <w:rPr>
                <w:rFonts w:cs="Arial"/>
                <w:b/>
              </w:rPr>
              <w:t>Total</w:t>
            </w:r>
          </w:p>
        </w:tc>
      </w:tr>
      <w:tr w:rsidR="00E617DF" w:rsidRPr="00CF3BC4" w14:paraId="1D59BA9F" w14:textId="77777777" w:rsidTr="00514594">
        <w:trPr>
          <w:trHeight w:val="238"/>
          <w:jc w:val="center"/>
        </w:trPr>
        <w:tc>
          <w:tcPr>
            <w:tcW w:w="4324" w:type="dxa"/>
            <w:tcBorders>
              <w:top w:val="single" w:sz="4" w:space="0" w:color="auto"/>
            </w:tcBorders>
            <w:shd w:val="clear" w:color="auto" w:fill="auto"/>
          </w:tcPr>
          <w:p w14:paraId="78E8CA11" w14:textId="77777777" w:rsidR="00E617DF" w:rsidRPr="00CF3BC4" w:rsidRDefault="00E617DF">
            <w:pPr>
              <w:pStyle w:val="08-Tabelageral"/>
              <w:jc w:val="left"/>
              <w:rPr>
                <w:rFonts w:cs="Arial"/>
                <w:b/>
                <w:szCs w:val="14"/>
              </w:rPr>
            </w:pPr>
            <w:r>
              <w:rPr>
                <w:rFonts w:cs="Arial"/>
              </w:rPr>
              <w:t xml:space="preserve">   </w:t>
            </w:r>
            <w:r w:rsidRPr="00D25934">
              <w:rPr>
                <w:rFonts w:cs="Arial"/>
              </w:rPr>
              <w:t>Ativo circulante</w:t>
            </w:r>
          </w:p>
        </w:tc>
        <w:tc>
          <w:tcPr>
            <w:tcW w:w="1328" w:type="dxa"/>
            <w:tcBorders>
              <w:top w:val="single" w:sz="2" w:space="0" w:color="1F3864" w:themeColor="accent1" w:themeShade="80"/>
            </w:tcBorders>
            <w:shd w:val="clear" w:color="auto" w:fill="auto"/>
            <w:vAlign w:val="bottom"/>
          </w:tcPr>
          <w:p w14:paraId="159CE47E" w14:textId="77777777" w:rsidR="00E617DF" w:rsidRPr="0010352F" w:rsidRDefault="00E617DF">
            <w:pPr>
              <w:pStyle w:val="08-Tabelageral"/>
              <w:rPr>
                <w:bCs/>
              </w:rPr>
            </w:pPr>
            <w:r w:rsidRPr="0010352F">
              <w:rPr>
                <w:bCs/>
              </w:rPr>
              <w:t>3.643.189</w:t>
            </w:r>
          </w:p>
        </w:tc>
        <w:tc>
          <w:tcPr>
            <w:tcW w:w="1581" w:type="dxa"/>
            <w:tcBorders>
              <w:top w:val="single" w:sz="2" w:space="0" w:color="1F3864" w:themeColor="accent1" w:themeShade="80"/>
            </w:tcBorders>
            <w:shd w:val="clear" w:color="auto" w:fill="auto"/>
            <w:vAlign w:val="bottom"/>
          </w:tcPr>
          <w:p w14:paraId="3EF6620E" w14:textId="77777777" w:rsidR="00E617DF" w:rsidRPr="0010352F" w:rsidRDefault="00E617DF">
            <w:pPr>
              <w:pStyle w:val="08-Tabelageral"/>
              <w:rPr>
                <w:bCs/>
              </w:rPr>
            </w:pPr>
            <w:r w:rsidRPr="0010352F">
              <w:rPr>
                <w:bCs/>
              </w:rPr>
              <w:t>6.262.517</w:t>
            </w:r>
          </w:p>
        </w:tc>
        <w:tc>
          <w:tcPr>
            <w:tcW w:w="1876" w:type="dxa"/>
            <w:tcBorders>
              <w:top w:val="single" w:sz="2" w:space="0" w:color="1F3864" w:themeColor="accent1" w:themeShade="80"/>
            </w:tcBorders>
            <w:shd w:val="clear" w:color="auto" w:fill="auto"/>
            <w:vAlign w:val="bottom"/>
          </w:tcPr>
          <w:p w14:paraId="0D1C9A57" w14:textId="77777777" w:rsidR="00E617DF" w:rsidRPr="0010352F" w:rsidRDefault="00E617DF">
            <w:pPr>
              <w:pStyle w:val="08-Tabelageral"/>
              <w:rPr>
                <w:bCs/>
              </w:rPr>
            </w:pPr>
            <w:r w:rsidRPr="0010352F">
              <w:rPr>
                <w:bCs/>
              </w:rPr>
              <w:t>9.905.706</w:t>
            </w:r>
          </w:p>
        </w:tc>
      </w:tr>
      <w:tr w:rsidR="00E617DF" w:rsidRPr="001D6BE8" w14:paraId="48C676C7" w14:textId="77777777" w:rsidTr="00514594">
        <w:trPr>
          <w:trHeight w:val="238"/>
          <w:jc w:val="center"/>
        </w:trPr>
        <w:tc>
          <w:tcPr>
            <w:tcW w:w="4324" w:type="dxa"/>
            <w:shd w:val="clear" w:color="auto" w:fill="auto"/>
          </w:tcPr>
          <w:p w14:paraId="16593663" w14:textId="77777777" w:rsidR="00E617DF" w:rsidRPr="00C806B0" w:rsidRDefault="00E617DF">
            <w:pPr>
              <w:pStyle w:val="08-Tabelageral"/>
              <w:ind w:left="113"/>
              <w:jc w:val="left"/>
              <w:rPr>
                <w:rFonts w:cs="Arial"/>
                <w:b/>
                <w:szCs w:val="14"/>
              </w:rPr>
            </w:pPr>
            <w:r w:rsidRPr="00D25934">
              <w:rPr>
                <w:rFonts w:cs="Arial"/>
              </w:rPr>
              <w:t>Ativo não circulante</w:t>
            </w:r>
          </w:p>
        </w:tc>
        <w:tc>
          <w:tcPr>
            <w:tcW w:w="1328" w:type="dxa"/>
            <w:shd w:val="clear" w:color="auto" w:fill="auto"/>
            <w:vAlign w:val="bottom"/>
          </w:tcPr>
          <w:p w14:paraId="77883885" w14:textId="77777777" w:rsidR="00E617DF" w:rsidRPr="0010352F" w:rsidRDefault="00E617DF">
            <w:pPr>
              <w:pStyle w:val="08-Tabelageral"/>
              <w:rPr>
                <w:bCs/>
              </w:rPr>
            </w:pPr>
            <w:r w:rsidRPr="0010352F">
              <w:rPr>
                <w:bCs/>
              </w:rPr>
              <w:t>8.988.708</w:t>
            </w:r>
          </w:p>
        </w:tc>
        <w:tc>
          <w:tcPr>
            <w:tcW w:w="1581" w:type="dxa"/>
            <w:shd w:val="clear" w:color="auto" w:fill="auto"/>
            <w:vAlign w:val="bottom"/>
          </w:tcPr>
          <w:p w14:paraId="3FED4E3D" w14:textId="77777777" w:rsidR="00E617DF" w:rsidRPr="0010352F" w:rsidRDefault="00E617DF">
            <w:pPr>
              <w:pStyle w:val="08-Tabelageral"/>
              <w:rPr>
                <w:bCs/>
              </w:rPr>
            </w:pPr>
            <w:r w:rsidRPr="0010352F">
              <w:rPr>
                <w:bCs/>
              </w:rPr>
              <w:t>2.721.173</w:t>
            </w:r>
          </w:p>
        </w:tc>
        <w:tc>
          <w:tcPr>
            <w:tcW w:w="1876" w:type="dxa"/>
            <w:shd w:val="clear" w:color="auto" w:fill="auto"/>
            <w:vAlign w:val="bottom"/>
          </w:tcPr>
          <w:p w14:paraId="0DDF40D2" w14:textId="77777777" w:rsidR="00E617DF" w:rsidRPr="0010352F" w:rsidRDefault="00E617DF">
            <w:pPr>
              <w:pStyle w:val="08-Tabelageral"/>
              <w:rPr>
                <w:bCs/>
              </w:rPr>
            </w:pPr>
            <w:r w:rsidRPr="0010352F">
              <w:rPr>
                <w:bCs/>
              </w:rPr>
              <w:t>11.709.881</w:t>
            </w:r>
          </w:p>
        </w:tc>
      </w:tr>
      <w:tr w:rsidR="00E617DF" w:rsidRPr="001D6BE8" w14:paraId="0BDB22DA" w14:textId="77777777" w:rsidTr="00514594">
        <w:trPr>
          <w:trHeight w:val="238"/>
          <w:jc w:val="center"/>
        </w:trPr>
        <w:tc>
          <w:tcPr>
            <w:tcW w:w="4324" w:type="dxa"/>
            <w:shd w:val="clear" w:color="auto" w:fill="auto"/>
          </w:tcPr>
          <w:p w14:paraId="00C79CDE" w14:textId="77777777" w:rsidR="00E617DF" w:rsidRPr="00C806B0" w:rsidRDefault="00E617DF">
            <w:pPr>
              <w:pStyle w:val="08-Tabelageral"/>
              <w:ind w:left="113" w:hanging="113"/>
              <w:jc w:val="left"/>
              <w:rPr>
                <w:rFonts w:cs="Arial"/>
                <w:b/>
                <w:szCs w:val="14"/>
              </w:rPr>
            </w:pPr>
            <w:r w:rsidRPr="00647CD3">
              <w:rPr>
                <w:rFonts w:cs="Arial"/>
                <w:b/>
                <w:bCs/>
              </w:rPr>
              <w:t>Total do Ativo</w:t>
            </w:r>
          </w:p>
        </w:tc>
        <w:tc>
          <w:tcPr>
            <w:tcW w:w="1328" w:type="dxa"/>
            <w:shd w:val="clear" w:color="auto" w:fill="auto"/>
            <w:vAlign w:val="bottom"/>
          </w:tcPr>
          <w:p w14:paraId="04D9ABB2" w14:textId="77777777" w:rsidR="00E617DF" w:rsidRPr="0010352F" w:rsidRDefault="00E617DF">
            <w:pPr>
              <w:pStyle w:val="08-Tabelageral"/>
              <w:rPr>
                <w:b/>
              </w:rPr>
            </w:pPr>
            <w:r w:rsidRPr="0010352F">
              <w:rPr>
                <w:b/>
              </w:rPr>
              <w:t>12.631.897</w:t>
            </w:r>
          </w:p>
        </w:tc>
        <w:tc>
          <w:tcPr>
            <w:tcW w:w="1581" w:type="dxa"/>
            <w:shd w:val="clear" w:color="auto" w:fill="auto"/>
            <w:vAlign w:val="bottom"/>
          </w:tcPr>
          <w:p w14:paraId="2D9C843D" w14:textId="77777777" w:rsidR="00E617DF" w:rsidRPr="0010352F" w:rsidRDefault="00E617DF">
            <w:pPr>
              <w:pStyle w:val="08-Tabelageral"/>
              <w:rPr>
                <w:b/>
              </w:rPr>
            </w:pPr>
            <w:r w:rsidRPr="0010352F">
              <w:rPr>
                <w:b/>
              </w:rPr>
              <w:t>8.983.690</w:t>
            </w:r>
          </w:p>
        </w:tc>
        <w:tc>
          <w:tcPr>
            <w:tcW w:w="1876" w:type="dxa"/>
            <w:shd w:val="clear" w:color="auto" w:fill="auto"/>
            <w:vAlign w:val="bottom"/>
          </w:tcPr>
          <w:p w14:paraId="6889DC73" w14:textId="77777777" w:rsidR="00E617DF" w:rsidRPr="0010352F" w:rsidRDefault="00E617DF">
            <w:pPr>
              <w:pStyle w:val="08-Tabelageral"/>
              <w:rPr>
                <w:b/>
              </w:rPr>
            </w:pPr>
            <w:r w:rsidRPr="0010352F">
              <w:rPr>
                <w:b/>
              </w:rPr>
              <w:t>21.615.587</w:t>
            </w:r>
          </w:p>
        </w:tc>
      </w:tr>
      <w:tr w:rsidR="00E617DF" w:rsidRPr="00CF3BC4" w14:paraId="42703ADC" w14:textId="77777777" w:rsidTr="00514594">
        <w:trPr>
          <w:trHeight w:val="238"/>
          <w:jc w:val="center"/>
        </w:trPr>
        <w:tc>
          <w:tcPr>
            <w:tcW w:w="4324" w:type="dxa"/>
            <w:shd w:val="clear" w:color="auto" w:fill="auto"/>
          </w:tcPr>
          <w:p w14:paraId="70D4B2C0" w14:textId="77777777" w:rsidR="00E617DF" w:rsidRPr="00CF3BC4" w:rsidRDefault="00E617DF">
            <w:pPr>
              <w:pStyle w:val="08-Tabelageral"/>
              <w:ind w:left="126"/>
              <w:jc w:val="left"/>
              <w:rPr>
                <w:rFonts w:cs="Arial"/>
                <w:b/>
                <w:szCs w:val="14"/>
              </w:rPr>
            </w:pPr>
            <w:r w:rsidRPr="00D25934">
              <w:rPr>
                <w:rFonts w:cs="Arial"/>
              </w:rPr>
              <w:t>Passivo circulante</w:t>
            </w:r>
          </w:p>
        </w:tc>
        <w:tc>
          <w:tcPr>
            <w:tcW w:w="1328" w:type="dxa"/>
            <w:shd w:val="clear" w:color="auto" w:fill="auto"/>
            <w:vAlign w:val="bottom"/>
          </w:tcPr>
          <w:p w14:paraId="2ADA5A60" w14:textId="277723B4" w:rsidR="00E617DF" w:rsidRPr="0010352F" w:rsidRDefault="00E617DF">
            <w:pPr>
              <w:pStyle w:val="08-Tabelageral"/>
              <w:rPr>
                <w:bCs/>
              </w:rPr>
            </w:pPr>
            <w:r w:rsidRPr="0010352F">
              <w:rPr>
                <w:bCs/>
              </w:rPr>
              <w:t>2.712.89</w:t>
            </w:r>
            <w:r w:rsidR="00E70AB0">
              <w:rPr>
                <w:bCs/>
              </w:rPr>
              <w:t>5</w:t>
            </w:r>
          </w:p>
        </w:tc>
        <w:tc>
          <w:tcPr>
            <w:tcW w:w="1581" w:type="dxa"/>
            <w:shd w:val="clear" w:color="auto" w:fill="auto"/>
            <w:vAlign w:val="bottom"/>
          </w:tcPr>
          <w:p w14:paraId="15C9DAA3" w14:textId="77777777" w:rsidR="00E617DF" w:rsidRPr="0010352F" w:rsidRDefault="00E617DF">
            <w:pPr>
              <w:pStyle w:val="08-Tabelageral"/>
              <w:rPr>
                <w:bCs/>
              </w:rPr>
            </w:pPr>
            <w:r w:rsidRPr="0010352F">
              <w:rPr>
                <w:bCs/>
              </w:rPr>
              <w:t>5.564.989</w:t>
            </w:r>
          </w:p>
        </w:tc>
        <w:tc>
          <w:tcPr>
            <w:tcW w:w="1876" w:type="dxa"/>
            <w:shd w:val="clear" w:color="auto" w:fill="auto"/>
            <w:vAlign w:val="bottom"/>
          </w:tcPr>
          <w:p w14:paraId="7BD556CF" w14:textId="5906D5CA" w:rsidR="00E617DF" w:rsidRPr="0010352F" w:rsidRDefault="00E617DF">
            <w:pPr>
              <w:pStyle w:val="08-Tabelageral"/>
              <w:rPr>
                <w:bCs/>
              </w:rPr>
            </w:pPr>
            <w:r w:rsidRPr="0010352F">
              <w:rPr>
                <w:bCs/>
              </w:rPr>
              <w:t>8.277.88</w:t>
            </w:r>
            <w:r w:rsidR="004F7CB4">
              <w:rPr>
                <w:bCs/>
              </w:rPr>
              <w:t>4</w:t>
            </w:r>
          </w:p>
        </w:tc>
      </w:tr>
      <w:tr w:rsidR="00E617DF" w:rsidRPr="00CF3BC4" w14:paraId="10E30B66" w14:textId="77777777" w:rsidTr="00514594">
        <w:trPr>
          <w:trHeight w:val="238"/>
          <w:jc w:val="center"/>
        </w:trPr>
        <w:tc>
          <w:tcPr>
            <w:tcW w:w="4324" w:type="dxa"/>
            <w:shd w:val="clear" w:color="auto" w:fill="auto"/>
          </w:tcPr>
          <w:p w14:paraId="668EE6E8" w14:textId="77777777" w:rsidR="00E617DF" w:rsidRPr="00CF3BC4" w:rsidRDefault="00E617DF">
            <w:pPr>
              <w:pStyle w:val="08-Tabelageral"/>
              <w:ind w:left="126"/>
              <w:jc w:val="left"/>
              <w:rPr>
                <w:rFonts w:cs="Arial"/>
                <w:b/>
                <w:szCs w:val="14"/>
              </w:rPr>
            </w:pPr>
            <w:r w:rsidRPr="00647CD3">
              <w:rPr>
                <w:rFonts w:cs="Arial"/>
              </w:rPr>
              <w:t>Passivo não circulante</w:t>
            </w:r>
          </w:p>
        </w:tc>
        <w:tc>
          <w:tcPr>
            <w:tcW w:w="1328" w:type="dxa"/>
            <w:shd w:val="clear" w:color="auto" w:fill="auto"/>
            <w:vAlign w:val="bottom"/>
          </w:tcPr>
          <w:p w14:paraId="133D3C15" w14:textId="10A61147" w:rsidR="00E617DF" w:rsidRPr="0010352F" w:rsidRDefault="00E617DF">
            <w:pPr>
              <w:pStyle w:val="08-Tabelageral"/>
              <w:rPr>
                <w:bCs/>
              </w:rPr>
            </w:pPr>
            <w:r w:rsidRPr="0010352F">
              <w:rPr>
                <w:bCs/>
              </w:rPr>
              <w:t>229.69</w:t>
            </w:r>
            <w:r w:rsidR="00D55AA9">
              <w:rPr>
                <w:bCs/>
              </w:rPr>
              <w:t>9</w:t>
            </w:r>
          </w:p>
        </w:tc>
        <w:tc>
          <w:tcPr>
            <w:tcW w:w="1581" w:type="dxa"/>
            <w:shd w:val="clear" w:color="auto" w:fill="auto"/>
            <w:vAlign w:val="bottom"/>
          </w:tcPr>
          <w:p w14:paraId="2F36B763" w14:textId="77777777" w:rsidR="00E617DF" w:rsidRPr="0010352F" w:rsidRDefault="00E617DF">
            <w:pPr>
              <w:pStyle w:val="08-Tabelageral"/>
              <w:rPr>
                <w:bCs/>
              </w:rPr>
            </w:pPr>
            <w:r w:rsidRPr="0010352F">
              <w:rPr>
                <w:bCs/>
              </w:rPr>
              <w:t>3.412.583</w:t>
            </w:r>
          </w:p>
        </w:tc>
        <w:tc>
          <w:tcPr>
            <w:tcW w:w="1876" w:type="dxa"/>
            <w:shd w:val="clear" w:color="auto" w:fill="auto"/>
            <w:vAlign w:val="bottom"/>
          </w:tcPr>
          <w:p w14:paraId="61262EEC" w14:textId="1A1C8C36" w:rsidR="00E617DF" w:rsidRPr="0010352F" w:rsidRDefault="00E617DF">
            <w:pPr>
              <w:pStyle w:val="08-Tabelageral"/>
              <w:rPr>
                <w:bCs/>
              </w:rPr>
            </w:pPr>
            <w:r w:rsidRPr="0010352F">
              <w:rPr>
                <w:bCs/>
              </w:rPr>
              <w:t>3.642.28</w:t>
            </w:r>
            <w:r w:rsidR="008211C5">
              <w:rPr>
                <w:bCs/>
              </w:rPr>
              <w:t>2</w:t>
            </w:r>
          </w:p>
        </w:tc>
      </w:tr>
      <w:tr w:rsidR="00E617DF" w:rsidRPr="00CF3BC4" w14:paraId="701648BF" w14:textId="77777777" w:rsidTr="00514594">
        <w:trPr>
          <w:trHeight w:val="238"/>
          <w:jc w:val="center"/>
        </w:trPr>
        <w:tc>
          <w:tcPr>
            <w:tcW w:w="4324" w:type="dxa"/>
            <w:shd w:val="clear" w:color="auto" w:fill="auto"/>
          </w:tcPr>
          <w:p w14:paraId="7138FE9A" w14:textId="77777777" w:rsidR="00E617DF" w:rsidRPr="00CF3BC4" w:rsidRDefault="00E617DF">
            <w:pPr>
              <w:pStyle w:val="08-Tabelageral"/>
              <w:ind w:left="126"/>
              <w:jc w:val="left"/>
              <w:rPr>
                <w:rFonts w:cs="Arial"/>
                <w:b/>
                <w:szCs w:val="14"/>
              </w:rPr>
            </w:pPr>
            <w:r w:rsidRPr="00D25934">
              <w:rPr>
                <w:rFonts w:cs="Arial"/>
              </w:rPr>
              <w:t>Patrimônio líquido</w:t>
            </w:r>
          </w:p>
        </w:tc>
        <w:tc>
          <w:tcPr>
            <w:tcW w:w="1328" w:type="dxa"/>
            <w:shd w:val="clear" w:color="auto" w:fill="auto"/>
            <w:vAlign w:val="bottom"/>
          </w:tcPr>
          <w:p w14:paraId="328C3CC7" w14:textId="3373695A" w:rsidR="00E617DF" w:rsidRPr="0010352F" w:rsidRDefault="00E617DF">
            <w:pPr>
              <w:pStyle w:val="08-Tabelageral"/>
              <w:rPr>
                <w:bCs/>
              </w:rPr>
            </w:pPr>
            <w:r w:rsidRPr="0010352F">
              <w:rPr>
                <w:bCs/>
              </w:rPr>
              <w:t>9.689.30</w:t>
            </w:r>
            <w:r w:rsidR="00122F02">
              <w:rPr>
                <w:bCs/>
              </w:rPr>
              <w:t>3</w:t>
            </w:r>
          </w:p>
        </w:tc>
        <w:tc>
          <w:tcPr>
            <w:tcW w:w="1581" w:type="dxa"/>
            <w:shd w:val="clear" w:color="auto" w:fill="auto"/>
            <w:vAlign w:val="bottom"/>
          </w:tcPr>
          <w:p w14:paraId="4904683F" w14:textId="77777777" w:rsidR="00E617DF" w:rsidRPr="0010352F" w:rsidRDefault="00E617DF">
            <w:pPr>
              <w:pStyle w:val="08-Tabelageral"/>
              <w:rPr>
                <w:bCs/>
              </w:rPr>
            </w:pPr>
            <w:r w:rsidRPr="0010352F">
              <w:rPr>
                <w:bCs/>
              </w:rPr>
              <w:t>6.118</w:t>
            </w:r>
          </w:p>
        </w:tc>
        <w:tc>
          <w:tcPr>
            <w:tcW w:w="1876" w:type="dxa"/>
            <w:shd w:val="clear" w:color="auto" w:fill="auto"/>
            <w:vAlign w:val="bottom"/>
          </w:tcPr>
          <w:p w14:paraId="49201D71" w14:textId="474D3758" w:rsidR="00E617DF" w:rsidRPr="0010352F" w:rsidRDefault="00E617DF">
            <w:pPr>
              <w:pStyle w:val="08-Tabelageral"/>
              <w:rPr>
                <w:bCs/>
              </w:rPr>
            </w:pPr>
            <w:r w:rsidRPr="0010352F">
              <w:rPr>
                <w:bCs/>
              </w:rPr>
              <w:t>9.695.42</w:t>
            </w:r>
            <w:r w:rsidR="004F7CB4">
              <w:rPr>
                <w:bCs/>
              </w:rPr>
              <w:t>1</w:t>
            </w:r>
          </w:p>
        </w:tc>
      </w:tr>
      <w:tr w:rsidR="00E617DF" w:rsidRPr="00CF3BC4" w14:paraId="12655280" w14:textId="77777777" w:rsidTr="00514594">
        <w:trPr>
          <w:trHeight w:val="238"/>
          <w:jc w:val="center"/>
        </w:trPr>
        <w:tc>
          <w:tcPr>
            <w:tcW w:w="4324" w:type="dxa"/>
            <w:tcBorders>
              <w:bottom w:val="single" w:sz="4" w:space="0" w:color="auto"/>
            </w:tcBorders>
            <w:shd w:val="clear" w:color="auto" w:fill="auto"/>
          </w:tcPr>
          <w:p w14:paraId="21F1B948" w14:textId="77777777" w:rsidR="00E617DF" w:rsidRPr="00D25934" w:rsidRDefault="00E617DF">
            <w:pPr>
              <w:pStyle w:val="08-Tabelageral"/>
              <w:jc w:val="left"/>
              <w:rPr>
                <w:rFonts w:cs="Arial"/>
              </w:rPr>
            </w:pPr>
            <w:r w:rsidRPr="00647CD3">
              <w:rPr>
                <w:rFonts w:cs="Arial"/>
                <w:b/>
                <w:bCs/>
              </w:rPr>
              <w:t>Total do Passivo e Patrimônio Líquido</w:t>
            </w:r>
          </w:p>
        </w:tc>
        <w:tc>
          <w:tcPr>
            <w:tcW w:w="1328" w:type="dxa"/>
            <w:tcBorders>
              <w:bottom w:val="single" w:sz="4" w:space="0" w:color="auto"/>
            </w:tcBorders>
            <w:shd w:val="clear" w:color="auto" w:fill="auto"/>
            <w:vAlign w:val="bottom"/>
          </w:tcPr>
          <w:p w14:paraId="515DB63A" w14:textId="77777777" w:rsidR="00E617DF" w:rsidRPr="0010352F" w:rsidRDefault="00E617DF">
            <w:pPr>
              <w:pStyle w:val="08-Tabelageral"/>
              <w:rPr>
                <w:b/>
              </w:rPr>
            </w:pPr>
            <w:r w:rsidRPr="0010352F">
              <w:rPr>
                <w:b/>
              </w:rPr>
              <w:t>12.631.897</w:t>
            </w:r>
          </w:p>
        </w:tc>
        <w:tc>
          <w:tcPr>
            <w:tcW w:w="1581" w:type="dxa"/>
            <w:tcBorders>
              <w:bottom w:val="single" w:sz="4" w:space="0" w:color="auto"/>
            </w:tcBorders>
            <w:shd w:val="clear" w:color="auto" w:fill="auto"/>
            <w:vAlign w:val="bottom"/>
          </w:tcPr>
          <w:p w14:paraId="1324BC52" w14:textId="77777777" w:rsidR="00E617DF" w:rsidRPr="0010352F" w:rsidRDefault="00E617DF">
            <w:pPr>
              <w:pStyle w:val="08-Tabelageral"/>
              <w:rPr>
                <w:b/>
              </w:rPr>
            </w:pPr>
            <w:r w:rsidRPr="0010352F">
              <w:rPr>
                <w:b/>
              </w:rPr>
              <w:t>8.983.690</w:t>
            </w:r>
          </w:p>
        </w:tc>
        <w:tc>
          <w:tcPr>
            <w:tcW w:w="1876" w:type="dxa"/>
            <w:tcBorders>
              <w:bottom w:val="single" w:sz="4" w:space="0" w:color="auto"/>
            </w:tcBorders>
            <w:shd w:val="clear" w:color="auto" w:fill="auto"/>
            <w:vAlign w:val="bottom"/>
          </w:tcPr>
          <w:p w14:paraId="035942D3" w14:textId="77777777" w:rsidR="00E617DF" w:rsidRPr="0010352F" w:rsidRDefault="00E617DF">
            <w:pPr>
              <w:pStyle w:val="08-Tabelageral"/>
              <w:rPr>
                <w:b/>
              </w:rPr>
            </w:pPr>
            <w:r w:rsidRPr="0010352F">
              <w:rPr>
                <w:b/>
              </w:rPr>
              <w:t>21.615.587</w:t>
            </w:r>
          </w:p>
        </w:tc>
      </w:tr>
    </w:tbl>
    <w:p w14:paraId="541AB4AB" w14:textId="77777777" w:rsidR="00E617DF" w:rsidRDefault="00E617DF" w:rsidP="00E617DF">
      <w:pPr>
        <w:spacing w:after="0"/>
        <w:rPr>
          <w:b/>
          <w:sz w:val="14"/>
        </w:rPr>
      </w:pPr>
    </w:p>
    <w:p w14:paraId="1F91D87E" w14:textId="77777777" w:rsidR="00E617DF" w:rsidRDefault="00E617DF" w:rsidP="00E617DF">
      <w:pPr>
        <w:pStyle w:val="05-Textonormal"/>
        <w:spacing w:before="0" w:after="0" w:line="240" w:lineRule="auto"/>
        <w:jc w:val="right"/>
        <w:rPr>
          <w:b/>
          <w:sz w:val="14"/>
        </w:rPr>
      </w:pPr>
    </w:p>
    <w:p w14:paraId="392B217B" w14:textId="77777777" w:rsidR="00E617DF" w:rsidRPr="00DE76A6" w:rsidRDefault="00E617DF" w:rsidP="00514594">
      <w:pPr>
        <w:spacing w:after="0"/>
        <w:ind w:left="7788" w:firstLine="708"/>
        <w:jc w:val="right"/>
        <w:rPr>
          <w:rFonts w:ascii="Arial" w:hAnsi="Arial" w:cs="Arial"/>
          <w:b/>
          <w:sz w:val="14"/>
          <w:szCs w:val="18"/>
        </w:rPr>
      </w:pPr>
      <w:r w:rsidRPr="008D3175">
        <w:rPr>
          <w:rFonts w:ascii="Arial" w:hAnsi="Arial" w:cs="Arial"/>
          <w:b/>
          <w:sz w:val="14"/>
          <w:szCs w:val="18"/>
        </w:rPr>
        <w:t>R$ mil</w:t>
      </w:r>
    </w:p>
    <w:tbl>
      <w:tblPr>
        <w:tblW w:w="9639" w:type="dxa"/>
        <w:jc w:val="center"/>
        <w:tblLayout w:type="fixed"/>
        <w:tblLook w:val="04A0" w:firstRow="1" w:lastRow="0" w:firstColumn="1" w:lastColumn="0" w:noHBand="0" w:noVBand="1"/>
      </w:tblPr>
      <w:tblGrid>
        <w:gridCol w:w="4576"/>
        <w:gridCol w:w="1405"/>
        <w:gridCol w:w="1673"/>
        <w:gridCol w:w="1985"/>
      </w:tblGrid>
      <w:tr w:rsidR="00E617DF" w:rsidRPr="001D6BE8" w14:paraId="055289D0" w14:textId="77777777" w:rsidTr="00514594">
        <w:trPr>
          <w:trHeight w:hRule="exact" w:val="238"/>
          <w:jc w:val="center"/>
        </w:trPr>
        <w:tc>
          <w:tcPr>
            <w:tcW w:w="4324" w:type="dxa"/>
            <w:tcBorders>
              <w:top w:val="single" w:sz="4" w:space="0" w:color="auto"/>
            </w:tcBorders>
            <w:shd w:val="clear" w:color="auto" w:fill="auto"/>
          </w:tcPr>
          <w:p w14:paraId="46B03F01" w14:textId="77777777" w:rsidR="00E617DF" w:rsidRPr="001D6BE8" w:rsidRDefault="00E617DF">
            <w:pPr>
              <w:pStyle w:val="08-Tabelageral"/>
              <w:jc w:val="center"/>
              <w:rPr>
                <w:rFonts w:cs="Arial"/>
                <w:b/>
              </w:rPr>
            </w:pPr>
          </w:p>
        </w:tc>
        <w:tc>
          <w:tcPr>
            <w:tcW w:w="1328" w:type="dxa"/>
            <w:tcBorders>
              <w:top w:val="single" w:sz="4" w:space="0" w:color="auto"/>
              <w:bottom w:val="single" w:sz="2" w:space="0" w:color="1F3864" w:themeColor="accent1" w:themeShade="80"/>
            </w:tcBorders>
            <w:shd w:val="clear" w:color="auto" w:fill="auto"/>
            <w:vAlign w:val="center"/>
          </w:tcPr>
          <w:p w14:paraId="726DE29A" w14:textId="77777777" w:rsidR="00E617DF" w:rsidRPr="00A24524" w:rsidRDefault="00E617DF">
            <w:pPr>
              <w:pStyle w:val="08-Tabelageral"/>
              <w:ind w:hanging="203"/>
              <w:jc w:val="center"/>
              <w:rPr>
                <w:rFonts w:cs="Arial"/>
                <w:b/>
              </w:rPr>
            </w:pPr>
          </w:p>
        </w:tc>
        <w:tc>
          <w:tcPr>
            <w:tcW w:w="1581" w:type="dxa"/>
            <w:tcBorders>
              <w:top w:val="single" w:sz="2" w:space="0" w:color="1F3864" w:themeColor="accent1" w:themeShade="80"/>
              <w:bottom w:val="single" w:sz="2" w:space="0" w:color="1F3864" w:themeColor="accent1" w:themeShade="80"/>
            </w:tcBorders>
            <w:shd w:val="clear" w:color="auto" w:fill="auto"/>
            <w:vAlign w:val="center"/>
          </w:tcPr>
          <w:p w14:paraId="7C9B1498" w14:textId="77777777" w:rsidR="00E617DF" w:rsidRPr="00A24524" w:rsidRDefault="00E617DF">
            <w:pPr>
              <w:pStyle w:val="08-Tabelageral"/>
              <w:jc w:val="center"/>
              <w:rPr>
                <w:rFonts w:cs="Arial"/>
                <w:b/>
              </w:rPr>
            </w:pPr>
            <w:r>
              <w:rPr>
                <w:rFonts w:cs="Arial"/>
                <w:b/>
              </w:rPr>
              <w:t>31.12.2023</w:t>
            </w:r>
          </w:p>
        </w:tc>
        <w:tc>
          <w:tcPr>
            <w:tcW w:w="1876" w:type="dxa"/>
            <w:tcBorders>
              <w:top w:val="single" w:sz="2" w:space="0" w:color="1F3864" w:themeColor="accent1" w:themeShade="80"/>
              <w:bottom w:val="single" w:sz="2" w:space="0" w:color="1F3864" w:themeColor="accent1" w:themeShade="80"/>
            </w:tcBorders>
            <w:shd w:val="clear" w:color="auto" w:fill="auto"/>
            <w:vAlign w:val="center"/>
          </w:tcPr>
          <w:p w14:paraId="647205BA" w14:textId="77777777" w:rsidR="00E617DF" w:rsidRPr="00A24524" w:rsidRDefault="00E617DF">
            <w:pPr>
              <w:pStyle w:val="08-Tabelageral"/>
              <w:jc w:val="center"/>
              <w:rPr>
                <w:rFonts w:cs="Arial"/>
                <w:b/>
              </w:rPr>
            </w:pPr>
          </w:p>
        </w:tc>
      </w:tr>
      <w:tr w:rsidR="00E617DF" w:rsidRPr="001D6BE8" w14:paraId="61971CF5" w14:textId="77777777" w:rsidTr="00514594">
        <w:trPr>
          <w:trHeight w:hRule="exact" w:val="436"/>
          <w:jc w:val="center"/>
        </w:trPr>
        <w:tc>
          <w:tcPr>
            <w:tcW w:w="4324" w:type="dxa"/>
            <w:tcBorders>
              <w:bottom w:val="single" w:sz="4" w:space="0" w:color="auto"/>
            </w:tcBorders>
            <w:shd w:val="clear" w:color="auto" w:fill="auto"/>
          </w:tcPr>
          <w:p w14:paraId="4A7DB0DA" w14:textId="77777777" w:rsidR="00E617DF" w:rsidRPr="001D6BE8" w:rsidRDefault="00E617DF">
            <w:pPr>
              <w:pStyle w:val="08-Tabelageral"/>
              <w:jc w:val="left"/>
              <w:rPr>
                <w:rFonts w:cs="Arial"/>
                <w:b/>
              </w:rPr>
            </w:pPr>
          </w:p>
        </w:tc>
        <w:tc>
          <w:tcPr>
            <w:tcW w:w="1328" w:type="dxa"/>
            <w:tcBorders>
              <w:top w:val="single" w:sz="2" w:space="0" w:color="1F3864" w:themeColor="accent1" w:themeShade="80"/>
              <w:bottom w:val="single" w:sz="2" w:space="0" w:color="1F3864" w:themeColor="accent1" w:themeShade="80"/>
            </w:tcBorders>
            <w:shd w:val="clear" w:color="auto" w:fill="auto"/>
            <w:vAlign w:val="center"/>
          </w:tcPr>
          <w:p w14:paraId="52F66F30" w14:textId="77777777" w:rsidR="00E617DF" w:rsidRPr="00A24524" w:rsidRDefault="00E617DF">
            <w:pPr>
              <w:pStyle w:val="08-Tabelageral"/>
              <w:rPr>
                <w:rFonts w:cs="Arial"/>
                <w:b/>
              </w:rPr>
            </w:pPr>
            <w:r w:rsidRPr="00A24524">
              <w:rPr>
                <w:rFonts w:cs="Arial"/>
                <w:b/>
              </w:rPr>
              <w:t>Seguridade</w:t>
            </w:r>
          </w:p>
        </w:tc>
        <w:tc>
          <w:tcPr>
            <w:tcW w:w="1581" w:type="dxa"/>
            <w:tcBorders>
              <w:top w:val="single" w:sz="2" w:space="0" w:color="1F3864" w:themeColor="accent1" w:themeShade="80"/>
              <w:bottom w:val="single" w:sz="2" w:space="0" w:color="1F3864" w:themeColor="accent1" w:themeShade="80"/>
            </w:tcBorders>
            <w:shd w:val="clear" w:color="auto" w:fill="auto"/>
            <w:vAlign w:val="center"/>
          </w:tcPr>
          <w:p w14:paraId="53147607" w14:textId="77777777" w:rsidR="00E617DF" w:rsidRPr="00A24524" w:rsidRDefault="00E617DF">
            <w:pPr>
              <w:pStyle w:val="08-Tabelageral"/>
              <w:rPr>
                <w:rFonts w:cs="Arial"/>
                <w:b/>
              </w:rPr>
            </w:pPr>
            <w:r w:rsidRPr="00A24524">
              <w:rPr>
                <w:rFonts w:cs="Arial"/>
                <w:b/>
              </w:rPr>
              <w:t>Corretagem</w:t>
            </w:r>
          </w:p>
        </w:tc>
        <w:tc>
          <w:tcPr>
            <w:tcW w:w="1876" w:type="dxa"/>
            <w:tcBorders>
              <w:top w:val="single" w:sz="2" w:space="0" w:color="1F3864" w:themeColor="accent1" w:themeShade="80"/>
              <w:bottom w:val="single" w:sz="2" w:space="0" w:color="1F3864" w:themeColor="accent1" w:themeShade="80"/>
            </w:tcBorders>
            <w:shd w:val="clear" w:color="auto" w:fill="auto"/>
            <w:vAlign w:val="center"/>
          </w:tcPr>
          <w:p w14:paraId="5300D278" w14:textId="77777777" w:rsidR="00E617DF" w:rsidRPr="00A24524" w:rsidRDefault="00E617DF">
            <w:pPr>
              <w:pStyle w:val="08-Tabelageral"/>
              <w:rPr>
                <w:rFonts w:cs="Arial"/>
                <w:b/>
              </w:rPr>
            </w:pPr>
            <w:r w:rsidRPr="00A24524">
              <w:rPr>
                <w:rFonts w:cs="Arial"/>
                <w:b/>
              </w:rPr>
              <w:t>Total</w:t>
            </w:r>
          </w:p>
        </w:tc>
      </w:tr>
      <w:tr w:rsidR="00E617DF" w:rsidRPr="00CF3BC4" w14:paraId="689FD2CC" w14:textId="77777777" w:rsidTr="00514594">
        <w:trPr>
          <w:trHeight w:val="238"/>
          <w:jc w:val="center"/>
        </w:trPr>
        <w:tc>
          <w:tcPr>
            <w:tcW w:w="4324" w:type="dxa"/>
            <w:tcBorders>
              <w:top w:val="single" w:sz="4" w:space="0" w:color="auto"/>
            </w:tcBorders>
            <w:shd w:val="clear" w:color="auto" w:fill="auto"/>
          </w:tcPr>
          <w:p w14:paraId="7D3EDB43" w14:textId="77777777" w:rsidR="00E617DF" w:rsidRPr="00CF3BC4" w:rsidRDefault="00E617DF">
            <w:pPr>
              <w:pStyle w:val="08-Tabelageral"/>
              <w:jc w:val="left"/>
              <w:rPr>
                <w:rFonts w:cs="Arial"/>
                <w:b/>
                <w:szCs w:val="14"/>
              </w:rPr>
            </w:pPr>
            <w:r>
              <w:rPr>
                <w:rFonts w:cs="Arial"/>
              </w:rPr>
              <w:t xml:space="preserve">   </w:t>
            </w:r>
            <w:r w:rsidRPr="00D25934">
              <w:rPr>
                <w:rFonts w:cs="Arial"/>
              </w:rPr>
              <w:t>Ativo circulante</w:t>
            </w:r>
          </w:p>
        </w:tc>
        <w:tc>
          <w:tcPr>
            <w:tcW w:w="1328" w:type="dxa"/>
            <w:tcBorders>
              <w:top w:val="single" w:sz="2" w:space="0" w:color="1F3864" w:themeColor="accent1" w:themeShade="80"/>
            </w:tcBorders>
            <w:shd w:val="clear" w:color="auto" w:fill="auto"/>
            <w:vAlign w:val="bottom"/>
          </w:tcPr>
          <w:p w14:paraId="6F6E87A2" w14:textId="77777777" w:rsidR="00E617DF" w:rsidRPr="00814AB4" w:rsidRDefault="00E617DF">
            <w:pPr>
              <w:pStyle w:val="08-Tabelageral"/>
              <w:rPr>
                <w:bCs/>
              </w:rPr>
            </w:pPr>
            <w:r>
              <w:rPr>
                <w:bCs/>
              </w:rPr>
              <w:t>1.477.072</w:t>
            </w:r>
          </w:p>
        </w:tc>
        <w:tc>
          <w:tcPr>
            <w:tcW w:w="1581" w:type="dxa"/>
            <w:tcBorders>
              <w:top w:val="single" w:sz="2" w:space="0" w:color="1F3864" w:themeColor="accent1" w:themeShade="80"/>
            </w:tcBorders>
            <w:shd w:val="clear" w:color="auto" w:fill="auto"/>
            <w:vAlign w:val="bottom"/>
          </w:tcPr>
          <w:p w14:paraId="7E563A13" w14:textId="77777777" w:rsidR="00E617DF" w:rsidRPr="00814AB4" w:rsidRDefault="00E617DF">
            <w:pPr>
              <w:pStyle w:val="08-Tabelageral"/>
              <w:rPr>
                <w:bCs/>
              </w:rPr>
            </w:pPr>
            <w:r w:rsidRPr="00814AB4">
              <w:rPr>
                <w:bCs/>
              </w:rPr>
              <w:t>4.</w:t>
            </w:r>
            <w:r>
              <w:rPr>
                <w:bCs/>
              </w:rPr>
              <w:t>456</w:t>
            </w:r>
            <w:r w:rsidRPr="00814AB4">
              <w:rPr>
                <w:bCs/>
              </w:rPr>
              <w:t>.</w:t>
            </w:r>
            <w:r>
              <w:rPr>
                <w:bCs/>
              </w:rPr>
              <w:t>686</w:t>
            </w:r>
          </w:p>
        </w:tc>
        <w:tc>
          <w:tcPr>
            <w:tcW w:w="1876" w:type="dxa"/>
            <w:tcBorders>
              <w:top w:val="single" w:sz="2" w:space="0" w:color="1F3864" w:themeColor="accent1" w:themeShade="80"/>
            </w:tcBorders>
            <w:shd w:val="clear" w:color="auto" w:fill="auto"/>
            <w:vAlign w:val="bottom"/>
          </w:tcPr>
          <w:p w14:paraId="4CFEDE37" w14:textId="77777777" w:rsidR="00E617DF" w:rsidRPr="00814AB4" w:rsidRDefault="00E617DF">
            <w:pPr>
              <w:pStyle w:val="08-Tabelageral"/>
              <w:rPr>
                <w:bCs/>
              </w:rPr>
            </w:pPr>
            <w:r>
              <w:rPr>
                <w:bCs/>
              </w:rPr>
              <w:t>5</w:t>
            </w:r>
            <w:r w:rsidRPr="00814AB4">
              <w:rPr>
                <w:bCs/>
              </w:rPr>
              <w:t>.</w:t>
            </w:r>
            <w:r>
              <w:rPr>
                <w:bCs/>
              </w:rPr>
              <w:t>933</w:t>
            </w:r>
            <w:r w:rsidRPr="00814AB4">
              <w:rPr>
                <w:bCs/>
              </w:rPr>
              <w:t>.</w:t>
            </w:r>
            <w:r>
              <w:rPr>
                <w:bCs/>
              </w:rPr>
              <w:t>758</w:t>
            </w:r>
          </w:p>
        </w:tc>
      </w:tr>
      <w:tr w:rsidR="00E617DF" w:rsidRPr="001D6BE8" w14:paraId="0F3A163A" w14:textId="77777777" w:rsidTr="00514594">
        <w:trPr>
          <w:trHeight w:val="238"/>
          <w:jc w:val="center"/>
        </w:trPr>
        <w:tc>
          <w:tcPr>
            <w:tcW w:w="4324" w:type="dxa"/>
            <w:shd w:val="clear" w:color="auto" w:fill="auto"/>
          </w:tcPr>
          <w:p w14:paraId="5666CEC0" w14:textId="77777777" w:rsidR="00E617DF" w:rsidRPr="00C806B0" w:rsidRDefault="00E617DF">
            <w:pPr>
              <w:pStyle w:val="08-Tabelageral"/>
              <w:ind w:left="113"/>
              <w:jc w:val="left"/>
              <w:rPr>
                <w:rFonts w:cs="Arial"/>
                <w:b/>
                <w:szCs w:val="14"/>
              </w:rPr>
            </w:pPr>
            <w:r w:rsidRPr="00D25934">
              <w:rPr>
                <w:rFonts w:cs="Arial"/>
              </w:rPr>
              <w:t>Ativo não circulante</w:t>
            </w:r>
          </w:p>
        </w:tc>
        <w:tc>
          <w:tcPr>
            <w:tcW w:w="1328" w:type="dxa"/>
            <w:shd w:val="clear" w:color="auto" w:fill="auto"/>
            <w:vAlign w:val="bottom"/>
          </w:tcPr>
          <w:p w14:paraId="41167225" w14:textId="77777777" w:rsidR="00E617DF" w:rsidRPr="00814AB4" w:rsidRDefault="00E617DF">
            <w:pPr>
              <w:pStyle w:val="08-Tabelageral"/>
              <w:rPr>
                <w:bCs/>
              </w:rPr>
            </w:pPr>
            <w:r>
              <w:rPr>
                <w:bCs/>
              </w:rPr>
              <w:t>9</w:t>
            </w:r>
            <w:r w:rsidRPr="00814AB4">
              <w:rPr>
                <w:bCs/>
              </w:rPr>
              <w:t>.</w:t>
            </w:r>
            <w:r>
              <w:rPr>
                <w:bCs/>
              </w:rPr>
              <w:t>450</w:t>
            </w:r>
            <w:r w:rsidRPr="00814AB4">
              <w:rPr>
                <w:bCs/>
              </w:rPr>
              <w:t>.</w:t>
            </w:r>
            <w:r>
              <w:rPr>
                <w:bCs/>
              </w:rPr>
              <w:t>953</w:t>
            </w:r>
          </w:p>
        </w:tc>
        <w:tc>
          <w:tcPr>
            <w:tcW w:w="1581" w:type="dxa"/>
            <w:shd w:val="clear" w:color="auto" w:fill="auto"/>
            <w:vAlign w:val="bottom"/>
          </w:tcPr>
          <w:p w14:paraId="1525B97B" w14:textId="77777777" w:rsidR="00E617DF" w:rsidRPr="00814AB4" w:rsidRDefault="00E617DF">
            <w:pPr>
              <w:pStyle w:val="08-Tabelageral"/>
              <w:rPr>
                <w:bCs/>
              </w:rPr>
            </w:pPr>
            <w:r>
              <w:rPr>
                <w:bCs/>
              </w:rPr>
              <w:t>2.887.911</w:t>
            </w:r>
          </w:p>
        </w:tc>
        <w:tc>
          <w:tcPr>
            <w:tcW w:w="1876" w:type="dxa"/>
            <w:shd w:val="clear" w:color="auto" w:fill="auto"/>
            <w:vAlign w:val="bottom"/>
          </w:tcPr>
          <w:p w14:paraId="63495476" w14:textId="77777777" w:rsidR="00E617DF" w:rsidRPr="00814AB4" w:rsidRDefault="00E617DF">
            <w:pPr>
              <w:pStyle w:val="08-Tabelageral"/>
              <w:rPr>
                <w:bCs/>
              </w:rPr>
            </w:pPr>
            <w:r>
              <w:rPr>
                <w:bCs/>
              </w:rPr>
              <w:t>12</w:t>
            </w:r>
            <w:r w:rsidRPr="00814AB4">
              <w:rPr>
                <w:bCs/>
              </w:rPr>
              <w:t>.</w:t>
            </w:r>
            <w:r>
              <w:rPr>
                <w:bCs/>
              </w:rPr>
              <w:t>338</w:t>
            </w:r>
            <w:r w:rsidRPr="00814AB4">
              <w:rPr>
                <w:bCs/>
              </w:rPr>
              <w:t>.</w:t>
            </w:r>
            <w:r>
              <w:rPr>
                <w:bCs/>
              </w:rPr>
              <w:t>864</w:t>
            </w:r>
          </w:p>
        </w:tc>
      </w:tr>
      <w:tr w:rsidR="00E617DF" w:rsidRPr="001D6BE8" w14:paraId="1A2FD5B1" w14:textId="77777777" w:rsidTr="00514594">
        <w:trPr>
          <w:trHeight w:val="238"/>
          <w:jc w:val="center"/>
        </w:trPr>
        <w:tc>
          <w:tcPr>
            <w:tcW w:w="4324" w:type="dxa"/>
            <w:shd w:val="clear" w:color="auto" w:fill="auto"/>
          </w:tcPr>
          <w:p w14:paraId="42735D00" w14:textId="77777777" w:rsidR="00E617DF" w:rsidRPr="00C806B0" w:rsidRDefault="00E617DF">
            <w:pPr>
              <w:pStyle w:val="08-Tabelageral"/>
              <w:ind w:left="113" w:hanging="113"/>
              <w:jc w:val="left"/>
              <w:rPr>
                <w:rFonts w:cs="Arial"/>
                <w:b/>
                <w:szCs w:val="14"/>
              </w:rPr>
            </w:pPr>
            <w:r w:rsidRPr="00647CD3">
              <w:rPr>
                <w:rFonts w:cs="Arial"/>
                <w:b/>
                <w:bCs/>
              </w:rPr>
              <w:t>Total do Ativo</w:t>
            </w:r>
          </w:p>
        </w:tc>
        <w:tc>
          <w:tcPr>
            <w:tcW w:w="1328" w:type="dxa"/>
            <w:shd w:val="clear" w:color="auto" w:fill="auto"/>
            <w:vAlign w:val="bottom"/>
          </w:tcPr>
          <w:p w14:paraId="5EC3B01A" w14:textId="77777777" w:rsidR="00E617DF" w:rsidRPr="007521DA" w:rsidRDefault="00E617DF">
            <w:pPr>
              <w:pStyle w:val="08-Tabelageral"/>
              <w:rPr>
                <w:b/>
              </w:rPr>
            </w:pPr>
            <w:r w:rsidRPr="007521DA">
              <w:rPr>
                <w:b/>
              </w:rPr>
              <w:t>10.928.025</w:t>
            </w:r>
          </w:p>
        </w:tc>
        <w:tc>
          <w:tcPr>
            <w:tcW w:w="1581" w:type="dxa"/>
            <w:shd w:val="clear" w:color="auto" w:fill="auto"/>
            <w:vAlign w:val="bottom"/>
          </w:tcPr>
          <w:p w14:paraId="1447ACE4" w14:textId="77777777" w:rsidR="00E617DF" w:rsidRPr="007521DA" w:rsidRDefault="00E617DF">
            <w:pPr>
              <w:pStyle w:val="08-Tabelageral"/>
              <w:rPr>
                <w:b/>
              </w:rPr>
            </w:pPr>
            <w:r w:rsidRPr="007521DA">
              <w:rPr>
                <w:b/>
              </w:rPr>
              <w:t>7.344.597</w:t>
            </w:r>
          </w:p>
        </w:tc>
        <w:tc>
          <w:tcPr>
            <w:tcW w:w="1876" w:type="dxa"/>
            <w:shd w:val="clear" w:color="auto" w:fill="auto"/>
            <w:vAlign w:val="bottom"/>
          </w:tcPr>
          <w:p w14:paraId="1CC05955" w14:textId="77777777" w:rsidR="00E617DF" w:rsidRPr="007521DA" w:rsidRDefault="00E617DF">
            <w:pPr>
              <w:pStyle w:val="08-Tabelageral"/>
              <w:rPr>
                <w:b/>
              </w:rPr>
            </w:pPr>
            <w:r w:rsidRPr="007521DA">
              <w:rPr>
                <w:b/>
              </w:rPr>
              <w:t>18.272.622</w:t>
            </w:r>
          </w:p>
        </w:tc>
      </w:tr>
      <w:tr w:rsidR="00E617DF" w:rsidRPr="00CF3BC4" w14:paraId="167377DC" w14:textId="77777777" w:rsidTr="00514594">
        <w:trPr>
          <w:trHeight w:val="238"/>
          <w:jc w:val="center"/>
        </w:trPr>
        <w:tc>
          <w:tcPr>
            <w:tcW w:w="4324" w:type="dxa"/>
            <w:shd w:val="clear" w:color="auto" w:fill="auto"/>
          </w:tcPr>
          <w:p w14:paraId="3825A98A" w14:textId="77777777" w:rsidR="00E617DF" w:rsidRPr="00CF3BC4" w:rsidRDefault="00E617DF">
            <w:pPr>
              <w:pStyle w:val="08-Tabelageral"/>
              <w:ind w:left="126"/>
              <w:jc w:val="left"/>
              <w:rPr>
                <w:rFonts w:cs="Arial"/>
                <w:b/>
                <w:szCs w:val="14"/>
              </w:rPr>
            </w:pPr>
            <w:r w:rsidRPr="00D25934">
              <w:rPr>
                <w:rFonts w:cs="Arial"/>
              </w:rPr>
              <w:t>Passivo circulante</w:t>
            </w:r>
          </w:p>
        </w:tc>
        <w:tc>
          <w:tcPr>
            <w:tcW w:w="1328" w:type="dxa"/>
            <w:shd w:val="clear" w:color="auto" w:fill="auto"/>
            <w:vAlign w:val="bottom"/>
          </w:tcPr>
          <w:p w14:paraId="17E5DC7E" w14:textId="77777777" w:rsidR="00E617DF" w:rsidRPr="00814AB4" w:rsidRDefault="00E617DF">
            <w:pPr>
              <w:pStyle w:val="08-Tabelageral"/>
              <w:rPr>
                <w:bCs/>
              </w:rPr>
            </w:pPr>
            <w:r>
              <w:rPr>
                <w:bCs/>
              </w:rPr>
              <w:t>888.241</w:t>
            </w:r>
          </w:p>
        </w:tc>
        <w:tc>
          <w:tcPr>
            <w:tcW w:w="1581" w:type="dxa"/>
            <w:shd w:val="clear" w:color="auto" w:fill="auto"/>
            <w:vAlign w:val="bottom"/>
          </w:tcPr>
          <w:p w14:paraId="68487A94" w14:textId="77777777" w:rsidR="00E617DF" w:rsidRPr="00814AB4" w:rsidRDefault="00E617DF">
            <w:pPr>
              <w:pStyle w:val="08-Tabelageral"/>
              <w:rPr>
                <w:bCs/>
              </w:rPr>
            </w:pPr>
            <w:r>
              <w:rPr>
                <w:bCs/>
              </w:rPr>
              <w:t>4.589</w:t>
            </w:r>
            <w:r w:rsidRPr="00814AB4">
              <w:rPr>
                <w:bCs/>
              </w:rPr>
              <w:t>.</w:t>
            </w:r>
            <w:r>
              <w:rPr>
                <w:bCs/>
              </w:rPr>
              <w:t>865</w:t>
            </w:r>
          </w:p>
        </w:tc>
        <w:tc>
          <w:tcPr>
            <w:tcW w:w="1876" w:type="dxa"/>
            <w:shd w:val="clear" w:color="auto" w:fill="auto"/>
            <w:vAlign w:val="bottom"/>
          </w:tcPr>
          <w:p w14:paraId="3F93716F" w14:textId="77777777" w:rsidR="00E617DF" w:rsidRPr="00814AB4" w:rsidRDefault="00E617DF">
            <w:pPr>
              <w:pStyle w:val="08-Tabelageral"/>
              <w:rPr>
                <w:bCs/>
              </w:rPr>
            </w:pPr>
            <w:r>
              <w:rPr>
                <w:bCs/>
              </w:rPr>
              <w:t>5.478</w:t>
            </w:r>
            <w:r w:rsidRPr="00814AB4">
              <w:rPr>
                <w:bCs/>
              </w:rPr>
              <w:t>.</w:t>
            </w:r>
            <w:r>
              <w:rPr>
                <w:bCs/>
              </w:rPr>
              <w:t>106</w:t>
            </w:r>
          </w:p>
        </w:tc>
      </w:tr>
      <w:tr w:rsidR="00E617DF" w:rsidRPr="00CF3BC4" w14:paraId="0F526981" w14:textId="77777777" w:rsidTr="00514594">
        <w:trPr>
          <w:trHeight w:val="238"/>
          <w:jc w:val="center"/>
        </w:trPr>
        <w:tc>
          <w:tcPr>
            <w:tcW w:w="4324" w:type="dxa"/>
            <w:shd w:val="clear" w:color="auto" w:fill="auto"/>
          </w:tcPr>
          <w:p w14:paraId="66C9DFCD" w14:textId="77777777" w:rsidR="00E617DF" w:rsidRPr="00CF3BC4" w:rsidRDefault="00E617DF">
            <w:pPr>
              <w:pStyle w:val="08-Tabelageral"/>
              <w:ind w:left="126"/>
              <w:jc w:val="left"/>
              <w:rPr>
                <w:rFonts w:cs="Arial"/>
                <w:b/>
                <w:szCs w:val="14"/>
              </w:rPr>
            </w:pPr>
            <w:r w:rsidRPr="00647CD3">
              <w:rPr>
                <w:rFonts w:cs="Arial"/>
              </w:rPr>
              <w:t>Passivo não circulante</w:t>
            </w:r>
          </w:p>
        </w:tc>
        <w:tc>
          <w:tcPr>
            <w:tcW w:w="1328" w:type="dxa"/>
            <w:shd w:val="clear" w:color="auto" w:fill="auto"/>
            <w:vAlign w:val="bottom"/>
          </w:tcPr>
          <w:p w14:paraId="699BB41B" w14:textId="77777777" w:rsidR="00E617DF" w:rsidRPr="00814AB4" w:rsidRDefault="00E617DF">
            <w:pPr>
              <w:pStyle w:val="08-Tabelageral"/>
              <w:rPr>
                <w:bCs/>
              </w:rPr>
            </w:pPr>
            <w:r>
              <w:rPr>
                <w:bCs/>
              </w:rPr>
              <w:t>229.174</w:t>
            </w:r>
          </w:p>
        </w:tc>
        <w:tc>
          <w:tcPr>
            <w:tcW w:w="1581" w:type="dxa"/>
            <w:shd w:val="clear" w:color="auto" w:fill="auto"/>
            <w:vAlign w:val="bottom"/>
          </w:tcPr>
          <w:p w14:paraId="15595A96" w14:textId="77777777" w:rsidR="00E617DF" w:rsidRPr="00814AB4" w:rsidRDefault="00E617DF">
            <w:pPr>
              <w:pStyle w:val="08-Tabelageral"/>
              <w:rPr>
                <w:bCs/>
              </w:rPr>
            </w:pPr>
            <w:r>
              <w:rPr>
                <w:bCs/>
              </w:rPr>
              <w:t>2</w:t>
            </w:r>
            <w:r w:rsidRPr="00814AB4">
              <w:rPr>
                <w:bCs/>
              </w:rPr>
              <w:t>.</w:t>
            </w:r>
            <w:r>
              <w:rPr>
                <w:bCs/>
              </w:rPr>
              <w:t>748</w:t>
            </w:r>
            <w:r w:rsidRPr="00814AB4">
              <w:rPr>
                <w:bCs/>
              </w:rPr>
              <w:t>.</w:t>
            </w:r>
            <w:r>
              <w:rPr>
                <w:bCs/>
              </w:rPr>
              <w:t>860</w:t>
            </w:r>
          </w:p>
        </w:tc>
        <w:tc>
          <w:tcPr>
            <w:tcW w:w="1876" w:type="dxa"/>
            <w:shd w:val="clear" w:color="auto" w:fill="auto"/>
            <w:vAlign w:val="bottom"/>
          </w:tcPr>
          <w:p w14:paraId="1FF4D9C0" w14:textId="77777777" w:rsidR="00E617DF" w:rsidRPr="00814AB4" w:rsidRDefault="00E617DF">
            <w:pPr>
              <w:pStyle w:val="08-Tabelageral"/>
              <w:rPr>
                <w:bCs/>
              </w:rPr>
            </w:pPr>
            <w:r>
              <w:rPr>
                <w:bCs/>
              </w:rPr>
              <w:t>2</w:t>
            </w:r>
            <w:r w:rsidRPr="00814AB4">
              <w:rPr>
                <w:bCs/>
              </w:rPr>
              <w:t>.</w:t>
            </w:r>
            <w:r>
              <w:rPr>
                <w:bCs/>
              </w:rPr>
              <w:t>978</w:t>
            </w:r>
            <w:r w:rsidRPr="00814AB4">
              <w:rPr>
                <w:bCs/>
              </w:rPr>
              <w:t>.0</w:t>
            </w:r>
            <w:r>
              <w:rPr>
                <w:bCs/>
              </w:rPr>
              <w:t>34</w:t>
            </w:r>
          </w:p>
        </w:tc>
      </w:tr>
      <w:tr w:rsidR="00E617DF" w:rsidRPr="00CF3BC4" w14:paraId="54D41AA5" w14:textId="77777777" w:rsidTr="00514594">
        <w:trPr>
          <w:trHeight w:val="238"/>
          <w:jc w:val="center"/>
        </w:trPr>
        <w:tc>
          <w:tcPr>
            <w:tcW w:w="4324" w:type="dxa"/>
            <w:shd w:val="clear" w:color="auto" w:fill="auto"/>
          </w:tcPr>
          <w:p w14:paraId="67A629AA" w14:textId="77777777" w:rsidR="00E617DF" w:rsidRPr="00CF3BC4" w:rsidRDefault="00E617DF">
            <w:pPr>
              <w:pStyle w:val="08-Tabelageral"/>
              <w:ind w:left="126"/>
              <w:jc w:val="left"/>
              <w:rPr>
                <w:rFonts w:cs="Arial"/>
                <w:b/>
                <w:szCs w:val="14"/>
              </w:rPr>
            </w:pPr>
            <w:r w:rsidRPr="00D25934">
              <w:rPr>
                <w:rFonts w:cs="Arial"/>
              </w:rPr>
              <w:t>Patrimônio líquido</w:t>
            </w:r>
          </w:p>
        </w:tc>
        <w:tc>
          <w:tcPr>
            <w:tcW w:w="1328" w:type="dxa"/>
            <w:shd w:val="clear" w:color="auto" w:fill="auto"/>
            <w:vAlign w:val="bottom"/>
          </w:tcPr>
          <w:p w14:paraId="6C995A9D" w14:textId="77777777" w:rsidR="00E617DF" w:rsidRPr="00814AB4" w:rsidRDefault="00E617DF">
            <w:pPr>
              <w:pStyle w:val="08-Tabelageral"/>
              <w:rPr>
                <w:bCs/>
              </w:rPr>
            </w:pPr>
            <w:r>
              <w:rPr>
                <w:bCs/>
              </w:rPr>
              <w:t>9.810.610</w:t>
            </w:r>
          </w:p>
        </w:tc>
        <w:tc>
          <w:tcPr>
            <w:tcW w:w="1581" w:type="dxa"/>
            <w:shd w:val="clear" w:color="auto" w:fill="auto"/>
            <w:vAlign w:val="bottom"/>
          </w:tcPr>
          <w:p w14:paraId="52361C8A" w14:textId="77777777" w:rsidR="00E617DF" w:rsidRPr="00814AB4" w:rsidRDefault="00E617DF">
            <w:pPr>
              <w:pStyle w:val="08-Tabelageral"/>
              <w:rPr>
                <w:bCs/>
              </w:rPr>
            </w:pPr>
            <w:r>
              <w:rPr>
                <w:bCs/>
              </w:rPr>
              <w:t>5.872</w:t>
            </w:r>
          </w:p>
        </w:tc>
        <w:tc>
          <w:tcPr>
            <w:tcW w:w="1876" w:type="dxa"/>
            <w:shd w:val="clear" w:color="auto" w:fill="auto"/>
            <w:vAlign w:val="bottom"/>
          </w:tcPr>
          <w:p w14:paraId="00F1BC5E" w14:textId="77777777" w:rsidR="00E617DF" w:rsidRPr="00814AB4" w:rsidRDefault="00E617DF">
            <w:pPr>
              <w:pStyle w:val="08-Tabelageral"/>
              <w:rPr>
                <w:bCs/>
              </w:rPr>
            </w:pPr>
            <w:r>
              <w:rPr>
                <w:bCs/>
              </w:rPr>
              <w:t>9.816.482</w:t>
            </w:r>
          </w:p>
        </w:tc>
      </w:tr>
      <w:tr w:rsidR="00E617DF" w:rsidRPr="00CF3BC4" w14:paraId="63B4EBE2" w14:textId="77777777" w:rsidTr="00514594">
        <w:trPr>
          <w:trHeight w:val="238"/>
          <w:jc w:val="center"/>
        </w:trPr>
        <w:tc>
          <w:tcPr>
            <w:tcW w:w="4324" w:type="dxa"/>
            <w:tcBorders>
              <w:bottom w:val="single" w:sz="4" w:space="0" w:color="auto"/>
            </w:tcBorders>
            <w:shd w:val="clear" w:color="auto" w:fill="auto"/>
          </w:tcPr>
          <w:p w14:paraId="680F0422" w14:textId="77777777" w:rsidR="00E617DF" w:rsidRPr="00D25934" w:rsidRDefault="00E617DF">
            <w:pPr>
              <w:pStyle w:val="08-Tabelageral"/>
              <w:jc w:val="left"/>
              <w:rPr>
                <w:rFonts w:cs="Arial"/>
              </w:rPr>
            </w:pPr>
            <w:r w:rsidRPr="00647CD3">
              <w:rPr>
                <w:rFonts w:cs="Arial"/>
                <w:b/>
                <w:bCs/>
              </w:rPr>
              <w:t>Total do Passivo e Patrimônio Líquido</w:t>
            </w:r>
          </w:p>
        </w:tc>
        <w:tc>
          <w:tcPr>
            <w:tcW w:w="1328" w:type="dxa"/>
            <w:tcBorders>
              <w:bottom w:val="single" w:sz="4" w:space="0" w:color="auto"/>
            </w:tcBorders>
            <w:shd w:val="clear" w:color="auto" w:fill="auto"/>
            <w:vAlign w:val="bottom"/>
          </w:tcPr>
          <w:p w14:paraId="231E69A4" w14:textId="77777777" w:rsidR="00E617DF" w:rsidRPr="007521DA" w:rsidRDefault="00E617DF">
            <w:pPr>
              <w:pStyle w:val="08-Tabelageral"/>
              <w:rPr>
                <w:b/>
              </w:rPr>
            </w:pPr>
            <w:r w:rsidRPr="007521DA">
              <w:rPr>
                <w:b/>
              </w:rPr>
              <w:t>10.928.025</w:t>
            </w:r>
          </w:p>
        </w:tc>
        <w:tc>
          <w:tcPr>
            <w:tcW w:w="1581" w:type="dxa"/>
            <w:tcBorders>
              <w:bottom w:val="single" w:sz="4" w:space="0" w:color="auto"/>
            </w:tcBorders>
            <w:shd w:val="clear" w:color="auto" w:fill="auto"/>
            <w:vAlign w:val="bottom"/>
          </w:tcPr>
          <w:p w14:paraId="60C77186" w14:textId="77777777" w:rsidR="00E617DF" w:rsidRPr="007521DA" w:rsidRDefault="00E617DF">
            <w:pPr>
              <w:pStyle w:val="08-Tabelageral"/>
              <w:rPr>
                <w:b/>
              </w:rPr>
            </w:pPr>
            <w:r w:rsidRPr="007521DA">
              <w:rPr>
                <w:b/>
              </w:rPr>
              <w:t>7.344.597</w:t>
            </w:r>
          </w:p>
        </w:tc>
        <w:tc>
          <w:tcPr>
            <w:tcW w:w="1876" w:type="dxa"/>
            <w:tcBorders>
              <w:bottom w:val="single" w:sz="4" w:space="0" w:color="auto"/>
            </w:tcBorders>
            <w:shd w:val="clear" w:color="auto" w:fill="auto"/>
            <w:vAlign w:val="bottom"/>
          </w:tcPr>
          <w:p w14:paraId="5E5AFD51" w14:textId="77777777" w:rsidR="00E617DF" w:rsidRPr="007521DA" w:rsidRDefault="00E617DF">
            <w:pPr>
              <w:pStyle w:val="08-Tabelageral"/>
              <w:rPr>
                <w:b/>
              </w:rPr>
            </w:pPr>
            <w:r w:rsidRPr="007521DA">
              <w:rPr>
                <w:b/>
              </w:rPr>
              <w:t>18.272.622</w:t>
            </w:r>
          </w:p>
        </w:tc>
      </w:tr>
    </w:tbl>
    <w:p w14:paraId="2C427C44" w14:textId="77777777" w:rsidR="00E617DF" w:rsidRPr="00E617DF" w:rsidRDefault="00E617DF" w:rsidP="00E617DF">
      <w:pPr>
        <w:rPr>
          <w:lang w:eastAsia="pt-BR"/>
        </w:rPr>
      </w:pPr>
    </w:p>
    <w:p w14:paraId="757BD40A" w14:textId="77777777" w:rsidR="00F2241F" w:rsidRPr="00BF2AAF" w:rsidRDefault="002965B6" w:rsidP="000A3E92">
      <w:pPr>
        <w:pStyle w:val="02-TtulodeNota"/>
        <w:keepNext/>
        <w:keepLines/>
        <w:pageBreakBefore/>
        <w:rPr>
          <w:rFonts w:cs="Arial"/>
        </w:rPr>
      </w:pPr>
      <w:bookmarkStart w:id="57" w:name="_Toc189757071"/>
      <w:bookmarkStart w:id="58" w:name="OLE_LINK25"/>
      <w:bookmarkEnd w:id="55"/>
      <w:r w:rsidRPr="00BF2AAF">
        <w:rPr>
          <w:rFonts w:cs="Arial"/>
        </w:rPr>
        <w:lastRenderedPageBreak/>
        <w:t>7 – INVESTIMENTOS EM PARTICIPAÇÕES SOCIETÁRIAS</w:t>
      </w:r>
      <w:bookmarkEnd w:id="57"/>
    </w:p>
    <w:p w14:paraId="6C9C1AD8" w14:textId="77777777" w:rsidR="003321FA" w:rsidRPr="003321FA" w:rsidRDefault="003321FA" w:rsidP="003321FA">
      <w:pPr>
        <w:pStyle w:val="01-TtulodeNota"/>
        <w:spacing w:before="0" w:after="0"/>
        <w:ind w:right="-1"/>
        <w:rPr>
          <w:color w:val="1F3864" w:themeColor="accent1" w:themeShade="80"/>
          <w:sz w:val="18"/>
          <w:szCs w:val="18"/>
        </w:rPr>
      </w:pPr>
      <w:bookmarkStart w:id="59" w:name="_Hlk173172141"/>
      <w:r w:rsidRPr="003321FA">
        <w:rPr>
          <w:color w:val="1F3864" w:themeColor="accent1" w:themeShade="80"/>
          <w:sz w:val="18"/>
          <w:szCs w:val="18"/>
        </w:rPr>
        <w:t>a) Descrição dos Investimentos em Participações Societárias, por segmento de negócio / ramo de atuação</w:t>
      </w:r>
    </w:p>
    <w:p w14:paraId="3BBEC56F" w14:textId="77777777" w:rsidR="003321FA" w:rsidRPr="003321FA" w:rsidRDefault="003321FA" w:rsidP="003321FA">
      <w:pPr>
        <w:rPr>
          <w:rFonts w:ascii="Arial" w:hAnsi="Arial" w:cs="Arial"/>
          <w:sz w:val="2"/>
          <w:szCs w:val="2"/>
          <w:lang w:eastAsia="pt-BR"/>
        </w:rPr>
      </w:pPr>
    </w:p>
    <w:tbl>
      <w:tblPr>
        <w:tblStyle w:val="TabeladeLista6Colorida-nfase51"/>
        <w:tblW w:w="9639" w:type="dxa"/>
        <w:jc w:val="center"/>
        <w:tblLayout w:type="fixed"/>
        <w:tblLook w:val="04A0" w:firstRow="1" w:lastRow="0" w:firstColumn="1" w:lastColumn="0" w:noHBand="0" w:noVBand="1"/>
      </w:tblPr>
      <w:tblGrid>
        <w:gridCol w:w="1014"/>
        <w:gridCol w:w="1222"/>
        <w:gridCol w:w="1557"/>
        <w:gridCol w:w="1841"/>
        <w:gridCol w:w="1127"/>
        <w:gridCol w:w="680"/>
        <w:gridCol w:w="676"/>
        <w:gridCol w:w="720"/>
        <w:gridCol w:w="802"/>
      </w:tblGrid>
      <w:tr w:rsidR="00770F45" w:rsidRPr="003321FA" w14:paraId="00276F27" w14:textId="77777777" w:rsidTr="00B91579">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000" w:type="dxa"/>
            <w:vMerge w:val="restart"/>
            <w:tcBorders>
              <w:top w:val="single" w:sz="2" w:space="0" w:color="1F3864" w:themeColor="accent1" w:themeShade="80"/>
            </w:tcBorders>
            <w:shd w:val="clear" w:color="auto" w:fill="auto"/>
            <w:vAlign w:val="center"/>
          </w:tcPr>
          <w:p w14:paraId="20A8FBA2" w14:textId="77777777" w:rsidR="003321FA" w:rsidRPr="003321FA" w:rsidRDefault="003321FA">
            <w:pPr>
              <w:jc w:val="center"/>
              <w:rPr>
                <w:rFonts w:ascii="Arial" w:hAnsi="Arial" w:cs="Arial"/>
                <w:sz w:val="14"/>
                <w:szCs w:val="14"/>
              </w:rPr>
            </w:pPr>
            <w:r w:rsidRPr="003321FA">
              <w:rPr>
                <w:rFonts w:ascii="Arial" w:hAnsi="Arial" w:cs="Arial"/>
                <w:sz w:val="14"/>
                <w:szCs w:val="14"/>
              </w:rPr>
              <w:t>Segmento</w:t>
            </w:r>
          </w:p>
        </w:tc>
        <w:tc>
          <w:tcPr>
            <w:tcW w:w="1204" w:type="dxa"/>
            <w:vMerge w:val="restart"/>
            <w:tcBorders>
              <w:top w:val="single" w:sz="2" w:space="0" w:color="1F3864" w:themeColor="accent1" w:themeShade="80"/>
            </w:tcBorders>
            <w:shd w:val="clear" w:color="auto" w:fill="auto"/>
            <w:vAlign w:val="center"/>
          </w:tcPr>
          <w:p w14:paraId="0DCA3432" w14:textId="77777777" w:rsidR="003321FA" w:rsidRPr="003321FA" w:rsidRDefault="003321FA">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sz w:val="14"/>
                <w:szCs w:val="14"/>
              </w:rPr>
              <w:t>Ramo de Atuação</w:t>
            </w:r>
          </w:p>
        </w:tc>
        <w:tc>
          <w:tcPr>
            <w:tcW w:w="1534" w:type="dxa"/>
            <w:vMerge w:val="restart"/>
            <w:tcBorders>
              <w:top w:val="single" w:sz="2" w:space="0" w:color="1F3864" w:themeColor="accent1" w:themeShade="80"/>
            </w:tcBorders>
            <w:shd w:val="clear" w:color="auto" w:fill="auto"/>
            <w:vAlign w:val="center"/>
          </w:tcPr>
          <w:p w14:paraId="21411A70" w14:textId="77777777" w:rsidR="003321FA" w:rsidRPr="003321FA" w:rsidRDefault="003321FA">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sz w:val="14"/>
                <w:szCs w:val="14"/>
              </w:rPr>
              <w:t>Empresa</w:t>
            </w:r>
          </w:p>
        </w:tc>
        <w:tc>
          <w:tcPr>
            <w:tcW w:w="1814" w:type="dxa"/>
            <w:vMerge w:val="restart"/>
            <w:tcBorders>
              <w:top w:val="single" w:sz="2" w:space="0" w:color="1F3864" w:themeColor="accent1" w:themeShade="80"/>
            </w:tcBorders>
            <w:shd w:val="clear" w:color="auto" w:fill="auto"/>
            <w:vAlign w:val="center"/>
          </w:tcPr>
          <w:p w14:paraId="599FFDF9" w14:textId="77777777" w:rsidR="003321FA" w:rsidRPr="003321FA" w:rsidRDefault="003321FA">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sz w:val="14"/>
                <w:szCs w:val="14"/>
              </w:rPr>
              <w:t>Descrição</w:t>
            </w:r>
          </w:p>
        </w:tc>
        <w:tc>
          <w:tcPr>
            <w:tcW w:w="1111" w:type="dxa"/>
            <w:vMerge w:val="restart"/>
            <w:tcBorders>
              <w:top w:val="single" w:sz="2" w:space="0" w:color="1F3864" w:themeColor="accent1" w:themeShade="80"/>
            </w:tcBorders>
            <w:shd w:val="clear" w:color="auto" w:fill="auto"/>
            <w:vAlign w:val="center"/>
          </w:tcPr>
          <w:p w14:paraId="69DF17A4" w14:textId="77777777" w:rsidR="003321FA" w:rsidRPr="003321FA" w:rsidRDefault="003321FA">
            <w:pPr>
              <w:pStyle w:val="08-Tabelageral"/>
              <w:jc w:val="center"/>
              <w:cnfStyle w:val="100000000000" w:firstRow="1" w:lastRow="0" w:firstColumn="0" w:lastColumn="0" w:oddVBand="0" w:evenVBand="0" w:oddHBand="0" w:evenHBand="0" w:firstRowFirstColumn="0" w:firstRowLastColumn="0" w:lastRowFirstColumn="0" w:lastRowLastColumn="0"/>
              <w:rPr>
                <w:rFonts w:cs="Arial"/>
                <w:b w:val="0"/>
                <w:bCs w:val="0"/>
                <w:szCs w:val="14"/>
              </w:rPr>
            </w:pPr>
            <w:r w:rsidRPr="003321FA">
              <w:rPr>
                <w:rFonts w:cs="Arial"/>
                <w:szCs w:val="14"/>
              </w:rPr>
              <w:t>Prática Contábil</w:t>
            </w:r>
          </w:p>
          <w:p w14:paraId="2E9AD4C8" w14:textId="77777777" w:rsidR="003321FA" w:rsidRPr="003321FA" w:rsidRDefault="003321FA">
            <w:pPr>
              <w:pStyle w:val="08-Tabelageral"/>
              <w:jc w:val="center"/>
              <w:cnfStyle w:val="100000000000" w:firstRow="1" w:lastRow="0" w:firstColumn="0" w:lastColumn="0" w:oddVBand="0" w:evenVBand="0" w:oddHBand="0" w:evenHBand="0" w:firstRowFirstColumn="0" w:firstRowLastColumn="0" w:lastRowFirstColumn="0" w:lastRowLastColumn="0"/>
              <w:rPr>
                <w:rFonts w:cs="Arial"/>
                <w:szCs w:val="14"/>
              </w:rPr>
            </w:pPr>
            <w:r w:rsidRPr="003321FA">
              <w:rPr>
                <w:rFonts w:cs="Arial"/>
                <w:szCs w:val="14"/>
              </w:rPr>
              <w:t>Original</w:t>
            </w:r>
          </w:p>
        </w:tc>
        <w:tc>
          <w:tcPr>
            <w:tcW w:w="670" w:type="dxa"/>
            <w:tcBorders>
              <w:top w:val="single" w:sz="2" w:space="0" w:color="1F3864" w:themeColor="accent1" w:themeShade="80"/>
            </w:tcBorders>
            <w:shd w:val="clear" w:color="auto" w:fill="auto"/>
            <w:vAlign w:val="center"/>
          </w:tcPr>
          <w:p w14:paraId="04E1CD35" w14:textId="77777777" w:rsidR="003321FA" w:rsidRPr="003321FA" w:rsidRDefault="003321FA">
            <w:pPr>
              <w:pStyle w:val="08-Tabelageral"/>
              <w:jc w:val="center"/>
              <w:cnfStyle w:val="100000000000" w:firstRow="1" w:lastRow="0" w:firstColumn="0" w:lastColumn="0" w:oddVBand="0" w:evenVBand="0" w:oddHBand="0" w:evenHBand="0" w:firstRowFirstColumn="0" w:firstRowLastColumn="0" w:lastRowFirstColumn="0" w:lastRowLastColumn="0"/>
              <w:rPr>
                <w:rFonts w:cs="Arial"/>
                <w:szCs w:val="14"/>
              </w:rPr>
            </w:pPr>
          </w:p>
        </w:tc>
        <w:tc>
          <w:tcPr>
            <w:tcW w:w="2165" w:type="dxa"/>
            <w:gridSpan w:val="3"/>
            <w:tcBorders>
              <w:top w:val="single" w:sz="2" w:space="0" w:color="1F3864" w:themeColor="accent1" w:themeShade="80"/>
              <w:bottom w:val="single" w:sz="2" w:space="0" w:color="1F3864" w:themeColor="accent1" w:themeShade="80"/>
            </w:tcBorders>
            <w:shd w:val="clear" w:color="auto" w:fill="auto"/>
            <w:vAlign w:val="center"/>
          </w:tcPr>
          <w:p w14:paraId="658A27D8" w14:textId="77777777" w:rsidR="003321FA" w:rsidRPr="003321FA" w:rsidRDefault="003321FA">
            <w:pPr>
              <w:pStyle w:val="08-Tabelageral"/>
              <w:jc w:val="center"/>
              <w:cnfStyle w:val="100000000000" w:firstRow="1" w:lastRow="0" w:firstColumn="0" w:lastColumn="0" w:oddVBand="0" w:evenVBand="0" w:oddHBand="0" w:evenHBand="0" w:firstRowFirstColumn="0" w:firstRowLastColumn="0" w:lastRowFirstColumn="0" w:lastRowLastColumn="0"/>
              <w:rPr>
                <w:rFonts w:cs="Arial"/>
                <w:szCs w:val="14"/>
              </w:rPr>
            </w:pPr>
            <w:r w:rsidRPr="003321FA">
              <w:rPr>
                <w:rFonts w:cs="Arial"/>
                <w:szCs w:val="14"/>
              </w:rPr>
              <w:t xml:space="preserve">% de participação em 31.12.2024 e 31.12.2023 </w:t>
            </w:r>
            <w:r w:rsidRPr="003321FA">
              <w:rPr>
                <w:rFonts w:cs="Arial"/>
                <w:szCs w:val="14"/>
                <w:vertAlign w:val="superscript"/>
              </w:rPr>
              <w:t>(1)</w:t>
            </w:r>
          </w:p>
        </w:tc>
      </w:tr>
      <w:tr w:rsidR="003321FA" w:rsidRPr="003321FA" w14:paraId="1D2FC718" w14:textId="77777777" w:rsidTr="00B91579">
        <w:trPr>
          <w:trHeight w:val="645"/>
          <w:jc w:val="center"/>
        </w:trPr>
        <w:tc>
          <w:tcPr>
            <w:cnfStyle w:val="001000000000" w:firstRow="0" w:lastRow="0" w:firstColumn="1" w:lastColumn="0" w:oddVBand="0" w:evenVBand="0" w:oddHBand="0" w:evenHBand="0" w:firstRowFirstColumn="0" w:firstRowLastColumn="0" w:lastRowFirstColumn="0" w:lastRowLastColumn="0"/>
            <w:tcW w:w="1000" w:type="dxa"/>
            <w:vMerge/>
            <w:tcBorders>
              <w:bottom w:val="single" w:sz="2" w:space="0" w:color="1F3864" w:themeColor="accent1" w:themeShade="80"/>
            </w:tcBorders>
            <w:shd w:val="clear" w:color="auto" w:fill="auto"/>
            <w:vAlign w:val="center"/>
          </w:tcPr>
          <w:p w14:paraId="03DFCAF1" w14:textId="77777777" w:rsidR="003321FA" w:rsidRPr="003321FA" w:rsidRDefault="003321FA">
            <w:pPr>
              <w:rPr>
                <w:rFonts w:ascii="Arial" w:hAnsi="Arial" w:cs="Arial"/>
                <w:sz w:val="14"/>
                <w:szCs w:val="14"/>
              </w:rPr>
            </w:pPr>
          </w:p>
        </w:tc>
        <w:tc>
          <w:tcPr>
            <w:tcW w:w="1204" w:type="dxa"/>
            <w:vMerge/>
            <w:tcBorders>
              <w:bottom w:val="single" w:sz="4" w:space="0" w:color="1F3864" w:themeColor="accent1" w:themeShade="80"/>
            </w:tcBorders>
            <w:shd w:val="clear" w:color="auto" w:fill="auto"/>
            <w:vAlign w:val="center"/>
          </w:tcPr>
          <w:p w14:paraId="3B7933A1" w14:textId="77777777" w:rsidR="003321FA" w:rsidRPr="003321FA" w:rsidRDefault="003321FA">
            <w:pPr>
              <w:pStyle w:val="08-Tabelageral"/>
              <w:jc w:val="left"/>
              <w:cnfStyle w:val="000000000000" w:firstRow="0" w:lastRow="0" w:firstColumn="0" w:lastColumn="0" w:oddVBand="0" w:evenVBand="0" w:oddHBand="0" w:evenHBand="0" w:firstRowFirstColumn="0" w:firstRowLastColumn="0" w:lastRowFirstColumn="0" w:lastRowLastColumn="0"/>
              <w:rPr>
                <w:rFonts w:cs="Arial"/>
                <w:b/>
                <w:szCs w:val="14"/>
              </w:rPr>
            </w:pPr>
          </w:p>
        </w:tc>
        <w:tc>
          <w:tcPr>
            <w:tcW w:w="1534" w:type="dxa"/>
            <w:vMerge/>
            <w:tcBorders>
              <w:bottom w:val="single" w:sz="4" w:space="0" w:color="1F3864" w:themeColor="accent1" w:themeShade="80"/>
            </w:tcBorders>
            <w:shd w:val="clear" w:color="auto" w:fill="auto"/>
            <w:vAlign w:val="center"/>
          </w:tcPr>
          <w:p w14:paraId="33BE728E" w14:textId="77777777" w:rsidR="003321FA" w:rsidRPr="003321FA" w:rsidRDefault="003321FA">
            <w:pPr>
              <w:pStyle w:val="08-Tabelageral"/>
              <w:jc w:val="left"/>
              <w:cnfStyle w:val="000000000000" w:firstRow="0" w:lastRow="0" w:firstColumn="0" w:lastColumn="0" w:oddVBand="0" w:evenVBand="0" w:oddHBand="0" w:evenHBand="0" w:firstRowFirstColumn="0" w:firstRowLastColumn="0" w:lastRowFirstColumn="0" w:lastRowLastColumn="0"/>
              <w:rPr>
                <w:rFonts w:cs="Arial"/>
                <w:b/>
                <w:szCs w:val="14"/>
              </w:rPr>
            </w:pPr>
          </w:p>
        </w:tc>
        <w:tc>
          <w:tcPr>
            <w:tcW w:w="1814" w:type="dxa"/>
            <w:vMerge/>
            <w:tcBorders>
              <w:bottom w:val="single" w:sz="4" w:space="0" w:color="1F3864" w:themeColor="accent1" w:themeShade="80"/>
            </w:tcBorders>
            <w:shd w:val="clear" w:color="auto" w:fill="auto"/>
            <w:vAlign w:val="center"/>
          </w:tcPr>
          <w:p w14:paraId="2C3D74B9" w14:textId="77777777" w:rsidR="003321FA" w:rsidRPr="003321FA" w:rsidRDefault="003321FA">
            <w:pPr>
              <w:pStyle w:val="08-Tabelageral"/>
              <w:jc w:val="left"/>
              <w:cnfStyle w:val="000000000000" w:firstRow="0" w:lastRow="0" w:firstColumn="0" w:lastColumn="0" w:oddVBand="0" w:evenVBand="0" w:oddHBand="0" w:evenHBand="0" w:firstRowFirstColumn="0" w:firstRowLastColumn="0" w:lastRowFirstColumn="0" w:lastRowLastColumn="0"/>
              <w:rPr>
                <w:rFonts w:cs="Arial"/>
                <w:b/>
                <w:szCs w:val="14"/>
              </w:rPr>
            </w:pPr>
          </w:p>
        </w:tc>
        <w:tc>
          <w:tcPr>
            <w:tcW w:w="1111" w:type="dxa"/>
            <w:vMerge/>
            <w:tcBorders>
              <w:bottom w:val="single" w:sz="4" w:space="0" w:color="1F3864" w:themeColor="accent1" w:themeShade="80"/>
            </w:tcBorders>
            <w:shd w:val="clear" w:color="auto" w:fill="auto"/>
            <w:vAlign w:val="center"/>
          </w:tcPr>
          <w:p w14:paraId="4CB3AD74" w14:textId="77777777" w:rsidR="003321FA" w:rsidRPr="003321FA" w:rsidRDefault="003321FA">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
        </w:tc>
        <w:tc>
          <w:tcPr>
            <w:tcW w:w="670" w:type="dxa"/>
            <w:tcBorders>
              <w:top w:val="single" w:sz="4" w:space="0" w:color="1F3864" w:themeColor="accent1" w:themeShade="80"/>
              <w:bottom w:val="single" w:sz="4" w:space="0" w:color="1F3864" w:themeColor="accent1" w:themeShade="80"/>
            </w:tcBorders>
            <w:shd w:val="clear" w:color="auto" w:fill="auto"/>
            <w:vAlign w:val="center"/>
          </w:tcPr>
          <w:p w14:paraId="24122996" w14:textId="77777777" w:rsidR="003321FA" w:rsidRPr="003321FA" w:rsidRDefault="003321FA">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
        </w:tc>
        <w:tc>
          <w:tcPr>
            <w:tcW w:w="666" w:type="dxa"/>
            <w:tcBorders>
              <w:top w:val="single" w:sz="4" w:space="0" w:color="1F3864" w:themeColor="accent1" w:themeShade="80"/>
              <w:bottom w:val="single" w:sz="4" w:space="0" w:color="1F3864" w:themeColor="accent1" w:themeShade="80"/>
            </w:tcBorders>
            <w:shd w:val="clear" w:color="auto" w:fill="auto"/>
            <w:vAlign w:val="center"/>
          </w:tcPr>
          <w:p w14:paraId="67D22F4A" w14:textId="77777777" w:rsidR="003321FA" w:rsidRPr="003321FA" w:rsidRDefault="003321FA">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3321FA">
              <w:rPr>
                <w:rFonts w:ascii="Arial" w:hAnsi="Arial" w:cs="Arial"/>
                <w:b/>
                <w:sz w:val="14"/>
                <w:szCs w:val="14"/>
              </w:rPr>
              <w:t>ON</w:t>
            </w:r>
          </w:p>
        </w:tc>
        <w:tc>
          <w:tcPr>
            <w:tcW w:w="709" w:type="dxa"/>
            <w:tcBorders>
              <w:top w:val="single" w:sz="4" w:space="0" w:color="1F3864" w:themeColor="accent1" w:themeShade="80"/>
              <w:bottom w:val="single" w:sz="4" w:space="0" w:color="1F3864" w:themeColor="accent1" w:themeShade="80"/>
            </w:tcBorders>
            <w:shd w:val="clear" w:color="auto" w:fill="auto"/>
            <w:vAlign w:val="center"/>
          </w:tcPr>
          <w:p w14:paraId="056D14E2" w14:textId="77777777" w:rsidR="003321FA" w:rsidRPr="003321FA" w:rsidRDefault="003321FA">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3321FA">
              <w:rPr>
                <w:rFonts w:ascii="Arial" w:hAnsi="Arial" w:cs="Arial"/>
                <w:b/>
                <w:sz w:val="14"/>
                <w:szCs w:val="14"/>
              </w:rPr>
              <w:t>PN</w:t>
            </w:r>
          </w:p>
        </w:tc>
        <w:tc>
          <w:tcPr>
            <w:tcW w:w="790" w:type="dxa"/>
            <w:tcBorders>
              <w:top w:val="single" w:sz="2" w:space="0" w:color="1F3864" w:themeColor="accent1" w:themeShade="80"/>
              <w:bottom w:val="single" w:sz="4" w:space="0" w:color="1F3864" w:themeColor="accent1" w:themeShade="80"/>
            </w:tcBorders>
            <w:shd w:val="clear" w:color="auto" w:fill="auto"/>
            <w:vAlign w:val="center"/>
          </w:tcPr>
          <w:p w14:paraId="44C6E443" w14:textId="1B43CDAE" w:rsidR="003321FA" w:rsidRPr="003321FA" w:rsidRDefault="003321FA">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3321FA">
              <w:rPr>
                <w:rFonts w:ascii="Arial" w:hAnsi="Arial" w:cs="Arial"/>
                <w:b/>
                <w:sz w:val="14"/>
                <w:szCs w:val="14"/>
              </w:rPr>
              <w:t>Total</w:t>
            </w:r>
            <w:r w:rsidR="00B91579">
              <w:rPr>
                <w:rFonts w:ascii="Arial" w:hAnsi="Arial" w:cs="Arial"/>
                <w:b/>
                <w:sz w:val="14"/>
                <w:szCs w:val="14"/>
              </w:rPr>
              <w:t xml:space="preserve"> </w:t>
            </w:r>
            <w:r w:rsidR="00B91579" w:rsidRPr="00B91579">
              <w:rPr>
                <w:rFonts w:ascii="Arial" w:hAnsi="Arial" w:cs="Arial"/>
                <w:b/>
                <w:sz w:val="14"/>
                <w:szCs w:val="14"/>
                <w:vertAlign w:val="superscript"/>
              </w:rPr>
              <w:t>(2)</w:t>
            </w:r>
          </w:p>
        </w:tc>
      </w:tr>
      <w:tr w:rsidR="0061247C" w:rsidRPr="003321FA" w14:paraId="5743AFED" w14:textId="77777777" w:rsidTr="00B9157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000" w:type="dxa"/>
            <w:vMerge w:val="restart"/>
            <w:tcBorders>
              <w:top w:val="single" w:sz="2" w:space="0" w:color="1F3864" w:themeColor="accent1" w:themeShade="80"/>
              <w:left w:val="nil"/>
              <w:bottom w:val="single" w:sz="2" w:space="0" w:color="9CC2E5" w:themeColor="accent5" w:themeTint="99"/>
              <w:right w:val="single" w:sz="4" w:space="0" w:color="1F3864" w:themeColor="accent1" w:themeShade="80"/>
            </w:tcBorders>
            <w:shd w:val="clear" w:color="auto" w:fill="auto"/>
            <w:vAlign w:val="center"/>
          </w:tcPr>
          <w:p w14:paraId="4CF594A5" w14:textId="77777777" w:rsidR="003321FA" w:rsidRPr="003321FA" w:rsidRDefault="003321FA">
            <w:pPr>
              <w:pStyle w:val="08-Tabelageral"/>
              <w:jc w:val="center"/>
              <w:rPr>
                <w:rFonts w:cs="Arial"/>
                <w:bCs w:val="0"/>
                <w:szCs w:val="14"/>
              </w:rPr>
            </w:pPr>
            <w:r w:rsidRPr="003321FA">
              <w:rPr>
                <w:rFonts w:cs="Arial"/>
                <w:bCs w:val="0"/>
                <w:szCs w:val="14"/>
              </w:rPr>
              <w:t>Seguridade</w:t>
            </w:r>
          </w:p>
        </w:tc>
        <w:tc>
          <w:tcPr>
            <w:tcW w:w="1204" w:type="dxa"/>
            <w:tcBorders>
              <w:top w:val="single" w:sz="4" w:space="0" w:color="1F3864" w:themeColor="accent1" w:themeShade="80"/>
              <w:left w:val="single" w:sz="4" w:space="0" w:color="1F3864" w:themeColor="accent1" w:themeShade="80"/>
              <w:bottom w:val="single" w:sz="4" w:space="0" w:color="1F3864" w:themeColor="accent1" w:themeShade="80"/>
              <w:right w:val="single" w:sz="2" w:space="0" w:color="1F3864" w:themeColor="accent1" w:themeShade="80"/>
            </w:tcBorders>
            <w:shd w:val="clear" w:color="auto" w:fill="auto"/>
            <w:vAlign w:val="center"/>
          </w:tcPr>
          <w:p w14:paraId="04546F3D" w14:textId="77777777" w:rsidR="003321FA" w:rsidRPr="003321FA" w:rsidRDefault="003321FA">
            <w:pPr>
              <w:pStyle w:val="08-Tabelageral"/>
              <w:jc w:val="left"/>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534" w:type="dxa"/>
            <w:tcBorders>
              <w:top w:val="single" w:sz="4" w:space="0" w:color="1F3864" w:themeColor="accent1" w:themeShade="80"/>
              <w:left w:val="single" w:sz="2" w:space="0" w:color="1F3864" w:themeColor="accent1" w:themeShade="80"/>
              <w:bottom w:val="single" w:sz="4" w:space="0" w:color="1F3864" w:themeColor="accent1" w:themeShade="80"/>
            </w:tcBorders>
            <w:shd w:val="clear" w:color="auto" w:fill="auto"/>
            <w:vAlign w:val="center"/>
          </w:tcPr>
          <w:p w14:paraId="363C1CDA" w14:textId="77777777" w:rsidR="003321FA" w:rsidRPr="003321FA" w:rsidRDefault="003321FA">
            <w:pPr>
              <w:pStyle w:val="08-Tabelageral"/>
              <w:jc w:val="left"/>
              <w:cnfStyle w:val="000000010000" w:firstRow="0" w:lastRow="0" w:firstColumn="0" w:lastColumn="0" w:oddVBand="0" w:evenVBand="0" w:oddHBand="0" w:evenHBand="1" w:firstRowFirstColumn="0" w:firstRowLastColumn="0" w:lastRowFirstColumn="0" w:lastRowLastColumn="0"/>
              <w:rPr>
                <w:rFonts w:cs="Arial"/>
                <w:bCs/>
                <w:szCs w:val="14"/>
              </w:rPr>
            </w:pPr>
            <w:r w:rsidRPr="003321FA">
              <w:rPr>
                <w:rFonts w:cs="Arial"/>
                <w:szCs w:val="14"/>
              </w:rPr>
              <w:t>BB Seguros Participações S.A. (</w:t>
            </w:r>
            <w:r w:rsidRPr="003321FA">
              <w:rPr>
                <w:rFonts w:cs="Arial"/>
                <w:bCs/>
                <w:szCs w:val="14"/>
              </w:rPr>
              <w:t>BB Seguros)</w:t>
            </w:r>
          </w:p>
        </w:tc>
        <w:tc>
          <w:tcPr>
            <w:tcW w:w="1814" w:type="dxa"/>
            <w:tcBorders>
              <w:top w:val="single" w:sz="4" w:space="0" w:color="1F3864" w:themeColor="accent1" w:themeShade="80"/>
              <w:bottom w:val="single" w:sz="4" w:space="0" w:color="1F3864" w:themeColor="accent1" w:themeShade="80"/>
            </w:tcBorders>
            <w:shd w:val="clear" w:color="auto" w:fill="auto"/>
            <w:vAlign w:val="center"/>
          </w:tcPr>
          <w:p w14:paraId="3B2B98AF" w14:textId="77777777" w:rsidR="003321FA" w:rsidRPr="003321FA" w:rsidRDefault="003321FA">
            <w:pPr>
              <w:pStyle w:val="08-Tabelageral"/>
              <w:jc w:val="left"/>
              <w:cnfStyle w:val="000000010000" w:firstRow="0" w:lastRow="0" w:firstColumn="0" w:lastColumn="0" w:oddVBand="0" w:evenVBand="0" w:oddHBand="0" w:evenHBand="1" w:firstRowFirstColumn="0" w:firstRowLastColumn="0" w:lastRowFirstColumn="0" w:lastRowLastColumn="0"/>
              <w:rPr>
                <w:rFonts w:cs="Arial"/>
                <w:bCs/>
                <w:szCs w:val="14"/>
              </w:rPr>
            </w:pPr>
            <w:r w:rsidRPr="003321FA">
              <w:rPr>
                <w:rFonts w:cs="Arial"/>
                <w:bCs/>
                <w:szCs w:val="14"/>
              </w:rPr>
              <w:t>Holding de sociedades com atuação nos setores de seguros, previdência aberta, capitalização e planos odontológicos.</w:t>
            </w:r>
          </w:p>
        </w:tc>
        <w:tc>
          <w:tcPr>
            <w:tcW w:w="1111" w:type="dxa"/>
            <w:tcBorders>
              <w:top w:val="single" w:sz="4" w:space="0" w:color="1F3864" w:themeColor="accent1" w:themeShade="80"/>
              <w:bottom w:val="single" w:sz="4" w:space="0" w:color="1F3864" w:themeColor="accent1" w:themeShade="80"/>
            </w:tcBorders>
            <w:shd w:val="clear" w:color="auto" w:fill="auto"/>
            <w:vAlign w:val="center"/>
          </w:tcPr>
          <w:p w14:paraId="128D41FA" w14:textId="77777777" w:rsidR="003321FA" w:rsidRPr="003321FA" w:rsidRDefault="003321FA">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r w:rsidRPr="003321FA">
              <w:rPr>
                <w:rFonts w:cs="Arial"/>
                <w:szCs w:val="14"/>
              </w:rPr>
              <w:t>BRGAAP</w:t>
            </w:r>
          </w:p>
        </w:tc>
        <w:tc>
          <w:tcPr>
            <w:tcW w:w="670" w:type="dxa"/>
            <w:tcBorders>
              <w:top w:val="single" w:sz="4" w:space="0" w:color="1F3864" w:themeColor="accent1" w:themeShade="80"/>
              <w:bottom w:val="single" w:sz="4" w:space="0" w:color="1F3864" w:themeColor="accent1" w:themeShade="80"/>
            </w:tcBorders>
            <w:shd w:val="clear" w:color="auto" w:fill="auto"/>
            <w:vAlign w:val="center"/>
          </w:tcPr>
          <w:p w14:paraId="5028C379" w14:textId="77777777" w:rsidR="003321FA" w:rsidRPr="003321FA" w:rsidRDefault="003321FA">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p>
        </w:tc>
        <w:tc>
          <w:tcPr>
            <w:tcW w:w="666" w:type="dxa"/>
            <w:tcBorders>
              <w:top w:val="single" w:sz="4" w:space="0" w:color="1F3864" w:themeColor="accent1" w:themeShade="80"/>
              <w:bottom w:val="single" w:sz="4" w:space="0" w:color="1F3864" w:themeColor="accent1" w:themeShade="80"/>
            </w:tcBorders>
            <w:shd w:val="clear" w:color="auto" w:fill="auto"/>
            <w:vAlign w:val="center"/>
          </w:tcPr>
          <w:p w14:paraId="46DFE6E0" w14:textId="77777777" w:rsidR="003321FA" w:rsidRPr="003321FA" w:rsidRDefault="003321FA">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r w:rsidRPr="003321FA">
              <w:rPr>
                <w:rFonts w:cs="Arial"/>
                <w:szCs w:val="14"/>
              </w:rPr>
              <w:t>100,00</w:t>
            </w:r>
          </w:p>
        </w:tc>
        <w:tc>
          <w:tcPr>
            <w:tcW w:w="709" w:type="dxa"/>
            <w:tcBorders>
              <w:top w:val="single" w:sz="4" w:space="0" w:color="1F3864" w:themeColor="accent1" w:themeShade="80"/>
              <w:bottom w:val="single" w:sz="4" w:space="0" w:color="1F3864" w:themeColor="accent1" w:themeShade="80"/>
            </w:tcBorders>
            <w:shd w:val="clear" w:color="auto" w:fill="auto"/>
            <w:vAlign w:val="center"/>
          </w:tcPr>
          <w:p w14:paraId="16A90B20" w14:textId="77777777" w:rsidR="003321FA" w:rsidRPr="003321FA" w:rsidRDefault="003321FA">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r w:rsidRPr="003321FA">
              <w:rPr>
                <w:rFonts w:cs="Arial"/>
                <w:szCs w:val="14"/>
              </w:rPr>
              <w:t>--</w:t>
            </w:r>
          </w:p>
        </w:tc>
        <w:tc>
          <w:tcPr>
            <w:tcW w:w="790" w:type="dxa"/>
            <w:tcBorders>
              <w:top w:val="single" w:sz="4" w:space="0" w:color="1F3864" w:themeColor="accent1" w:themeShade="80"/>
              <w:bottom w:val="single" w:sz="4" w:space="0" w:color="1F3864" w:themeColor="accent1" w:themeShade="80"/>
            </w:tcBorders>
            <w:shd w:val="clear" w:color="auto" w:fill="auto"/>
            <w:vAlign w:val="center"/>
          </w:tcPr>
          <w:p w14:paraId="6E1C85BE" w14:textId="77777777" w:rsidR="003321FA" w:rsidRPr="003321FA" w:rsidRDefault="003321FA">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r w:rsidRPr="003321FA">
              <w:rPr>
                <w:rFonts w:cs="Arial"/>
                <w:szCs w:val="14"/>
              </w:rPr>
              <w:t>100,00</w:t>
            </w:r>
          </w:p>
        </w:tc>
      </w:tr>
      <w:tr w:rsidR="00417DDD" w:rsidRPr="003321FA" w14:paraId="496F418B" w14:textId="77777777" w:rsidTr="00B91579">
        <w:trPr>
          <w:trHeight w:val="58"/>
          <w:jc w:val="center"/>
        </w:trPr>
        <w:tc>
          <w:tcPr>
            <w:cnfStyle w:val="001000000000" w:firstRow="0" w:lastRow="0" w:firstColumn="1" w:lastColumn="0" w:oddVBand="0" w:evenVBand="0" w:oddHBand="0" w:evenHBand="0" w:firstRowFirstColumn="0" w:firstRowLastColumn="0" w:lastRowFirstColumn="0" w:lastRowLastColumn="0"/>
            <w:tcW w:w="1000" w:type="dxa"/>
            <w:vMerge/>
            <w:tcBorders>
              <w:top w:val="single" w:sz="2" w:space="0" w:color="9CC2E5" w:themeColor="accent5" w:themeTint="99"/>
              <w:left w:val="nil"/>
              <w:bottom w:val="single" w:sz="2" w:space="0" w:color="9CC2E5" w:themeColor="accent5" w:themeTint="99"/>
              <w:right w:val="single" w:sz="4" w:space="0" w:color="1F3864" w:themeColor="accent1" w:themeShade="80"/>
            </w:tcBorders>
            <w:shd w:val="clear" w:color="auto" w:fill="auto"/>
            <w:vAlign w:val="center"/>
          </w:tcPr>
          <w:p w14:paraId="5AC0F222" w14:textId="77777777" w:rsidR="003321FA" w:rsidRPr="003321FA" w:rsidRDefault="003321FA">
            <w:pPr>
              <w:pStyle w:val="08-Tabelageral"/>
              <w:jc w:val="left"/>
              <w:rPr>
                <w:rFonts w:cs="Arial"/>
                <w:bCs w:val="0"/>
                <w:szCs w:val="14"/>
              </w:rPr>
            </w:pPr>
          </w:p>
        </w:tc>
        <w:tc>
          <w:tcPr>
            <w:tcW w:w="1204" w:type="dxa"/>
            <w:vMerge w:val="restart"/>
            <w:tcBorders>
              <w:top w:val="single" w:sz="4" w:space="0" w:color="1F3864" w:themeColor="accent1" w:themeShade="80"/>
              <w:left w:val="single" w:sz="4" w:space="0" w:color="1F3864" w:themeColor="accent1" w:themeShade="80"/>
              <w:right w:val="single" w:sz="2" w:space="0" w:color="1F3864" w:themeColor="accent1" w:themeShade="80"/>
            </w:tcBorders>
            <w:shd w:val="clear" w:color="auto" w:fill="auto"/>
            <w:vAlign w:val="center"/>
          </w:tcPr>
          <w:p w14:paraId="3715F6CA" w14:textId="77777777" w:rsidR="003321FA" w:rsidRPr="003321FA" w:rsidRDefault="003321FA">
            <w:pPr>
              <w:pStyle w:val="08-Tabelageral"/>
              <w:jc w:val="center"/>
              <w:cnfStyle w:val="000000000000" w:firstRow="0" w:lastRow="0" w:firstColumn="0" w:lastColumn="0" w:oddVBand="0" w:evenVBand="0" w:oddHBand="0" w:evenHBand="0" w:firstRowFirstColumn="0" w:firstRowLastColumn="0" w:lastRowFirstColumn="0" w:lastRowLastColumn="0"/>
              <w:rPr>
                <w:rFonts w:cs="Arial"/>
                <w:b/>
                <w:szCs w:val="14"/>
              </w:rPr>
            </w:pPr>
            <w:r w:rsidRPr="003321FA">
              <w:rPr>
                <w:rFonts w:cs="Arial"/>
                <w:b/>
                <w:szCs w:val="14"/>
              </w:rPr>
              <w:t>Seguros – Vida, Habitacional, Rural e Danos</w:t>
            </w:r>
          </w:p>
        </w:tc>
        <w:tc>
          <w:tcPr>
            <w:tcW w:w="1534" w:type="dxa"/>
            <w:tcBorders>
              <w:top w:val="single" w:sz="4" w:space="0" w:color="1F3864" w:themeColor="accent1" w:themeShade="80"/>
              <w:left w:val="single" w:sz="2" w:space="0" w:color="1F3864" w:themeColor="accent1" w:themeShade="80"/>
              <w:bottom w:val="nil"/>
            </w:tcBorders>
            <w:shd w:val="clear" w:color="auto" w:fill="auto"/>
            <w:vAlign w:val="center"/>
          </w:tcPr>
          <w:p w14:paraId="60A9878F" w14:textId="77777777" w:rsidR="003321FA" w:rsidRPr="003321FA" w:rsidRDefault="003321FA">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r w:rsidRPr="003321FA">
              <w:rPr>
                <w:rFonts w:cs="Arial"/>
                <w:szCs w:val="14"/>
              </w:rPr>
              <w:t>BB MAPFRE Participações S.A. (BB MAPFRE)</w:t>
            </w:r>
          </w:p>
        </w:tc>
        <w:tc>
          <w:tcPr>
            <w:tcW w:w="1814" w:type="dxa"/>
            <w:tcBorders>
              <w:top w:val="single" w:sz="4" w:space="0" w:color="1F3864" w:themeColor="accent1" w:themeShade="80"/>
              <w:bottom w:val="nil"/>
            </w:tcBorders>
            <w:shd w:val="clear" w:color="auto" w:fill="auto"/>
            <w:vAlign w:val="center"/>
          </w:tcPr>
          <w:p w14:paraId="62C27388" w14:textId="77777777" w:rsidR="003321FA" w:rsidRPr="003321FA" w:rsidRDefault="003321FA">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r w:rsidRPr="003321FA">
              <w:rPr>
                <w:rFonts w:cs="Arial"/>
                <w:szCs w:val="14"/>
              </w:rPr>
              <w:t>Holding de sociedades com atuação no setor de seguros e</w:t>
            </w:r>
            <w:r w:rsidRPr="003321FA">
              <w:rPr>
                <w:rFonts w:cs="Arial"/>
                <w:bCs/>
                <w:szCs w:val="14"/>
              </w:rPr>
              <w:t xml:space="preserve"> de serviços de intermediação de negócios em geral</w:t>
            </w:r>
          </w:p>
        </w:tc>
        <w:tc>
          <w:tcPr>
            <w:tcW w:w="1111" w:type="dxa"/>
            <w:tcBorders>
              <w:top w:val="single" w:sz="4" w:space="0" w:color="1F3864" w:themeColor="accent1" w:themeShade="80"/>
              <w:bottom w:val="nil"/>
            </w:tcBorders>
            <w:shd w:val="clear" w:color="auto" w:fill="auto"/>
            <w:vAlign w:val="center"/>
          </w:tcPr>
          <w:p w14:paraId="58D7088A" w14:textId="77777777" w:rsidR="003321FA" w:rsidRPr="003321FA" w:rsidRDefault="003321FA">
            <w:pPr>
              <w:pStyle w:val="08-Tabelageral"/>
              <w:jc w:val="center"/>
              <w:cnfStyle w:val="000000000000" w:firstRow="0" w:lastRow="0" w:firstColumn="0" w:lastColumn="0" w:oddVBand="0" w:evenVBand="0" w:oddHBand="0" w:evenHBand="0" w:firstRowFirstColumn="0" w:firstRowLastColumn="0" w:lastRowFirstColumn="0" w:lastRowLastColumn="0"/>
              <w:rPr>
                <w:bCs/>
              </w:rPr>
            </w:pPr>
            <w:r w:rsidRPr="003321FA">
              <w:rPr>
                <w:rFonts w:cs="Arial"/>
                <w:szCs w:val="14"/>
              </w:rPr>
              <w:t>BRGAAP</w:t>
            </w:r>
          </w:p>
        </w:tc>
        <w:tc>
          <w:tcPr>
            <w:tcW w:w="670" w:type="dxa"/>
            <w:tcBorders>
              <w:top w:val="single" w:sz="4" w:space="0" w:color="1F3864" w:themeColor="accent1" w:themeShade="80"/>
              <w:bottom w:val="nil"/>
            </w:tcBorders>
            <w:shd w:val="clear" w:color="auto" w:fill="auto"/>
            <w:vAlign w:val="center"/>
          </w:tcPr>
          <w:p w14:paraId="4C6F71B2" w14:textId="77777777" w:rsidR="003321FA" w:rsidRPr="003321FA" w:rsidRDefault="003321FA">
            <w:pPr>
              <w:pStyle w:val="08-Tabelageral"/>
              <w:jc w:val="center"/>
              <w:cnfStyle w:val="000000000000" w:firstRow="0" w:lastRow="0" w:firstColumn="0" w:lastColumn="0" w:oddVBand="0" w:evenVBand="0" w:oddHBand="0" w:evenHBand="0" w:firstRowFirstColumn="0" w:firstRowLastColumn="0" w:lastRowFirstColumn="0" w:lastRowLastColumn="0"/>
              <w:rPr>
                <w:bCs/>
              </w:rPr>
            </w:pPr>
          </w:p>
        </w:tc>
        <w:tc>
          <w:tcPr>
            <w:tcW w:w="666" w:type="dxa"/>
            <w:tcBorders>
              <w:top w:val="single" w:sz="4" w:space="0" w:color="1F3864" w:themeColor="accent1" w:themeShade="80"/>
              <w:bottom w:val="nil"/>
            </w:tcBorders>
            <w:shd w:val="clear" w:color="auto" w:fill="auto"/>
            <w:vAlign w:val="center"/>
          </w:tcPr>
          <w:p w14:paraId="6A699227" w14:textId="77777777" w:rsidR="003321FA" w:rsidRPr="003321FA" w:rsidRDefault="003321FA">
            <w:pPr>
              <w:pStyle w:val="08-Tabelageral"/>
              <w:jc w:val="center"/>
              <w:cnfStyle w:val="000000000000" w:firstRow="0" w:lastRow="0" w:firstColumn="0" w:lastColumn="0" w:oddVBand="0" w:evenVBand="0" w:oddHBand="0" w:evenHBand="0" w:firstRowFirstColumn="0" w:firstRowLastColumn="0" w:lastRowFirstColumn="0" w:lastRowLastColumn="0"/>
              <w:rPr>
                <w:bCs/>
              </w:rPr>
            </w:pPr>
            <w:r w:rsidRPr="003321FA">
              <w:rPr>
                <w:bCs/>
              </w:rPr>
              <w:t>49,99</w:t>
            </w:r>
          </w:p>
        </w:tc>
        <w:tc>
          <w:tcPr>
            <w:tcW w:w="709" w:type="dxa"/>
            <w:tcBorders>
              <w:top w:val="single" w:sz="4" w:space="0" w:color="1F3864" w:themeColor="accent1" w:themeShade="80"/>
              <w:bottom w:val="nil"/>
            </w:tcBorders>
            <w:shd w:val="clear" w:color="auto" w:fill="auto"/>
            <w:vAlign w:val="center"/>
          </w:tcPr>
          <w:p w14:paraId="6F18CFDC" w14:textId="77777777" w:rsidR="003321FA" w:rsidRPr="003321FA" w:rsidRDefault="003321FA">
            <w:pPr>
              <w:pStyle w:val="08-Tabelageral"/>
              <w:jc w:val="center"/>
              <w:cnfStyle w:val="000000000000" w:firstRow="0" w:lastRow="0" w:firstColumn="0" w:lastColumn="0" w:oddVBand="0" w:evenVBand="0" w:oddHBand="0" w:evenHBand="0" w:firstRowFirstColumn="0" w:firstRowLastColumn="0" w:lastRowFirstColumn="0" w:lastRowLastColumn="0"/>
              <w:rPr>
                <w:bCs/>
              </w:rPr>
            </w:pPr>
            <w:r w:rsidRPr="003321FA">
              <w:rPr>
                <w:bCs/>
              </w:rPr>
              <w:t>100,00</w:t>
            </w:r>
          </w:p>
        </w:tc>
        <w:tc>
          <w:tcPr>
            <w:tcW w:w="790" w:type="dxa"/>
            <w:tcBorders>
              <w:top w:val="single" w:sz="4" w:space="0" w:color="1F3864" w:themeColor="accent1" w:themeShade="80"/>
              <w:bottom w:val="nil"/>
            </w:tcBorders>
            <w:shd w:val="clear" w:color="auto" w:fill="auto"/>
            <w:vAlign w:val="center"/>
          </w:tcPr>
          <w:p w14:paraId="25EB2821" w14:textId="77777777" w:rsidR="003321FA" w:rsidRPr="003321FA" w:rsidRDefault="003321FA">
            <w:pPr>
              <w:pStyle w:val="08-Tabelageral"/>
              <w:jc w:val="center"/>
              <w:cnfStyle w:val="000000000000" w:firstRow="0" w:lastRow="0" w:firstColumn="0" w:lastColumn="0" w:oddVBand="0" w:evenVBand="0" w:oddHBand="0" w:evenHBand="0" w:firstRowFirstColumn="0" w:firstRowLastColumn="0" w:lastRowFirstColumn="0" w:lastRowLastColumn="0"/>
              <w:rPr>
                <w:bCs/>
              </w:rPr>
            </w:pPr>
            <w:r w:rsidRPr="003321FA">
              <w:rPr>
                <w:bCs/>
              </w:rPr>
              <w:t>74,99</w:t>
            </w:r>
          </w:p>
        </w:tc>
      </w:tr>
      <w:tr w:rsidR="0061247C" w:rsidRPr="003321FA" w14:paraId="1CCE134B" w14:textId="77777777" w:rsidTr="00B9157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000" w:type="dxa"/>
            <w:vMerge/>
            <w:tcBorders>
              <w:top w:val="single" w:sz="2" w:space="0" w:color="9CC2E5" w:themeColor="accent5" w:themeTint="99"/>
              <w:left w:val="nil"/>
              <w:bottom w:val="single" w:sz="2" w:space="0" w:color="9CC2E5" w:themeColor="accent5" w:themeTint="99"/>
              <w:right w:val="single" w:sz="4" w:space="0" w:color="1F3864" w:themeColor="accent1" w:themeShade="80"/>
            </w:tcBorders>
            <w:shd w:val="clear" w:color="auto" w:fill="auto"/>
            <w:vAlign w:val="center"/>
          </w:tcPr>
          <w:p w14:paraId="4C325D3E" w14:textId="77777777" w:rsidR="003321FA" w:rsidRPr="003321FA" w:rsidRDefault="003321FA">
            <w:pPr>
              <w:pStyle w:val="08-Tabelageral"/>
              <w:ind w:left="113"/>
              <w:jc w:val="left"/>
              <w:rPr>
                <w:rFonts w:cs="Arial"/>
                <w:b w:val="0"/>
                <w:bCs w:val="0"/>
                <w:szCs w:val="14"/>
              </w:rPr>
            </w:pPr>
          </w:p>
        </w:tc>
        <w:tc>
          <w:tcPr>
            <w:tcW w:w="1204" w:type="dxa"/>
            <w:vMerge/>
            <w:tcBorders>
              <w:left w:val="single" w:sz="4" w:space="0" w:color="1F3864" w:themeColor="accent1" w:themeShade="80"/>
              <w:right w:val="single" w:sz="2" w:space="0" w:color="1F3864" w:themeColor="accent1" w:themeShade="80"/>
            </w:tcBorders>
            <w:shd w:val="clear" w:color="auto" w:fill="auto"/>
            <w:vAlign w:val="center"/>
          </w:tcPr>
          <w:p w14:paraId="432FF501" w14:textId="77777777" w:rsidR="003321FA" w:rsidRPr="003321FA" w:rsidRDefault="003321FA">
            <w:pPr>
              <w:pStyle w:val="08-Tabelageral"/>
              <w:jc w:val="center"/>
              <w:cnfStyle w:val="000000010000" w:firstRow="0" w:lastRow="0" w:firstColumn="0" w:lastColumn="0" w:oddVBand="0" w:evenVBand="0" w:oddHBand="0" w:evenHBand="1" w:firstRowFirstColumn="0" w:firstRowLastColumn="0" w:lastRowFirstColumn="0" w:lastRowLastColumn="0"/>
              <w:rPr>
                <w:rFonts w:cs="Arial"/>
                <w:b/>
                <w:szCs w:val="14"/>
              </w:rPr>
            </w:pPr>
          </w:p>
        </w:tc>
        <w:tc>
          <w:tcPr>
            <w:tcW w:w="1534" w:type="dxa"/>
            <w:tcBorders>
              <w:top w:val="nil"/>
              <w:left w:val="single" w:sz="2" w:space="0" w:color="1F3864" w:themeColor="accent1" w:themeShade="80"/>
              <w:bottom w:val="nil"/>
            </w:tcBorders>
            <w:shd w:val="clear" w:color="auto" w:fill="auto"/>
            <w:vAlign w:val="center"/>
          </w:tcPr>
          <w:p w14:paraId="21D70D45" w14:textId="213E0166" w:rsidR="003321FA" w:rsidRPr="003321FA" w:rsidRDefault="003321FA">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rPr>
            </w:pPr>
            <w:proofErr w:type="spellStart"/>
            <w:r w:rsidRPr="003321FA">
              <w:rPr>
                <w:rFonts w:cs="Arial"/>
                <w:szCs w:val="14"/>
              </w:rPr>
              <w:t>Brasilseg</w:t>
            </w:r>
            <w:proofErr w:type="spellEnd"/>
            <w:r w:rsidRPr="003321FA">
              <w:rPr>
                <w:rFonts w:cs="Arial"/>
                <w:szCs w:val="14"/>
              </w:rPr>
              <w:t xml:space="preserve"> Companhia de Seguros (</w:t>
            </w:r>
            <w:proofErr w:type="spellStart"/>
            <w:r w:rsidRPr="003321FA">
              <w:rPr>
                <w:rFonts w:cs="Arial"/>
                <w:szCs w:val="14"/>
              </w:rPr>
              <w:t>Brasilseg</w:t>
            </w:r>
            <w:proofErr w:type="spellEnd"/>
            <w:r w:rsidRPr="003321FA">
              <w:rPr>
                <w:rFonts w:cs="Arial"/>
                <w:szCs w:val="14"/>
              </w:rPr>
              <w:t>)</w:t>
            </w:r>
          </w:p>
        </w:tc>
        <w:tc>
          <w:tcPr>
            <w:tcW w:w="1814" w:type="dxa"/>
            <w:tcBorders>
              <w:top w:val="nil"/>
              <w:bottom w:val="nil"/>
            </w:tcBorders>
            <w:shd w:val="clear" w:color="auto" w:fill="auto"/>
            <w:vAlign w:val="center"/>
          </w:tcPr>
          <w:p w14:paraId="5224C4BD" w14:textId="77777777" w:rsidR="003321FA" w:rsidRPr="003321FA" w:rsidRDefault="003321FA">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rPr>
            </w:pPr>
            <w:r w:rsidRPr="003321FA">
              <w:rPr>
                <w:rFonts w:cs="Arial"/>
                <w:szCs w:val="14"/>
              </w:rPr>
              <w:t>Atuação em seguros dos ramos de pessoas, seguros rurais e seguro habitacional.</w:t>
            </w:r>
          </w:p>
        </w:tc>
        <w:tc>
          <w:tcPr>
            <w:tcW w:w="1111" w:type="dxa"/>
            <w:tcBorders>
              <w:top w:val="nil"/>
              <w:bottom w:val="nil"/>
            </w:tcBorders>
            <w:shd w:val="clear" w:color="auto" w:fill="auto"/>
            <w:vAlign w:val="center"/>
          </w:tcPr>
          <w:p w14:paraId="679C7B19" w14:textId="77777777" w:rsidR="003321FA" w:rsidRPr="003321FA" w:rsidRDefault="003321FA">
            <w:pPr>
              <w:pStyle w:val="08-Tabelageral"/>
              <w:jc w:val="center"/>
              <w:cnfStyle w:val="000000010000" w:firstRow="0" w:lastRow="0" w:firstColumn="0" w:lastColumn="0" w:oddVBand="0" w:evenVBand="0" w:oddHBand="0" w:evenHBand="1" w:firstRowFirstColumn="0" w:firstRowLastColumn="0" w:lastRowFirstColumn="0" w:lastRowLastColumn="0"/>
              <w:rPr>
                <w:bCs/>
              </w:rPr>
            </w:pPr>
            <w:r w:rsidRPr="003321FA">
              <w:rPr>
                <w:rFonts w:cs="Arial"/>
                <w:szCs w:val="14"/>
              </w:rPr>
              <w:t>SUSEPGAAP</w:t>
            </w:r>
          </w:p>
        </w:tc>
        <w:tc>
          <w:tcPr>
            <w:tcW w:w="670" w:type="dxa"/>
            <w:tcBorders>
              <w:top w:val="nil"/>
              <w:bottom w:val="nil"/>
            </w:tcBorders>
            <w:shd w:val="clear" w:color="auto" w:fill="auto"/>
            <w:vAlign w:val="center"/>
          </w:tcPr>
          <w:p w14:paraId="792B5242" w14:textId="77777777" w:rsidR="003321FA" w:rsidRPr="003321FA" w:rsidRDefault="003321FA">
            <w:pPr>
              <w:pStyle w:val="08-Tabelageral"/>
              <w:jc w:val="center"/>
              <w:cnfStyle w:val="000000010000" w:firstRow="0" w:lastRow="0" w:firstColumn="0" w:lastColumn="0" w:oddVBand="0" w:evenVBand="0" w:oddHBand="0" w:evenHBand="1" w:firstRowFirstColumn="0" w:firstRowLastColumn="0" w:lastRowFirstColumn="0" w:lastRowLastColumn="0"/>
              <w:rPr>
                <w:bCs/>
              </w:rPr>
            </w:pPr>
          </w:p>
        </w:tc>
        <w:tc>
          <w:tcPr>
            <w:tcW w:w="666" w:type="dxa"/>
            <w:tcBorders>
              <w:top w:val="nil"/>
              <w:bottom w:val="nil"/>
            </w:tcBorders>
            <w:shd w:val="clear" w:color="auto" w:fill="auto"/>
            <w:vAlign w:val="center"/>
          </w:tcPr>
          <w:p w14:paraId="0DFFA890" w14:textId="77777777" w:rsidR="003321FA" w:rsidRPr="003321FA" w:rsidRDefault="003321FA">
            <w:pPr>
              <w:pStyle w:val="08-Tabelageral"/>
              <w:jc w:val="center"/>
              <w:cnfStyle w:val="000000010000" w:firstRow="0" w:lastRow="0" w:firstColumn="0" w:lastColumn="0" w:oddVBand="0" w:evenVBand="0" w:oddHBand="0" w:evenHBand="1" w:firstRowFirstColumn="0" w:firstRowLastColumn="0" w:lastRowFirstColumn="0" w:lastRowLastColumn="0"/>
              <w:rPr>
                <w:bCs/>
              </w:rPr>
            </w:pPr>
            <w:r w:rsidRPr="003321FA">
              <w:rPr>
                <w:bCs/>
              </w:rPr>
              <w:t>49,99</w:t>
            </w:r>
          </w:p>
        </w:tc>
        <w:tc>
          <w:tcPr>
            <w:tcW w:w="709" w:type="dxa"/>
            <w:tcBorders>
              <w:top w:val="nil"/>
              <w:bottom w:val="nil"/>
            </w:tcBorders>
            <w:shd w:val="clear" w:color="auto" w:fill="auto"/>
            <w:vAlign w:val="center"/>
          </w:tcPr>
          <w:p w14:paraId="23F25616" w14:textId="77777777" w:rsidR="003321FA" w:rsidRPr="003321FA" w:rsidRDefault="003321FA">
            <w:pPr>
              <w:pStyle w:val="08-Tabelageral"/>
              <w:jc w:val="center"/>
              <w:cnfStyle w:val="000000010000" w:firstRow="0" w:lastRow="0" w:firstColumn="0" w:lastColumn="0" w:oddVBand="0" w:evenVBand="0" w:oddHBand="0" w:evenHBand="1" w:firstRowFirstColumn="0" w:firstRowLastColumn="0" w:lastRowFirstColumn="0" w:lastRowLastColumn="0"/>
              <w:rPr>
                <w:bCs/>
              </w:rPr>
            </w:pPr>
            <w:r w:rsidRPr="003321FA">
              <w:rPr>
                <w:bCs/>
              </w:rPr>
              <w:t>100,00</w:t>
            </w:r>
          </w:p>
        </w:tc>
        <w:tc>
          <w:tcPr>
            <w:tcW w:w="790" w:type="dxa"/>
            <w:tcBorders>
              <w:top w:val="nil"/>
              <w:bottom w:val="nil"/>
            </w:tcBorders>
            <w:shd w:val="clear" w:color="auto" w:fill="auto"/>
            <w:vAlign w:val="center"/>
          </w:tcPr>
          <w:p w14:paraId="22DD3F32" w14:textId="77777777" w:rsidR="003321FA" w:rsidRPr="003321FA" w:rsidRDefault="003321FA">
            <w:pPr>
              <w:pStyle w:val="08-Tabelageral"/>
              <w:jc w:val="center"/>
              <w:cnfStyle w:val="000000010000" w:firstRow="0" w:lastRow="0" w:firstColumn="0" w:lastColumn="0" w:oddVBand="0" w:evenVBand="0" w:oddHBand="0" w:evenHBand="1" w:firstRowFirstColumn="0" w:firstRowLastColumn="0" w:lastRowFirstColumn="0" w:lastRowLastColumn="0"/>
              <w:rPr>
                <w:bCs/>
              </w:rPr>
            </w:pPr>
            <w:r w:rsidRPr="003321FA">
              <w:rPr>
                <w:bCs/>
              </w:rPr>
              <w:t>74,99</w:t>
            </w:r>
          </w:p>
        </w:tc>
      </w:tr>
      <w:tr w:rsidR="003321FA" w:rsidRPr="003321FA" w14:paraId="7FFAFC80" w14:textId="77777777" w:rsidTr="00B91579">
        <w:trPr>
          <w:trHeight w:val="238"/>
          <w:jc w:val="center"/>
        </w:trPr>
        <w:tc>
          <w:tcPr>
            <w:cnfStyle w:val="001000000000" w:firstRow="0" w:lastRow="0" w:firstColumn="1" w:lastColumn="0" w:oddVBand="0" w:evenVBand="0" w:oddHBand="0" w:evenHBand="0" w:firstRowFirstColumn="0" w:firstRowLastColumn="0" w:lastRowFirstColumn="0" w:lastRowLastColumn="0"/>
            <w:tcW w:w="1000" w:type="dxa"/>
            <w:vMerge/>
            <w:tcBorders>
              <w:top w:val="single" w:sz="2" w:space="0" w:color="9CC2E5" w:themeColor="accent5" w:themeTint="99"/>
              <w:left w:val="nil"/>
              <w:bottom w:val="single" w:sz="2" w:space="0" w:color="9CC2E5" w:themeColor="accent5" w:themeTint="99"/>
              <w:right w:val="single" w:sz="4" w:space="0" w:color="1F3864" w:themeColor="accent1" w:themeShade="80"/>
            </w:tcBorders>
            <w:shd w:val="clear" w:color="auto" w:fill="auto"/>
            <w:vAlign w:val="center"/>
          </w:tcPr>
          <w:p w14:paraId="28C6EB94" w14:textId="77777777" w:rsidR="003321FA" w:rsidRPr="003321FA" w:rsidRDefault="003321FA">
            <w:pPr>
              <w:pStyle w:val="08-Tabelageral"/>
              <w:ind w:left="113"/>
              <w:jc w:val="left"/>
              <w:rPr>
                <w:rFonts w:cs="Arial"/>
                <w:b w:val="0"/>
                <w:bCs w:val="0"/>
                <w:szCs w:val="14"/>
              </w:rPr>
            </w:pPr>
          </w:p>
        </w:tc>
        <w:tc>
          <w:tcPr>
            <w:tcW w:w="1204" w:type="dxa"/>
            <w:vMerge/>
            <w:tcBorders>
              <w:left w:val="single" w:sz="4" w:space="0" w:color="1F3864" w:themeColor="accent1" w:themeShade="80"/>
              <w:bottom w:val="single" w:sz="2" w:space="0" w:color="1F3864" w:themeColor="accent1" w:themeShade="80"/>
              <w:right w:val="single" w:sz="2" w:space="0" w:color="1F3864" w:themeColor="accent1" w:themeShade="80"/>
            </w:tcBorders>
            <w:shd w:val="clear" w:color="auto" w:fill="auto"/>
            <w:vAlign w:val="center"/>
          </w:tcPr>
          <w:p w14:paraId="7248639B" w14:textId="77777777" w:rsidR="003321FA" w:rsidRPr="003321FA" w:rsidRDefault="003321FA">
            <w:pPr>
              <w:pStyle w:val="08-Tabelageral"/>
              <w:jc w:val="center"/>
              <w:cnfStyle w:val="000000000000" w:firstRow="0" w:lastRow="0" w:firstColumn="0" w:lastColumn="0" w:oddVBand="0" w:evenVBand="0" w:oddHBand="0" w:evenHBand="0" w:firstRowFirstColumn="0" w:firstRowLastColumn="0" w:lastRowFirstColumn="0" w:lastRowLastColumn="0"/>
              <w:rPr>
                <w:rFonts w:cs="Arial"/>
                <w:b/>
                <w:szCs w:val="14"/>
              </w:rPr>
            </w:pPr>
          </w:p>
        </w:tc>
        <w:tc>
          <w:tcPr>
            <w:tcW w:w="1534" w:type="dxa"/>
            <w:tcBorders>
              <w:top w:val="nil"/>
              <w:left w:val="single" w:sz="2" w:space="0" w:color="1F3864" w:themeColor="accent1" w:themeShade="80"/>
              <w:bottom w:val="nil"/>
            </w:tcBorders>
            <w:shd w:val="clear" w:color="auto" w:fill="auto"/>
            <w:vAlign w:val="center"/>
          </w:tcPr>
          <w:p w14:paraId="5E221F27" w14:textId="77777777" w:rsidR="003321FA" w:rsidRPr="003321FA" w:rsidRDefault="003321FA">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r w:rsidRPr="003321FA">
              <w:rPr>
                <w:rFonts w:cs="Arial"/>
                <w:szCs w:val="14"/>
              </w:rPr>
              <w:t>Aliança do Brasil Seguros S.A. (Aliança do Brasil)</w:t>
            </w:r>
          </w:p>
        </w:tc>
        <w:tc>
          <w:tcPr>
            <w:tcW w:w="1814" w:type="dxa"/>
            <w:tcBorders>
              <w:top w:val="nil"/>
              <w:bottom w:val="nil"/>
            </w:tcBorders>
            <w:shd w:val="clear" w:color="auto" w:fill="auto"/>
            <w:vAlign w:val="center"/>
          </w:tcPr>
          <w:p w14:paraId="5E120018" w14:textId="77777777" w:rsidR="003321FA" w:rsidRPr="003321FA" w:rsidRDefault="003321FA">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r w:rsidRPr="003321FA">
              <w:rPr>
                <w:rFonts w:cs="Arial"/>
                <w:szCs w:val="14"/>
              </w:rPr>
              <w:t>Atuação em seguros dos ramos de danos e seguros rurais.</w:t>
            </w:r>
          </w:p>
        </w:tc>
        <w:tc>
          <w:tcPr>
            <w:tcW w:w="1111" w:type="dxa"/>
            <w:tcBorders>
              <w:top w:val="nil"/>
              <w:bottom w:val="nil"/>
            </w:tcBorders>
            <w:shd w:val="clear" w:color="auto" w:fill="auto"/>
            <w:vAlign w:val="center"/>
          </w:tcPr>
          <w:p w14:paraId="739A8C41" w14:textId="77777777" w:rsidR="003321FA" w:rsidRPr="003321FA" w:rsidRDefault="003321FA">
            <w:pPr>
              <w:pStyle w:val="08-Tabelageral"/>
              <w:jc w:val="center"/>
              <w:cnfStyle w:val="000000000000" w:firstRow="0" w:lastRow="0" w:firstColumn="0" w:lastColumn="0" w:oddVBand="0" w:evenVBand="0" w:oddHBand="0" w:evenHBand="0" w:firstRowFirstColumn="0" w:firstRowLastColumn="0" w:lastRowFirstColumn="0" w:lastRowLastColumn="0"/>
              <w:rPr>
                <w:rFonts w:cs="Arial"/>
                <w:szCs w:val="14"/>
              </w:rPr>
            </w:pPr>
            <w:r w:rsidRPr="003321FA">
              <w:rPr>
                <w:rFonts w:cs="Arial"/>
                <w:szCs w:val="14"/>
              </w:rPr>
              <w:t>SUSEPGAAP</w:t>
            </w:r>
          </w:p>
        </w:tc>
        <w:tc>
          <w:tcPr>
            <w:tcW w:w="670" w:type="dxa"/>
            <w:tcBorders>
              <w:top w:val="nil"/>
              <w:bottom w:val="nil"/>
            </w:tcBorders>
            <w:shd w:val="clear" w:color="auto" w:fill="auto"/>
            <w:vAlign w:val="center"/>
          </w:tcPr>
          <w:p w14:paraId="0B039D44" w14:textId="77777777" w:rsidR="003321FA" w:rsidRPr="003321FA" w:rsidRDefault="003321FA">
            <w:pPr>
              <w:pStyle w:val="08-Tabelageral"/>
              <w:jc w:val="center"/>
              <w:cnfStyle w:val="000000000000" w:firstRow="0" w:lastRow="0" w:firstColumn="0" w:lastColumn="0" w:oddVBand="0" w:evenVBand="0" w:oddHBand="0" w:evenHBand="0" w:firstRowFirstColumn="0" w:firstRowLastColumn="0" w:lastRowFirstColumn="0" w:lastRowLastColumn="0"/>
              <w:rPr>
                <w:rFonts w:cs="Arial"/>
                <w:szCs w:val="14"/>
              </w:rPr>
            </w:pPr>
          </w:p>
        </w:tc>
        <w:tc>
          <w:tcPr>
            <w:tcW w:w="666" w:type="dxa"/>
            <w:tcBorders>
              <w:top w:val="nil"/>
              <w:bottom w:val="nil"/>
            </w:tcBorders>
            <w:shd w:val="clear" w:color="auto" w:fill="auto"/>
            <w:vAlign w:val="center"/>
          </w:tcPr>
          <w:p w14:paraId="24B4F2BA" w14:textId="77777777" w:rsidR="003321FA" w:rsidRPr="003321FA" w:rsidRDefault="003321FA">
            <w:pPr>
              <w:pStyle w:val="08-Tabelageral"/>
              <w:jc w:val="center"/>
              <w:cnfStyle w:val="000000000000" w:firstRow="0" w:lastRow="0" w:firstColumn="0" w:lastColumn="0" w:oddVBand="0" w:evenVBand="0" w:oddHBand="0" w:evenHBand="0" w:firstRowFirstColumn="0" w:firstRowLastColumn="0" w:lastRowFirstColumn="0" w:lastRowLastColumn="0"/>
              <w:rPr>
                <w:rFonts w:cs="Arial"/>
                <w:szCs w:val="14"/>
              </w:rPr>
            </w:pPr>
            <w:r w:rsidRPr="003321FA">
              <w:rPr>
                <w:bCs/>
              </w:rPr>
              <w:t>49,99</w:t>
            </w:r>
          </w:p>
        </w:tc>
        <w:tc>
          <w:tcPr>
            <w:tcW w:w="709" w:type="dxa"/>
            <w:tcBorders>
              <w:top w:val="nil"/>
              <w:bottom w:val="nil"/>
            </w:tcBorders>
            <w:shd w:val="clear" w:color="auto" w:fill="auto"/>
            <w:vAlign w:val="center"/>
          </w:tcPr>
          <w:p w14:paraId="4CD085D0" w14:textId="77777777" w:rsidR="003321FA" w:rsidRPr="003321FA" w:rsidRDefault="003321FA">
            <w:pPr>
              <w:pStyle w:val="08-Tabelageral"/>
              <w:jc w:val="center"/>
              <w:cnfStyle w:val="000000000000" w:firstRow="0" w:lastRow="0" w:firstColumn="0" w:lastColumn="0" w:oddVBand="0" w:evenVBand="0" w:oddHBand="0" w:evenHBand="0" w:firstRowFirstColumn="0" w:firstRowLastColumn="0" w:lastRowFirstColumn="0" w:lastRowLastColumn="0"/>
              <w:rPr>
                <w:rFonts w:cs="Arial"/>
                <w:szCs w:val="14"/>
              </w:rPr>
            </w:pPr>
            <w:r w:rsidRPr="003321FA">
              <w:rPr>
                <w:bCs/>
              </w:rPr>
              <w:t>100,00</w:t>
            </w:r>
          </w:p>
        </w:tc>
        <w:tc>
          <w:tcPr>
            <w:tcW w:w="790" w:type="dxa"/>
            <w:tcBorders>
              <w:top w:val="nil"/>
              <w:bottom w:val="nil"/>
            </w:tcBorders>
            <w:shd w:val="clear" w:color="auto" w:fill="auto"/>
            <w:vAlign w:val="center"/>
          </w:tcPr>
          <w:p w14:paraId="76AA57E6" w14:textId="77777777" w:rsidR="003321FA" w:rsidRPr="003321FA" w:rsidRDefault="003321FA">
            <w:pPr>
              <w:pStyle w:val="08-Tabelageral"/>
              <w:jc w:val="center"/>
              <w:cnfStyle w:val="000000000000" w:firstRow="0" w:lastRow="0" w:firstColumn="0" w:lastColumn="0" w:oddVBand="0" w:evenVBand="0" w:oddHBand="0" w:evenHBand="0" w:firstRowFirstColumn="0" w:firstRowLastColumn="0" w:lastRowFirstColumn="0" w:lastRowLastColumn="0"/>
              <w:rPr>
                <w:rFonts w:cs="Arial"/>
                <w:szCs w:val="14"/>
              </w:rPr>
            </w:pPr>
            <w:r w:rsidRPr="003321FA">
              <w:rPr>
                <w:bCs/>
              </w:rPr>
              <w:t>74,99</w:t>
            </w:r>
          </w:p>
        </w:tc>
      </w:tr>
      <w:tr w:rsidR="0061247C" w:rsidRPr="003321FA" w14:paraId="64213E33" w14:textId="77777777" w:rsidTr="00B9157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000" w:type="dxa"/>
            <w:vMerge/>
            <w:tcBorders>
              <w:top w:val="single" w:sz="2" w:space="0" w:color="9CC2E5" w:themeColor="accent5" w:themeTint="99"/>
              <w:left w:val="nil"/>
              <w:bottom w:val="single" w:sz="2" w:space="0" w:color="9CC2E5" w:themeColor="accent5" w:themeTint="99"/>
              <w:right w:val="single" w:sz="4" w:space="0" w:color="1F3864" w:themeColor="accent1" w:themeShade="80"/>
            </w:tcBorders>
            <w:shd w:val="clear" w:color="auto" w:fill="auto"/>
            <w:vAlign w:val="center"/>
          </w:tcPr>
          <w:p w14:paraId="5AB5B4B5" w14:textId="77777777" w:rsidR="003321FA" w:rsidRPr="003321FA" w:rsidRDefault="003321FA">
            <w:pPr>
              <w:pStyle w:val="08-Tabelageral"/>
              <w:ind w:left="113"/>
              <w:jc w:val="left"/>
              <w:rPr>
                <w:rFonts w:cs="Arial"/>
                <w:b w:val="0"/>
                <w:bCs w:val="0"/>
                <w:szCs w:val="14"/>
              </w:rPr>
            </w:pPr>
          </w:p>
        </w:tc>
        <w:tc>
          <w:tcPr>
            <w:tcW w:w="1204" w:type="dxa"/>
            <w:vMerge/>
            <w:tcBorders>
              <w:left w:val="single" w:sz="4" w:space="0" w:color="1F3864" w:themeColor="accent1" w:themeShade="80"/>
              <w:bottom w:val="single" w:sz="2" w:space="0" w:color="1F3864" w:themeColor="accent1" w:themeShade="80"/>
              <w:right w:val="single" w:sz="2" w:space="0" w:color="1F3864" w:themeColor="accent1" w:themeShade="80"/>
            </w:tcBorders>
            <w:shd w:val="clear" w:color="auto" w:fill="auto"/>
            <w:vAlign w:val="center"/>
          </w:tcPr>
          <w:p w14:paraId="07E2677D" w14:textId="77777777" w:rsidR="003321FA" w:rsidRPr="003321FA" w:rsidRDefault="003321FA">
            <w:pPr>
              <w:pStyle w:val="08-Tabelageral"/>
              <w:jc w:val="center"/>
              <w:cnfStyle w:val="000000010000" w:firstRow="0" w:lastRow="0" w:firstColumn="0" w:lastColumn="0" w:oddVBand="0" w:evenVBand="0" w:oddHBand="0" w:evenHBand="1" w:firstRowFirstColumn="0" w:firstRowLastColumn="0" w:lastRowFirstColumn="0" w:lastRowLastColumn="0"/>
              <w:rPr>
                <w:rFonts w:cs="Arial"/>
                <w:b/>
                <w:szCs w:val="14"/>
              </w:rPr>
            </w:pPr>
          </w:p>
        </w:tc>
        <w:tc>
          <w:tcPr>
            <w:tcW w:w="1534" w:type="dxa"/>
            <w:tcBorders>
              <w:top w:val="nil"/>
              <w:left w:val="single" w:sz="2" w:space="0" w:color="1F3864" w:themeColor="accent1" w:themeShade="80"/>
              <w:bottom w:val="single" w:sz="2" w:space="0" w:color="1F3864" w:themeColor="accent1" w:themeShade="80"/>
            </w:tcBorders>
            <w:shd w:val="clear" w:color="auto" w:fill="auto"/>
            <w:vAlign w:val="center"/>
          </w:tcPr>
          <w:p w14:paraId="13A8D0D3" w14:textId="77777777" w:rsidR="003321FA" w:rsidRPr="003321FA" w:rsidRDefault="003321FA">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rPr>
            </w:pPr>
            <w:r w:rsidRPr="003321FA">
              <w:rPr>
                <w:rFonts w:cs="Arial"/>
                <w:szCs w:val="14"/>
              </w:rPr>
              <w:t>Broto S.A.</w:t>
            </w:r>
          </w:p>
        </w:tc>
        <w:tc>
          <w:tcPr>
            <w:tcW w:w="1814" w:type="dxa"/>
            <w:tcBorders>
              <w:top w:val="nil"/>
              <w:bottom w:val="single" w:sz="2" w:space="0" w:color="1F3864" w:themeColor="accent1" w:themeShade="80"/>
            </w:tcBorders>
            <w:shd w:val="clear" w:color="auto" w:fill="auto"/>
            <w:vAlign w:val="center"/>
          </w:tcPr>
          <w:p w14:paraId="4E5FDAC9" w14:textId="77777777" w:rsidR="003321FA" w:rsidRPr="003321FA" w:rsidRDefault="003321FA">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rPr>
            </w:pPr>
            <w:r w:rsidRPr="003321FA">
              <w:rPr>
                <w:rFonts w:cs="Arial"/>
                <w:szCs w:val="14"/>
              </w:rPr>
              <w:t>Atuação na prestação de serviços de intermediação de negócios em geral.</w:t>
            </w:r>
          </w:p>
        </w:tc>
        <w:tc>
          <w:tcPr>
            <w:tcW w:w="1111" w:type="dxa"/>
            <w:tcBorders>
              <w:top w:val="nil"/>
              <w:bottom w:val="single" w:sz="2" w:space="0" w:color="1F3864" w:themeColor="accent1" w:themeShade="80"/>
            </w:tcBorders>
            <w:shd w:val="clear" w:color="auto" w:fill="auto"/>
            <w:vAlign w:val="center"/>
          </w:tcPr>
          <w:p w14:paraId="4E592A55" w14:textId="77777777" w:rsidR="003321FA" w:rsidRPr="003321FA" w:rsidRDefault="003321FA">
            <w:pPr>
              <w:pStyle w:val="08-Tabelageral"/>
              <w:jc w:val="center"/>
              <w:cnfStyle w:val="000000010000" w:firstRow="0" w:lastRow="0" w:firstColumn="0" w:lastColumn="0" w:oddVBand="0" w:evenVBand="0" w:oddHBand="0" w:evenHBand="1" w:firstRowFirstColumn="0" w:firstRowLastColumn="0" w:lastRowFirstColumn="0" w:lastRowLastColumn="0"/>
              <w:rPr>
                <w:bCs/>
              </w:rPr>
            </w:pPr>
            <w:r w:rsidRPr="003321FA">
              <w:rPr>
                <w:rFonts w:cs="Arial"/>
                <w:szCs w:val="14"/>
              </w:rPr>
              <w:t>BRGAAP</w:t>
            </w:r>
          </w:p>
        </w:tc>
        <w:tc>
          <w:tcPr>
            <w:tcW w:w="670" w:type="dxa"/>
            <w:tcBorders>
              <w:top w:val="nil"/>
              <w:bottom w:val="single" w:sz="2" w:space="0" w:color="1F3864" w:themeColor="accent1" w:themeShade="80"/>
            </w:tcBorders>
            <w:shd w:val="clear" w:color="auto" w:fill="auto"/>
            <w:vAlign w:val="center"/>
          </w:tcPr>
          <w:p w14:paraId="4DB9EC80" w14:textId="77777777" w:rsidR="003321FA" w:rsidRPr="003321FA" w:rsidRDefault="003321FA">
            <w:pPr>
              <w:pStyle w:val="08-Tabelageral"/>
              <w:jc w:val="center"/>
              <w:cnfStyle w:val="000000010000" w:firstRow="0" w:lastRow="0" w:firstColumn="0" w:lastColumn="0" w:oddVBand="0" w:evenVBand="0" w:oddHBand="0" w:evenHBand="1" w:firstRowFirstColumn="0" w:firstRowLastColumn="0" w:lastRowFirstColumn="0" w:lastRowLastColumn="0"/>
              <w:rPr>
                <w:bCs/>
              </w:rPr>
            </w:pPr>
          </w:p>
        </w:tc>
        <w:tc>
          <w:tcPr>
            <w:tcW w:w="666" w:type="dxa"/>
            <w:tcBorders>
              <w:top w:val="nil"/>
              <w:bottom w:val="single" w:sz="2" w:space="0" w:color="1F3864" w:themeColor="accent1" w:themeShade="80"/>
            </w:tcBorders>
            <w:shd w:val="clear" w:color="auto" w:fill="auto"/>
            <w:vAlign w:val="center"/>
          </w:tcPr>
          <w:p w14:paraId="70B2BA5F" w14:textId="77777777" w:rsidR="003321FA" w:rsidRPr="003321FA" w:rsidRDefault="003321FA">
            <w:pPr>
              <w:pStyle w:val="08-Tabelageral"/>
              <w:jc w:val="center"/>
              <w:cnfStyle w:val="000000010000" w:firstRow="0" w:lastRow="0" w:firstColumn="0" w:lastColumn="0" w:oddVBand="0" w:evenVBand="0" w:oddHBand="0" w:evenHBand="1" w:firstRowFirstColumn="0" w:firstRowLastColumn="0" w:lastRowFirstColumn="0" w:lastRowLastColumn="0"/>
              <w:rPr>
                <w:bCs/>
              </w:rPr>
            </w:pPr>
            <w:r w:rsidRPr="003321FA">
              <w:rPr>
                <w:rFonts w:cs="Arial"/>
                <w:bCs/>
                <w:lang w:eastAsia="en-US"/>
              </w:rPr>
              <w:t>74,99</w:t>
            </w:r>
          </w:p>
        </w:tc>
        <w:tc>
          <w:tcPr>
            <w:tcW w:w="709" w:type="dxa"/>
            <w:tcBorders>
              <w:top w:val="nil"/>
              <w:bottom w:val="single" w:sz="2" w:space="0" w:color="1F3864" w:themeColor="accent1" w:themeShade="80"/>
            </w:tcBorders>
            <w:shd w:val="clear" w:color="auto" w:fill="auto"/>
            <w:vAlign w:val="center"/>
          </w:tcPr>
          <w:p w14:paraId="13A4C07B" w14:textId="77777777" w:rsidR="003321FA" w:rsidRPr="003321FA" w:rsidRDefault="003321FA">
            <w:pPr>
              <w:pStyle w:val="08-Tabelageral"/>
              <w:jc w:val="center"/>
              <w:cnfStyle w:val="000000010000" w:firstRow="0" w:lastRow="0" w:firstColumn="0" w:lastColumn="0" w:oddVBand="0" w:evenVBand="0" w:oddHBand="0" w:evenHBand="1" w:firstRowFirstColumn="0" w:firstRowLastColumn="0" w:lastRowFirstColumn="0" w:lastRowLastColumn="0"/>
              <w:rPr>
                <w:bCs/>
              </w:rPr>
            </w:pPr>
            <w:r w:rsidRPr="003321FA">
              <w:rPr>
                <w:rFonts w:cs="Arial"/>
                <w:bCs/>
                <w:lang w:eastAsia="en-US"/>
              </w:rPr>
              <w:t>--</w:t>
            </w:r>
          </w:p>
        </w:tc>
        <w:tc>
          <w:tcPr>
            <w:tcW w:w="790" w:type="dxa"/>
            <w:tcBorders>
              <w:top w:val="nil"/>
              <w:bottom w:val="single" w:sz="2" w:space="0" w:color="1F3864" w:themeColor="accent1" w:themeShade="80"/>
            </w:tcBorders>
            <w:shd w:val="clear" w:color="auto" w:fill="auto"/>
            <w:vAlign w:val="center"/>
          </w:tcPr>
          <w:p w14:paraId="3278ECCD" w14:textId="77777777" w:rsidR="003321FA" w:rsidRPr="003321FA" w:rsidRDefault="003321FA">
            <w:pPr>
              <w:pStyle w:val="08-Tabelageral"/>
              <w:jc w:val="center"/>
              <w:cnfStyle w:val="000000010000" w:firstRow="0" w:lastRow="0" w:firstColumn="0" w:lastColumn="0" w:oddVBand="0" w:evenVBand="0" w:oddHBand="0" w:evenHBand="1" w:firstRowFirstColumn="0" w:firstRowLastColumn="0" w:lastRowFirstColumn="0" w:lastRowLastColumn="0"/>
              <w:rPr>
                <w:bCs/>
              </w:rPr>
            </w:pPr>
            <w:r w:rsidRPr="003321FA">
              <w:rPr>
                <w:rFonts w:cs="Arial"/>
                <w:lang w:eastAsia="en-US"/>
              </w:rPr>
              <w:t>37,50</w:t>
            </w:r>
          </w:p>
        </w:tc>
      </w:tr>
      <w:tr w:rsidR="00417DDD" w:rsidRPr="003321FA" w14:paraId="4D89D1DB" w14:textId="77777777" w:rsidTr="00B91579">
        <w:trPr>
          <w:trHeight w:val="238"/>
          <w:jc w:val="center"/>
        </w:trPr>
        <w:tc>
          <w:tcPr>
            <w:cnfStyle w:val="001000000000" w:firstRow="0" w:lastRow="0" w:firstColumn="1" w:lastColumn="0" w:oddVBand="0" w:evenVBand="0" w:oddHBand="0" w:evenHBand="0" w:firstRowFirstColumn="0" w:firstRowLastColumn="0" w:lastRowFirstColumn="0" w:lastRowLastColumn="0"/>
            <w:tcW w:w="1000" w:type="dxa"/>
            <w:vMerge/>
            <w:tcBorders>
              <w:top w:val="single" w:sz="2" w:space="0" w:color="9CC2E5" w:themeColor="accent5" w:themeTint="99"/>
              <w:left w:val="nil"/>
              <w:bottom w:val="single" w:sz="2" w:space="0" w:color="9CC2E5" w:themeColor="accent5" w:themeTint="99"/>
              <w:right w:val="single" w:sz="4" w:space="0" w:color="1F3864" w:themeColor="accent1" w:themeShade="80"/>
            </w:tcBorders>
            <w:shd w:val="clear" w:color="auto" w:fill="auto"/>
            <w:vAlign w:val="center"/>
          </w:tcPr>
          <w:p w14:paraId="6A5C208A" w14:textId="77777777" w:rsidR="003321FA" w:rsidRPr="003321FA" w:rsidRDefault="003321FA">
            <w:pPr>
              <w:pStyle w:val="08-Tabelageral"/>
              <w:ind w:left="113"/>
              <w:jc w:val="left"/>
              <w:rPr>
                <w:rFonts w:cs="Arial"/>
                <w:b w:val="0"/>
                <w:bCs w:val="0"/>
                <w:szCs w:val="14"/>
              </w:rPr>
            </w:pPr>
          </w:p>
        </w:tc>
        <w:tc>
          <w:tcPr>
            <w:tcW w:w="1204" w:type="dxa"/>
            <w:tcBorders>
              <w:top w:val="single" w:sz="2" w:space="0" w:color="1F3864" w:themeColor="accent1" w:themeShade="80"/>
              <w:left w:val="single" w:sz="4" w:space="0" w:color="1F3864" w:themeColor="accent1" w:themeShade="80"/>
              <w:right w:val="single" w:sz="2" w:space="0" w:color="1F3864" w:themeColor="accent1" w:themeShade="80"/>
            </w:tcBorders>
            <w:shd w:val="clear" w:color="auto" w:fill="auto"/>
            <w:vAlign w:val="center"/>
          </w:tcPr>
          <w:p w14:paraId="6B592B31" w14:textId="77777777" w:rsidR="003321FA" w:rsidRPr="003321FA" w:rsidRDefault="003321FA">
            <w:pPr>
              <w:pStyle w:val="08-Tabelageral"/>
              <w:jc w:val="center"/>
              <w:cnfStyle w:val="000000000000" w:firstRow="0" w:lastRow="0" w:firstColumn="0" w:lastColumn="0" w:oddVBand="0" w:evenVBand="0" w:oddHBand="0" w:evenHBand="0" w:firstRowFirstColumn="0" w:firstRowLastColumn="0" w:lastRowFirstColumn="0" w:lastRowLastColumn="0"/>
              <w:rPr>
                <w:rFonts w:cs="Arial"/>
                <w:b/>
                <w:szCs w:val="14"/>
              </w:rPr>
            </w:pPr>
            <w:r w:rsidRPr="003321FA">
              <w:rPr>
                <w:rFonts w:cs="Arial"/>
                <w:b/>
                <w:szCs w:val="14"/>
              </w:rPr>
              <w:t>Capitalização</w:t>
            </w:r>
          </w:p>
        </w:tc>
        <w:tc>
          <w:tcPr>
            <w:tcW w:w="1534" w:type="dxa"/>
            <w:tcBorders>
              <w:top w:val="single" w:sz="2" w:space="0" w:color="1F3864" w:themeColor="accent1" w:themeShade="80"/>
              <w:left w:val="single" w:sz="2" w:space="0" w:color="1F3864" w:themeColor="accent1" w:themeShade="80"/>
            </w:tcBorders>
            <w:shd w:val="clear" w:color="auto" w:fill="auto"/>
            <w:vAlign w:val="center"/>
          </w:tcPr>
          <w:p w14:paraId="56DAE791" w14:textId="77777777" w:rsidR="003321FA" w:rsidRPr="003321FA" w:rsidRDefault="003321FA">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proofErr w:type="spellStart"/>
            <w:r w:rsidRPr="003321FA">
              <w:rPr>
                <w:rFonts w:cs="Arial"/>
                <w:szCs w:val="14"/>
              </w:rPr>
              <w:t>Brasilcap</w:t>
            </w:r>
            <w:proofErr w:type="spellEnd"/>
            <w:r w:rsidRPr="003321FA">
              <w:rPr>
                <w:rFonts w:cs="Arial"/>
                <w:szCs w:val="14"/>
              </w:rPr>
              <w:t xml:space="preserve"> Capitalização S.A. (</w:t>
            </w:r>
            <w:proofErr w:type="spellStart"/>
            <w:r w:rsidRPr="003321FA">
              <w:rPr>
                <w:rFonts w:cs="Arial"/>
                <w:szCs w:val="14"/>
              </w:rPr>
              <w:t>Brasilcap</w:t>
            </w:r>
            <w:proofErr w:type="spellEnd"/>
            <w:r w:rsidRPr="003321FA">
              <w:rPr>
                <w:rFonts w:cs="Arial"/>
                <w:szCs w:val="14"/>
              </w:rPr>
              <w:t>)</w:t>
            </w:r>
          </w:p>
        </w:tc>
        <w:tc>
          <w:tcPr>
            <w:tcW w:w="1814" w:type="dxa"/>
            <w:tcBorders>
              <w:top w:val="single" w:sz="2" w:space="0" w:color="1F3864" w:themeColor="accent1" w:themeShade="80"/>
            </w:tcBorders>
            <w:shd w:val="clear" w:color="auto" w:fill="auto"/>
            <w:vAlign w:val="center"/>
          </w:tcPr>
          <w:p w14:paraId="26F28DC1" w14:textId="77777777" w:rsidR="003321FA" w:rsidRPr="003321FA" w:rsidRDefault="003321FA">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r w:rsidRPr="003321FA">
              <w:rPr>
                <w:rFonts w:cs="Arial"/>
                <w:szCs w:val="14"/>
              </w:rPr>
              <w:t>Instituição e comercialização de planos de capitalização, bem como outros produtos e serviços admitidos às sociedades de capitalização.</w:t>
            </w:r>
          </w:p>
        </w:tc>
        <w:tc>
          <w:tcPr>
            <w:tcW w:w="1111" w:type="dxa"/>
            <w:tcBorders>
              <w:top w:val="single" w:sz="2" w:space="0" w:color="1F3864" w:themeColor="accent1" w:themeShade="80"/>
            </w:tcBorders>
            <w:shd w:val="clear" w:color="auto" w:fill="auto"/>
            <w:vAlign w:val="center"/>
          </w:tcPr>
          <w:p w14:paraId="4234E40E" w14:textId="77777777" w:rsidR="003321FA" w:rsidRPr="003321FA" w:rsidRDefault="003321FA">
            <w:pPr>
              <w:pStyle w:val="08-Tabelageral"/>
              <w:jc w:val="center"/>
              <w:cnfStyle w:val="000000000000" w:firstRow="0" w:lastRow="0" w:firstColumn="0" w:lastColumn="0" w:oddVBand="0" w:evenVBand="0" w:oddHBand="0" w:evenHBand="0" w:firstRowFirstColumn="0" w:firstRowLastColumn="0" w:lastRowFirstColumn="0" w:lastRowLastColumn="0"/>
              <w:rPr>
                <w:bCs/>
              </w:rPr>
            </w:pPr>
            <w:r w:rsidRPr="003321FA">
              <w:rPr>
                <w:bCs/>
              </w:rPr>
              <w:t>SUSEPGAAP</w:t>
            </w:r>
          </w:p>
        </w:tc>
        <w:tc>
          <w:tcPr>
            <w:tcW w:w="670" w:type="dxa"/>
            <w:tcBorders>
              <w:top w:val="single" w:sz="2" w:space="0" w:color="1F3864" w:themeColor="accent1" w:themeShade="80"/>
              <w:bottom w:val="nil"/>
            </w:tcBorders>
            <w:shd w:val="clear" w:color="auto" w:fill="auto"/>
            <w:vAlign w:val="center"/>
          </w:tcPr>
          <w:p w14:paraId="021DB6BF" w14:textId="77777777" w:rsidR="003321FA" w:rsidRPr="003321FA" w:rsidRDefault="003321FA">
            <w:pPr>
              <w:pStyle w:val="08-Tabelageral"/>
              <w:jc w:val="center"/>
              <w:cnfStyle w:val="000000000000" w:firstRow="0" w:lastRow="0" w:firstColumn="0" w:lastColumn="0" w:oddVBand="0" w:evenVBand="0" w:oddHBand="0" w:evenHBand="0" w:firstRowFirstColumn="0" w:firstRowLastColumn="0" w:lastRowFirstColumn="0" w:lastRowLastColumn="0"/>
              <w:rPr>
                <w:b/>
                <w:bCs/>
              </w:rPr>
            </w:pPr>
          </w:p>
        </w:tc>
        <w:tc>
          <w:tcPr>
            <w:tcW w:w="666" w:type="dxa"/>
            <w:tcBorders>
              <w:top w:val="single" w:sz="2" w:space="0" w:color="1F3864" w:themeColor="accent1" w:themeShade="80"/>
              <w:bottom w:val="nil"/>
            </w:tcBorders>
            <w:shd w:val="clear" w:color="auto" w:fill="auto"/>
            <w:vAlign w:val="center"/>
          </w:tcPr>
          <w:p w14:paraId="48F85FB4" w14:textId="77777777" w:rsidR="003321FA" w:rsidRPr="003321FA" w:rsidRDefault="003321FA">
            <w:pPr>
              <w:pStyle w:val="08-Tabelageral"/>
              <w:jc w:val="left"/>
              <w:cnfStyle w:val="000000000000" w:firstRow="0" w:lastRow="0" w:firstColumn="0" w:lastColumn="0" w:oddVBand="0" w:evenVBand="0" w:oddHBand="0" w:evenHBand="0" w:firstRowFirstColumn="0" w:firstRowLastColumn="0" w:lastRowFirstColumn="0" w:lastRowLastColumn="0"/>
              <w:rPr>
                <w:bCs/>
              </w:rPr>
            </w:pPr>
            <w:r w:rsidRPr="003321FA">
              <w:rPr>
                <w:bCs/>
              </w:rPr>
              <w:t>49,99</w:t>
            </w:r>
          </w:p>
        </w:tc>
        <w:tc>
          <w:tcPr>
            <w:tcW w:w="709" w:type="dxa"/>
            <w:tcBorders>
              <w:top w:val="single" w:sz="2" w:space="0" w:color="1F3864" w:themeColor="accent1" w:themeShade="80"/>
              <w:bottom w:val="nil"/>
            </w:tcBorders>
            <w:shd w:val="clear" w:color="auto" w:fill="auto"/>
            <w:vAlign w:val="center"/>
          </w:tcPr>
          <w:p w14:paraId="7B7C5D92" w14:textId="77777777" w:rsidR="003321FA" w:rsidRPr="003321FA" w:rsidRDefault="003321FA">
            <w:pPr>
              <w:pStyle w:val="08-Tabelageral"/>
              <w:jc w:val="center"/>
              <w:cnfStyle w:val="000000000000" w:firstRow="0" w:lastRow="0" w:firstColumn="0" w:lastColumn="0" w:oddVBand="0" w:evenVBand="0" w:oddHBand="0" w:evenHBand="0" w:firstRowFirstColumn="0" w:firstRowLastColumn="0" w:lastRowFirstColumn="0" w:lastRowLastColumn="0"/>
              <w:rPr>
                <w:bCs/>
              </w:rPr>
            </w:pPr>
            <w:r w:rsidRPr="003321FA">
              <w:rPr>
                <w:bCs/>
              </w:rPr>
              <w:t>86,43</w:t>
            </w:r>
          </w:p>
        </w:tc>
        <w:tc>
          <w:tcPr>
            <w:tcW w:w="790" w:type="dxa"/>
            <w:tcBorders>
              <w:top w:val="single" w:sz="2" w:space="0" w:color="1F3864" w:themeColor="accent1" w:themeShade="80"/>
              <w:bottom w:val="nil"/>
            </w:tcBorders>
            <w:shd w:val="clear" w:color="auto" w:fill="auto"/>
            <w:vAlign w:val="center"/>
          </w:tcPr>
          <w:p w14:paraId="6D1EB16F" w14:textId="77777777" w:rsidR="003321FA" w:rsidRPr="003321FA" w:rsidRDefault="003321FA">
            <w:pPr>
              <w:pStyle w:val="08-Tabelageral"/>
              <w:jc w:val="center"/>
              <w:cnfStyle w:val="000000000000" w:firstRow="0" w:lastRow="0" w:firstColumn="0" w:lastColumn="0" w:oddVBand="0" w:evenVBand="0" w:oddHBand="0" w:evenHBand="0" w:firstRowFirstColumn="0" w:firstRowLastColumn="0" w:lastRowFirstColumn="0" w:lastRowLastColumn="0"/>
              <w:rPr>
                <w:bCs/>
              </w:rPr>
            </w:pPr>
            <w:r w:rsidRPr="003321FA">
              <w:rPr>
                <w:bCs/>
              </w:rPr>
              <w:t>66,77</w:t>
            </w:r>
          </w:p>
        </w:tc>
      </w:tr>
      <w:tr w:rsidR="0061247C" w:rsidRPr="003321FA" w14:paraId="5229CC40" w14:textId="77777777" w:rsidTr="00B9157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000" w:type="dxa"/>
            <w:vMerge/>
            <w:tcBorders>
              <w:top w:val="single" w:sz="2" w:space="0" w:color="9CC2E5" w:themeColor="accent5" w:themeTint="99"/>
              <w:left w:val="nil"/>
              <w:bottom w:val="single" w:sz="2" w:space="0" w:color="9CC2E5" w:themeColor="accent5" w:themeTint="99"/>
              <w:right w:val="single" w:sz="4" w:space="0" w:color="1F3864" w:themeColor="accent1" w:themeShade="80"/>
            </w:tcBorders>
            <w:shd w:val="clear" w:color="auto" w:fill="auto"/>
            <w:vAlign w:val="center"/>
          </w:tcPr>
          <w:p w14:paraId="3B449301" w14:textId="77777777" w:rsidR="003321FA" w:rsidRPr="003321FA" w:rsidRDefault="003321FA">
            <w:pPr>
              <w:pStyle w:val="08-Tabelageral"/>
              <w:ind w:left="113"/>
              <w:jc w:val="left"/>
              <w:rPr>
                <w:rFonts w:cs="Arial"/>
                <w:b w:val="0"/>
                <w:bCs w:val="0"/>
                <w:szCs w:val="14"/>
              </w:rPr>
            </w:pPr>
          </w:p>
        </w:tc>
        <w:tc>
          <w:tcPr>
            <w:tcW w:w="1204" w:type="dxa"/>
            <w:tcBorders>
              <w:top w:val="single" w:sz="2" w:space="0" w:color="1F3864" w:themeColor="accent1" w:themeShade="80"/>
              <w:left w:val="single" w:sz="4" w:space="0" w:color="1F3864" w:themeColor="accent1" w:themeShade="80"/>
              <w:bottom w:val="single" w:sz="2" w:space="0" w:color="1F3864" w:themeColor="accent1" w:themeShade="80"/>
              <w:right w:val="single" w:sz="2" w:space="0" w:color="1F3864" w:themeColor="accent1" w:themeShade="80"/>
            </w:tcBorders>
            <w:shd w:val="clear" w:color="auto" w:fill="auto"/>
            <w:vAlign w:val="center"/>
          </w:tcPr>
          <w:p w14:paraId="50C85C0A" w14:textId="77777777" w:rsidR="003321FA" w:rsidRPr="003321FA" w:rsidRDefault="003321FA">
            <w:pPr>
              <w:pStyle w:val="08-Tabelageral"/>
              <w:jc w:val="center"/>
              <w:cnfStyle w:val="000000010000" w:firstRow="0" w:lastRow="0" w:firstColumn="0" w:lastColumn="0" w:oddVBand="0" w:evenVBand="0" w:oddHBand="0" w:evenHBand="1" w:firstRowFirstColumn="0" w:firstRowLastColumn="0" w:lastRowFirstColumn="0" w:lastRowLastColumn="0"/>
              <w:rPr>
                <w:rFonts w:cs="Arial"/>
                <w:b/>
                <w:szCs w:val="14"/>
              </w:rPr>
            </w:pPr>
            <w:r w:rsidRPr="003321FA">
              <w:rPr>
                <w:rFonts w:cs="Arial"/>
                <w:b/>
                <w:szCs w:val="14"/>
              </w:rPr>
              <w:t>Previdência Privada</w:t>
            </w:r>
          </w:p>
        </w:tc>
        <w:tc>
          <w:tcPr>
            <w:tcW w:w="1534" w:type="dxa"/>
            <w:tcBorders>
              <w:top w:val="single" w:sz="2" w:space="0" w:color="1F3864" w:themeColor="accent1" w:themeShade="80"/>
              <w:left w:val="single" w:sz="2" w:space="0" w:color="1F3864" w:themeColor="accent1" w:themeShade="80"/>
              <w:bottom w:val="single" w:sz="2" w:space="0" w:color="1F3864" w:themeColor="accent1" w:themeShade="80"/>
            </w:tcBorders>
            <w:shd w:val="clear" w:color="auto" w:fill="auto"/>
            <w:vAlign w:val="center"/>
          </w:tcPr>
          <w:p w14:paraId="317FBAD5" w14:textId="77777777" w:rsidR="003321FA" w:rsidRPr="003321FA" w:rsidRDefault="003321FA">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rPr>
            </w:pPr>
            <w:r w:rsidRPr="003321FA">
              <w:rPr>
                <w:rFonts w:cs="Arial"/>
                <w:szCs w:val="14"/>
              </w:rPr>
              <w:t>Brasilprev Seguros e Previdência S.A. (Brasilprev)</w:t>
            </w:r>
          </w:p>
        </w:tc>
        <w:tc>
          <w:tcPr>
            <w:tcW w:w="1814" w:type="dxa"/>
            <w:tcBorders>
              <w:top w:val="single" w:sz="2" w:space="0" w:color="1F3864" w:themeColor="accent1" w:themeShade="80"/>
              <w:bottom w:val="single" w:sz="2" w:space="0" w:color="1F3864" w:themeColor="accent1" w:themeShade="80"/>
            </w:tcBorders>
            <w:shd w:val="clear" w:color="auto" w:fill="auto"/>
            <w:vAlign w:val="center"/>
          </w:tcPr>
          <w:p w14:paraId="0C2F56FF" w14:textId="77777777" w:rsidR="003321FA" w:rsidRPr="003321FA" w:rsidRDefault="003321FA">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rPr>
            </w:pPr>
            <w:r w:rsidRPr="003321FA">
              <w:rPr>
                <w:rFonts w:cs="Arial"/>
                <w:szCs w:val="14"/>
              </w:rPr>
              <w:t>Comercialização de seguros de vida com cobertura de sobrevivência e planos de benefícios de caráter previdenciário, pessoas e vida individual.</w:t>
            </w:r>
          </w:p>
        </w:tc>
        <w:tc>
          <w:tcPr>
            <w:tcW w:w="1111" w:type="dxa"/>
            <w:tcBorders>
              <w:top w:val="single" w:sz="2" w:space="0" w:color="1F3864" w:themeColor="accent1" w:themeShade="80"/>
              <w:bottom w:val="single" w:sz="2" w:space="0" w:color="1F3864" w:themeColor="accent1" w:themeShade="80"/>
            </w:tcBorders>
            <w:shd w:val="clear" w:color="auto" w:fill="auto"/>
            <w:vAlign w:val="center"/>
          </w:tcPr>
          <w:p w14:paraId="0F293168" w14:textId="77777777" w:rsidR="003321FA" w:rsidRPr="003321FA" w:rsidRDefault="003321FA">
            <w:pPr>
              <w:pStyle w:val="08-Tabelageral"/>
              <w:jc w:val="center"/>
              <w:cnfStyle w:val="000000010000" w:firstRow="0" w:lastRow="0" w:firstColumn="0" w:lastColumn="0" w:oddVBand="0" w:evenVBand="0" w:oddHBand="0" w:evenHBand="1" w:firstRowFirstColumn="0" w:firstRowLastColumn="0" w:lastRowFirstColumn="0" w:lastRowLastColumn="0"/>
              <w:rPr>
                <w:bCs/>
              </w:rPr>
            </w:pPr>
            <w:r w:rsidRPr="003321FA">
              <w:rPr>
                <w:bCs/>
              </w:rPr>
              <w:t>SUSEPGAAP</w:t>
            </w:r>
          </w:p>
        </w:tc>
        <w:tc>
          <w:tcPr>
            <w:tcW w:w="670" w:type="dxa"/>
            <w:tcBorders>
              <w:top w:val="single" w:sz="4" w:space="0" w:color="1F3864" w:themeColor="accent1" w:themeShade="80"/>
              <w:bottom w:val="single" w:sz="2" w:space="0" w:color="1F3864" w:themeColor="accent1" w:themeShade="80"/>
            </w:tcBorders>
            <w:shd w:val="clear" w:color="auto" w:fill="auto"/>
            <w:vAlign w:val="center"/>
          </w:tcPr>
          <w:p w14:paraId="3A59222C" w14:textId="77777777" w:rsidR="003321FA" w:rsidRPr="003321FA" w:rsidRDefault="003321FA">
            <w:pPr>
              <w:pStyle w:val="08-Tabelageral"/>
              <w:jc w:val="center"/>
              <w:cnfStyle w:val="000000010000" w:firstRow="0" w:lastRow="0" w:firstColumn="0" w:lastColumn="0" w:oddVBand="0" w:evenVBand="0" w:oddHBand="0" w:evenHBand="1" w:firstRowFirstColumn="0" w:firstRowLastColumn="0" w:lastRowFirstColumn="0" w:lastRowLastColumn="0"/>
              <w:rPr>
                <w:bCs/>
              </w:rPr>
            </w:pPr>
          </w:p>
        </w:tc>
        <w:tc>
          <w:tcPr>
            <w:tcW w:w="666" w:type="dxa"/>
            <w:tcBorders>
              <w:top w:val="single" w:sz="4" w:space="0" w:color="1F3864" w:themeColor="accent1" w:themeShade="80"/>
              <w:bottom w:val="single" w:sz="2" w:space="0" w:color="1F3864" w:themeColor="accent1" w:themeShade="80"/>
            </w:tcBorders>
            <w:shd w:val="clear" w:color="auto" w:fill="auto"/>
            <w:vAlign w:val="center"/>
          </w:tcPr>
          <w:p w14:paraId="0880BF17" w14:textId="77777777" w:rsidR="003321FA" w:rsidRPr="003321FA" w:rsidRDefault="003321FA">
            <w:pPr>
              <w:pStyle w:val="08-Tabelageral"/>
              <w:jc w:val="center"/>
              <w:cnfStyle w:val="000000010000" w:firstRow="0" w:lastRow="0" w:firstColumn="0" w:lastColumn="0" w:oddVBand="0" w:evenVBand="0" w:oddHBand="0" w:evenHBand="1" w:firstRowFirstColumn="0" w:firstRowLastColumn="0" w:lastRowFirstColumn="0" w:lastRowLastColumn="0"/>
              <w:rPr>
                <w:bCs/>
              </w:rPr>
            </w:pPr>
            <w:r w:rsidRPr="003321FA">
              <w:rPr>
                <w:bCs/>
              </w:rPr>
              <w:t>49,99</w:t>
            </w:r>
          </w:p>
        </w:tc>
        <w:tc>
          <w:tcPr>
            <w:tcW w:w="709" w:type="dxa"/>
            <w:tcBorders>
              <w:top w:val="single" w:sz="4" w:space="0" w:color="1F3864" w:themeColor="accent1" w:themeShade="80"/>
              <w:bottom w:val="single" w:sz="2" w:space="0" w:color="1F3864" w:themeColor="accent1" w:themeShade="80"/>
            </w:tcBorders>
            <w:shd w:val="clear" w:color="auto" w:fill="auto"/>
            <w:vAlign w:val="center"/>
          </w:tcPr>
          <w:p w14:paraId="4E2F854F" w14:textId="77777777" w:rsidR="003321FA" w:rsidRPr="003321FA" w:rsidRDefault="003321FA">
            <w:pPr>
              <w:pStyle w:val="08-Tabelageral"/>
              <w:jc w:val="center"/>
              <w:cnfStyle w:val="000000010000" w:firstRow="0" w:lastRow="0" w:firstColumn="0" w:lastColumn="0" w:oddVBand="0" w:evenVBand="0" w:oddHBand="0" w:evenHBand="1" w:firstRowFirstColumn="0" w:firstRowLastColumn="0" w:lastRowFirstColumn="0" w:lastRowLastColumn="0"/>
              <w:rPr>
                <w:bCs/>
              </w:rPr>
            </w:pPr>
            <w:r w:rsidRPr="003321FA">
              <w:rPr>
                <w:bCs/>
              </w:rPr>
              <w:t>100,00</w:t>
            </w:r>
          </w:p>
        </w:tc>
        <w:tc>
          <w:tcPr>
            <w:tcW w:w="790" w:type="dxa"/>
            <w:tcBorders>
              <w:top w:val="single" w:sz="4" w:space="0" w:color="1F3864" w:themeColor="accent1" w:themeShade="80"/>
              <w:bottom w:val="single" w:sz="2" w:space="0" w:color="1F3864" w:themeColor="accent1" w:themeShade="80"/>
            </w:tcBorders>
            <w:shd w:val="clear" w:color="auto" w:fill="auto"/>
            <w:vAlign w:val="center"/>
          </w:tcPr>
          <w:p w14:paraId="101A0B22" w14:textId="77777777" w:rsidR="003321FA" w:rsidRPr="003321FA" w:rsidRDefault="003321FA">
            <w:pPr>
              <w:pStyle w:val="08-Tabelageral"/>
              <w:jc w:val="center"/>
              <w:cnfStyle w:val="000000010000" w:firstRow="0" w:lastRow="0" w:firstColumn="0" w:lastColumn="0" w:oddVBand="0" w:evenVBand="0" w:oddHBand="0" w:evenHBand="1" w:firstRowFirstColumn="0" w:firstRowLastColumn="0" w:lastRowFirstColumn="0" w:lastRowLastColumn="0"/>
              <w:rPr>
                <w:bCs/>
              </w:rPr>
            </w:pPr>
            <w:r w:rsidRPr="003321FA">
              <w:rPr>
                <w:bCs/>
              </w:rPr>
              <w:t>74,99</w:t>
            </w:r>
          </w:p>
        </w:tc>
      </w:tr>
      <w:tr w:rsidR="003321FA" w:rsidRPr="003321FA" w14:paraId="2ECAD8B8" w14:textId="77777777" w:rsidTr="00B91579">
        <w:trPr>
          <w:trHeight w:val="238"/>
          <w:jc w:val="center"/>
        </w:trPr>
        <w:tc>
          <w:tcPr>
            <w:cnfStyle w:val="001000000000" w:firstRow="0" w:lastRow="0" w:firstColumn="1" w:lastColumn="0" w:oddVBand="0" w:evenVBand="0" w:oddHBand="0" w:evenHBand="0" w:firstRowFirstColumn="0" w:firstRowLastColumn="0" w:lastRowFirstColumn="0" w:lastRowLastColumn="0"/>
            <w:tcW w:w="1000" w:type="dxa"/>
            <w:vMerge/>
            <w:tcBorders>
              <w:top w:val="single" w:sz="2" w:space="0" w:color="9CC2E5" w:themeColor="accent5" w:themeTint="99"/>
              <w:left w:val="nil"/>
              <w:bottom w:val="single" w:sz="2" w:space="0" w:color="1F3864" w:themeColor="accent1" w:themeShade="80"/>
              <w:right w:val="single" w:sz="2" w:space="0" w:color="1F3864" w:themeColor="accent1" w:themeShade="80"/>
            </w:tcBorders>
            <w:shd w:val="clear" w:color="auto" w:fill="auto"/>
            <w:vAlign w:val="center"/>
          </w:tcPr>
          <w:p w14:paraId="288D963B" w14:textId="77777777" w:rsidR="003321FA" w:rsidRPr="003321FA" w:rsidRDefault="003321FA">
            <w:pPr>
              <w:pStyle w:val="08-Tabelageral"/>
              <w:ind w:left="113"/>
              <w:jc w:val="left"/>
              <w:rPr>
                <w:rFonts w:cs="Arial"/>
                <w:b w:val="0"/>
                <w:bCs w:val="0"/>
                <w:szCs w:val="14"/>
              </w:rPr>
            </w:pPr>
          </w:p>
        </w:tc>
        <w:tc>
          <w:tcPr>
            <w:tcW w:w="1204" w:type="dxa"/>
            <w:tcBorders>
              <w:top w:val="single" w:sz="2" w:space="0" w:color="1F3864" w:themeColor="accent1" w:themeShade="80"/>
              <w:left w:val="single" w:sz="2" w:space="0" w:color="1F3864" w:themeColor="accent1" w:themeShade="80"/>
              <w:bottom w:val="single" w:sz="2" w:space="0" w:color="1F3864" w:themeColor="accent1" w:themeShade="80"/>
              <w:right w:val="single" w:sz="2" w:space="0" w:color="1F3864" w:themeColor="accent1" w:themeShade="80"/>
            </w:tcBorders>
            <w:shd w:val="clear" w:color="auto" w:fill="auto"/>
            <w:vAlign w:val="center"/>
          </w:tcPr>
          <w:p w14:paraId="5AC92D40" w14:textId="77777777" w:rsidR="003321FA" w:rsidRPr="003321FA" w:rsidRDefault="003321FA">
            <w:pPr>
              <w:pStyle w:val="08-Tabelageral"/>
              <w:jc w:val="center"/>
              <w:cnfStyle w:val="000000000000" w:firstRow="0" w:lastRow="0" w:firstColumn="0" w:lastColumn="0" w:oddVBand="0" w:evenVBand="0" w:oddHBand="0" w:evenHBand="0" w:firstRowFirstColumn="0" w:firstRowLastColumn="0" w:lastRowFirstColumn="0" w:lastRowLastColumn="0"/>
              <w:rPr>
                <w:rFonts w:cs="Arial"/>
                <w:b/>
                <w:szCs w:val="14"/>
              </w:rPr>
            </w:pPr>
            <w:r w:rsidRPr="003321FA">
              <w:rPr>
                <w:rFonts w:cs="Arial"/>
                <w:b/>
                <w:szCs w:val="14"/>
              </w:rPr>
              <w:t>Saúde</w:t>
            </w:r>
          </w:p>
        </w:tc>
        <w:tc>
          <w:tcPr>
            <w:tcW w:w="1534" w:type="dxa"/>
            <w:tcBorders>
              <w:top w:val="single" w:sz="2" w:space="0" w:color="1F3864" w:themeColor="accent1" w:themeShade="80"/>
              <w:left w:val="single" w:sz="2" w:space="0" w:color="1F3864" w:themeColor="accent1" w:themeShade="80"/>
              <w:bottom w:val="single" w:sz="2" w:space="0" w:color="1F3864" w:themeColor="accent1" w:themeShade="80"/>
            </w:tcBorders>
            <w:shd w:val="clear" w:color="auto" w:fill="auto"/>
            <w:vAlign w:val="center"/>
          </w:tcPr>
          <w:p w14:paraId="72D9C597" w14:textId="77777777" w:rsidR="003321FA" w:rsidRPr="003321FA" w:rsidRDefault="003321FA">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proofErr w:type="spellStart"/>
            <w:r w:rsidRPr="003321FA">
              <w:rPr>
                <w:rFonts w:cs="Arial"/>
                <w:szCs w:val="14"/>
              </w:rPr>
              <w:t>Brasildental</w:t>
            </w:r>
            <w:proofErr w:type="spellEnd"/>
            <w:r w:rsidRPr="003321FA">
              <w:rPr>
                <w:rFonts w:cs="Arial"/>
                <w:szCs w:val="14"/>
              </w:rPr>
              <w:t xml:space="preserve"> Operadora de Planos Odontológicos S.A. (</w:t>
            </w:r>
            <w:proofErr w:type="spellStart"/>
            <w:r w:rsidRPr="003321FA">
              <w:rPr>
                <w:rFonts w:cs="Arial"/>
                <w:szCs w:val="14"/>
              </w:rPr>
              <w:t>Brasildental</w:t>
            </w:r>
            <w:proofErr w:type="spellEnd"/>
            <w:r w:rsidRPr="003321FA">
              <w:rPr>
                <w:rFonts w:cs="Arial"/>
                <w:szCs w:val="14"/>
              </w:rPr>
              <w:t>)</w:t>
            </w:r>
          </w:p>
        </w:tc>
        <w:tc>
          <w:tcPr>
            <w:tcW w:w="1814" w:type="dxa"/>
            <w:tcBorders>
              <w:top w:val="single" w:sz="2" w:space="0" w:color="1F3864" w:themeColor="accent1" w:themeShade="80"/>
              <w:bottom w:val="single" w:sz="2" w:space="0" w:color="1F3864" w:themeColor="accent1" w:themeShade="80"/>
            </w:tcBorders>
            <w:shd w:val="clear" w:color="auto" w:fill="auto"/>
            <w:vAlign w:val="center"/>
          </w:tcPr>
          <w:p w14:paraId="277E2DCA" w14:textId="77777777" w:rsidR="003321FA" w:rsidRPr="003321FA" w:rsidRDefault="003321FA">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r w:rsidRPr="003321FA">
              <w:rPr>
                <w:rFonts w:cs="Arial"/>
                <w:szCs w:val="14"/>
              </w:rPr>
              <w:t>Comercialização de planos de assistência odontológica.</w:t>
            </w:r>
          </w:p>
        </w:tc>
        <w:tc>
          <w:tcPr>
            <w:tcW w:w="1111" w:type="dxa"/>
            <w:tcBorders>
              <w:top w:val="single" w:sz="2" w:space="0" w:color="1F3864" w:themeColor="accent1" w:themeShade="80"/>
              <w:bottom w:val="single" w:sz="2" w:space="0" w:color="1F3864" w:themeColor="accent1" w:themeShade="80"/>
            </w:tcBorders>
            <w:shd w:val="clear" w:color="auto" w:fill="auto"/>
            <w:vAlign w:val="center"/>
          </w:tcPr>
          <w:p w14:paraId="2EAF62A5" w14:textId="77777777" w:rsidR="003321FA" w:rsidRPr="003321FA" w:rsidRDefault="003321FA">
            <w:pPr>
              <w:pStyle w:val="08-Tabelageral"/>
              <w:jc w:val="center"/>
              <w:cnfStyle w:val="000000000000" w:firstRow="0" w:lastRow="0" w:firstColumn="0" w:lastColumn="0" w:oddVBand="0" w:evenVBand="0" w:oddHBand="0" w:evenHBand="0" w:firstRowFirstColumn="0" w:firstRowLastColumn="0" w:lastRowFirstColumn="0" w:lastRowLastColumn="0"/>
              <w:rPr>
                <w:bCs/>
              </w:rPr>
            </w:pPr>
            <w:r w:rsidRPr="003321FA">
              <w:rPr>
                <w:bCs/>
              </w:rPr>
              <w:t>ANSGAAP</w:t>
            </w:r>
          </w:p>
        </w:tc>
        <w:tc>
          <w:tcPr>
            <w:tcW w:w="670" w:type="dxa"/>
            <w:tcBorders>
              <w:top w:val="single" w:sz="2" w:space="0" w:color="1F3864" w:themeColor="accent1" w:themeShade="80"/>
              <w:bottom w:val="single" w:sz="2" w:space="0" w:color="1F3864" w:themeColor="accent1" w:themeShade="80"/>
            </w:tcBorders>
            <w:shd w:val="clear" w:color="auto" w:fill="auto"/>
            <w:vAlign w:val="center"/>
          </w:tcPr>
          <w:p w14:paraId="196819A1" w14:textId="77777777" w:rsidR="003321FA" w:rsidRPr="003321FA" w:rsidRDefault="003321FA">
            <w:pPr>
              <w:pStyle w:val="08-Tabelageral"/>
              <w:jc w:val="center"/>
              <w:cnfStyle w:val="000000000000" w:firstRow="0" w:lastRow="0" w:firstColumn="0" w:lastColumn="0" w:oddVBand="0" w:evenVBand="0" w:oddHBand="0" w:evenHBand="0" w:firstRowFirstColumn="0" w:firstRowLastColumn="0" w:lastRowFirstColumn="0" w:lastRowLastColumn="0"/>
              <w:rPr>
                <w:bCs/>
              </w:rPr>
            </w:pPr>
          </w:p>
        </w:tc>
        <w:tc>
          <w:tcPr>
            <w:tcW w:w="666" w:type="dxa"/>
            <w:tcBorders>
              <w:top w:val="single" w:sz="2" w:space="0" w:color="1F3864" w:themeColor="accent1" w:themeShade="80"/>
              <w:bottom w:val="single" w:sz="2" w:space="0" w:color="1F3864" w:themeColor="accent1" w:themeShade="80"/>
            </w:tcBorders>
            <w:shd w:val="clear" w:color="auto" w:fill="auto"/>
            <w:vAlign w:val="center"/>
          </w:tcPr>
          <w:p w14:paraId="49ABE61E" w14:textId="77777777" w:rsidR="003321FA" w:rsidRPr="003321FA" w:rsidRDefault="003321FA">
            <w:pPr>
              <w:pStyle w:val="08-Tabelageral"/>
              <w:jc w:val="center"/>
              <w:cnfStyle w:val="000000000000" w:firstRow="0" w:lastRow="0" w:firstColumn="0" w:lastColumn="0" w:oddVBand="0" w:evenVBand="0" w:oddHBand="0" w:evenHBand="0" w:firstRowFirstColumn="0" w:firstRowLastColumn="0" w:lastRowFirstColumn="0" w:lastRowLastColumn="0"/>
              <w:rPr>
                <w:bCs/>
              </w:rPr>
            </w:pPr>
            <w:r w:rsidRPr="003321FA">
              <w:rPr>
                <w:bCs/>
              </w:rPr>
              <w:t>49,99</w:t>
            </w:r>
          </w:p>
        </w:tc>
        <w:tc>
          <w:tcPr>
            <w:tcW w:w="709" w:type="dxa"/>
            <w:tcBorders>
              <w:top w:val="single" w:sz="2" w:space="0" w:color="1F3864" w:themeColor="accent1" w:themeShade="80"/>
              <w:bottom w:val="single" w:sz="2" w:space="0" w:color="1F3864" w:themeColor="accent1" w:themeShade="80"/>
            </w:tcBorders>
            <w:shd w:val="clear" w:color="auto" w:fill="auto"/>
            <w:vAlign w:val="center"/>
          </w:tcPr>
          <w:p w14:paraId="62A7E251" w14:textId="77777777" w:rsidR="003321FA" w:rsidRPr="003321FA" w:rsidRDefault="003321FA">
            <w:pPr>
              <w:pStyle w:val="08-Tabelageral"/>
              <w:jc w:val="center"/>
              <w:cnfStyle w:val="000000000000" w:firstRow="0" w:lastRow="0" w:firstColumn="0" w:lastColumn="0" w:oddVBand="0" w:evenVBand="0" w:oddHBand="0" w:evenHBand="0" w:firstRowFirstColumn="0" w:firstRowLastColumn="0" w:lastRowFirstColumn="0" w:lastRowLastColumn="0"/>
              <w:rPr>
                <w:bCs/>
              </w:rPr>
            </w:pPr>
            <w:r w:rsidRPr="003321FA">
              <w:rPr>
                <w:bCs/>
              </w:rPr>
              <w:t>100,00</w:t>
            </w:r>
          </w:p>
        </w:tc>
        <w:tc>
          <w:tcPr>
            <w:tcW w:w="790" w:type="dxa"/>
            <w:tcBorders>
              <w:top w:val="single" w:sz="2" w:space="0" w:color="1F3864" w:themeColor="accent1" w:themeShade="80"/>
              <w:bottom w:val="single" w:sz="2" w:space="0" w:color="1F3864" w:themeColor="accent1" w:themeShade="80"/>
            </w:tcBorders>
            <w:shd w:val="clear" w:color="auto" w:fill="auto"/>
            <w:vAlign w:val="center"/>
          </w:tcPr>
          <w:p w14:paraId="5DA219F6" w14:textId="77777777" w:rsidR="003321FA" w:rsidRPr="003321FA" w:rsidRDefault="003321FA">
            <w:pPr>
              <w:pStyle w:val="08-Tabelageral"/>
              <w:jc w:val="center"/>
              <w:cnfStyle w:val="000000000000" w:firstRow="0" w:lastRow="0" w:firstColumn="0" w:lastColumn="0" w:oddVBand="0" w:evenVBand="0" w:oddHBand="0" w:evenHBand="0" w:firstRowFirstColumn="0" w:firstRowLastColumn="0" w:lastRowFirstColumn="0" w:lastRowLastColumn="0"/>
              <w:rPr>
                <w:bCs/>
              </w:rPr>
            </w:pPr>
            <w:r w:rsidRPr="003321FA">
              <w:rPr>
                <w:bCs/>
              </w:rPr>
              <w:t>74,99</w:t>
            </w:r>
          </w:p>
        </w:tc>
      </w:tr>
      <w:tr w:rsidR="0061247C" w:rsidRPr="003321FA" w14:paraId="429E6B9A" w14:textId="77777777" w:rsidTr="00B9157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000" w:type="dxa"/>
            <w:vMerge w:val="restart"/>
            <w:tcBorders>
              <w:top w:val="single" w:sz="2" w:space="0" w:color="1F3864" w:themeColor="accent1" w:themeShade="80"/>
              <w:left w:val="nil"/>
              <w:bottom w:val="single" w:sz="2" w:space="0" w:color="1F3864" w:themeColor="accent1" w:themeShade="80"/>
              <w:right w:val="single" w:sz="2" w:space="0" w:color="1F3864" w:themeColor="accent1" w:themeShade="80"/>
            </w:tcBorders>
            <w:shd w:val="clear" w:color="auto" w:fill="auto"/>
            <w:vAlign w:val="center"/>
          </w:tcPr>
          <w:p w14:paraId="36E8E954" w14:textId="77777777" w:rsidR="003321FA" w:rsidRPr="003321FA" w:rsidRDefault="003321FA">
            <w:pPr>
              <w:pStyle w:val="08-Tabelageral"/>
              <w:jc w:val="center"/>
              <w:rPr>
                <w:rFonts w:cs="Arial"/>
                <w:b w:val="0"/>
                <w:bCs w:val="0"/>
                <w:szCs w:val="14"/>
              </w:rPr>
            </w:pPr>
            <w:r w:rsidRPr="003321FA">
              <w:rPr>
                <w:rFonts w:cs="Arial"/>
                <w:bCs w:val="0"/>
                <w:szCs w:val="14"/>
              </w:rPr>
              <w:t>Corretagem</w:t>
            </w:r>
          </w:p>
        </w:tc>
        <w:tc>
          <w:tcPr>
            <w:tcW w:w="1204" w:type="dxa"/>
            <w:tcBorders>
              <w:top w:val="single" w:sz="2" w:space="0" w:color="1F3864" w:themeColor="accent1" w:themeShade="80"/>
              <w:left w:val="single" w:sz="2" w:space="0" w:color="1F3864" w:themeColor="accent1" w:themeShade="80"/>
              <w:bottom w:val="nil"/>
              <w:right w:val="single" w:sz="2" w:space="0" w:color="1F3864" w:themeColor="accent1" w:themeShade="80"/>
            </w:tcBorders>
            <w:shd w:val="clear" w:color="auto" w:fill="auto"/>
            <w:vAlign w:val="center"/>
          </w:tcPr>
          <w:p w14:paraId="204C173B" w14:textId="77777777" w:rsidR="003321FA" w:rsidRPr="003321FA" w:rsidRDefault="003321FA">
            <w:pPr>
              <w:pStyle w:val="08-Tabelageral"/>
              <w:jc w:val="center"/>
              <w:cnfStyle w:val="000000010000" w:firstRow="0" w:lastRow="0" w:firstColumn="0" w:lastColumn="0" w:oddVBand="0" w:evenVBand="0" w:oddHBand="0" w:evenHBand="1" w:firstRowFirstColumn="0" w:firstRowLastColumn="0" w:lastRowFirstColumn="0" w:lastRowLastColumn="0"/>
              <w:rPr>
                <w:rFonts w:cs="Arial"/>
                <w:b/>
                <w:szCs w:val="14"/>
              </w:rPr>
            </w:pPr>
          </w:p>
        </w:tc>
        <w:tc>
          <w:tcPr>
            <w:tcW w:w="1534" w:type="dxa"/>
            <w:tcBorders>
              <w:top w:val="single" w:sz="2" w:space="0" w:color="1F3864" w:themeColor="accent1" w:themeShade="80"/>
              <w:left w:val="single" w:sz="2" w:space="0" w:color="1F3864" w:themeColor="accent1" w:themeShade="80"/>
              <w:bottom w:val="nil"/>
            </w:tcBorders>
            <w:shd w:val="clear" w:color="auto" w:fill="auto"/>
            <w:vAlign w:val="center"/>
          </w:tcPr>
          <w:p w14:paraId="2223F280" w14:textId="77777777" w:rsidR="003321FA" w:rsidRPr="003321FA" w:rsidRDefault="003321FA">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rPr>
            </w:pPr>
            <w:r w:rsidRPr="003321FA">
              <w:rPr>
                <w:rFonts w:cs="Arial"/>
                <w:bCs/>
                <w:szCs w:val="14"/>
              </w:rPr>
              <w:t>BB Corretora de Seguros e Adm. de Bens S.A. (</w:t>
            </w:r>
            <w:r w:rsidRPr="003321FA">
              <w:rPr>
                <w:rFonts w:cs="Arial"/>
                <w:szCs w:val="14"/>
              </w:rPr>
              <w:t>BB Corretora)</w:t>
            </w:r>
          </w:p>
        </w:tc>
        <w:tc>
          <w:tcPr>
            <w:tcW w:w="1814" w:type="dxa"/>
            <w:tcBorders>
              <w:top w:val="single" w:sz="2" w:space="0" w:color="1F3864" w:themeColor="accent1" w:themeShade="80"/>
              <w:bottom w:val="nil"/>
            </w:tcBorders>
            <w:shd w:val="clear" w:color="auto" w:fill="auto"/>
            <w:vAlign w:val="center"/>
          </w:tcPr>
          <w:p w14:paraId="581AD797" w14:textId="77777777" w:rsidR="003321FA" w:rsidRPr="003321FA" w:rsidRDefault="003321FA">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rPr>
            </w:pPr>
            <w:r w:rsidRPr="003321FA">
              <w:rPr>
                <w:rFonts w:cs="Arial"/>
                <w:szCs w:val="14"/>
              </w:rPr>
              <w:t>Corretagem de seguros, planos de capitalização, planos de previdência complementar aberta e administração de bens.</w:t>
            </w:r>
          </w:p>
        </w:tc>
        <w:tc>
          <w:tcPr>
            <w:tcW w:w="1111" w:type="dxa"/>
            <w:tcBorders>
              <w:top w:val="single" w:sz="2" w:space="0" w:color="1F3864" w:themeColor="accent1" w:themeShade="80"/>
              <w:bottom w:val="nil"/>
            </w:tcBorders>
            <w:shd w:val="clear" w:color="auto" w:fill="auto"/>
            <w:vAlign w:val="center"/>
          </w:tcPr>
          <w:p w14:paraId="18CD9373" w14:textId="77777777" w:rsidR="003321FA" w:rsidRPr="003321FA" w:rsidRDefault="003321FA">
            <w:pPr>
              <w:pStyle w:val="08-Tabelageral"/>
              <w:jc w:val="center"/>
              <w:cnfStyle w:val="000000010000" w:firstRow="0" w:lastRow="0" w:firstColumn="0" w:lastColumn="0" w:oddVBand="0" w:evenVBand="0" w:oddHBand="0" w:evenHBand="1" w:firstRowFirstColumn="0" w:firstRowLastColumn="0" w:lastRowFirstColumn="0" w:lastRowLastColumn="0"/>
              <w:rPr>
                <w:bCs/>
              </w:rPr>
            </w:pPr>
            <w:r w:rsidRPr="003321FA">
              <w:rPr>
                <w:bCs/>
              </w:rPr>
              <w:t>BRGAAP</w:t>
            </w:r>
          </w:p>
        </w:tc>
        <w:tc>
          <w:tcPr>
            <w:tcW w:w="670" w:type="dxa"/>
            <w:tcBorders>
              <w:top w:val="single" w:sz="2" w:space="0" w:color="1F3864" w:themeColor="accent1" w:themeShade="80"/>
              <w:bottom w:val="nil"/>
            </w:tcBorders>
            <w:shd w:val="clear" w:color="auto" w:fill="auto"/>
            <w:vAlign w:val="center"/>
          </w:tcPr>
          <w:p w14:paraId="219E6338" w14:textId="77777777" w:rsidR="003321FA" w:rsidRPr="003321FA" w:rsidRDefault="003321FA">
            <w:pPr>
              <w:pStyle w:val="08-Tabelageral"/>
              <w:jc w:val="center"/>
              <w:cnfStyle w:val="000000010000" w:firstRow="0" w:lastRow="0" w:firstColumn="0" w:lastColumn="0" w:oddVBand="0" w:evenVBand="0" w:oddHBand="0" w:evenHBand="1" w:firstRowFirstColumn="0" w:firstRowLastColumn="0" w:lastRowFirstColumn="0" w:lastRowLastColumn="0"/>
              <w:rPr>
                <w:bCs/>
              </w:rPr>
            </w:pPr>
          </w:p>
        </w:tc>
        <w:tc>
          <w:tcPr>
            <w:tcW w:w="666" w:type="dxa"/>
            <w:tcBorders>
              <w:top w:val="single" w:sz="2" w:space="0" w:color="1F3864" w:themeColor="accent1" w:themeShade="80"/>
              <w:bottom w:val="nil"/>
            </w:tcBorders>
            <w:shd w:val="clear" w:color="auto" w:fill="auto"/>
            <w:vAlign w:val="center"/>
          </w:tcPr>
          <w:p w14:paraId="545116E9" w14:textId="77777777" w:rsidR="003321FA" w:rsidRPr="003321FA" w:rsidRDefault="003321FA">
            <w:pPr>
              <w:pStyle w:val="08-Tabelageral"/>
              <w:jc w:val="center"/>
              <w:cnfStyle w:val="000000010000" w:firstRow="0" w:lastRow="0" w:firstColumn="0" w:lastColumn="0" w:oddVBand="0" w:evenVBand="0" w:oddHBand="0" w:evenHBand="1" w:firstRowFirstColumn="0" w:firstRowLastColumn="0" w:lastRowFirstColumn="0" w:lastRowLastColumn="0"/>
              <w:rPr>
                <w:bCs/>
              </w:rPr>
            </w:pPr>
            <w:r w:rsidRPr="003321FA">
              <w:rPr>
                <w:bCs/>
              </w:rPr>
              <w:t>100,00</w:t>
            </w:r>
          </w:p>
        </w:tc>
        <w:tc>
          <w:tcPr>
            <w:tcW w:w="709" w:type="dxa"/>
            <w:tcBorders>
              <w:top w:val="single" w:sz="2" w:space="0" w:color="1F3864" w:themeColor="accent1" w:themeShade="80"/>
              <w:bottom w:val="nil"/>
            </w:tcBorders>
            <w:shd w:val="clear" w:color="auto" w:fill="auto"/>
            <w:vAlign w:val="center"/>
          </w:tcPr>
          <w:p w14:paraId="45E8D1FE" w14:textId="77777777" w:rsidR="003321FA" w:rsidRPr="003321FA" w:rsidRDefault="003321FA">
            <w:pPr>
              <w:pStyle w:val="08-Tabelageral"/>
              <w:jc w:val="center"/>
              <w:cnfStyle w:val="000000010000" w:firstRow="0" w:lastRow="0" w:firstColumn="0" w:lastColumn="0" w:oddVBand="0" w:evenVBand="0" w:oddHBand="0" w:evenHBand="1" w:firstRowFirstColumn="0" w:firstRowLastColumn="0" w:lastRowFirstColumn="0" w:lastRowLastColumn="0"/>
              <w:rPr>
                <w:bCs/>
              </w:rPr>
            </w:pPr>
            <w:r w:rsidRPr="003321FA">
              <w:rPr>
                <w:bCs/>
              </w:rPr>
              <w:t>--</w:t>
            </w:r>
          </w:p>
        </w:tc>
        <w:tc>
          <w:tcPr>
            <w:tcW w:w="790" w:type="dxa"/>
            <w:tcBorders>
              <w:top w:val="single" w:sz="2" w:space="0" w:color="1F3864" w:themeColor="accent1" w:themeShade="80"/>
              <w:bottom w:val="nil"/>
            </w:tcBorders>
            <w:shd w:val="clear" w:color="auto" w:fill="auto"/>
            <w:vAlign w:val="center"/>
          </w:tcPr>
          <w:p w14:paraId="0FCCE5F4" w14:textId="77777777" w:rsidR="003321FA" w:rsidRPr="003321FA" w:rsidRDefault="003321FA">
            <w:pPr>
              <w:pStyle w:val="08-Tabelageral"/>
              <w:jc w:val="center"/>
              <w:cnfStyle w:val="000000010000" w:firstRow="0" w:lastRow="0" w:firstColumn="0" w:lastColumn="0" w:oddVBand="0" w:evenVBand="0" w:oddHBand="0" w:evenHBand="1" w:firstRowFirstColumn="0" w:firstRowLastColumn="0" w:lastRowFirstColumn="0" w:lastRowLastColumn="0"/>
              <w:rPr>
                <w:bCs/>
              </w:rPr>
            </w:pPr>
            <w:r w:rsidRPr="003321FA">
              <w:rPr>
                <w:bCs/>
              </w:rPr>
              <w:t>100,00</w:t>
            </w:r>
          </w:p>
        </w:tc>
      </w:tr>
      <w:tr w:rsidR="00417DDD" w:rsidRPr="003321FA" w14:paraId="28C47DBB" w14:textId="77777777" w:rsidTr="00B91579">
        <w:trPr>
          <w:trHeight w:val="238"/>
          <w:jc w:val="center"/>
        </w:trPr>
        <w:tc>
          <w:tcPr>
            <w:cnfStyle w:val="001000000000" w:firstRow="0" w:lastRow="0" w:firstColumn="1" w:lastColumn="0" w:oddVBand="0" w:evenVBand="0" w:oddHBand="0" w:evenHBand="0" w:firstRowFirstColumn="0" w:firstRowLastColumn="0" w:lastRowFirstColumn="0" w:lastRowLastColumn="0"/>
            <w:tcW w:w="1000" w:type="dxa"/>
            <w:vMerge/>
            <w:tcBorders>
              <w:top w:val="single" w:sz="2" w:space="0" w:color="9CC2E5" w:themeColor="accent5" w:themeTint="99"/>
              <w:left w:val="nil"/>
              <w:bottom w:val="single" w:sz="2" w:space="0" w:color="1F3864" w:themeColor="accent1" w:themeShade="80"/>
              <w:right w:val="single" w:sz="2" w:space="0" w:color="1F3864" w:themeColor="accent1" w:themeShade="80"/>
            </w:tcBorders>
            <w:shd w:val="clear" w:color="auto" w:fill="auto"/>
            <w:vAlign w:val="center"/>
          </w:tcPr>
          <w:p w14:paraId="5292C1FE" w14:textId="77777777" w:rsidR="003321FA" w:rsidRPr="003321FA" w:rsidRDefault="003321FA">
            <w:pPr>
              <w:pStyle w:val="08-Tabelageral"/>
              <w:ind w:left="113"/>
              <w:jc w:val="left"/>
              <w:rPr>
                <w:rFonts w:cs="Arial"/>
                <w:b w:val="0"/>
                <w:bCs w:val="0"/>
                <w:szCs w:val="14"/>
              </w:rPr>
            </w:pPr>
          </w:p>
        </w:tc>
        <w:tc>
          <w:tcPr>
            <w:tcW w:w="1204" w:type="dxa"/>
            <w:tcBorders>
              <w:top w:val="nil"/>
              <w:left w:val="single" w:sz="2" w:space="0" w:color="1F3864" w:themeColor="accent1" w:themeShade="80"/>
              <w:bottom w:val="single" w:sz="2" w:space="0" w:color="1F3864" w:themeColor="accent1" w:themeShade="80"/>
              <w:right w:val="single" w:sz="2" w:space="0" w:color="1F3864" w:themeColor="accent1" w:themeShade="80"/>
            </w:tcBorders>
            <w:shd w:val="clear" w:color="auto" w:fill="auto"/>
            <w:vAlign w:val="center"/>
          </w:tcPr>
          <w:p w14:paraId="63291F50" w14:textId="77777777" w:rsidR="003321FA" w:rsidRPr="003321FA" w:rsidRDefault="003321FA">
            <w:pPr>
              <w:pStyle w:val="08-Tabelageral"/>
              <w:jc w:val="center"/>
              <w:cnfStyle w:val="000000000000" w:firstRow="0" w:lastRow="0" w:firstColumn="0" w:lastColumn="0" w:oddVBand="0" w:evenVBand="0" w:oddHBand="0" w:evenHBand="0" w:firstRowFirstColumn="0" w:firstRowLastColumn="0" w:lastRowFirstColumn="0" w:lastRowLastColumn="0"/>
              <w:rPr>
                <w:rFonts w:cs="Arial"/>
                <w:b/>
                <w:szCs w:val="14"/>
              </w:rPr>
            </w:pPr>
          </w:p>
        </w:tc>
        <w:tc>
          <w:tcPr>
            <w:tcW w:w="1534" w:type="dxa"/>
            <w:tcBorders>
              <w:top w:val="nil"/>
              <w:left w:val="single" w:sz="2" w:space="0" w:color="1F3864" w:themeColor="accent1" w:themeShade="80"/>
              <w:bottom w:val="single" w:sz="2" w:space="0" w:color="1F3864" w:themeColor="accent1" w:themeShade="80"/>
            </w:tcBorders>
            <w:shd w:val="clear" w:color="auto" w:fill="auto"/>
            <w:vAlign w:val="center"/>
          </w:tcPr>
          <w:p w14:paraId="3BA32B6F" w14:textId="77777777" w:rsidR="003321FA" w:rsidRPr="003321FA" w:rsidRDefault="003321FA">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proofErr w:type="spellStart"/>
            <w:r w:rsidRPr="003321FA">
              <w:rPr>
                <w:rFonts w:cs="Arial"/>
                <w:bCs/>
                <w:szCs w:val="14"/>
              </w:rPr>
              <w:t>Ciclic</w:t>
            </w:r>
            <w:proofErr w:type="spellEnd"/>
            <w:r w:rsidRPr="003321FA">
              <w:rPr>
                <w:rFonts w:cs="Arial"/>
                <w:bCs/>
                <w:szCs w:val="14"/>
              </w:rPr>
              <w:t xml:space="preserve"> Corretora de Seguros S.A. (</w:t>
            </w:r>
            <w:proofErr w:type="spellStart"/>
            <w:r w:rsidRPr="003321FA">
              <w:rPr>
                <w:rFonts w:cs="Arial"/>
                <w:szCs w:val="14"/>
              </w:rPr>
              <w:t>Ciclic</w:t>
            </w:r>
            <w:proofErr w:type="spellEnd"/>
            <w:r w:rsidRPr="003321FA">
              <w:rPr>
                <w:rFonts w:cs="Arial"/>
                <w:szCs w:val="14"/>
              </w:rPr>
              <w:t>)</w:t>
            </w:r>
          </w:p>
        </w:tc>
        <w:tc>
          <w:tcPr>
            <w:tcW w:w="1814" w:type="dxa"/>
            <w:tcBorders>
              <w:top w:val="nil"/>
              <w:bottom w:val="single" w:sz="2" w:space="0" w:color="1F3864" w:themeColor="accent1" w:themeShade="80"/>
            </w:tcBorders>
            <w:shd w:val="clear" w:color="auto" w:fill="auto"/>
            <w:vAlign w:val="center"/>
          </w:tcPr>
          <w:p w14:paraId="7DC62653" w14:textId="77777777" w:rsidR="003321FA" w:rsidRPr="003321FA" w:rsidRDefault="003321FA">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r w:rsidRPr="003321FA">
              <w:rPr>
                <w:rFonts w:cs="Arial"/>
                <w:szCs w:val="14"/>
              </w:rPr>
              <w:t>Corretagem de seguros, planos de capitalização, planos de previdência complementar aberta e incentivo à comercialização de produtos em canal digital.</w:t>
            </w:r>
          </w:p>
        </w:tc>
        <w:tc>
          <w:tcPr>
            <w:tcW w:w="1111" w:type="dxa"/>
            <w:tcBorders>
              <w:top w:val="nil"/>
              <w:bottom w:val="single" w:sz="2" w:space="0" w:color="1F3864" w:themeColor="accent1" w:themeShade="80"/>
            </w:tcBorders>
            <w:shd w:val="clear" w:color="auto" w:fill="auto"/>
            <w:vAlign w:val="center"/>
          </w:tcPr>
          <w:p w14:paraId="35B938A9" w14:textId="77777777" w:rsidR="003321FA" w:rsidRPr="003321FA" w:rsidRDefault="003321FA">
            <w:pPr>
              <w:pStyle w:val="08-Tabelageral"/>
              <w:jc w:val="center"/>
              <w:cnfStyle w:val="000000000000" w:firstRow="0" w:lastRow="0" w:firstColumn="0" w:lastColumn="0" w:oddVBand="0" w:evenVBand="0" w:oddHBand="0" w:evenHBand="0" w:firstRowFirstColumn="0" w:firstRowLastColumn="0" w:lastRowFirstColumn="0" w:lastRowLastColumn="0"/>
              <w:rPr>
                <w:bCs/>
              </w:rPr>
            </w:pPr>
            <w:r w:rsidRPr="003321FA">
              <w:rPr>
                <w:bCs/>
              </w:rPr>
              <w:t>BRGAAP</w:t>
            </w:r>
          </w:p>
        </w:tc>
        <w:tc>
          <w:tcPr>
            <w:tcW w:w="670" w:type="dxa"/>
            <w:tcBorders>
              <w:top w:val="nil"/>
              <w:bottom w:val="single" w:sz="2" w:space="0" w:color="1F3864" w:themeColor="accent1" w:themeShade="80"/>
            </w:tcBorders>
            <w:shd w:val="clear" w:color="auto" w:fill="auto"/>
            <w:vAlign w:val="center"/>
          </w:tcPr>
          <w:p w14:paraId="1DBF84A3" w14:textId="77777777" w:rsidR="003321FA" w:rsidRPr="003321FA" w:rsidRDefault="003321FA">
            <w:pPr>
              <w:pStyle w:val="08-Tabelageral"/>
              <w:jc w:val="center"/>
              <w:cnfStyle w:val="000000000000" w:firstRow="0" w:lastRow="0" w:firstColumn="0" w:lastColumn="0" w:oddVBand="0" w:evenVBand="0" w:oddHBand="0" w:evenHBand="0" w:firstRowFirstColumn="0" w:firstRowLastColumn="0" w:lastRowFirstColumn="0" w:lastRowLastColumn="0"/>
              <w:rPr>
                <w:bCs/>
              </w:rPr>
            </w:pPr>
          </w:p>
        </w:tc>
        <w:tc>
          <w:tcPr>
            <w:tcW w:w="666" w:type="dxa"/>
            <w:tcBorders>
              <w:top w:val="nil"/>
              <w:bottom w:val="single" w:sz="2" w:space="0" w:color="1F3864" w:themeColor="accent1" w:themeShade="80"/>
            </w:tcBorders>
            <w:shd w:val="clear" w:color="auto" w:fill="auto"/>
            <w:vAlign w:val="center"/>
          </w:tcPr>
          <w:p w14:paraId="57502181" w14:textId="77777777" w:rsidR="003321FA" w:rsidRPr="003321FA" w:rsidRDefault="003321FA">
            <w:pPr>
              <w:pStyle w:val="08-Tabelageral"/>
              <w:jc w:val="center"/>
              <w:cnfStyle w:val="000000000000" w:firstRow="0" w:lastRow="0" w:firstColumn="0" w:lastColumn="0" w:oddVBand="0" w:evenVBand="0" w:oddHBand="0" w:evenHBand="0" w:firstRowFirstColumn="0" w:firstRowLastColumn="0" w:lastRowFirstColumn="0" w:lastRowLastColumn="0"/>
              <w:rPr>
                <w:bCs/>
              </w:rPr>
            </w:pPr>
            <w:r w:rsidRPr="003321FA">
              <w:rPr>
                <w:bCs/>
              </w:rPr>
              <w:t>49,99</w:t>
            </w:r>
          </w:p>
        </w:tc>
        <w:tc>
          <w:tcPr>
            <w:tcW w:w="709" w:type="dxa"/>
            <w:tcBorders>
              <w:top w:val="nil"/>
              <w:bottom w:val="single" w:sz="2" w:space="0" w:color="1F3864" w:themeColor="accent1" w:themeShade="80"/>
            </w:tcBorders>
            <w:shd w:val="clear" w:color="auto" w:fill="auto"/>
            <w:vAlign w:val="center"/>
          </w:tcPr>
          <w:p w14:paraId="382225DC" w14:textId="77777777" w:rsidR="003321FA" w:rsidRPr="003321FA" w:rsidRDefault="003321FA">
            <w:pPr>
              <w:pStyle w:val="08-Tabelageral"/>
              <w:jc w:val="center"/>
              <w:cnfStyle w:val="000000000000" w:firstRow="0" w:lastRow="0" w:firstColumn="0" w:lastColumn="0" w:oddVBand="0" w:evenVBand="0" w:oddHBand="0" w:evenHBand="0" w:firstRowFirstColumn="0" w:firstRowLastColumn="0" w:lastRowFirstColumn="0" w:lastRowLastColumn="0"/>
              <w:rPr>
                <w:bCs/>
              </w:rPr>
            </w:pPr>
            <w:r w:rsidRPr="003321FA">
              <w:rPr>
                <w:bCs/>
              </w:rPr>
              <w:t>100,00</w:t>
            </w:r>
          </w:p>
        </w:tc>
        <w:tc>
          <w:tcPr>
            <w:tcW w:w="790" w:type="dxa"/>
            <w:tcBorders>
              <w:top w:val="nil"/>
              <w:bottom w:val="single" w:sz="2" w:space="0" w:color="1F3864" w:themeColor="accent1" w:themeShade="80"/>
            </w:tcBorders>
            <w:shd w:val="clear" w:color="auto" w:fill="auto"/>
            <w:vAlign w:val="center"/>
          </w:tcPr>
          <w:p w14:paraId="11133427" w14:textId="77777777" w:rsidR="003321FA" w:rsidRPr="003321FA" w:rsidRDefault="003321FA">
            <w:pPr>
              <w:pStyle w:val="08-Tabelageral"/>
              <w:jc w:val="center"/>
              <w:cnfStyle w:val="000000000000" w:firstRow="0" w:lastRow="0" w:firstColumn="0" w:lastColumn="0" w:oddVBand="0" w:evenVBand="0" w:oddHBand="0" w:evenHBand="0" w:firstRowFirstColumn="0" w:firstRowLastColumn="0" w:lastRowFirstColumn="0" w:lastRowLastColumn="0"/>
              <w:rPr>
                <w:bCs/>
              </w:rPr>
            </w:pPr>
            <w:r w:rsidRPr="003321FA">
              <w:rPr>
                <w:bCs/>
              </w:rPr>
              <w:t>74,99</w:t>
            </w:r>
          </w:p>
        </w:tc>
      </w:tr>
    </w:tbl>
    <w:p w14:paraId="1518464E" w14:textId="77777777" w:rsidR="003321FA" w:rsidRPr="003321FA" w:rsidRDefault="003321FA" w:rsidP="00592D77">
      <w:pPr>
        <w:pStyle w:val="paragraph"/>
        <w:numPr>
          <w:ilvl w:val="0"/>
          <w:numId w:val="25"/>
        </w:numPr>
        <w:spacing w:before="0" w:beforeAutospacing="0" w:after="0" w:afterAutospacing="0" w:line="312" w:lineRule="auto"/>
        <w:jc w:val="both"/>
        <w:textAlignment w:val="baseline"/>
        <w:rPr>
          <w:rStyle w:val="normaltextrun"/>
          <w:rFonts w:ascii="Arial" w:hAnsi="Arial" w:cs="Arial"/>
          <w:sz w:val="14"/>
          <w:szCs w:val="14"/>
        </w:rPr>
      </w:pPr>
      <w:r w:rsidRPr="003321FA">
        <w:rPr>
          <w:rStyle w:val="normaltextrun"/>
          <w:rFonts w:ascii="Arial" w:hAnsi="Arial" w:cs="Arial"/>
          <w:sz w:val="14"/>
          <w:szCs w:val="14"/>
        </w:rPr>
        <w:t>Não houve alteração nos percentuais de participação dos Investimentos em Participações Societárias.</w:t>
      </w:r>
    </w:p>
    <w:p w14:paraId="5B3140F1" w14:textId="77777777" w:rsidR="00893C98" w:rsidRPr="00893C98" w:rsidRDefault="00893C98" w:rsidP="00592D77">
      <w:pPr>
        <w:pStyle w:val="paragraph"/>
        <w:numPr>
          <w:ilvl w:val="0"/>
          <w:numId w:val="25"/>
        </w:numPr>
        <w:spacing w:before="0" w:beforeAutospacing="0" w:after="0" w:afterAutospacing="0" w:line="312" w:lineRule="auto"/>
        <w:jc w:val="both"/>
        <w:textAlignment w:val="baseline"/>
        <w:rPr>
          <w:rStyle w:val="normaltextrun"/>
          <w:rFonts w:ascii="Arial" w:hAnsi="Arial" w:cs="Arial"/>
          <w:sz w:val="14"/>
          <w:szCs w:val="14"/>
        </w:rPr>
      </w:pPr>
      <w:r w:rsidRPr="00893C98">
        <w:rPr>
          <w:rStyle w:val="normaltextrun"/>
          <w:rFonts w:ascii="Arial" w:hAnsi="Arial"/>
          <w:sz w:val="14"/>
          <w:szCs w:val="14"/>
        </w:rPr>
        <w:t xml:space="preserve">O percentual total de participação da BB Seguridade é representado pela proporção em relação à quantidade total de ações, a partir da quantidade de ações </w:t>
      </w:r>
      <w:r w:rsidRPr="00893C98">
        <w:rPr>
          <w:rStyle w:val="normaltextrun"/>
          <w:rFonts w:ascii="Arial" w:hAnsi="Arial" w:cs="Arial"/>
          <w:sz w:val="14"/>
          <w:szCs w:val="14"/>
        </w:rPr>
        <w:t>ordinárias e preferenciais totais e a proporção detida de cada espécie de ação.</w:t>
      </w:r>
    </w:p>
    <w:p w14:paraId="444A8760" w14:textId="77777777" w:rsidR="003F2802" w:rsidRPr="003321FA" w:rsidRDefault="003F2802" w:rsidP="00893C98">
      <w:pPr>
        <w:pStyle w:val="paragraph"/>
        <w:spacing w:before="0" w:beforeAutospacing="0" w:after="0" w:afterAutospacing="0"/>
        <w:ind w:left="284"/>
        <w:jc w:val="both"/>
        <w:textAlignment w:val="baseline"/>
        <w:rPr>
          <w:rStyle w:val="normaltextrun"/>
          <w:rFonts w:ascii="Arial" w:hAnsi="Arial" w:cs="Arial"/>
          <w:sz w:val="14"/>
          <w:szCs w:val="14"/>
        </w:rPr>
      </w:pPr>
    </w:p>
    <w:p w14:paraId="1107B05A" w14:textId="77777777" w:rsidR="009C6699" w:rsidRPr="009C6699" w:rsidRDefault="009C6699" w:rsidP="009C6699">
      <w:pPr>
        <w:pStyle w:val="01-Textonormal"/>
        <w:rPr>
          <w:rFonts w:cs="Arial"/>
        </w:rPr>
      </w:pPr>
      <w:r w:rsidRPr="009C6699">
        <w:rPr>
          <w:rFonts w:cs="Arial"/>
        </w:rPr>
        <w:t>As empresas investidas da BB Seguros e BB Corretora, controladas diretas da BB Seguridade, são controladas em conjunto ou coligadas avaliadas pelo método de equivalência patrimonial, e não possuem ações regularmente negociadas em bolsas de valores. Não há indicativo de descontinuidade operacional para tais empresas.</w:t>
      </w:r>
    </w:p>
    <w:p w14:paraId="464637F1" w14:textId="77777777" w:rsidR="003321FA" w:rsidRPr="003321FA" w:rsidRDefault="003321FA" w:rsidP="002C3B56">
      <w:pPr>
        <w:pStyle w:val="01-TtulodeNota"/>
        <w:pageBreakBefore/>
        <w:numPr>
          <w:ilvl w:val="0"/>
          <w:numId w:val="17"/>
        </w:numPr>
        <w:spacing w:before="0" w:after="0"/>
        <w:ind w:left="284" w:hanging="284"/>
        <w:jc w:val="left"/>
        <w:rPr>
          <w:color w:val="1F3864" w:themeColor="accent1" w:themeShade="80"/>
          <w:sz w:val="18"/>
          <w:szCs w:val="18"/>
        </w:rPr>
      </w:pPr>
      <w:r w:rsidRPr="003321FA">
        <w:rPr>
          <w:color w:val="1F3864" w:themeColor="accent1" w:themeShade="80"/>
          <w:sz w:val="18"/>
          <w:szCs w:val="18"/>
        </w:rPr>
        <w:lastRenderedPageBreak/>
        <w:t>Participações Societárias avaliadas pelo Método de Equivalência Patrimonial</w:t>
      </w:r>
    </w:p>
    <w:p w14:paraId="0EDD00C8" w14:textId="77777777" w:rsidR="003321FA" w:rsidRPr="003321FA" w:rsidRDefault="003321FA" w:rsidP="003321FA">
      <w:pPr>
        <w:spacing w:before="120" w:after="120" w:line="240" w:lineRule="auto"/>
        <w:rPr>
          <w:rFonts w:ascii="Arial" w:eastAsia="Times New Roman" w:hAnsi="Arial" w:cs="Times New Roman"/>
          <w:b/>
          <w:color w:val="1F3864" w:themeColor="accent1" w:themeShade="80"/>
          <w:spacing w:val="-2"/>
          <w:sz w:val="18"/>
          <w:szCs w:val="20"/>
          <w:lang w:eastAsia="pt-BR"/>
        </w:rPr>
      </w:pPr>
      <w:r w:rsidRPr="003321FA">
        <w:rPr>
          <w:rFonts w:ascii="Arial" w:eastAsia="Times New Roman" w:hAnsi="Arial" w:cs="Times New Roman"/>
          <w:b/>
          <w:color w:val="1F3864" w:themeColor="accent1" w:themeShade="80"/>
          <w:spacing w:val="-2"/>
          <w:sz w:val="18"/>
          <w:szCs w:val="20"/>
          <w:lang w:eastAsia="pt-BR"/>
        </w:rPr>
        <w:t>b.1) Capital Social e Patrimônio Líquido</w:t>
      </w:r>
    </w:p>
    <w:p w14:paraId="4F739F2B" w14:textId="77777777" w:rsidR="003321FA" w:rsidRPr="003321FA" w:rsidRDefault="003321FA" w:rsidP="003321FA">
      <w:pPr>
        <w:pStyle w:val="05-Textonormal"/>
        <w:spacing w:line="240" w:lineRule="auto"/>
        <w:rPr>
          <w:rFonts w:cs="Arial"/>
        </w:rPr>
      </w:pPr>
      <w:bookmarkStart w:id="60" w:name="_Hlk86925654"/>
      <w:r w:rsidRPr="003321FA">
        <w:rPr>
          <w:rFonts w:cs="Arial"/>
        </w:rPr>
        <w:t>Os valores dos patrimônios líquidos e capitais sociais apresentados nos quadros, a seguir, não estão proporcionalizados ao percentual de participação societária detido pela BB Seguridade, ou seja, representam o saldo total dos patrimônios líquidos e capitais sociais das respectivas empresas.</w:t>
      </w:r>
    </w:p>
    <w:p w14:paraId="21AE1C66" w14:textId="77777777" w:rsidR="003321FA" w:rsidRPr="003321FA" w:rsidRDefault="003321FA" w:rsidP="003321FA">
      <w:pPr>
        <w:pStyle w:val="01-TtulodeNota"/>
        <w:spacing w:before="0" w:after="0"/>
        <w:jc w:val="right"/>
        <w:rPr>
          <w:sz w:val="14"/>
          <w:szCs w:val="14"/>
        </w:rPr>
      </w:pPr>
      <w:r w:rsidRPr="003321FA">
        <w:rPr>
          <w:sz w:val="14"/>
          <w:szCs w:val="14"/>
        </w:rPr>
        <w:t>R$ mil</w:t>
      </w:r>
    </w:p>
    <w:tbl>
      <w:tblPr>
        <w:tblStyle w:val="TabeladeLista6Colorida-nfase51"/>
        <w:tblW w:w="9639" w:type="dxa"/>
        <w:jc w:val="center"/>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4079"/>
        <w:gridCol w:w="2780"/>
        <w:gridCol w:w="2780"/>
      </w:tblGrid>
      <w:tr w:rsidR="003321FA" w:rsidRPr="003321FA" w14:paraId="5293F99E" w14:textId="77777777" w:rsidTr="00BF4890">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single" w:sz="2" w:space="0" w:color="1F3864" w:themeColor="accent1" w:themeShade="80"/>
              <w:left w:val="nil"/>
              <w:bottom w:val="nil"/>
              <w:right w:val="nil"/>
            </w:tcBorders>
            <w:shd w:val="clear" w:color="auto" w:fill="auto"/>
            <w:vAlign w:val="center"/>
          </w:tcPr>
          <w:p w14:paraId="2F843E7C" w14:textId="77777777" w:rsidR="003321FA" w:rsidRPr="003321FA" w:rsidRDefault="003321FA">
            <w:pPr>
              <w:rPr>
                <w:rFonts w:ascii="Arial" w:hAnsi="Arial" w:cs="Arial"/>
                <w:color w:val="FF0000"/>
                <w:sz w:val="14"/>
                <w:szCs w:val="14"/>
              </w:rPr>
            </w:pPr>
          </w:p>
        </w:tc>
        <w:tc>
          <w:tcPr>
            <w:tcW w:w="5560" w:type="dxa"/>
            <w:gridSpan w:val="2"/>
            <w:tcBorders>
              <w:top w:val="single" w:sz="2" w:space="0" w:color="1F3864" w:themeColor="accent1" w:themeShade="80"/>
              <w:left w:val="nil"/>
              <w:bottom w:val="single" w:sz="2" w:space="0" w:color="1F3864" w:themeColor="accent1" w:themeShade="80"/>
              <w:right w:val="nil"/>
            </w:tcBorders>
            <w:shd w:val="clear" w:color="auto" w:fill="auto"/>
            <w:vAlign w:val="center"/>
            <w:hideMark/>
          </w:tcPr>
          <w:p w14:paraId="7F5DF52F" w14:textId="77777777" w:rsidR="003321FA" w:rsidRPr="003321FA" w:rsidRDefault="003321FA">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3321FA">
              <w:rPr>
                <w:rFonts w:ascii="Arial" w:hAnsi="Arial" w:cs="Arial"/>
                <w:bCs w:val="0"/>
                <w:sz w:val="14"/>
                <w:szCs w:val="14"/>
              </w:rPr>
              <w:t>Controlador</w:t>
            </w:r>
          </w:p>
        </w:tc>
      </w:tr>
      <w:tr w:rsidR="003321FA" w:rsidRPr="003321FA" w14:paraId="04AA0B31" w14:textId="77777777" w:rsidTr="00B41C9D">
        <w:trPr>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single" w:sz="2" w:space="0" w:color="1F3864" w:themeColor="accent1" w:themeShade="80"/>
              <w:right w:val="nil"/>
            </w:tcBorders>
            <w:shd w:val="clear" w:color="auto" w:fill="auto"/>
            <w:vAlign w:val="center"/>
          </w:tcPr>
          <w:p w14:paraId="11DC11D2" w14:textId="77777777" w:rsidR="003321FA" w:rsidRPr="003321FA" w:rsidRDefault="003321FA">
            <w:pPr>
              <w:rPr>
                <w:rFonts w:ascii="Arial" w:hAnsi="Arial" w:cs="Arial"/>
                <w:color w:val="FF0000"/>
                <w:sz w:val="14"/>
                <w:szCs w:val="14"/>
              </w:rPr>
            </w:pPr>
          </w:p>
        </w:tc>
        <w:tc>
          <w:tcPr>
            <w:tcW w:w="278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2A45C96"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3321FA">
              <w:rPr>
                <w:rFonts w:ascii="Arial" w:hAnsi="Arial" w:cs="Arial"/>
                <w:b/>
                <w:color w:val="auto"/>
                <w:sz w:val="14"/>
                <w:szCs w:val="14"/>
              </w:rPr>
              <w:t>BB Seguros</w:t>
            </w:r>
          </w:p>
        </w:tc>
        <w:tc>
          <w:tcPr>
            <w:tcW w:w="278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680C248"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3321FA">
              <w:rPr>
                <w:rFonts w:ascii="Arial" w:hAnsi="Arial" w:cs="Arial"/>
                <w:b/>
                <w:color w:val="auto"/>
                <w:sz w:val="14"/>
                <w:szCs w:val="14"/>
              </w:rPr>
              <w:t>BB Corretora</w:t>
            </w:r>
          </w:p>
        </w:tc>
      </w:tr>
      <w:tr w:rsidR="003321FA" w:rsidRPr="003321FA" w14:paraId="08F53B44" w14:textId="77777777" w:rsidTr="00BF489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nil"/>
              <w:right w:val="nil"/>
            </w:tcBorders>
            <w:shd w:val="clear" w:color="auto" w:fill="auto"/>
            <w:vAlign w:val="center"/>
            <w:hideMark/>
          </w:tcPr>
          <w:p w14:paraId="0A7C11C6" w14:textId="77777777" w:rsidR="003321FA" w:rsidRPr="003321FA" w:rsidRDefault="003321FA">
            <w:pPr>
              <w:pStyle w:val="08-Tabelageral"/>
              <w:jc w:val="left"/>
              <w:rPr>
                <w:b w:val="0"/>
                <w:bCs w:val="0"/>
                <w:color w:val="FF0000"/>
                <w:szCs w:val="14"/>
              </w:rPr>
            </w:pPr>
            <w:r w:rsidRPr="003321FA">
              <w:rPr>
                <w:rFonts w:cs="Arial"/>
                <w:szCs w:val="14"/>
                <w:lang w:eastAsia="en-US"/>
              </w:rPr>
              <w:t>Saldos em 31.12.2024</w:t>
            </w:r>
          </w:p>
        </w:tc>
        <w:tc>
          <w:tcPr>
            <w:tcW w:w="2780" w:type="dxa"/>
            <w:tcBorders>
              <w:top w:val="nil"/>
              <w:left w:val="nil"/>
              <w:bottom w:val="nil"/>
              <w:right w:val="nil"/>
            </w:tcBorders>
            <w:shd w:val="clear" w:color="auto" w:fill="auto"/>
            <w:vAlign w:val="center"/>
          </w:tcPr>
          <w:p w14:paraId="54C28A88" w14:textId="77777777" w:rsidR="003321FA" w:rsidRPr="003321FA" w:rsidRDefault="003321FA">
            <w:pPr>
              <w:pStyle w:val="08-Tabelageral"/>
              <w:ind w:left="113"/>
              <w:cnfStyle w:val="000000010000" w:firstRow="0" w:lastRow="0" w:firstColumn="0" w:lastColumn="0" w:oddVBand="0" w:evenVBand="0" w:oddHBand="0" w:evenHBand="1" w:firstRowFirstColumn="0" w:firstRowLastColumn="0" w:lastRowFirstColumn="0" w:lastRowLastColumn="0"/>
              <w:rPr>
                <w:szCs w:val="14"/>
                <w:lang w:eastAsia="en-US"/>
              </w:rPr>
            </w:pPr>
          </w:p>
        </w:tc>
        <w:tc>
          <w:tcPr>
            <w:tcW w:w="2780" w:type="dxa"/>
            <w:tcBorders>
              <w:top w:val="nil"/>
              <w:left w:val="nil"/>
              <w:bottom w:val="nil"/>
              <w:right w:val="nil"/>
            </w:tcBorders>
            <w:shd w:val="clear" w:color="auto" w:fill="auto"/>
            <w:vAlign w:val="center"/>
          </w:tcPr>
          <w:p w14:paraId="464966B0" w14:textId="77777777" w:rsidR="003321FA" w:rsidRPr="003321FA" w:rsidRDefault="003321FA">
            <w:pPr>
              <w:pStyle w:val="08-Tabelageral"/>
              <w:ind w:left="113"/>
              <w:cnfStyle w:val="000000010000" w:firstRow="0" w:lastRow="0" w:firstColumn="0" w:lastColumn="0" w:oddVBand="0" w:evenVBand="0" w:oddHBand="0" w:evenHBand="1" w:firstRowFirstColumn="0" w:firstRowLastColumn="0" w:lastRowFirstColumn="0" w:lastRowLastColumn="0"/>
              <w:rPr>
                <w:b/>
                <w:bCs/>
                <w:szCs w:val="14"/>
                <w:lang w:eastAsia="en-US"/>
              </w:rPr>
            </w:pPr>
          </w:p>
        </w:tc>
      </w:tr>
      <w:tr w:rsidR="003321FA" w:rsidRPr="003321FA" w14:paraId="51E87A9D" w14:textId="77777777" w:rsidTr="00B41C9D">
        <w:trPr>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nil"/>
              <w:right w:val="nil"/>
            </w:tcBorders>
            <w:shd w:val="clear" w:color="auto" w:fill="auto"/>
            <w:vAlign w:val="center"/>
          </w:tcPr>
          <w:p w14:paraId="42EF6490" w14:textId="77777777" w:rsidR="003321FA" w:rsidRPr="003321FA" w:rsidRDefault="003321FA">
            <w:pPr>
              <w:ind w:firstLine="174"/>
              <w:rPr>
                <w:rFonts w:ascii="Arial" w:hAnsi="Arial" w:cs="Arial"/>
                <w:sz w:val="14"/>
                <w:szCs w:val="14"/>
              </w:rPr>
            </w:pPr>
            <w:r w:rsidRPr="003321FA">
              <w:rPr>
                <w:rFonts w:ascii="Arial" w:hAnsi="Arial" w:cs="Arial"/>
                <w:b w:val="0"/>
                <w:bCs w:val="0"/>
                <w:color w:val="auto"/>
                <w:sz w:val="14"/>
                <w:szCs w:val="14"/>
              </w:rPr>
              <w:t>Capital social</w:t>
            </w:r>
          </w:p>
        </w:tc>
        <w:tc>
          <w:tcPr>
            <w:tcW w:w="2780" w:type="dxa"/>
            <w:tcBorders>
              <w:top w:val="nil"/>
              <w:left w:val="nil"/>
              <w:bottom w:val="nil"/>
              <w:right w:val="nil"/>
            </w:tcBorders>
            <w:shd w:val="clear" w:color="auto" w:fill="auto"/>
            <w:vAlign w:val="center"/>
          </w:tcPr>
          <w:p w14:paraId="74F1BF60" w14:textId="77777777" w:rsidR="003321FA" w:rsidRPr="003321FA" w:rsidRDefault="003321FA">
            <w:pPr>
              <w:pStyle w:val="08-Tabelageral"/>
              <w:ind w:left="113"/>
              <w:cnfStyle w:val="000000000000" w:firstRow="0" w:lastRow="0" w:firstColumn="0" w:lastColumn="0" w:oddVBand="0" w:evenVBand="0" w:oddHBand="0" w:evenHBand="0" w:firstRowFirstColumn="0" w:firstRowLastColumn="0" w:lastRowFirstColumn="0" w:lastRowLastColumn="0"/>
              <w:rPr>
                <w:rFonts w:cs="Arial"/>
                <w:color w:val="000000"/>
                <w:szCs w:val="14"/>
              </w:rPr>
            </w:pPr>
            <w:r w:rsidRPr="003321FA">
              <w:rPr>
                <w:rFonts w:cs="Arial"/>
                <w:color w:val="000000"/>
                <w:szCs w:val="14"/>
              </w:rPr>
              <w:t>6.112.624</w:t>
            </w:r>
          </w:p>
        </w:tc>
        <w:tc>
          <w:tcPr>
            <w:tcW w:w="2780" w:type="dxa"/>
            <w:tcBorders>
              <w:top w:val="nil"/>
              <w:left w:val="nil"/>
              <w:bottom w:val="nil"/>
              <w:right w:val="nil"/>
            </w:tcBorders>
            <w:shd w:val="clear" w:color="auto" w:fill="auto"/>
            <w:vAlign w:val="center"/>
          </w:tcPr>
          <w:p w14:paraId="7947C89F" w14:textId="77777777" w:rsidR="003321FA" w:rsidRPr="003321FA" w:rsidRDefault="003321FA">
            <w:pPr>
              <w:pStyle w:val="08-Tabelageral"/>
              <w:ind w:left="113"/>
              <w:cnfStyle w:val="000000000000" w:firstRow="0" w:lastRow="0" w:firstColumn="0" w:lastColumn="0" w:oddVBand="0" w:evenVBand="0" w:oddHBand="0" w:evenHBand="0" w:firstRowFirstColumn="0" w:firstRowLastColumn="0" w:lastRowFirstColumn="0" w:lastRowLastColumn="0"/>
              <w:rPr>
                <w:rFonts w:cs="Arial"/>
                <w:color w:val="000000"/>
                <w:szCs w:val="14"/>
              </w:rPr>
            </w:pPr>
            <w:r w:rsidRPr="003321FA">
              <w:rPr>
                <w:rFonts w:cs="Arial"/>
                <w:color w:val="000000"/>
                <w:szCs w:val="14"/>
              </w:rPr>
              <w:t>1.000</w:t>
            </w:r>
          </w:p>
        </w:tc>
      </w:tr>
      <w:tr w:rsidR="003321FA" w:rsidRPr="003321FA" w14:paraId="375F0FE9" w14:textId="77777777" w:rsidTr="00BF489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nil"/>
              <w:right w:val="nil"/>
            </w:tcBorders>
            <w:shd w:val="clear" w:color="auto" w:fill="auto"/>
            <w:vAlign w:val="center"/>
            <w:hideMark/>
          </w:tcPr>
          <w:p w14:paraId="5EB4C6CE" w14:textId="77777777" w:rsidR="003321FA" w:rsidRPr="003321FA" w:rsidRDefault="003321FA">
            <w:pPr>
              <w:ind w:firstLine="174"/>
              <w:rPr>
                <w:b w:val="0"/>
                <w:bCs w:val="0"/>
                <w:color w:val="FF0000"/>
                <w:sz w:val="14"/>
                <w:szCs w:val="14"/>
              </w:rPr>
            </w:pPr>
            <w:r w:rsidRPr="003321FA">
              <w:rPr>
                <w:rFonts w:ascii="Arial" w:hAnsi="Arial" w:cs="Arial"/>
                <w:b w:val="0"/>
                <w:bCs w:val="0"/>
                <w:color w:val="auto"/>
                <w:sz w:val="14"/>
                <w:szCs w:val="14"/>
              </w:rPr>
              <w:t>Patrimônio líquido</w:t>
            </w:r>
          </w:p>
        </w:tc>
        <w:tc>
          <w:tcPr>
            <w:tcW w:w="2780" w:type="dxa"/>
            <w:tcBorders>
              <w:top w:val="nil"/>
              <w:left w:val="nil"/>
              <w:bottom w:val="nil"/>
              <w:right w:val="nil"/>
            </w:tcBorders>
            <w:shd w:val="clear" w:color="auto" w:fill="auto"/>
            <w:vAlign w:val="center"/>
          </w:tcPr>
          <w:p w14:paraId="583BAAA5"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14"/>
                <w:szCs w:val="14"/>
              </w:rPr>
            </w:pPr>
            <w:r w:rsidRPr="003321FA">
              <w:rPr>
                <w:rFonts w:ascii="Arial" w:hAnsi="Arial" w:cs="Arial"/>
                <w:color w:val="000000"/>
                <w:sz w:val="14"/>
                <w:szCs w:val="14"/>
              </w:rPr>
              <w:t>9.467.121</w:t>
            </w:r>
          </w:p>
        </w:tc>
        <w:tc>
          <w:tcPr>
            <w:tcW w:w="2780" w:type="dxa"/>
            <w:tcBorders>
              <w:top w:val="nil"/>
              <w:left w:val="nil"/>
              <w:bottom w:val="nil"/>
              <w:right w:val="nil"/>
            </w:tcBorders>
            <w:shd w:val="clear" w:color="auto" w:fill="auto"/>
            <w:vAlign w:val="center"/>
          </w:tcPr>
          <w:p w14:paraId="040E65AB" w14:textId="77777777" w:rsidR="003321FA" w:rsidRPr="003321FA" w:rsidRDefault="003321FA">
            <w:pPr>
              <w:pStyle w:val="08-Tabelageral"/>
              <w:ind w:left="113"/>
              <w:cnfStyle w:val="000000010000" w:firstRow="0" w:lastRow="0" w:firstColumn="0" w:lastColumn="0" w:oddVBand="0" w:evenVBand="0" w:oddHBand="0" w:evenHBand="1" w:firstRowFirstColumn="0" w:firstRowLastColumn="0" w:lastRowFirstColumn="0" w:lastRowLastColumn="0"/>
              <w:rPr>
                <w:b/>
                <w:bCs/>
                <w:szCs w:val="14"/>
                <w:lang w:eastAsia="en-US"/>
              </w:rPr>
            </w:pPr>
            <w:r w:rsidRPr="003321FA">
              <w:rPr>
                <w:rFonts w:cs="Arial"/>
                <w:color w:val="000000"/>
                <w:szCs w:val="14"/>
              </w:rPr>
              <w:t>6.118</w:t>
            </w:r>
          </w:p>
        </w:tc>
      </w:tr>
      <w:tr w:rsidR="003321FA" w:rsidRPr="003321FA" w14:paraId="303FA767" w14:textId="77777777" w:rsidTr="00B41C9D">
        <w:trPr>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nil"/>
              <w:right w:val="nil"/>
            </w:tcBorders>
            <w:shd w:val="clear" w:color="auto" w:fill="auto"/>
            <w:vAlign w:val="center"/>
            <w:hideMark/>
          </w:tcPr>
          <w:p w14:paraId="54F23FBA" w14:textId="77777777" w:rsidR="003321FA" w:rsidRPr="003321FA" w:rsidRDefault="003321FA">
            <w:pPr>
              <w:pStyle w:val="08-Tabelageral"/>
              <w:jc w:val="left"/>
              <w:rPr>
                <w:rFonts w:cs="Arial"/>
                <w:b w:val="0"/>
                <w:bCs w:val="0"/>
                <w:szCs w:val="14"/>
                <w:lang w:eastAsia="en-US"/>
              </w:rPr>
            </w:pPr>
            <w:r w:rsidRPr="003321FA">
              <w:rPr>
                <w:rFonts w:cs="Arial"/>
                <w:szCs w:val="14"/>
                <w:lang w:eastAsia="en-US"/>
              </w:rPr>
              <w:t>Saldos em 31.12.2023</w:t>
            </w:r>
          </w:p>
        </w:tc>
        <w:tc>
          <w:tcPr>
            <w:tcW w:w="2780" w:type="dxa"/>
            <w:tcBorders>
              <w:top w:val="nil"/>
              <w:left w:val="nil"/>
              <w:bottom w:val="nil"/>
              <w:right w:val="nil"/>
            </w:tcBorders>
            <w:shd w:val="clear" w:color="auto" w:fill="auto"/>
            <w:vAlign w:val="center"/>
          </w:tcPr>
          <w:p w14:paraId="6C83937E" w14:textId="77777777" w:rsidR="003321FA" w:rsidRPr="003321FA" w:rsidRDefault="003321FA">
            <w:pPr>
              <w:pStyle w:val="08-Tabelageral"/>
              <w:ind w:left="113"/>
              <w:cnfStyle w:val="000000000000" w:firstRow="0" w:lastRow="0" w:firstColumn="0" w:lastColumn="0" w:oddVBand="0" w:evenVBand="0" w:oddHBand="0" w:evenHBand="0" w:firstRowFirstColumn="0" w:firstRowLastColumn="0" w:lastRowFirstColumn="0" w:lastRowLastColumn="0"/>
              <w:rPr>
                <w:szCs w:val="14"/>
                <w:lang w:eastAsia="en-US"/>
              </w:rPr>
            </w:pPr>
          </w:p>
        </w:tc>
        <w:tc>
          <w:tcPr>
            <w:tcW w:w="2780" w:type="dxa"/>
            <w:tcBorders>
              <w:top w:val="nil"/>
              <w:left w:val="nil"/>
              <w:bottom w:val="nil"/>
              <w:right w:val="nil"/>
            </w:tcBorders>
            <w:shd w:val="clear" w:color="auto" w:fill="auto"/>
            <w:vAlign w:val="center"/>
          </w:tcPr>
          <w:p w14:paraId="0EBE2936" w14:textId="77777777" w:rsidR="003321FA" w:rsidRPr="003321FA" w:rsidRDefault="003321FA">
            <w:pPr>
              <w:pStyle w:val="08-Tabelageral"/>
              <w:ind w:left="113"/>
              <w:cnfStyle w:val="000000000000" w:firstRow="0" w:lastRow="0" w:firstColumn="0" w:lastColumn="0" w:oddVBand="0" w:evenVBand="0" w:oddHBand="0" w:evenHBand="0" w:firstRowFirstColumn="0" w:firstRowLastColumn="0" w:lastRowFirstColumn="0" w:lastRowLastColumn="0"/>
              <w:rPr>
                <w:b/>
                <w:bCs/>
                <w:szCs w:val="14"/>
                <w:lang w:eastAsia="en-US"/>
              </w:rPr>
            </w:pPr>
          </w:p>
        </w:tc>
      </w:tr>
      <w:tr w:rsidR="003321FA" w:rsidRPr="003321FA" w14:paraId="724B237C" w14:textId="77777777" w:rsidTr="00BF489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nil"/>
              <w:right w:val="nil"/>
            </w:tcBorders>
            <w:shd w:val="clear" w:color="auto" w:fill="auto"/>
            <w:vAlign w:val="center"/>
          </w:tcPr>
          <w:p w14:paraId="1505E965" w14:textId="77777777" w:rsidR="003321FA" w:rsidRPr="003321FA" w:rsidRDefault="003321FA">
            <w:pPr>
              <w:pStyle w:val="08-Tabelageral"/>
              <w:ind w:firstLine="174"/>
              <w:jc w:val="left"/>
              <w:rPr>
                <w:rFonts w:cs="Arial"/>
                <w:szCs w:val="14"/>
                <w:lang w:eastAsia="en-US"/>
              </w:rPr>
            </w:pPr>
            <w:r w:rsidRPr="003321FA">
              <w:rPr>
                <w:rFonts w:cs="Arial"/>
                <w:b w:val="0"/>
                <w:bCs w:val="0"/>
                <w:color w:val="auto"/>
                <w:szCs w:val="14"/>
                <w:lang w:eastAsia="en-US"/>
              </w:rPr>
              <w:t>Capital Social</w:t>
            </w:r>
          </w:p>
        </w:tc>
        <w:tc>
          <w:tcPr>
            <w:tcW w:w="2780" w:type="dxa"/>
            <w:tcBorders>
              <w:top w:val="nil"/>
              <w:left w:val="nil"/>
              <w:bottom w:val="nil"/>
              <w:right w:val="nil"/>
            </w:tcBorders>
            <w:shd w:val="clear" w:color="auto" w:fill="auto"/>
            <w:vAlign w:val="center"/>
          </w:tcPr>
          <w:p w14:paraId="1ED78C67" w14:textId="77777777" w:rsidR="003321FA" w:rsidRPr="003321FA" w:rsidRDefault="003321FA">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lang w:eastAsia="en-US"/>
              </w:rPr>
            </w:pPr>
            <w:r w:rsidRPr="003321FA">
              <w:rPr>
                <w:rFonts w:cs="Arial"/>
                <w:color w:val="000000"/>
                <w:szCs w:val="14"/>
              </w:rPr>
              <w:t>4.210.872</w:t>
            </w:r>
          </w:p>
        </w:tc>
        <w:tc>
          <w:tcPr>
            <w:tcW w:w="2780" w:type="dxa"/>
            <w:tcBorders>
              <w:top w:val="nil"/>
              <w:left w:val="nil"/>
              <w:bottom w:val="nil"/>
              <w:right w:val="nil"/>
            </w:tcBorders>
            <w:shd w:val="clear" w:color="auto" w:fill="auto"/>
            <w:vAlign w:val="center"/>
          </w:tcPr>
          <w:p w14:paraId="4E32148C" w14:textId="77777777" w:rsidR="003321FA" w:rsidRPr="003321FA" w:rsidRDefault="003321FA">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lang w:eastAsia="en-US"/>
              </w:rPr>
            </w:pPr>
            <w:r w:rsidRPr="003321FA">
              <w:rPr>
                <w:rFonts w:cs="Arial"/>
                <w:color w:val="000000"/>
                <w:szCs w:val="14"/>
              </w:rPr>
              <w:t>1.000</w:t>
            </w:r>
          </w:p>
        </w:tc>
      </w:tr>
      <w:tr w:rsidR="003321FA" w:rsidRPr="003321FA" w14:paraId="757976E6" w14:textId="77777777" w:rsidTr="00B41C9D">
        <w:trPr>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single" w:sz="6" w:space="0" w:color="1F3864" w:themeColor="accent1" w:themeShade="80"/>
              <w:right w:val="nil"/>
            </w:tcBorders>
            <w:shd w:val="clear" w:color="auto" w:fill="auto"/>
            <w:vAlign w:val="center"/>
            <w:hideMark/>
          </w:tcPr>
          <w:p w14:paraId="479D4A13" w14:textId="77777777" w:rsidR="003321FA" w:rsidRPr="003321FA" w:rsidRDefault="003321FA">
            <w:pPr>
              <w:pStyle w:val="08-Tabelageral"/>
              <w:ind w:firstLine="174"/>
              <w:jc w:val="left"/>
              <w:rPr>
                <w:rFonts w:cs="Arial"/>
                <w:b w:val="0"/>
                <w:bCs w:val="0"/>
                <w:szCs w:val="14"/>
                <w:lang w:eastAsia="en-US"/>
              </w:rPr>
            </w:pPr>
            <w:r w:rsidRPr="003321FA">
              <w:rPr>
                <w:rFonts w:cs="Arial"/>
                <w:b w:val="0"/>
                <w:bCs w:val="0"/>
                <w:color w:val="auto"/>
                <w:szCs w:val="14"/>
                <w:lang w:eastAsia="en-US"/>
              </w:rPr>
              <w:t>Patrimônio líquido</w:t>
            </w:r>
          </w:p>
        </w:tc>
        <w:tc>
          <w:tcPr>
            <w:tcW w:w="2780" w:type="dxa"/>
            <w:tcBorders>
              <w:top w:val="nil"/>
              <w:left w:val="nil"/>
              <w:bottom w:val="single" w:sz="6" w:space="0" w:color="1F3864" w:themeColor="accent1" w:themeShade="80"/>
              <w:right w:val="nil"/>
            </w:tcBorders>
            <w:shd w:val="clear" w:color="auto" w:fill="auto"/>
            <w:vAlign w:val="center"/>
          </w:tcPr>
          <w:p w14:paraId="782FA8D2" w14:textId="77777777" w:rsidR="003321FA" w:rsidRPr="003321FA" w:rsidRDefault="003321FA">
            <w:pPr>
              <w:pStyle w:val="08-Tabelageral"/>
              <w:ind w:left="113"/>
              <w:cnfStyle w:val="000000000000" w:firstRow="0" w:lastRow="0" w:firstColumn="0" w:lastColumn="0" w:oddVBand="0" w:evenVBand="0" w:oddHBand="0" w:evenHBand="0" w:firstRowFirstColumn="0" w:firstRowLastColumn="0" w:lastRowFirstColumn="0" w:lastRowLastColumn="0"/>
              <w:rPr>
                <w:szCs w:val="14"/>
                <w:lang w:eastAsia="en-US"/>
              </w:rPr>
            </w:pPr>
            <w:r w:rsidRPr="003321FA">
              <w:rPr>
                <w:rFonts w:cs="Arial"/>
                <w:color w:val="000000"/>
                <w:szCs w:val="14"/>
              </w:rPr>
              <w:t>9.122.733</w:t>
            </w:r>
          </w:p>
        </w:tc>
        <w:tc>
          <w:tcPr>
            <w:tcW w:w="2780" w:type="dxa"/>
            <w:tcBorders>
              <w:top w:val="nil"/>
              <w:left w:val="nil"/>
              <w:bottom w:val="single" w:sz="6" w:space="0" w:color="1F3864" w:themeColor="accent1" w:themeShade="80"/>
              <w:right w:val="nil"/>
            </w:tcBorders>
            <w:shd w:val="clear" w:color="auto" w:fill="auto"/>
            <w:vAlign w:val="center"/>
          </w:tcPr>
          <w:p w14:paraId="576C6C09" w14:textId="77777777" w:rsidR="003321FA" w:rsidRPr="003321FA" w:rsidRDefault="003321FA">
            <w:pPr>
              <w:pStyle w:val="08-Tabelageral"/>
              <w:ind w:left="113"/>
              <w:cnfStyle w:val="000000000000" w:firstRow="0" w:lastRow="0" w:firstColumn="0" w:lastColumn="0" w:oddVBand="0" w:evenVBand="0" w:oddHBand="0" w:evenHBand="0" w:firstRowFirstColumn="0" w:firstRowLastColumn="0" w:lastRowFirstColumn="0" w:lastRowLastColumn="0"/>
              <w:rPr>
                <w:b/>
                <w:bCs/>
                <w:szCs w:val="14"/>
                <w:lang w:eastAsia="en-US"/>
              </w:rPr>
            </w:pPr>
            <w:r w:rsidRPr="003321FA">
              <w:rPr>
                <w:rFonts w:cs="Arial"/>
                <w:color w:val="000000"/>
                <w:szCs w:val="14"/>
              </w:rPr>
              <w:t>5.872</w:t>
            </w:r>
          </w:p>
        </w:tc>
      </w:tr>
    </w:tbl>
    <w:p w14:paraId="4FD34965" w14:textId="77777777" w:rsidR="003321FA" w:rsidRPr="003321FA" w:rsidRDefault="003321FA" w:rsidP="003321FA">
      <w:pPr>
        <w:pStyle w:val="01-TtulodeNota"/>
        <w:spacing w:before="0" w:after="0"/>
        <w:jc w:val="right"/>
        <w:rPr>
          <w:sz w:val="14"/>
          <w:szCs w:val="14"/>
        </w:rPr>
      </w:pPr>
    </w:p>
    <w:p w14:paraId="77B37AA2" w14:textId="77777777" w:rsidR="003321FA" w:rsidRPr="003321FA" w:rsidRDefault="003321FA" w:rsidP="003321FA">
      <w:pPr>
        <w:pStyle w:val="01-TtulodeNota"/>
        <w:spacing w:before="0" w:after="0"/>
        <w:jc w:val="right"/>
        <w:rPr>
          <w:sz w:val="14"/>
          <w:szCs w:val="14"/>
        </w:rPr>
      </w:pPr>
    </w:p>
    <w:p w14:paraId="3B749BFA" w14:textId="77777777" w:rsidR="003321FA" w:rsidRPr="003321FA" w:rsidRDefault="003321FA" w:rsidP="003321FA">
      <w:pPr>
        <w:pStyle w:val="01-TtulodeNota"/>
        <w:spacing w:before="0" w:after="0"/>
        <w:jc w:val="right"/>
        <w:rPr>
          <w:sz w:val="14"/>
          <w:szCs w:val="14"/>
        </w:rPr>
      </w:pPr>
      <w:r w:rsidRPr="003321FA">
        <w:rPr>
          <w:sz w:val="14"/>
          <w:szCs w:val="14"/>
        </w:rPr>
        <w:t>R$ mil</w:t>
      </w:r>
    </w:p>
    <w:tbl>
      <w:tblPr>
        <w:tblStyle w:val="TabeladeLista6Colorida-nfase51"/>
        <w:tblW w:w="9642" w:type="dxa"/>
        <w:jc w:val="center"/>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3686"/>
        <w:gridCol w:w="1191"/>
        <w:gridCol w:w="1191"/>
        <w:gridCol w:w="1191"/>
        <w:gridCol w:w="1191"/>
        <w:gridCol w:w="1192"/>
      </w:tblGrid>
      <w:tr w:rsidR="003321FA" w:rsidRPr="003321FA" w14:paraId="42BE3490" w14:textId="77777777" w:rsidTr="00683653">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single" w:sz="6" w:space="0" w:color="1F3864" w:themeColor="accent1" w:themeShade="80"/>
              <w:left w:val="nil"/>
              <w:bottom w:val="nil"/>
              <w:right w:val="nil"/>
            </w:tcBorders>
            <w:shd w:val="clear" w:color="auto" w:fill="auto"/>
            <w:vAlign w:val="center"/>
          </w:tcPr>
          <w:p w14:paraId="03909ADE" w14:textId="77777777" w:rsidR="003321FA" w:rsidRPr="003321FA" w:rsidRDefault="003321FA">
            <w:pPr>
              <w:rPr>
                <w:rFonts w:ascii="Arial" w:hAnsi="Arial" w:cs="Arial"/>
                <w:color w:val="FF0000"/>
                <w:sz w:val="14"/>
                <w:szCs w:val="14"/>
              </w:rPr>
            </w:pPr>
          </w:p>
        </w:tc>
        <w:tc>
          <w:tcPr>
            <w:tcW w:w="5956" w:type="dxa"/>
            <w:gridSpan w:val="5"/>
            <w:tcBorders>
              <w:top w:val="single" w:sz="6" w:space="0" w:color="1F3864" w:themeColor="accent1" w:themeShade="80"/>
              <w:left w:val="nil"/>
              <w:bottom w:val="single" w:sz="6" w:space="0" w:color="1F3864" w:themeColor="accent1" w:themeShade="80"/>
              <w:right w:val="nil"/>
            </w:tcBorders>
            <w:shd w:val="clear" w:color="auto" w:fill="auto"/>
            <w:vAlign w:val="center"/>
          </w:tcPr>
          <w:p w14:paraId="5D91F057" w14:textId="77777777" w:rsidR="003321FA" w:rsidRPr="003321FA" w:rsidRDefault="003321F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r w:rsidRPr="003321FA">
              <w:rPr>
                <w:rFonts w:ascii="Arial" w:hAnsi="Arial" w:cs="Arial"/>
                <w:bCs w:val="0"/>
                <w:sz w:val="14"/>
                <w:szCs w:val="14"/>
              </w:rPr>
              <w:t>Consolidado</w:t>
            </w:r>
          </w:p>
        </w:tc>
      </w:tr>
      <w:tr w:rsidR="003321FA" w:rsidRPr="003321FA" w14:paraId="0F9883C6" w14:textId="77777777" w:rsidTr="00B41C9D">
        <w:trPr>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left w:val="nil"/>
              <w:bottom w:val="single" w:sz="2" w:space="0" w:color="1F3864" w:themeColor="accent1" w:themeShade="80"/>
              <w:right w:val="nil"/>
            </w:tcBorders>
            <w:shd w:val="clear" w:color="auto" w:fill="auto"/>
            <w:vAlign w:val="center"/>
            <w:hideMark/>
          </w:tcPr>
          <w:p w14:paraId="15F354ED" w14:textId="77777777" w:rsidR="003321FA" w:rsidRPr="003321FA" w:rsidRDefault="003321FA">
            <w:pPr>
              <w:rPr>
                <w:rFonts w:ascii="Arial" w:hAnsi="Arial" w:cs="Arial"/>
                <w:color w:val="FF0000"/>
                <w:sz w:val="14"/>
                <w:szCs w:val="14"/>
              </w:rPr>
            </w:pPr>
            <w:r w:rsidRPr="003321FA">
              <w:rPr>
                <w:rFonts w:ascii="Arial" w:hAnsi="Arial" w:cs="Arial"/>
                <w:color w:val="FF0000"/>
                <w:sz w:val="14"/>
                <w:szCs w:val="14"/>
              </w:rPr>
              <w:t xml:space="preserve"> </w:t>
            </w:r>
          </w:p>
        </w:tc>
        <w:tc>
          <w:tcPr>
            <w:tcW w:w="1191" w:type="dxa"/>
            <w:tcBorders>
              <w:top w:val="single" w:sz="6" w:space="0" w:color="1F3864" w:themeColor="accent1" w:themeShade="80"/>
              <w:left w:val="nil"/>
              <w:bottom w:val="single" w:sz="2" w:space="0" w:color="1F3864" w:themeColor="accent1" w:themeShade="80"/>
              <w:right w:val="nil"/>
            </w:tcBorders>
            <w:shd w:val="clear" w:color="auto" w:fill="auto"/>
            <w:vAlign w:val="center"/>
          </w:tcPr>
          <w:p w14:paraId="330DCF0E" w14:textId="77777777" w:rsidR="003321FA" w:rsidRPr="003321FA" w:rsidRDefault="003321FA">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3321FA">
              <w:rPr>
                <w:rFonts w:ascii="Arial" w:hAnsi="Arial" w:cs="Arial"/>
                <w:b/>
                <w:color w:val="auto"/>
                <w:sz w:val="14"/>
                <w:szCs w:val="14"/>
              </w:rPr>
              <w:t>BB MAPFRE</w:t>
            </w:r>
          </w:p>
        </w:tc>
        <w:tc>
          <w:tcPr>
            <w:tcW w:w="1191" w:type="dxa"/>
            <w:tcBorders>
              <w:top w:val="single" w:sz="6" w:space="0" w:color="1F3864" w:themeColor="accent1" w:themeShade="80"/>
              <w:left w:val="nil"/>
              <w:bottom w:val="single" w:sz="2" w:space="0" w:color="1F3864" w:themeColor="accent1" w:themeShade="80"/>
              <w:right w:val="nil"/>
            </w:tcBorders>
            <w:shd w:val="clear" w:color="auto" w:fill="auto"/>
            <w:vAlign w:val="center"/>
          </w:tcPr>
          <w:p w14:paraId="33CD2673" w14:textId="77777777" w:rsidR="003321FA" w:rsidRPr="003321FA" w:rsidRDefault="003321FA">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3321FA">
              <w:rPr>
                <w:rFonts w:ascii="Arial" w:hAnsi="Arial" w:cs="Arial"/>
                <w:b/>
                <w:color w:val="auto"/>
                <w:sz w:val="14"/>
                <w:szCs w:val="14"/>
              </w:rPr>
              <w:t>Brasilprev</w:t>
            </w:r>
          </w:p>
        </w:tc>
        <w:tc>
          <w:tcPr>
            <w:tcW w:w="1191" w:type="dxa"/>
            <w:tcBorders>
              <w:top w:val="single" w:sz="6" w:space="0" w:color="1F3864" w:themeColor="accent1" w:themeShade="80"/>
              <w:left w:val="nil"/>
              <w:bottom w:val="single" w:sz="2" w:space="0" w:color="1F3864" w:themeColor="accent1" w:themeShade="80"/>
              <w:right w:val="nil"/>
            </w:tcBorders>
            <w:shd w:val="clear" w:color="auto" w:fill="auto"/>
            <w:vAlign w:val="center"/>
          </w:tcPr>
          <w:p w14:paraId="6048E5DD" w14:textId="77777777" w:rsidR="003321FA" w:rsidRPr="003321FA" w:rsidRDefault="003321FA">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roofErr w:type="spellStart"/>
            <w:r w:rsidRPr="003321FA">
              <w:rPr>
                <w:rFonts w:ascii="Arial" w:hAnsi="Arial" w:cs="Arial"/>
                <w:b/>
                <w:color w:val="auto"/>
                <w:sz w:val="14"/>
                <w:szCs w:val="14"/>
              </w:rPr>
              <w:t>Brasilcap</w:t>
            </w:r>
            <w:proofErr w:type="spellEnd"/>
          </w:p>
        </w:tc>
        <w:tc>
          <w:tcPr>
            <w:tcW w:w="1191" w:type="dxa"/>
            <w:tcBorders>
              <w:top w:val="single" w:sz="6" w:space="0" w:color="1F3864" w:themeColor="accent1" w:themeShade="80"/>
              <w:left w:val="nil"/>
              <w:bottom w:val="single" w:sz="2" w:space="0" w:color="1F3864" w:themeColor="accent1" w:themeShade="80"/>
              <w:right w:val="nil"/>
            </w:tcBorders>
            <w:shd w:val="clear" w:color="auto" w:fill="auto"/>
            <w:vAlign w:val="center"/>
          </w:tcPr>
          <w:p w14:paraId="67A73230" w14:textId="77777777" w:rsidR="003321FA" w:rsidRPr="003321FA" w:rsidRDefault="003321FA">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roofErr w:type="spellStart"/>
            <w:r w:rsidRPr="003321FA">
              <w:rPr>
                <w:rFonts w:ascii="Arial" w:hAnsi="Arial" w:cs="Arial"/>
                <w:b/>
                <w:color w:val="auto"/>
                <w:sz w:val="14"/>
                <w:szCs w:val="14"/>
              </w:rPr>
              <w:t>Brasildental</w:t>
            </w:r>
            <w:proofErr w:type="spellEnd"/>
          </w:p>
        </w:tc>
        <w:tc>
          <w:tcPr>
            <w:tcW w:w="1192" w:type="dxa"/>
            <w:tcBorders>
              <w:top w:val="single" w:sz="6" w:space="0" w:color="1F3864" w:themeColor="accent1" w:themeShade="80"/>
              <w:left w:val="nil"/>
              <w:bottom w:val="single" w:sz="2" w:space="0" w:color="1F3864" w:themeColor="accent1" w:themeShade="80"/>
              <w:right w:val="nil"/>
            </w:tcBorders>
            <w:shd w:val="clear" w:color="auto" w:fill="auto"/>
            <w:vAlign w:val="center"/>
          </w:tcPr>
          <w:p w14:paraId="143D52A7" w14:textId="77777777" w:rsidR="003321FA" w:rsidRPr="003321FA" w:rsidRDefault="003321FA">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roofErr w:type="spellStart"/>
            <w:r w:rsidRPr="003321FA">
              <w:rPr>
                <w:rFonts w:ascii="Arial" w:hAnsi="Arial" w:cs="Arial"/>
                <w:b/>
                <w:color w:val="auto"/>
                <w:sz w:val="14"/>
                <w:szCs w:val="14"/>
              </w:rPr>
              <w:t>Ciclic</w:t>
            </w:r>
            <w:proofErr w:type="spellEnd"/>
          </w:p>
        </w:tc>
      </w:tr>
      <w:tr w:rsidR="003321FA" w:rsidRPr="003321FA" w14:paraId="3A6C0ED3" w14:textId="77777777" w:rsidTr="0068365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single" w:sz="2" w:space="0" w:color="1F3864" w:themeColor="accent1" w:themeShade="80"/>
              <w:left w:val="nil"/>
              <w:bottom w:val="nil"/>
              <w:right w:val="nil"/>
            </w:tcBorders>
            <w:shd w:val="clear" w:color="auto" w:fill="auto"/>
            <w:vAlign w:val="center"/>
            <w:hideMark/>
          </w:tcPr>
          <w:p w14:paraId="6903F1C2" w14:textId="77777777" w:rsidR="003321FA" w:rsidRPr="003321FA" w:rsidRDefault="003321FA">
            <w:pPr>
              <w:rPr>
                <w:rFonts w:ascii="Arial" w:hAnsi="Arial" w:cs="Arial"/>
                <w:b w:val="0"/>
                <w:bCs w:val="0"/>
                <w:sz w:val="14"/>
                <w:szCs w:val="14"/>
              </w:rPr>
            </w:pPr>
            <w:r w:rsidRPr="003321FA">
              <w:rPr>
                <w:rFonts w:ascii="Arial" w:hAnsi="Arial" w:cs="Arial"/>
                <w:sz w:val="14"/>
                <w:szCs w:val="14"/>
              </w:rPr>
              <w:t>Saldos em 31.12.2024</w:t>
            </w:r>
          </w:p>
        </w:tc>
        <w:tc>
          <w:tcPr>
            <w:tcW w:w="1191" w:type="dxa"/>
            <w:tcBorders>
              <w:top w:val="single" w:sz="2" w:space="0" w:color="1F3864" w:themeColor="accent1" w:themeShade="80"/>
              <w:left w:val="nil"/>
              <w:bottom w:val="nil"/>
              <w:right w:val="nil"/>
            </w:tcBorders>
            <w:shd w:val="clear" w:color="auto" w:fill="auto"/>
            <w:vAlign w:val="center"/>
          </w:tcPr>
          <w:p w14:paraId="575E8D78" w14:textId="77777777" w:rsidR="003321FA" w:rsidRPr="003321FA" w:rsidRDefault="003321FA">
            <w:pPr>
              <w:pStyle w:val="08-Tabelageral"/>
              <w:ind w:left="113"/>
              <w:cnfStyle w:val="000000010000" w:firstRow="0" w:lastRow="0" w:firstColumn="0" w:lastColumn="0" w:oddVBand="0" w:evenVBand="0" w:oddHBand="0" w:evenHBand="1" w:firstRowFirstColumn="0" w:firstRowLastColumn="0" w:lastRowFirstColumn="0" w:lastRowLastColumn="0"/>
              <w:rPr>
                <w:szCs w:val="14"/>
                <w:lang w:eastAsia="en-US"/>
              </w:rPr>
            </w:pPr>
          </w:p>
        </w:tc>
        <w:tc>
          <w:tcPr>
            <w:tcW w:w="1191" w:type="dxa"/>
            <w:tcBorders>
              <w:top w:val="single" w:sz="2" w:space="0" w:color="1F3864" w:themeColor="accent1" w:themeShade="80"/>
              <w:left w:val="nil"/>
              <w:bottom w:val="nil"/>
              <w:right w:val="nil"/>
            </w:tcBorders>
            <w:shd w:val="clear" w:color="auto" w:fill="auto"/>
            <w:vAlign w:val="center"/>
          </w:tcPr>
          <w:p w14:paraId="6166274F" w14:textId="77777777" w:rsidR="003321FA" w:rsidRPr="003321FA" w:rsidRDefault="003321FA">
            <w:pPr>
              <w:pStyle w:val="08-Tabelageral"/>
              <w:ind w:left="113"/>
              <w:cnfStyle w:val="000000010000" w:firstRow="0" w:lastRow="0" w:firstColumn="0" w:lastColumn="0" w:oddVBand="0" w:evenVBand="0" w:oddHBand="0" w:evenHBand="1" w:firstRowFirstColumn="0" w:firstRowLastColumn="0" w:lastRowFirstColumn="0" w:lastRowLastColumn="0"/>
              <w:rPr>
                <w:szCs w:val="14"/>
                <w:lang w:eastAsia="en-US"/>
              </w:rPr>
            </w:pPr>
          </w:p>
        </w:tc>
        <w:tc>
          <w:tcPr>
            <w:tcW w:w="1191" w:type="dxa"/>
            <w:tcBorders>
              <w:top w:val="single" w:sz="2" w:space="0" w:color="1F3864" w:themeColor="accent1" w:themeShade="80"/>
              <w:left w:val="nil"/>
              <w:bottom w:val="nil"/>
              <w:right w:val="nil"/>
            </w:tcBorders>
            <w:shd w:val="clear" w:color="auto" w:fill="auto"/>
            <w:vAlign w:val="center"/>
          </w:tcPr>
          <w:p w14:paraId="26FEDF10" w14:textId="77777777" w:rsidR="003321FA" w:rsidRPr="003321FA" w:rsidRDefault="003321FA">
            <w:pPr>
              <w:pStyle w:val="08-Tabelageral"/>
              <w:ind w:left="113"/>
              <w:cnfStyle w:val="000000010000" w:firstRow="0" w:lastRow="0" w:firstColumn="0" w:lastColumn="0" w:oddVBand="0" w:evenVBand="0" w:oddHBand="0" w:evenHBand="1" w:firstRowFirstColumn="0" w:firstRowLastColumn="0" w:lastRowFirstColumn="0" w:lastRowLastColumn="0"/>
              <w:rPr>
                <w:szCs w:val="14"/>
                <w:lang w:eastAsia="en-US"/>
              </w:rPr>
            </w:pPr>
          </w:p>
        </w:tc>
        <w:tc>
          <w:tcPr>
            <w:tcW w:w="1191" w:type="dxa"/>
            <w:tcBorders>
              <w:top w:val="single" w:sz="2" w:space="0" w:color="1F3864" w:themeColor="accent1" w:themeShade="80"/>
              <w:left w:val="nil"/>
              <w:bottom w:val="nil"/>
              <w:right w:val="nil"/>
            </w:tcBorders>
            <w:shd w:val="clear" w:color="auto" w:fill="auto"/>
            <w:vAlign w:val="center"/>
          </w:tcPr>
          <w:p w14:paraId="1AC028BB" w14:textId="77777777" w:rsidR="003321FA" w:rsidRPr="003321FA" w:rsidRDefault="003321FA">
            <w:pPr>
              <w:pStyle w:val="08-Tabelageral"/>
              <w:ind w:left="113"/>
              <w:cnfStyle w:val="000000010000" w:firstRow="0" w:lastRow="0" w:firstColumn="0" w:lastColumn="0" w:oddVBand="0" w:evenVBand="0" w:oddHBand="0" w:evenHBand="1" w:firstRowFirstColumn="0" w:firstRowLastColumn="0" w:lastRowFirstColumn="0" w:lastRowLastColumn="0"/>
              <w:rPr>
                <w:szCs w:val="14"/>
                <w:lang w:eastAsia="en-US"/>
              </w:rPr>
            </w:pPr>
          </w:p>
        </w:tc>
        <w:tc>
          <w:tcPr>
            <w:tcW w:w="1192" w:type="dxa"/>
            <w:tcBorders>
              <w:top w:val="single" w:sz="2" w:space="0" w:color="1F3864" w:themeColor="accent1" w:themeShade="80"/>
              <w:left w:val="nil"/>
              <w:bottom w:val="nil"/>
              <w:right w:val="nil"/>
            </w:tcBorders>
            <w:shd w:val="clear" w:color="auto" w:fill="auto"/>
            <w:vAlign w:val="center"/>
          </w:tcPr>
          <w:p w14:paraId="58E73F16" w14:textId="77777777" w:rsidR="003321FA" w:rsidRPr="003321FA" w:rsidRDefault="003321FA">
            <w:pPr>
              <w:pStyle w:val="08-Tabelageral"/>
              <w:ind w:left="113"/>
              <w:cnfStyle w:val="000000010000" w:firstRow="0" w:lastRow="0" w:firstColumn="0" w:lastColumn="0" w:oddVBand="0" w:evenVBand="0" w:oddHBand="0" w:evenHBand="1" w:firstRowFirstColumn="0" w:firstRowLastColumn="0" w:lastRowFirstColumn="0" w:lastRowLastColumn="0"/>
              <w:rPr>
                <w:b/>
                <w:bCs/>
                <w:szCs w:val="14"/>
                <w:lang w:eastAsia="en-US"/>
              </w:rPr>
            </w:pPr>
          </w:p>
        </w:tc>
      </w:tr>
      <w:tr w:rsidR="003321FA" w:rsidRPr="003321FA" w14:paraId="77ECABCC" w14:textId="77777777" w:rsidTr="00B41C9D">
        <w:trPr>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left w:val="nil"/>
              <w:bottom w:val="nil"/>
              <w:right w:val="nil"/>
            </w:tcBorders>
            <w:shd w:val="clear" w:color="auto" w:fill="auto"/>
            <w:vAlign w:val="center"/>
            <w:hideMark/>
          </w:tcPr>
          <w:p w14:paraId="5E819AB4" w14:textId="77777777" w:rsidR="003321FA" w:rsidRPr="003321FA" w:rsidRDefault="003321FA">
            <w:pPr>
              <w:ind w:firstLine="174"/>
              <w:rPr>
                <w:b w:val="0"/>
                <w:bCs w:val="0"/>
                <w:sz w:val="14"/>
                <w:szCs w:val="14"/>
              </w:rPr>
            </w:pPr>
            <w:r w:rsidRPr="003321FA">
              <w:rPr>
                <w:rFonts w:ascii="Arial" w:hAnsi="Arial" w:cs="Arial"/>
                <w:b w:val="0"/>
                <w:bCs w:val="0"/>
                <w:color w:val="auto"/>
                <w:sz w:val="14"/>
                <w:szCs w:val="14"/>
              </w:rPr>
              <w:t>Capital social</w:t>
            </w:r>
          </w:p>
        </w:tc>
        <w:tc>
          <w:tcPr>
            <w:tcW w:w="1191" w:type="dxa"/>
            <w:tcBorders>
              <w:top w:val="nil"/>
              <w:left w:val="nil"/>
              <w:bottom w:val="nil"/>
              <w:right w:val="nil"/>
            </w:tcBorders>
            <w:shd w:val="clear" w:color="auto" w:fill="auto"/>
            <w:vAlign w:val="center"/>
          </w:tcPr>
          <w:p w14:paraId="2D18D45E"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1.469.848</w:t>
            </w:r>
          </w:p>
        </w:tc>
        <w:tc>
          <w:tcPr>
            <w:tcW w:w="1191" w:type="dxa"/>
            <w:tcBorders>
              <w:top w:val="nil"/>
              <w:left w:val="nil"/>
              <w:bottom w:val="nil"/>
              <w:right w:val="nil"/>
            </w:tcBorders>
            <w:shd w:val="clear" w:color="auto" w:fill="auto"/>
            <w:vAlign w:val="center"/>
          </w:tcPr>
          <w:p w14:paraId="2C97DFFC"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3.529.257</w:t>
            </w:r>
          </w:p>
        </w:tc>
        <w:tc>
          <w:tcPr>
            <w:tcW w:w="1191" w:type="dxa"/>
            <w:tcBorders>
              <w:top w:val="nil"/>
              <w:left w:val="nil"/>
              <w:bottom w:val="nil"/>
              <w:right w:val="nil"/>
            </w:tcBorders>
            <w:shd w:val="clear" w:color="auto" w:fill="auto"/>
            <w:vAlign w:val="center"/>
          </w:tcPr>
          <w:p w14:paraId="5978851C"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354.398</w:t>
            </w:r>
          </w:p>
        </w:tc>
        <w:tc>
          <w:tcPr>
            <w:tcW w:w="1191" w:type="dxa"/>
            <w:tcBorders>
              <w:top w:val="nil"/>
              <w:left w:val="nil"/>
              <w:bottom w:val="nil"/>
              <w:right w:val="nil"/>
            </w:tcBorders>
            <w:shd w:val="clear" w:color="auto" w:fill="auto"/>
            <w:vAlign w:val="center"/>
          </w:tcPr>
          <w:p w14:paraId="7F9776B5"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9.500</w:t>
            </w:r>
          </w:p>
        </w:tc>
        <w:tc>
          <w:tcPr>
            <w:tcW w:w="1192" w:type="dxa"/>
            <w:tcBorders>
              <w:top w:val="nil"/>
              <w:left w:val="nil"/>
              <w:bottom w:val="nil"/>
              <w:right w:val="nil"/>
            </w:tcBorders>
            <w:shd w:val="clear" w:color="auto" w:fill="auto"/>
            <w:vAlign w:val="center"/>
          </w:tcPr>
          <w:p w14:paraId="70B20166" w14:textId="77777777" w:rsidR="003321FA" w:rsidRPr="003321FA" w:rsidRDefault="003321FA">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szCs w:val="14"/>
                <w:lang w:eastAsia="en-US"/>
              </w:rPr>
            </w:pPr>
            <w:r w:rsidRPr="003321FA">
              <w:rPr>
                <w:rFonts w:cs="Arial"/>
                <w:color w:val="000000"/>
                <w:szCs w:val="14"/>
              </w:rPr>
              <w:t>61.133</w:t>
            </w:r>
          </w:p>
        </w:tc>
      </w:tr>
      <w:tr w:rsidR="003321FA" w:rsidRPr="003321FA" w14:paraId="60AB2E30" w14:textId="77777777" w:rsidTr="0068365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left w:val="nil"/>
              <w:bottom w:val="nil"/>
              <w:right w:val="nil"/>
            </w:tcBorders>
            <w:shd w:val="clear" w:color="auto" w:fill="auto"/>
            <w:vAlign w:val="center"/>
            <w:hideMark/>
          </w:tcPr>
          <w:p w14:paraId="4D87BA27" w14:textId="77777777" w:rsidR="003321FA" w:rsidRPr="003321FA" w:rsidRDefault="003321FA">
            <w:pPr>
              <w:ind w:firstLine="174"/>
              <w:rPr>
                <w:rFonts w:ascii="Arial" w:hAnsi="Arial" w:cs="Arial"/>
                <w:b w:val="0"/>
                <w:bCs w:val="0"/>
                <w:sz w:val="14"/>
                <w:szCs w:val="14"/>
              </w:rPr>
            </w:pPr>
            <w:r w:rsidRPr="003321FA">
              <w:rPr>
                <w:rFonts w:ascii="Arial" w:hAnsi="Arial" w:cs="Arial"/>
                <w:b w:val="0"/>
                <w:bCs w:val="0"/>
                <w:color w:val="auto"/>
                <w:sz w:val="14"/>
                <w:szCs w:val="14"/>
              </w:rPr>
              <w:t>Patrimônio líquido</w:t>
            </w:r>
          </w:p>
        </w:tc>
        <w:tc>
          <w:tcPr>
            <w:tcW w:w="1191" w:type="dxa"/>
            <w:tcBorders>
              <w:top w:val="nil"/>
              <w:left w:val="nil"/>
              <w:bottom w:val="nil"/>
              <w:right w:val="nil"/>
            </w:tcBorders>
            <w:shd w:val="clear" w:color="auto" w:fill="auto"/>
            <w:vAlign w:val="center"/>
          </w:tcPr>
          <w:p w14:paraId="6AFD4C8C"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3.318.328</w:t>
            </w:r>
          </w:p>
        </w:tc>
        <w:tc>
          <w:tcPr>
            <w:tcW w:w="1191" w:type="dxa"/>
            <w:tcBorders>
              <w:top w:val="nil"/>
              <w:left w:val="nil"/>
              <w:bottom w:val="nil"/>
              <w:right w:val="nil"/>
            </w:tcBorders>
            <w:shd w:val="clear" w:color="auto" w:fill="auto"/>
            <w:vAlign w:val="center"/>
          </w:tcPr>
          <w:p w14:paraId="126E83A9"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14"/>
                <w:szCs w:val="14"/>
              </w:rPr>
            </w:pPr>
            <w:r w:rsidRPr="003321FA">
              <w:rPr>
                <w:rFonts w:ascii="Arial" w:hAnsi="Arial" w:cs="Arial"/>
                <w:color w:val="000000"/>
                <w:sz w:val="14"/>
                <w:szCs w:val="14"/>
              </w:rPr>
              <w:t>6.954.395</w:t>
            </w:r>
          </w:p>
        </w:tc>
        <w:tc>
          <w:tcPr>
            <w:tcW w:w="1191" w:type="dxa"/>
            <w:tcBorders>
              <w:top w:val="nil"/>
              <w:left w:val="nil"/>
              <w:bottom w:val="nil"/>
              <w:right w:val="nil"/>
            </w:tcBorders>
            <w:shd w:val="clear" w:color="auto" w:fill="auto"/>
            <w:vAlign w:val="center"/>
          </w:tcPr>
          <w:p w14:paraId="34BD93FB"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803.744</w:t>
            </w:r>
          </w:p>
        </w:tc>
        <w:tc>
          <w:tcPr>
            <w:tcW w:w="1191" w:type="dxa"/>
            <w:tcBorders>
              <w:top w:val="nil"/>
              <w:left w:val="nil"/>
              <w:bottom w:val="nil"/>
              <w:right w:val="nil"/>
            </w:tcBorders>
            <w:shd w:val="clear" w:color="auto" w:fill="auto"/>
            <w:vAlign w:val="center"/>
          </w:tcPr>
          <w:p w14:paraId="67E2D6C1"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17.257</w:t>
            </w:r>
          </w:p>
        </w:tc>
        <w:tc>
          <w:tcPr>
            <w:tcW w:w="1192" w:type="dxa"/>
            <w:tcBorders>
              <w:top w:val="nil"/>
              <w:left w:val="nil"/>
              <w:bottom w:val="nil"/>
              <w:right w:val="nil"/>
            </w:tcBorders>
            <w:shd w:val="clear" w:color="auto" w:fill="auto"/>
            <w:vAlign w:val="center"/>
          </w:tcPr>
          <w:p w14:paraId="04558A66" w14:textId="77777777" w:rsidR="003321FA" w:rsidRPr="003321FA" w:rsidRDefault="003321FA">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szCs w:val="14"/>
                <w:lang w:eastAsia="en-US"/>
              </w:rPr>
            </w:pPr>
            <w:r w:rsidRPr="003321FA">
              <w:rPr>
                <w:rFonts w:cs="Arial"/>
                <w:color w:val="000000"/>
                <w:szCs w:val="14"/>
              </w:rPr>
              <w:t>15.877</w:t>
            </w:r>
          </w:p>
        </w:tc>
      </w:tr>
      <w:tr w:rsidR="003321FA" w:rsidRPr="003321FA" w14:paraId="6A31D37D" w14:textId="77777777" w:rsidTr="00B41C9D">
        <w:trPr>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left w:val="nil"/>
              <w:bottom w:val="nil"/>
              <w:right w:val="nil"/>
            </w:tcBorders>
            <w:shd w:val="clear" w:color="auto" w:fill="auto"/>
            <w:vAlign w:val="center"/>
            <w:hideMark/>
          </w:tcPr>
          <w:p w14:paraId="2217DE0D" w14:textId="77777777" w:rsidR="003321FA" w:rsidRPr="003321FA" w:rsidRDefault="003321FA">
            <w:pPr>
              <w:pStyle w:val="08-Tabelageral"/>
              <w:jc w:val="left"/>
              <w:rPr>
                <w:rFonts w:cs="Arial"/>
                <w:b w:val="0"/>
                <w:szCs w:val="14"/>
                <w:lang w:eastAsia="en-US"/>
              </w:rPr>
            </w:pPr>
            <w:r w:rsidRPr="003321FA">
              <w:rPr>
                <w:rFonts w:cs="Arial"/>
                <w:szCs w:val="14"/>
                <w:lang w:eastAsia="en-US"/>
              </w:rPr>
              <w:t>Saldos em 31.12.2023</w:t>
            </w:r>
          </w:p>
        </w:tc>
        <w:tc>
          <w:tcPr>
            <w:tcW w:w="1191" w:type="dxa"/>
            <w:tcBorders>
              <w:top w:val="nil"/>
              <w:left w:val="nil"/>
              <w:bottom w:val="nil"/>
              <w:right w:val="nil"/>
            </w:tcBorders>
            <w:shd w:val="clear" w:color="auto" w:fill="auto"/>
            <w:vAlign w:val="center"/>
          </w:tcPr>
          <w:p w14:paraId="08AE60CF"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 </w:t>
            </w:r>
          </w:p>
        </w:tc>
        <w:tc>
          <w:tcPr>
            <w:tcW w:w="1191" w:type="dxa"/>
            <w:tcBorders>
              <w:top w:val="nil"/>
              <w:left w:val="nil"/>
              <w:bottom w:val="nil"/>
              <w:right w:val="nil"/>
            </w:tcBorders>
            <w:shd w:val="clear" w:color="auto" w:fill="auto"/>
            <w:vAlign w:val="center"/>
          </w:tcPr>
          <w:p w14:paraId="24C48EA3"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 </w:t>
            </w:r>
          </w:p>
        </w:tc>
        <w:tc>
          <w:tcPr>
            <w:tcW w:w="1191" w:type="dxa"/>
            <w:tcBorders>
              <w:top w:val="nil"/>
              <w:left w:val="nil"/>
              <w:bottom w:val="nil"/>
              <w:right w:val="nil"/>
            </w:tcBorders>
            <w:shd w:val="clear" w:color="auto" w:fill="auto"/>
            <w:vAlign w:val="center"/>
          </w:tcPr>
          <w:p w14:paraId="23A0C7DA"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 </w:t>
            </w:r>
          </w:p>
        </w:tc>
        <w:tc>
          <w:tcPr>
            <w:tcW w:w="1191" w:type="dxa"/>
            <w:tcBorders>
              <w:top w:val="nil"/>
              <w:left w:val="nil"/>
              <w:bottom w:val="nil"/>
              <w:right w:val="nil"/>
            </w:tcBorders>
            <w:shd w:val="clear" w:color="auto" w:fill="auto"/>
            <w:vAlign w:val="center"/>
          </w:tcPr>
          <w:p w14:paraId="6A1FB85B"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 </w:t>
            </w:r>
          </w:p>
        </w:tc>
        <w:tc>
          <w:tcPr>
            <w:tcW w:w="1192" w:type="dxa"/>
            <w:tcBorders>
              <w:top w:val="nil"/>
              <w:left w:val="nil"/>
              <w:bottom w:val="nil"/>
              <w:right w:val="nil"/>
            </w:tcBorders>
            <w:shd w:val="clear" w:color="auto" w:fill="auto"/>
            <w:vAlign w:val="center"/>
          </w:tcPr>
          <w:p w14:paraId="5DF063CF"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321FA">
              <w:rPr>
                <w:rFonts w:ascii="Arial" w:hAnsi="Arial" w:cs="Arial"/>
                <w:color w:val="000000"/>
                <w:sz w:val="14"/>
                <w:szCs w:val="14"/>
              </w:rPr>
              <w:t> </w:t>
            </w:r>
          </w:p>
        </w:tc>
      </w:tr>
      <w:tr w:rsidR="003321FA" w:rsidRPr="003321FA" w14:paraId="17FEDAD8" w14:textId="77777777" w:rsidTr="0068365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left w:val="nil"/>
              <w:bottom w:val="nil"/>
              <w:right w:val="nil"/>
            </w:tcBorders>
            <w:shd w:val="clear" w:color="auto" w:fill="auto"/>
            <w:vAlign w:val="center"/>
            <w:hideMark/>
          </w:tcPr>
          <w:p w14:paraId="148B53B4" w14:textId="77777777" w:rsidR="003321FA" w:rsidRPr="003321FA" w:rsidRDefault="003321FA">
            <w:pPr>
              <w:pStyle w:val="08-Tabelageral"/>
              <w:ind w:firstLine="174"/>
              <w:jc w:val="left"/>
              <w:rPr>
                <w:rFonts w:cs="Arial"/>
                <w:b w:val="0"/>
                <w:szCs w:val="14"/>
                <w:lang w:eastAsia="en-US"/>
              </w:rPr>
            </w:pPr>
            <w:r w:rsidRPr="003321FA">
              <w:rPr>
                <w:rFonts w:cs="Arial"/>
                <w:b w:val="0"/>
                <w:color w:val="auto"/>
                <w:szCs w:val="14"/>
                <w:lang w:eastAsia="en-US"/>
              </w:rPr>
              <w:t>Capital social</w:t>
            </w:r>
          </w:p>
        </w:tc>
        <w:tc>
          <w:tcPr>
            <w:tcW w:w="1191" w:type="dxa"/>
            <w:tcBorders>
              <w:top w:val="nil"/>
              <w:left w:val="nil"/>
              <w:bottom w:val="nil"/>
              <w:right w:val="nil"/>
            </w:tcBorders>
            <w:shd w:val="clear" w:color="auto" w:fill="auto"/>
            <w:vAlign w:val="center"/>
          </w:tcPr>
          <w:p w14:paraId="4016EC71"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1.469.848</w:t>
            </w:r>
          </w:p>
        </w:tc>
        <w:tc>
          <w:tcPr>
            <w:tcW w:w="1191" w:type="dxa"/>
            <w:tcBorders>
              <w:top w:val="nil"/>
              <w:left w:val="nil"/>
              <w:bottom w:val="nil"/>
              <w:right w:val="nil"/>
            </w:tcBorders>
            <w:shd w:val="clear" w:color="auto" w:fill="auto"/>
            <w:vAlign w:val="center"/>
          </w:tcPr>
          <w:p w14:paraId="4A7992E7"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3.529.257</w:t>
            </w:r>
          </w:p>
        </w:tc>
        <w:tc>
          <w:tcPr>
            <w:tcW w:w="1191" w:type="dxa"/>
            <w:tcBorders>
              <w:top w:val="nil"/>
              <w:left w:val="nil"/>
              <w:bottom w:val="nil"/>
              <w:right w:val="nil"/>
            </w:tcBorders>
            <w:shd w:val="clear" w:color="auto" w:fill="auto"/>
            <w:vAlign w:val="center"/>
          </w:tcPr>
          <w:p w14:paraId="35057851"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354.398</w:t>
            </w:r>
          </w:p>
        </w:tc>
        <w:tc>
          <w:tcPr>
            <w:tcW w:w="1191" w:type="dxa"/>
            <w:tcBorders>
              <w:top w:val="nil"/>
              <w:left w:val="nil"/>
              <w:bottom w:val="nil"/>
              <w:right w:val="nil"/>
            </w:tcBorders>
            <w:shd w:val="clear" w:color="auto" w:fill="auto"/>
            <w:vAlign w:val="center"/>
          </w:tcPr>
          <w:p w14:paraId="2DE59172"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9.500</w:t>
            </w:r>
          </w:p>
        </w:tc>
        <w:tc>
          <w:tcPr>
            <w:tcW w:w="1192" w:type="dxa"/>
            <w:tcBorders>
              <w:top w:val="nil"/>
              <w:left w:val="nil"/>
              <w:bottom w:val="nil"/>
              <w:right w:val="nil"/>
            </w:tcBorders>
            <w:shd w:val="clear" w:color="auto" w:fill="auto"/>
            <w:vAlign w:val="center"/>
          </w:tcPr>
          <w:p w14:paraId="5B0989F8"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321FA">
              <w:rPr>
                <w:rFonts w:ascii="Arial" w:hAnsi="Arial" w:cs="Arial"/>
                <w:color w:val="000000"/>
                <w:sz w:val="14"/>
                <w:szCs w:val="14"/>
              </w:rPr>
              <w:t>61.133</w:t>
            </w:r>
          </w:p>
        </w:tc>
      </w:tr>
      <w:tr w:rsidR="003321FA" w:rsidRPr="003321FA" w14:paraId="43FADAA2" w14:textId="77777777" w:rsidTr="00B41C9D">
        <w:trPr>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left w:val="nil"/>
              <w:bottom w:val="single" w:sz="2" w:space="0" w:color="1F3864" w:themeColor="accent1" w:themeShade="80"/>
              <w:right w:val="nil"/>
            </w:tcBorders>
            <w:shd w:val="clear" w:color="auto" w:fill="auto"/>
            <w:vAlign w:val="center"/>
            <w:hideMark/>
          </w:tcPr>
          <w:p w14:paraId="271E4B97" w14:textId="77777777" w:rsidR="003321FA" w:rsidRPr="003321FA" w:rsidRDefault="003321FA">
            <w:pPr>
              <w:pStyle w:val="08-Tabelageral"/>
              <w:ind w:firstLine="174"/>
              <w:jc w:val="left"/>
              <w:rPr>
                <w:rFonts w:cs="Arial"/>
                <w:b w:val="0"/>
                <w:szCs w:val="14"/>
                <w:lang w:eastAsia="en-US"/>
              </w:rPr>
            </w:pPr>
            <w:r w:rsidRPr="003321FA">
              <w:rPr>
                <w:rFonts w:cs="Arial"/>
                <w:b w:val="0"/>
                <w:bCs w:val="0"/>
                <w:color w:val="auto"/>
                <w:szCs w:val="14"/>
                <w:lang w:eastAsia="en-US"/>
              </w:rPr>
              <w:t>Patrimônio líquido</w:t>
            </w:r>
            <w:r w:rsidRPr="003321FA">
              <w:rPr>
                <w:rFonts w:cs="Arial"/>
                <w:b w:val="0"/>
                <w:color w:val="auto"/>
                <w:szCs w:val="14"/>
                <w:lang w:eastAsia="en-US"/>
              </w:rPr>
              <w:t xml:space="preserve"> </w:t>
            </w:r>
          </w:p>
        </w:tc>
        <w:tc>
          <w:tcPr>
            <w:tcW w:w="1191" w:type="dxa"/>
            <w:tcBorders>
              <w:top w:val="nil"/>
              <w:left w:val="nil"/>
              <w:bottom w:val="single" w:sz="2" w:space="0" w:color="1F3864" w:themeColor="accent1" w:themeShade="80"/>
              <w:right w:val="nil"/>
            </w:tcBorders>
            <w:shd w:val="clear" w:color="auto" w:fill="auto"/>
            <w:vAlign w:val="center"/>
          </w:tcPr>
          <w:p w14:paraId="50469F65"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3.358.785</w:t>
            </w:r>
          </w:p>
        </w:tc>
        <w:tc>
          <w:tcPr>
            <w:tcW w:w="1191" w:type="dxa"/>
            <w:tcBorders>
              <w:top w:val="nil"/>
              <w:left w:val="nil"/>
              <w:bottom w:val="single" w:sz="2" w:space="0" w:color="1F3864" w:themeColor="accent1" w:themeShade="80"/>
              <w:right w:val="nil"/>
            </w:tcBorders>
            <w:shd w:val="clear" w:color="auto" w:fill="auto"/>
            <w:vAlign w:val="center"/>
          </w:tcPr>
          <w:p w14:paraId="405DC0BB"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7.612.425</w:t>
            </w:r>
          </w:p>
        </w:tc>
        <w:tc>
          <w:tcPr>
            <w:tcW w:w="1191" w:type="dxa"/>
            <w:tcBorders>
              <w:top w:val="nil"/>
              <w:left w:val="nil"/>
              <w:bottom w:val="single" w:sz="2" w:space="0" w:color="1F3864" w:themeColor="accent1" w:themeShade="80"/>
              <w:right w:val="nil"/>
            </w:tcBorders>
            <w:shd w:val="clear" w:color="auto" w:fill="auto"/>
            <w:vAlign w:val="center"/>
          </w:tcPr>
          <w:p w14:paraId="67B79402" w14:textId="1ABE91B1"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766.22</w:t>
            </w:r>
            <w:r w:rsidR="009B22AB">
              <w:rPr>
                <w:rFonts w:ascii="Arial" w:hAnsi="Arial" w:cs="Arial"/>
                <w:color w:val="000000"/>
                <w:sz w:val="14"/>
                <w:szCs w:val="14"/>
              </w:rPr>
              <w:t>0</w:t>
            </w:r>
          </w:p>
        </w:tc>
        <w:tc>
          <w:tcPr>
            <w:tcW w:w="1191" w:type="dxa"/>
            <w:tcBorders>
              <w:top w:val="nil"/>
              <w:left w:val="nil"/>
              <w:bottom w:val="single" w:sz="2" w:space="0" w:color="1F3864" w:themeColor="accent1" w:themeShade="80"/>
              <w:right w:val="nil"/>
            </w:tcBorders>
            <w:shd w:val="clear" w:color="auto" w:fill="auto"/>
            <w:vAlign w:val="center"/>
          </w:tcPr>
          <w:p w14:paraId="08B5F4E9"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20.005</w:t>
            </w:r>
          </w:p>
        </w:tc>
        <w:tc>
          <w:tcPr>
            <w:tcW w:w="1192" w:type="dxa"/>
            <w:tcBorders>
              <w:top w:val="nil"/>
              <w:left w:val="nil"/>
              <w:bottom w:val="single" w:sz="2" w:space="0" w:color="1F3864" w:themeColor="accent1" w:themeShade="80"/>
              <w:right w:val="nil"/>
            </w:tcBorders>
            <w:shd w:val="clear" w:color="auto" w:fill="auto"/>
            <w:vAlign w:val="center"/>
          </w:tcPr>
          <w:p w14:paraId="47813C80"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321FA">
              <w:rPr>
                <w:rFonts w:ascii="Arial" w:hAnsi="Arial" w:cs="Arial"/>
                <w:color w:val="000000"/>
                <w:sz w:val="14"/>
                <w:szCs w:val="14"/>
              </w:rPr>
              <w:t>6.033</w:t>
            </w:r>
          </w:p>
        </w:tc>
      </w:tr>
    </w:tbl>
    <w:p w14:paraId="09A2546B" w14:textId="77777777" w:rsidR="003321FA" w:rsidRPr="003321FA" w:rsidRDefault="003321FA" w:rsidP="003321FA">
      <w:pPr>
        <w:pStyle w:val="01-TtulodeNota"/>
        <w:keepNext/>
        <w:keepLines/>
        <w:spacing w:before="0" w:after="0"/>
        <w:jc w:val="right"/>
        <w:rPr>
          <w:sz w:val="14"/>
          <w:szCs w:val="14"/>
        </w:rPr>
      </w:pPr>
    </w:p>
    <w:p w14:paraId="338D3F00" w14:textId="77777777" w:rsidR="003321FA" w:rsidRPr="003321FA" w:rsidRDefault="003321FA" w:rsidP="003321FA">
      <w:pPr>
        <w:pStyle w:val="03-SubttulodeNota"/>
        <w:rPr>
          <w:color w:val="1F3864" w:themeColor="accent1" w:themeShade="80"/>
          <w:sz w:val="18"/>
          <w:szCs w:val="18"/>
        </w:rPr>
      </w:pPr>
      <w:r w:rsidRPr="003321FA">
        <w:rPr>
          <w:color w:val="1F3864" w:themeColor="accent1" w:themeShade="80"/>
          <w:sz w:val="18"/>
          <w:szCs w:val="18"/>
        </w:rPr>
        <w:t>b.2) Resultado de Equivalência Patrimonial</w:t>
      </w:r>
    </w:p>
    <w:tbl>
      <w:tblPr>
        <w:tblStyle w:val="TabeladeLista6Colorida-nfase51"/>
        <w:tblW w:w="9639" w:type="dxa"/>
        <w:jc w:val="center"/>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4079"/>
        <w:gridCol w:w="2006"/>
        <w:gridCol w:w="1742"/>
        <w:gridCol w:w="1812"/>
      </w:tblGrid>
      <w:tr w:rsidR="003321FA" w:rsidRPr="003321FA" w14:paraId="16B155B9" w14:textId="77777777" w:rsidTr="00B41C9D">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639" w:type="dxa"/>
            <w:gridSpan w:val="4"/>
            <w:tcBorders>
              <w:top w:val="nil"/>
              <w:left w:val="nil"/>
              <w:bottom w:val="nil"/>
              <w:right w:val="nil"/>
            </w:tcBorders>
            <w:shd w:val="clear" w:color="auto" w:fill="auto"/>
            <w:vAlign w:val="center"/>
          </w:tcPr>
          <w:p w14:paraId="4CB6AA55" w14:textId="77777777" w:rsidR="003321FA" w:rsidRPr="003321FA" w:rsidRDefault="003321FA">
            <w:pPr>
              <w:pStyle w:val="01-TtulodeNota"/>
              <w:spacing w:before="0" w:after="0"/>
              <w:jc w:val="right"/>
              <w:rPr>
                <w:rStyle w:val="normaltextrun"/>
                <w:rFonts w:cs="Arial"/>
                <w:b/>
                <w:sz w:val="14"/>
                <w:szCs w:val="14"/>
              </w:rPr>
            </w:pPr>
            <w:r w:rsidRPr="003321FA">
              <w:rPr>
                <w:b/>
                <w:sz w:val="14"/>
                <w:szCs w:val="14"/>
              </w:rPr>
              <w:t>R$ mil</w:t>
            </w:r>
          </w:p>
        </w:tc>
      </w:tr>
      <w:tr w:rsidR="003321FA" w:rsidRPr="003321FA" w14:paraId="10AF2F16" w14:textId="77777777" w:rsidTr="00B41C9D">
        <w:trPr>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single" w:sz="2" w:space="0" w:color="1F3864" w:themeColor="accent1" w:themeShade="80"/>
              <w:left w:val="nil"/>
              <w:bottom w:val="nil"/>
              <w:right w:val="nil"/>
            </w:tcBorders>
            <w:shd w:val="clear" w:color="auto" w:fill="auto"/>
            <w:vAlign w:val="center"/>
          </w:tcPr>
          <w:p w14:paraId="2C3261B1" w14:textId="77777777" w:rsidR="003321FA" w:rsidRPr="003321FA" w:rsidRDefault="003321FA">
            <w:pPr>
              <w:rPr>
                <w:rFonts w:ascii="Arial" w:hAnsi="Arial" w:cs="Arial"/>
                <w:color w:val="FF0000"/>
                <w:sz w:val="14"/>
                <w:szCs w:val="14"/>
              </w:rPr>
            </w:pPr>
          </w:p>
        </w:tc>
        <w:tc>
          <w:tcPr>
            <w:tcW w:w="5560" w:type="dxa"/>
            <w:gridSpan w:val="3"/>
            <w:tcBorders>
              <w:top w:val="single" w:sz="2" w:space="0" w:color="1F3864" w:themeColor="accent1" w:themeShade="80"/>
              <w:left w:val="nil"/>
              <w:bottom w:val="single" w:sz="2" w:space="0" w:color="1F3864" w:themeColor="accent1" w:themeShade="80"/>
              <w:right w:val="nil"/>
            </w:tcBorders>
            <w:shd w:val="clear" w:color="auto" w:fill="auto"/>
            <w:vAlign w:val="center"/>
            <w:hideMark/>
          </w:tcPr>
          <w:p w14:paraId="23DA81B8" w14:textId="77777777" w:rsidR="003321FA" w:rsidRPr="003321FA" w:rsidRDefault="003321F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321FA">
              <w:rPr>
                <w:rFonts w:ascii="Arial" w:hAnsi="Arial" w:cs="Arial"/>
                <w:b/>
                <w:sz w:val="14"/>
                <w:szCs w:val="14"/>
              </w:rPr>
              <w:t>Controlador</w:t>
            </w:r>
          </w:p>
        </w:tc>
      </w:tr>
      <w:tr w:rsidR="003321FA" w:rsidRPr="003321FA" w14:paraId="27E2E83B" w14:textId="77777777" w:rsidTr="00B41C9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single" w:sz="2" w:space="0" w:color="1F3864" w:themeColor="accent1" w:themeShade="80"/>
              <w:right w:val="nil"/>
            </w:tcBorders>
            <w:shd w:val="clear" w:color="auto" w:fill="auto"/>
            <w:vAlign w:val="center"/>
          </w:tcPr>
          <w:p w14:paraId="2BAE1E29" w14:textId="77777777" w:rsidR="003321FA" w:rsidRPr="003321FA" w:rsidRDefault="003321FA">
            <w:pPr>
              <w:rPr>
                <w:rFonts w:ascii="Arial" w:hAnsi="Arial" w:cs="Arial"/>
                <w:color w:val="FF0000"/>
                <w:sz w:val="14"/>
                <w:szCs w:val="14"/>
              </w:rPr>
            </w:pPr>
          </w:p>
        </w:tc>
        <w:tc>
          <w:tcPr>
            <w:tcW w:w="200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1C7C317"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b/>
                <w:sz w:val="14"/>
                <w:szCs w:val="14"/>
              </w:rPr>
            </w:pPr>
            <w:r w:rsidRPr="003321FA">
              <w:rPr>
                <w:rFonts w:ascii="Arial" w:hAnsi="Arial" w:cs="Arial"/>
                <w:b/>
                <w:color w:val="auto"/>
                <w:sz w:val="14"/>
                <w:szCs w:val="14"/>
              </w:rPr>
              <w:t>BB Seguros</w:t>
            </w:r>
          </w:p>
        </w:tc>
        <w:tc>
          <w:tcPr>
            <w:tcW w:w="1742"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7942C08"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b/>
                <w:sz w:val="14"/>
                <w:szCs w:val="14"/>
              </w:rPr>
            </w:pPr>
            <w:r w:rsidRPr="003321FA">
              <w:rPr>
                <w:rFonts w:ascii="Arial" w:hAnsi="Arial" w:cs="Arial"/>
                <w:b/>
                <w:color w:val="auto"/>
                <w:sz w:val="14"/>
                <w:szCs w:val="14"/>
              </w:rPr>
              <w:t>BB Corretora</w:t>
            </w:r>
          </w:p>
        </w:tc>
        <w:tc>
          <w:tcPr>
            <w:tcW w:w="1812"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A6A3794"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b/>
                <w:sz w:val="14"/>
                <w:szCs w:val="14"/>
              </w:rPr>
            </w:pPr>
            <w:r w:rsidRPr="003321FA">
              <w:rPr>
                <w:rFonts w:ascii="Arial" w:hAnsi="Arial" w:cs="Arial"/>
                <w:b/>
                <w:sz w:val="14"/>
                <w:szCs w:val="14"/>
              </w:rPr>
              <w:t>Total</w:t>
            </w:r>
          </w:p>
        </w:tc>
      </w:tr>
      <w:tr w:rsidR="003321FA" w:rsidRPr="003321FA" w14:paraId="142D3370" w14:textId="77777777" w:rsidTr="00B41C9D">
        <w:trPr>
          <w:trHeight w:val="6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nil"/>
              <w:right w:val="nil"/>
            </w:tcBorders>
            <w:shd w:val="clear" w:color="auto" w:fill="auto"/>
            <w:vAlign w:val="center"/>
          </w:tcPr>
          <w:p w14:paraId="46F3F381" w14:textId="77777777" w:rsidR="003321FA" w:rsidRPr="003321FA" w:rsidRDefault="003321FA">
            <w:pPr>
              <w:pStyle w:val="08-Tabelageral"/>
              <w:ind w:firstLine="174"/>
              <w:jc w:val="left"/>
              <w:rPr>
                <w:szCs w:val="14"/>
              </w:rPr>
            </w:pPr>
            <w:r w:rsidRPr="003321FA">
              <w:rPr>
                <w:rFonts w:cs="Arial"/>
                <w:color w:val="000000"/>
                <w:szCs w:val="14"/>
              </w:rPr>
              <w:t>Exercício 2024</w:t>
            </w:r>
          </w:p>
        </w:tc>
        <w:tc>
          <w:tcPr>
            <w:tcW w:w="2006" w:type="dxa"/>
            <w:tcBorders>
              <w:top w:val="nil"/>
              <w:left w:val="nil"/>
              <w:bottom w:val="nil"/>
              <w:right w:val="nil"/>
            </w:tcBorders>
            <w:shd w:val="clear" w:color="auto" w:fill="auto"/>
            <w:vAlign w:val="center"/>
          </w:tcPr>
          <w:p w14:paraId="17D16E10" w14:textId="77777777" w:rsidR="003321FA" w:rsidRPr="003321FA" w:rsidRDefault="003321FA">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000000"/>
                <w:szCs w:val="14"/>
              </w:rPr>
            </w:pPr>
            <w:r w:rsidRPr="003321FA">
              <w:rPr>
                <w:rFonts w:cs="Arial"/>
                <w:b/>
                <w:bCs/>
                <w:color w:val="000000"/>
                <w:szCs w:val="14"/>
              </w:rPr>
              <w:t xml:space="preserve"> 5.375.678 </w:t>
            </w:r>
          </w:p>
        </w:tc>
        <w:tc>
          <w:tcPr>
            <w:tcW w:w="1742" w:type="dxa"/>
            <w:tcBorders>
              <w:top w:val="nil"/>
              <w:left w:val="nil"/>
              <w:bottom w:val="nil"/>
              <w:right w:val="nil"/>
            </w:tcBorders>
            <w:shd w:val="clear" w:color="auto" w:fill="auto"/>
            <w:vAlign w:val="center"/>
          </w:tcPr>
          <w:p w14:paraId="58781941" w14:textId="77777777" w:rsidR="003321FA" w:rsidRPr="003321FA" w:rsidRDefault="003321FA">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000000"/>
                <w:szCs w:val="14"/>
              </w:rPr>
            </w:pPr>
            <w:r w:rsidRPr="003321FA">
              <w:rPr>
                <w:rFonts w:cs="Arial"/>
                <w:b/>
                <w:bCs/>
                <w:color w:val="000000"/>
                <w:szCs w:val="14"/>
              </w:rPr>
              <w:t xml:space="preserve"> 3.308.139 </w:t>
            </w:r>
          </w:p>
        </w:tc>
        <w:tc>
          <w:tcPr>
            <w:tcW w:w="1812" w:type="dxa"/>
            <w:tcBorders>
              <w:top w:val="nil"/>
              <w:left w:val="nil"/>
              <w:bottom w:val="nil"/>
              <w:right w:val="nil"/>
            </w:tcBorders>
            <w:shd w:val="clear" w:color="auto" w:fill="auto"/>
            <w:vAlign w:val="center"/>
          </w:tcPr>
          <w:p w14:paraId="126DAA5B" w14:textId="77777777" w:rsidR="003321FA" w:rsidRPr="003321FA" w:rsidRDefault="003321FA">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000000"/>
                <w:szCs w:val="14"/>
              </w:rPr>
            </w:pPr>
            <w:r w:rsidRPr="003321FA">
              <w:rPr>
                <w:rFonts w:cs="Arial"/>
                <w:b/>
                <w:bCs/>
                <w:color w:val="000000"/>
                <w:szCs w:val="14"/>
              </w:rPr>
              <w:t xml:space="preserve"> 8.683.817 </w:t>
            </w:r>
          </w:p>
        </w:tc>
      </w:tr>
      <w:tr w:rsidR="003321FA" w:rsidRPr="003321FA" w14:paraId="26A61B40" w14:textId="77777777" w:rsidTr="00B41C9D">
        <w:trPr>
          <w:cnfStyle w:val="000000010000" w:firstRow="0" w:lastRow="0" w:firstColumn="0" w:lastColumn="0" w:oddVBand="0" w:evenVBand="0" w:oddHBand="0" w:evenHBand="1" w:firstRowFirstColumn="0" w:firstRowLastColumn="0" w:lastRowFirstColumn="0" w:lastRowLastColumn="0"/>
          <w:trHeight w:val="6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single" w:sz="6" w:space="0" w:color="1F3864" w:themeColor="accent1" w:themeShade="80"/>
              <w:right w:val="nil"/>
            </w:tcBorders>
            <w:shd w:val="clear" w:color="auto" w:fill="auto"/>
            <w:vAlign w:val="center"/>
            <w:hideMark/>
          </w:tcPr>
          <w:p w14:paraId="251B0304" w14:textId="77777777" w:rsidR="003321FA" w:rsidRPr="003321FA" w:rsidRDefault="003321FA">
            <w:pPr>
              <w:pStyle w:val="08-Tabelageral"/>
              <w:ind w:left="174"/>
              <w:jc w:val="left"/>
              <w:rPr>
                <w:lang w:eastAsia="en-US"/>
              </w:rPr>
            </w:pPr>
            <w:r w:rsidRPr="003321FA">
              <w:rPr>
                <w:rFonts w:cs="Arial"/>
                <w:szCs w:val="14"/>
              </w:rPr>
              <w:t>Exercício 2023</w:t>
            </w:r>
          </w:p>
        </w:tc>
        <w:tc>
          <w:tcPr>
            <w:tcW w:w="2006" w:type="dxa"/>
            <w:tcBorders>
              <w:top w:val="nil"/>
              <w:left w:val="nil"/>
              <w:bottom w:val="single" w:sz="6" w:space="0" w:color="1F3864" w:themeColor="accent1" w:themeShade="80"/>
              <w:right w:val="nil"/>
            </w:tcBorders>
            <w:shd w:val="clear" w:color="auto" w:fill="auto"/>
            <w:vAlign w:val="center"/>
          </w:tcPr>
          <w:p w14:paraId="184F7431" w14:textId="77777777" w:rsidR="003321FA" w:rsidRPr="003321FA" w:rsidRDefault="003321FA">
            <w:pPr>
              <w:pStyle w:val="08-Tabelageral"/>
              <w:ind w:left="113"/>
              <w:cnfStyle w:val="000000010000" w:firstRow="0" w:lastRow="0" w:firstColumn="0" w:lastColumn="0" w:oddVBand="0" w:evenVBand="0" w:oddHBand="0" w:evenHBand="1" w:firstRowFirstColumn="0" w:firstRowLastColumn="0" w:lastRowFirstColumn="0" w:lastRowLastColumn="0"/>
              <w:rPr>
                <w:rFonts w:cs="Arial"/>
                <w:b/>
                <w:color w:val="000000"/>
                <w:szCs w:val="14"/>
                <w:lang w:eastAsia="en-US"/>
              </w:rPr>
            </w:pPr>
            <w:r w:rsidRPr="003321FA">
              <w:rPr>
                <w:rFonts w:cs="Arial"/>
                <w:b/>
                <w:bCs/>
                <w:szCs w:val="14"/>
              </w:rPr>
              <w:t>4.937.503</w:t>
            </w:r>
          </w:p>
        </w:tc>
        <w:tc>
          <w:tcPr>
            <w:tcW w:w="1742" w:type="dxa"/>
            <w:tcBorders>
              <w:top w:val="nil"/>
              <w:left w:val="nil"/>
              <w:bottom w:val="single" w:sz="6" w:space="0" w:color="1F3864" w:themeColor="accent1" w:themeShade="80"/>
              <w:right w:val="nil"/>
            </w:tcBorders>
            <w:shd w:val="clear" w:color="auto" w:fill="auto"/>
            <w:vAlign w:val="center"/>
          </w:tcPr>
          <w:p w14:paraId="3B293712" w14:textId="77777777" w:rsidR="003321FA" w:rsidRPr="003321FA" w:rsidRDefault="003321FA">
            <w:pPr>
              <w:pStyle w:val="08-Tabelageral"/>
              <w:ind w:left="113"/>
              <w:cnfStyle w:val="000000010000" w:firstRow="0" w:lastRow="0" w:firstColumn="0" w:lastColumn="0" w:oddVBand="0" w:evenVBand="0" w:oddHBand="0" w:evenHBand="1" w:firstRowFirstColumn="0" w:firstRowLastColumn="0" w:lastRowFirstColumn="0" w:lastRowLastColumn="0"/>
              <w:rPr>
                <w:rFonts w:cs="Arial"/>
                <w:b/>
                <w:color w:val="000000"/>
                <w:szCs w:val="14"/>
                <w:lang w:eastAsia="en-US"/>
              </w:rPr>
            </w:pPr>
            <w:r w:rsidRPr="003321FA">
              <w:rPr>
                <w:rFonts w:cs="Arial"/>
                <w:b/>
                <w:bCs/>
                <w:szCs w:val="14"/>
              </w:rPr>
              <w:t>2.988.399</w:t>
            </w:r>
          </w:p>
        </w:tc>
        <w:tc>
          <w:tcPr>
            <w:tcW w:w="1812" w:type="dxa"/>
            <w:tcBorders>
              <w:top w:val="nil"/>
              <w:left w:val="nil"/>
              <w:bottom w:val="single" w:sz="6" w:space="0" w:color="1F3864" w:themeColor="accent1" w:themeShade="80"/>
              <w:right w:val="nil"/>
            </w:tcBorders>
            <w:shd w:val="clear" w:color="auto" w:fill="auto"/>
            <w:vAlign w:val="center"/>
          </w:tcPr>
          <w:p w14:paraId="37327B04" w14:textId="77777777" w:rsidR="003321FA" w:rsidRPr="003321FA" w:rsidRDefault="003321FA">
            <w:pPr>
              <w:pStyle w:val="08-Tabelageral"/>
              <w:ind w:left="113"/>
              <w:cnfStyle w:val="000000010000" w:firstRow="0" w:lastRow="0" w:firstColumn="0" w:lastColumn="0" w:oddVBand="0" w:evenVBand="0" w:oddHBand="0" w:evenHBand="1" w:firstRowFirstColumn="0" w:firstRowLastColumn="0" w:lastRowFirstColumn="0" w:lastRowLastColumn="0"/>
              <w:rPr>
                <w:rFonts w:cs="Arial"/>
                <w:b/>
                <w:color w:val="000000"/>
                <w:szCs w:val="14"/>
                <w:lang w:eastAsia="en-US"/>
              </w:rPr>
            </w:pPr>
            <w:r w:rsidRPr="003321FA">
              <w:rPr>
                <w:rFonts w:cs="Arial"/>
                <w:b/>
                <w:bCs/>
                <w:szCs w:val="14"/>
              </w:rPr>
              <w:t>7.925.902</w:t>
            </w:r>
          </w:p>
        </w:tc>
      </w:tr>
    </w:tbl>
    <w:p w14:paraId="4D703513" w14:textId="77777777" w:rsidR="003321FA" w:rsidRPr="003321FA" w:rsidRDefault="003321FA" w:rsidP="003321FA">
      <w:pPr>
        <w:pStyle w:val="01-TtulodeNota"/>
        <w:spacing w:before="0" w:after="0"/>
        <w:jc w:val="right"/>
        <w:rPr>
          <w:bCs/>
          <w:sz w:val="14"/>
          <w:szCs w:val="14"/>
        </w:rPr>
      </w:pPr>
    </w:p>
    <w:p w14:paraId="64B0F709" w14:textId="77777777" w:rsidR="003321FA" w:rsidRPr="003321FA" w:rsidRDefault="003321FA" w:rsidP="003321FA">
      <w:pPr>
        <w:pStyle w:val="01-TtulodeNota"/>
        <w:spacing w:before="0" w:after="0"/>
        <w:jc w:val="right"/>
        <w:rPr>
          <w:bCs/>
          <w:sz w:val="14"/>
          <w:szCs w:val="14"/>
        </w:rPr>
      </w:pPr>
    </w:p>
    <w:p w14:paraId="74020C01" w14:textId="77777777" w:rsidR="003321FA" w:rsidRPr="003321FA" w:rsidRDefault="003321FA" w:rsidP="003321FA">
      <w:pPr>
        <w:pStyle w:val="01-TtulodeNota"/>
        <w:spacing w:before="0" w:after="0"/>
        <w:jc w:val="right"/>
        <w:rPr>
          <w:bCs/>
          <w:color w:val="000000" w:themeColor="text1"/>
          <w:sz w:val="14"/>
          <w:szCs w:val="14"/>
        </w:rPr>
      </w:pPr>
      <w:r w:rsidRPr="003321FA">
        <w:rPr>
          <w:bCs/>
          <w:color w:val="000000" w:themeColor="text1"/>
          <w:sz w:val="14"/>
          <w:szCs w:val="14"/>
        </w:rPr>
        <w:t>R$ mil</w:t>
      </w:r>
    </w:p>
    <w:tbl>
      <w:tblPr>
        <w:tblStyle w:val="TabeladeLista6Colorida-nfase51"/>
        <w:tblW w:w="9639" w:type="dxa"/>
        <w:jc w:val="center"/>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3429"/>
        <w:gridCol w:w="1242"/>
        <w:gridCol w:w="1156"/>
        <w:gridCol w:w="1043"/>
        <w:gridCol w:w="1018"/>
        <w:gridCol w:w="699"/>
        <w:gridCol w:w="1034"/>
        <w:gridCol w:w="18"/>
      </w:tblGrid>
      <w:tr w:rsidR="003321FA" w:rsidRPr="003321FA" w14:paraId="5144A2EC" w14:textId="77777777" w:rsidTr="00B41C9D">
        <w:trPr>
          <w:gridAfter w:val="1"/>
          <w:cnfStyle w:val="100000000000" w:firstRow="1" w:lastRow="0" w:firstColumn="0" w:lastColumn="0" w:oddVBand="0" w:evenVBand="0" w:oddHBand="0" w:evenHBand="0" w:firstRowFirstColumn="0" w:firstRowLastColumn="0" w:lastRowFirstColumn="0" w:lastRowLastColumn="0"/>
          <w:wAfter w:w="18" w:type="dxa"/>
          <w:trHeight w:val="238"/>
          <w:jc w:val="center"/>
        </w:trPr>
        <w:tc>
          <w:tcPr>
            <w:cnfStyle w:val="001000000000" w:firstRow="0" w:lastRow="0" w:firstColumn="1" w:lastColumn="0" w:oddVBand="0" w:evenVBand="0" w:oddHBand="0" w:evenHBand="0" w:firstRowFirstColumn="0" w:firstRowLastColumn="0" w:lastRowFirstColumn="0" w:lastRowLastColumn="0"/>
            <w:tcW w:w="3429" w:type="dxa"/>
            <w:tcBorders>
              <w:top w:val="single" w:sz="6" w:space="0" w:color="1F3864" w:themeColor="accent1" w:themeShade="80"/>
              <w:left w:val="nil"/>
              <w:bottom w:val="nil"/>
              <w:right w:val="nil"/>
            </w:tcBorders>
            <w:shd w:val="clear" w:color="auto" w:fill="auto"/>
            <w:vAlign w:val="center"/>
          </w:tcPr>
          <w:p w14:paraId="0D93663F" w14:textId="77777777" w:rsidR="003321FA" w:rsidRPr="003321FA" w:rsidRDefault="003321FA">
            <w:pPr>
              <w:rPr>
                <w:rFonts w:ascii="Arial" w:hAnsi="Arial" w:cs="Arial"/>
                <w:color w:val="FF0000"/>
                <w:sz w:val="14"/>
                <w:szCs w:val="14"/>
              </w:rPr>
            </w:pPr>
          </w:p>
        </w:tc>
        <w:tc>
          <w:tcPr>
            <w:tcW w:w="6192" w:type="dxa"/>
            <w:gridSpan w:val="6"/>
            <w:tcBorders>
              <w:top w:val="single" w:sz="6" w:space="0" w:color="1F3864" w:themeColor="accent1" w:themeShade="80"/>
              <w:left w:val="nil"/>
              <w:bottom w:val="single" w:sz="6" w:space="0" w:color="1F3864" w:themeColor="accent1" w:themeShade="80"/>
              <w:right w:val="nil"/>
            </w:tcBorders>
            <w:shd w:val="clear" w:color="auto" w:fill="auto"/>
            <w:vAlign w:val="center"/>
          </w:tcPr>
          <w:p w14:paraId="6AC6374E" w14:textId="77777777" w:rsidR="003321FA" w:rsidRPr="003321FA" w:rsidRDefault="003321F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r w:rsidRPr="003321FA">
              <w:rPr>
                <w:rFonts w:ascii="Arial" w:hAnsi="Arial" w:cs="Arial"/>
                <w:sz w:val="14"/>
                <w:szCs w:val="14"/>
              </w:rPr>
              <w:t>Consolidado</w:t>
            </w:r>
          </w:p>
        </w:tc>
      </w:tr>
      <w:tr w:rsidR="003321FA" w:rsidRPr="003321FA" w14:paraId="6C230308" w14:textId="77777777" w:rsidTr="00B41C9D">
        <w:trPr>
          <w:trHeight w:val="238"/>
          <w:jc w:val="center"/>
        </w:trPr>
        <w:tc>
          <w:tcPr>
            <w:cnfStyle w:val="001000000000" w:firstRow="0" w:lastRow="0" w:firstColumn="1" w:lastColumn="0" w:oddVBand="0" w:evenVBand="0" w:oddHBand="0" w:evenHBand="0" w:firstRowFirstColumn="0" w:firstRowLastColumn="0" w:lastRowFirstColumn="0" w:lastRowLastColumn="0"/>
            <w:tcW w:w="3429" w:type="dxa"/>
            <w:tcBorders>
              <w:top w:val="nil"/>
              <w:left w:val="nil"/>
              <w:bottom w:val="single" w:sz="6" w:space="0" w:color="1F3864" w:themeColor="accent1" w:themeShade="80"/>
              <w:right w:val="nil"/>
            </w:tcBorders>
            <w:shd w:val="clear" w:color="auto" w:fill="auto"/>
            <w:vAlign w:val="center"/>
            <w:hideMark/>
          </w:tcPr>
          <w:p w14:paraId="512B0DAD" w14:textId="77777777" w:rsidR="003321FA" w:rsidRPr="003321FA" w:rsidRDefault="003321FA">
            <w:pPr>
              <w:rPr>
                <w:rFonts w:ascii="Arial" w:hAnsi="Arial" w:cs="Arial"/>
                <w:color w:val="FF0000"/>
                <w:sz w:val="14"/>
                <w:szCs w:val="14"/>
              </w:rPr>
            </w:pPr>
            <w:r w:rsidRPr="003321FA">
              <w:rPr>
                <w:rFonts w:ascii="Arial" w:hAnsi="Arial" w:cs="Arial"/>
                <w:color w:val="FF0000"/>
                <w:sz w:val="14"/>
                <w:szCs w:val="14"/>
              </w:rPr>
              <w:t xml:space="preserve"> </w:t>
            </w:r>
          </w:p>
        </w:tc>
        <w:tc>
          <w:tcPr>
            <w:tcW w:w="1242" w:type="dxa"/>
            <w:tcBorders>
              <w:top w:val="nil"/>
              <w:left w:val="nil"/>
              <w:bottom w:val="single" w:sz="6" w:space="0" w:color="1F3864" w:themeColor="accent1" w:themeShade="80"/>
              <w:right w:val="nil"/>
            </w:tcBorders>
            <w:shd w:val="clear" w:color="auto" w:fill="auto"/>
            <w:vAlign w:val="center"/>
            <w:hideMark/>
          </w:tcPr>
          <w:p w14:paraId="7BB88CCC" w14:textId="77777777" w:rsidR="003321FA" w:rsidRPr="003321FA" w:rsidRDefault="003321FA">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3321FA">
              <w:rPr>
                <w:rFonts w:ascii="Arial" w:hAnsi="Arial" w:cs="Arial"/>
                <w:b/>
                <w:color w:val="auto"/>
                <w:sz w:val="14"/>
                <w:szCs w:val="14"/>
              </w:rPr>
              <w:t>BB MAPFRE</w:t>
            </w:r>
          </w:p>
        </w:tc>
        <w:tc>
          <w:tcPr>
            <w:tcW w:w="1156" w:type="dxa"/>
            <w:tcBorders>
              <w:top w:val="nil"/>
              <w:left w:val="nil"/>
              <w:bottom w:val="single" w:sz="6" w:space="0" w:color="1F3864" w:themeColor="accent1" w:themeShade="80"/>
              <w:right w:val="nil"/>
            </w:tcBorders>
            <w:shd w:val="clear" w:color="auto" w:fill="auto"/>
            <w:vAlign w:val="center"/>
            <w:hideMark/>
          </w:tcPr>
          <w:p w14:paraId="71FE5DF9" w14:textId="77777777" w:rsidR="003321FA" w:rsidRPr="003321FA" w:rsidRDefault="003321FA">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3321FA">
              <w:rPr>
                <w:rFonts w:ascii="Arial" w:hAnsi="Arial" w:cs="Arial"/>
                <w:b/>
                <w:color w:val="auto"/>
                <w:sz w:val="14"/>
                <w:szCs w:val="14"/>
              </w:rPr>
              <w:t>Brasilprev</w:t>
            </w:r>
          </w:p>
        </w:tc>
        <w:tc>
          <w:tcPr>
            <w:tcW w:w="1043" w:type="dxa"/>
            <w:tcBorders>
              <w:top w:val="nil"/>
              <w:left w:val="nil"/>
              <w:bottom w:val="single" w:sz="6" w:space="0" w:color="1F3864" w:themeColor="accent1" w:themeShade="80"/>
              <w:right w:val="nil"/>
            </w:tcBorders>
            <w:shd w:val="clear" w:color="auto" w:fill="auto"/>
            <w:vAlign w:val="center"/>
            <w:hideMark/>
          </w:tcPr>
          <w:p w14:paraId="46682101" w14:textId="77777777" w:rsidR="003321FA" w:rsidRPr="003321FA" w:rsidRDefault="003321FA">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roofErr w:type="spellStart"/>
            <w:r w:rsidRPr="003321FA">
              <w:rPr>
                <w:rFonts w:ascii="Arial" w:hAnsi="Arial" w:cs="Arial"/>
                <w:b/>
                <w:color w:val="auto"/>
                <w:sz w:val="14"/>
                <w:szCs w:val="14"/>
              </w:rPr>
              <w:t>Brasilcap</w:t>
            </w:r>
            <w:proofErr w:type="spellEnd"/>
          </w:p>
        </w:tc>
        <w:tc>
          <w:tcPr>
            <w:tcW w:w="1018" w:type="dxa"/>
            <w:tcBorders>
              <w:top w:val="nil"/>
              <w:left w:val="nil"/>
              <w:bottom w:val="single" w:sz="6" w:space="0" w:color="1F3864" w:themeColor="accent1" w:themeShade="80"/>
              <w:right w:val="nil"/>
            </w:tcBorders>
            <w:shd w:val="clear" w:color="auto" w:fill="auto"/>
            <w:vAlign w:val="center"/>
            <w:hideMark/>
          </w:tcPr>
          <w:p w14:paraId="23C6ED78" w14:textId="77777777" w:rsidR="003321FA" w:rsidRPr="003321FA" w:rsidRDefault="003321FA">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roofErr w:type="spellStart"/>
            <w:r w:rsidRPr="003321FA">
              <w:rPr>
                <w:rFonts w:ascii="Arial" w:hAnsi="Arial" w:cs="Arial"/>
                <w:b/>
                <w:color w:val="auto"/>
                <w:sz w:val="14"/>
                <w:szCs w:val="14"/>
              </w:rPr>
              <w:t>Brasildental</w:t>
            </w:r>
            <w:proofErr w:type="spellEnd"/>
          </w:p>
        </w:tc>
        <w:tc>
          <w:tcPr>
            <w:tcW w:w="699" w:type="dxa"/>
            <w:tcBorders>
              <w:top w:val="nil"/>
              <w:left w:val="nil"/>
              <w:bottom w:val="single" w:sz="6" w:space="0" w:color="1F3864" w:themeColor="accent1" w:themeShade="80"/>
              <w:right w:val="nil"/>
            </w:tcBorders>
            <w:shd w:val="clear" w:color="auto" w:fill="auto"/>
            <w:vAlign w:val="center"/>
            <w:hideMark/>
          </w:tcPr>
          <w:p w14:paraId="2190E0B9" w14:textId="77777777" w:rsidR="003321FA" w:rsidRPr="003321FA" w:rsidRDefault="003321FA">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roofErr w:type="spellStart"/>
            <w:r w:rsidRPr="003321FA">
              <w:rPr>
                <w:rFonts w:ascii="Arial" w:hAnsi="Arial" w:cs="Arial"/>
                <w:b/>
                <w:color w:val="auto"/>
                <w:sz w:val="14"/>
                <w:szCs w:val="14"/>
              </w:rPr>
              <w:t>Ciclic</w:t>
            </w:r>
            <w:proofErr w:type="spellEnd"/>
          </w:p>
        </w:tc>
        <w:tc>
          <w:tcPr>
            <w:tcW w:w="1052" w:type="dxa"/>
            <w:gridSpan w:val="2"/>
            <w:tcBorders>
              <w:top w:val="nil"/>
              <w:left w:val="nil"/>
              <w:bottom w:val="single" w:sz="6" w:space="0" w:color="1F3864" w:themeColor="accent1" w:themeShade="80"/>
              <w:right w:val="nil"/>
            </w:tcBorders>
            <w:shd w:val="clear" w:color="auto" w:fill="auto"/>
            <w:vAlign w:val="center"/>
            <w:hideMark/>
          </w:tcPr>
          <w:p w14:paraId="4E09E1AA" w14:textId="77777777" w:rsidR="003321FA" w:rsidRPr="003321FA" w:rsidRDefault="003321FA">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3321FA">
              <w:rPr>
                <w:rFonts w:ascii="Arial" w:hAnsi="Arial" w:cs="Arial"/>
                <w:b/>
                <w:color w:val="auto"/>
                <w:sz w:val="14"/>
                <w:szCs w:val="14"/>
              </w:rPr>
              <w:t>Total</w:t>
            </w:r>
          </w:p>
        </w:tc>
      </w:tr>
      <w:tr w:rsidR="003321FA" w:rsidRPr="003321FA" w14:paraId="703D672C" w14:textId="77777777" w:rsidTr="00B41C9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29" w:type="dxa"/>
            <w:tcBorders>
              <w:top w:val="nil"/>
              <w:left w:val="nil"/>
              <w:bottom w:val="nil"/>
              <w:right w:val="nil"/>
            </w:tcBorders>
            <w:shd w:val="clear" w:color="auto" w:fill="auto"/>
            <w:vAlign w:val="center"/>
            <w:hideMark/>
          </w:tcPr>
          <w:p w14:paraId="163846AA" w14:textId="77777777" w:rsidR="003321FA" w:rsidRPr="003321FA" w:rsidRDefault="003321FA">
            <w:pPr>
              <w:pStyle w:val="08-Tabelageral"/>
              <w:ind w:left="174"/>
              <w:jc w:val="left"/>
              <w:rPr>
                <w:rFonts w:cs="Arial"/>
                <w:szCs w:val="14"/>
                <w:lang w:eastAsia="en-US"/>
              </w:rPr>
            </w:pPr>
            <w:r w:rsidRPr="003321FA">
              <w:rPr>
                <w:rFonts w:cs="Arial"/>
                <w:color w:val="000000"/>
                <w:szCs w:val="14"/>
              </w:rPr>
              <w:t>Exercício 2024</w:t>
            </w:r>
          </w:p>
        </w:tc>
        <w:tc>
          <w:tcPr>
            <w:tcW w:w="1242" w:type="dxa"/>
            <w:tcBorders>
              <w:top w:val="nil"/>
              <w:left w:val="nil"/>
              <w:bottom w:val="nil"/>
              <w:right w:val="nil"/>
            </w:tcBorders>
            <w:shd w:val="clear" w:color="auto" w:fill="auto"/>
            <w:vAlign w:val="center"/>
          </w:tcPr>
          <w:p w14:paraId="07FBABDF"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lang w:eastAsia="en-US"/>
              </w:rPr>
            </w:pPr>
            <w:r w:rsidRPr="003321FA">
              <w:rPr>
                <w:rFonts w:cs="Arial"/>
                <w:b/>
                <w:bCs/>
                <w:color w:val="000000"/>
                <w:szCs w:val="14"/>
              </w:rPr>
              <w:t>3.295.563</w:t>
            </w:r>
          </w:p>
        </w:tc>
        <w:tc>
          <w:tcPr>
            <w:tcW w:w="1156" w:type="dxa"/>
            <w:tcBorders>
              <w:top w:val="nil"/>
              <w:left w:val="nil"/>
              <w:bottom w:val="nil"/>
              <w:right w:val="nil"/>
            </w:tcBorders>
            <w:shd w:val="clear" w:color="auto" w:fill="auto"/>
            <w:vAlign w:val="center"/>
          </w:tcPr>
          <w:p w14:paraId="5CFD41C2"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lang w:eastAsia="en-US"/>
              </w:rPr>
            </w:pPr>
            <w:r w:rsidRPr="003321FA">
              <w:rPr>
                <w:rFonts w:cs="Arial"/>
                <w:b/>
                <w:bCs/>
                <w:color w:val="000000"/>
                <w:szCs w:val="14"/>
              </w:rPr>
              <w:t>1.801.907</w:t>
            </w:r>
          </w:p>
        </w:tc>
        <w:tc>
          <w:tcPr>
            <w:tcW w:w="1043" w:type="dxa"/>
            <w:tcBorders>
              <w:top w:val="nil"/>
              <w:left w:val="nil"/>
              <w:bottom w:val="nil"/>
              <w:right w:val="nil"/>
            </w:tcBorders>
            <w:shd w:val="clear" w:color="auto" w:fill="auto"/>
            <w:vAlign w:val="center"/>
          </w:tcPr>
          <w:p w14:paraId="7AD08EB5"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lang w:eastAsia="en-US"/>
              </w:rPr>
            </w:pPr>
            <w:r w:rsidRPr="003321FA">
              <w:rPr>
                <w:rFonts w:cs="Arial"/>
                <w:b/>
                <w:bCs/>
                <w:color w:val="000000"/>
                <w:szCs w:val="14"/>
              </w:rPr>
              <w:t>187.464</w:t>
            </w:r>
          </w:p>
        </w:tc>
        <w:tc>
          <w:tcPr>
            <w:tcW w:w="1018" w:type="dxa"/>
            <w:tcBorders>
              <w:top w:val="nil"/>
              <w:left w:val="nil"/>
              <w:bottom w:val="nil"/>
              <w:right w:val="nil"/>
            </w:tcBorders>
            <w:shd w:val="clear" w:color="auto" w:fill="auto"/>
            <w:vAlign w:val="center"/>
          </w:tcPr>
          <w:p w14:paraId="2DFFB0CA"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lang w:eastAsia="en-US"/>
              </w:rPr>
            </w:pPr>
            <w:r w:rsidRPr="003321FA">
              <w:rPr>
                <w:rFonts w:cs="Arial"/>
                <w:b/>
                <w:bCs/>
                <w:color w:val="000000"/>
                <w:szCs w:val="14"/>
              </w:rPr>
              <w:t>19.594</w:t>
            </w:r>
          </w:p>
        </w:tc>
        <w:tc>
          <w:tcPr>
            <w:tcW w:w="699" w:type="dxa"/>
            <w:tcBorders>
              <w:top w:val="nil"/>
              <w:left w:val="nil"/>
              <w:bottom w:val="nil"/>
              <w:right w:val="nil"/>
            </w:tcBorders>
            <w:shd w:val="clear" w:color="auto" w:fill="auto"/>
            <w:vAlign w:val="center"/>
          </w:tcPr>
          <w:p w14:paraId="452DF2C0"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lang w:eastAsia="en-US"/>
              </w:rPr>
            </w:pPr>
            <w:r w:rsidRPr="003321FA">
              <w:rPr>
                <w:rFonts w:cs="Arial"/>
                <w:b/>
                <w:bCs/>
                <w:color w:val="000000"/>
                <w:szCs w:val="14"/>
              </w:rPr>
              <w:t>7.436</w:t>
            </w:r>
          </w:p>
        </w:tc>
        <w:tc>
          <w:tcPr>
            <w:tcW w:w="1052" w:type="dxa"/>
            <w:gridSpan w:val="2"/>
            <w:tcBorders>
              <w:top w:val="nil"/>
              <w:left w:val="nil"/>
              <w:bottom w:val="nil"/>
              <w:right w:val="nil"/>
            </w:tcBorders>
            <w:shd w:val="clear" w:color="auto" w:fill="auto"/>
            <w:vAlign w:val="center"/>
          </w:tcPr>
          <w:p w14:paraId="0EC68087" w14:textId="77777777" w:rsidR="003321FA" w:rsidRPr="003321FA" w:rsidRDefault="003321FA">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color w:val="000000"/>
                <w:szCs w:val="14"/>
                <w:lang w:eastAsia="en-US"/>
              </w:rPr>
            </w:pPr>
            <w:r w:rsidRPr="003321FA">
              <w:rPr>
                <w:rFonts w:cs="Arial"/>
                <w:b/>
                <w:bCs/>
                <w:color w:val="000000"/>
                <w:szCs w:val="14"/>
              </w:rPr>
              <w:t>5.311.964</w:t>
            </w:r>
          </w:p>
        </w:tc>
      </w:tr>
      <w:tr w:rsidR="003321FA" w:rsidRPr="003321FA" w14:paraId="444A128D" w14:textId="77777777" w:rsidTr="00B41C9D">
        <w:trPr>
          <w:trHeight w:val="238"/>
          <w:jc w:val="center"/>
        </w:trPr>
        <w:tc>
          <w:tcPr>
            <w:cnfStyle w:val="001000000000" w:firstRow="0" w:lastRow="0" w:firstColumn="1" w:lastColumn="0" w:oddVBand="0" w:evenVBand="0" w:oddHBand="0" w:evenHBand="0" w:firstRowFirstColumn="0" w:firstRowLastColumn="0" w:lastRowFirstColumn="0" w:lastRowLastColumn="0"/>
            <w:tcW w:w="3429" w:type="dxa"/>
            <w:tcBorders>
              <w:top w:val="nil"/>
              <w:left w:val="nil"/>
              <w:bottom w:val="single" w:sz="2" w:space="0" w:color="1F3864" w:themeColor="accent1" w:themeShade="80"/>
              <w:right w:val="nil"/>
            </w:tcBorders>
            <w:shd w:val="clear" w:color="auto" w:fill="auto"/>
            <w:vAlign w:val="center"/>
            <w:hideMark/>
          </w:tcPr>
          <w:p w14:paraId="7EAC02A9" w14:textId="77777777" w:rsidR="003321FA" w:rsidRPr="003321FA" w:rsidRDefault="003321FA">
            <w:pPr>
              <w:pStyle w:val="08-Tabelageral"/>
              <w:ind w:left="174"/>
              <w:jc w:val="left"/>
              <w:rPr>
                <w:rFonts w:cs="Arial"/>
                <w:szCs w:val="14"/>
                <w:lang w:eastAsia="en-US"/>
              </w:rPr>
            </w:pPr>
            <w:r w:rsidRPr="003321FA">
              <w:rPr>
                <w:rFonts w:cs="Arial"/>
                <w:szCs w:val="14"/>
              </w:rPr>
              <w:t>Exercício 2023</w:t>
            </w:r>
          </w:p>
        </w:tc>
        <w:tc>
          <w:tcPr>
            <w:tcW w:w="1242" w:type="dxa"/>
            <w:tcBorders>
              <w:top w:val="nil"/>
              <w:left w:val="nil"/>
              <w:bottom w:val="single" w:sz="2" w:space="0" w:color="1F3864" w:themeColor="accent1" w:themeShade="80"/>
              <w:right w:val="nil"/>
            </w:tcBorders>
            <w:shd w:val="clear" w:color="auto" w:fill="auto"/>
            <w:vAlign w:val="center"/>
          </w:tcPr>
          <w:p w14:paraId="27EEFB04" w14:textId="77777777" w:rsidR="003321FA" w:rsidRPr="003321FA" w:rsidRDefault="003321FA">
            <w:pPr>
              <w:pStyle w:val="08-Tabelageral"/>
              <w:cnfStyle w:val="000000000000" w:firstRow="0" w:lastRow="0" w:firstColumn="0" w:lastColumn="0" w:oddVBand="0" w:evenVBand="0" w:oddHBand="0" w:evenHBand="0" w:firstRowFirstColumn="0" w:firstRowLastColumn="0" w:lastRowFirstColumn="0" w:lastRowLastColumn="0"/>
              <w:rPr>
                <w:rFonts w:cs="Arial"/>
                <w:b/>
                <w:bCs/>
                <w:szCs w:val="14"/>
                <w:lang w:eastAsia="en-US"/>
              </w:rPr>
            </w:pPr>
            <w:r w:rsidRPr="003321FA">
              <w:rPr>
                <w:rFonts w:cs="Arial"/>
                <w:b/>
                <w:bCs/>
                <w:color w:val="000000"/>
                <w:szCs w:val="14"/>
              </w:rPr>
              <w:t>2.899.970</w:t>
            </w:r>
          </w:p>
        </w:tc>
        <w:tc>
          <w:tcPr>
            <w:tcW w:w="1156" w:type="dxa"/>
            <w:tcBorders>
              <w:top w:val="nil"/>
              <w:left w:val="nil"/>
              <w:bottom w:val="single" w:sz="2" w:space="0" w:color="1F3864" w:themeColor="accent1" w:themeShade="80"/>
              <w:right w:val="nil"/>
            </w:tcBorders>
            <w:shd w:val="clear" w:color="auto" w:fill="auto"/>
            <w:vAlign w:val="center"/>
          </w:tcPr>
          <w:p w14:paraId="16209868" w14:textId="77777777" w:rsidR="003321FA" w:rsidRPr="003321FA" w:rsidRDefault="003321FA">
            <w:pPr>
              <w:pStyle w:val="08-Tabelageral"/>
              <w:cnfStyle w:val="000000000000" w:firstRow="0" w:lastRow="0" w:firstColumn="0" w:lastColumn="0" w:oddVBand="0" w:evenVBand="0" w:oddHBand="0" w:evenHBand="0" w:firstRowFirstColumn="0" w:firstRowLastColumn="0" w:lastRowFirstColumn="0" w:lastRowLastColumn="0"/>
              <w:rPr>
                <w:rFonts w:cs="Arial"/>
                <w:b/>
                <w:bCs/>
                <w:szCs w:val="14"/>
                <w:lang w:eastAsia="en-US"/>
              </w:rPr>
            </w:pPr>
            <w:r w:rsidRPr="003321FA">
              <w:rPr>
                <w:rFonts w:cs="Arial"/>
                <w:b/>
                <w:bCs/>
                <w:color w:val="000000"/>
                <w:szCs w:val="14"/>
              </w:rPr>
              <w:t>1.789.794</w:t>
            </w:r>
          </w:p>
        </w:tc>
        <w:tc>
          <w:tcPr>
            <w:tcW w:w="1043" w:type="dxa"/>
            <w:tcBorders>
              <w:top w:val="nil"/>
              <w:left w:val="nil"/>
              <w:bottom w:val="single" w:sz="2" w:space="0" w:color="1F3864" w:themeColor="accent1" w:themeShade="80"/>
              <w:right w:val="nil"/>
            </w:tcBorders>
            <w:shd w:val="clear" w:color="auto" w:fill="auto"/>
            <w:vAlign w:val="center"/>
          </w:tcPr>
          <w:p w14:paraId="7B8379FC" w14:textId="77777777" w:rsidR="003321FA" w:rsidRPr="003321FA" w:rsidRDefault="003321FA">
            <w:pPr>
              <w:pStyle w:val="08-Tabelageral"/>
              <w:cnfStyle w:val="000000000000" w:firstRow="0" w:lastRow="0" w:firstColumn="0" w:lastColumn="0" w:oddVBand="0" w:evenVBand="0" w:oddHBand="0" w:evenHBand="0" w:firstRowFirstColumn="0" w:firstRowLastColumn="0" w:lastRowFirstColumn="0" w:lastRowLastColumn="0"/>
              <w:rPr>
                <w:rFonts w:cs="Arial"/>
                <w:b/>
                <w:bCs/>
                <w:szCs w:val="14"/>
                <w:lang w:eastAsia="en-US"/>
              </w:rPr>
            </w:pPr>
            <w:r w:rsidRPr="003321FA">
              <w:rPr>
                <w:rFonts w:cs="Arial"/>
                <w:b/>
                <w:bCs/>
                <w:color w:val="000000"/>
                <w:szCs w:val="14"/>
              </w:rPr>
              <w:t>179.162</w:t>
            </w:r>
          </w:p>
        </w:tc>
        <w:tc>
          <w:tcPr>
            <w:tcW w:w="1018" w:type="dxa"/>
            <w:tcBorders>
              <w:top w:val="nil"/>
              <w:left w:val="nil"/>
              <w:bottom w:val="single" w:sz="2" w:space="0" w:color="1F3864" w:themeColor="accent1" w:themeShade="80"/>
              <w:right w:val="nil"/>
            </w:tcBorders>
            <w:shd w:val="clear" w:color="auto" w:fill="auto"/>
            <w:vAlign w:val="center"/>
          </w:tcPr>
          <w:p w14:paraId="7DEBBF31" w14:textId="77777777" w:rsidR="003321FA" w:rsidRPr="003321FA" w:rsidRDefault="003321FA">
            <w:pPr>
              <w:pStyle w:val="08-Tabelageral"/>
              <w:cnfStyle w:val="000000000000" w:firstRow="0" w:lastRow="0" w:firstColumn="0" w:lastColumn="0" w:oddVBand="0" w:evenVBand="0" w:oddHBand="0" w:evenHBand="0" w:firstRowFirstColumn="0" w:firstRowLastColumn="0" w:lastRowFirstColumn="0" w:lastRowLastColumn="0"/>
              <w:rPr>
                <w:rFonts w:cs="Arial"/>
                <w:b/>
                <w:bCs/>
                <w:szCs w:val="14"/>
                <w:lang w:eastAsia="en-US"/>
              </w:rPr>
            </w:pPr>
            <w:r w:rsidRPr="003321FA">
              <w:rPr>
                <w:rFonts w:cs="Arial"/>
                <w:b/>
                <w:bCs/>
                <w:color w:val="000000"/>
                <w:szCs w:val="14"/>
              </w:rPr>
              <w:t>18.213</w:t>
            </w:r>
          </w:p>
        </w:tc>
        <w:tc>
          <w:tcPr>
            <w:tcW w:w="699" w:type="dxa"/>
            <w:tcBorders>
              <w:top w:val="nil"/>
              <w:left w:val="nil"/>
              <w:bottom w:val="single" w:sz="2" w:space="0" w:color="1F3864" w:themeColor="accent1" w:themeShade="80"/>
              <w:right w:val="nil"/>
            </w:tcBorders>
            <w:shd w:val="clear" w:color="auto" w:fill="auto"/>
            <w:vAlign w:val="center"/>
          </w:tcPr>
          <w:p w14:paraId="5812A460" w14:textId="77777777" w:rsidR="003321FA" w:rsidRPr="003321FA" w:rsidRDefault="003321FA">
            <w:pPr>
              <w:pStyle w:val="08-Tabelageral"/>
              <w:cnfStyle w:val="000000000000" w:firstRow="0" w:lastRow="0" w:firstColumn="0" w:lastColumn="0" w:oddVBand="0" w:evenVBand="0" w:oddHBand="0" w:evenHBand="0" w:firstRowFirstColumn="0" w:firstRowLastColumn="0" w:lastRowFirstColumn="0" w:lastRowLastColumn="0"/>
              <w:rPr>
                <w:rFonts w:cs="Arial"/>
                <w:b/>
                <w:bCs/>
                <w:szCs w:val="14"/>
                <w:lang w:eastAsia="en-US"/>
              </w:rPr>
            </w:pPr>
            <w:r w:rsidRPr="003321FA">
              <w:rPr>
                <w:rFonts w:cs="Arial"/>
                <w:b/>
                <w:bCs/>
                <w:color w:val="000000"/>
                <w:szCs w:val="14"/>
              </w:rPr>
              <w:t>3.319</w:t>
            </w:r>
          </w:p>
        </w:tc>
        <w:tc>
          <w:tcPr>
            <w:tcW w:w="1052" w:type="dxa"/>
            <w:gridSpan w:val="2"/>
            <w:tcBorders>
              <w:top w:val="nil"/>
              <w:left w:val="nil"/>
              <w:bottom w:val="single" w:sz="2" w:space="0" w:color="1F3864" w:themeColor="accent1" w:themeShade="80"/>
              <w:right w:val="nil"/>
            </w:tcBorders>
            <w:shd w:val="clear" w:color="auto" w:fill="auto"/>
            <w:vAlign w:val="center"/>
          </w:tcPr>
          <w:p w14:paraId="5E38CE2A" w14:textId="77777777" w:rsidR="003321FA" w:rsidRPr="003321FA" w:rsidRDefault="003321FA">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szCs w:val="14"/>
                <w:lang w:eastAsia="en-US"/>
              </w:rPr>
            </w:pPr>
            <w:r w:rsidRPr="003321FA">
              <w:rPr>
                <w:rFonts w:cs="Arial"/>
                <w:b/>
                <w:bCs/>
                <w:color w:val="000000"/>
                <w:szCs w:val="14"/>
              </w:rPr>
              <w:t>4.890.458</w:t>
            </w:r>
          </w:p>
        </w:tc>
      </w:tr>
    </w:tbl>
    <w:p w14:paraId="68B67746" w14:textId="77777777" w:rsidR="003321FA" w:rsidRPr="003321FA" w:rsidRDefault="003321FA" w:rsidP="003321FA">
      <w:pPr>
        <w:rPr>
          <w:lang w:eastAsia="pt-BR"/>
        </w:rPr>
      </w:pPr>
    </w:p>
    <w:p w14:paraId="3B0AA048" w14:textId="77777777" w:rsidR="003321FA" w:rsidRPr="003321FA" w:rsidRDefault="003321FA" w:rsidP="003321FA">
      <w:pPr>
        <w:keepNext/>
        <w:keepLines/>
        <w:pageBreakBefore/>
        <w:spacing w:before="120" w:after="120" w:line="240" w:lineRule="auto"/>
        <w:rPr>
          <w:sz w:val="14"/>
          <w:szCs w:val="14"/>
        </w:rPr>
      </w:pPr>
      <w:r w:rsidRPr="003321FA">
        <w:rPr>
          <w:rFonts w:ascii="Arial" w:eastAsia="Times New Roman" w:hAnsi="Arial" w:cs="Times New Roman"/>
          <w:b/>
          <w:color w:val="1F3864" w:themeColor="accent1" w:themeShade="80"/>
          <w:spacing w:val="-2"/>
          <w:sz w:val="18"/>
          <w:szCs w:val="20"/>
          <w:lang w:eastAsia="pt-BR"/>
        </w:rPr>
        <w:lastRenderedPageBreak/>
        <w:t>b.3) Movimentação dos Investimentos</w:t>
      </w:r>
    </w:p>
    <w:tbl>
      <w:tblPr>
        <w:tblStyle w:val="TabeladeLista6Colorida-nfase51"/>
        <w:tblW w:w="9639" w:type="dxa"/>
        <w:jc w:val="center"/>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4079"/>
        <w:gridCol w:w="2006"/>
        <w:gridCol w:w="1742"/>
        <w:gridCol w:w="1812"/>
      </w:tblGrid>
      <w:tr w:rsidR="003321FA" w:rsidRPr="003321FA" w14:paraId="0708AF9B" w14:textId="77777777" w:rsidTr="00B41C9D">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639" w:type="dxa"/>
            <w:gridSpan w:val="4"/>
            <w:tcBorders>
              <w:top w:val="nil"/>
              <w:left w:val="nil"/>
              <w:bottom w:val="nil"/>
              <w:right w:val="nil"/>
            </w:tcBorders>
            <w:shd w:val="clear" w:color="auto" w:fill="auto"/>
            <w:vAlign w:val="center"/>
          </w:tcPr>
          <w:p w14:paraId="21B3BA8E" w14:textId="77777777" w:rsidR="003321FA" w:rsidRPr="003321FA" w:rsidRDefault="003321FA">
            <w:pPr>
              <w:pStyle w:val="01-TtulodeNota"/>
              <w:spacing w:before="0" w:after="0"/>
              <w:jc w:val="right"/>
              <w:rPr>
                <w:rStyle w:val="normaltextrun"/>
                <w:rFonts w:cs="Arial"/>
                <w:b/>
                <w:sz w:val="14"/>
                <w:szCs w:val="14"/>
              </w:rPr>
            </w:pPr>
            <w:r w:rsidRPr="003321FA">
              <w:rPr>
                <w:b/>
                <w:sz w:val="14"/>
                <w:szCs w:val="14"/>
              </w:rPr>
              <w:t>R$ mil</w:t>
            </w:r>
          </w:p>
        </w:tc>
      </w:tr>
      <w:tr w:rsidR="003321FA" w:rsidRPr="003321FA" w14:paraId="1C28EA8A" w14:textId="77777777" w:rsidTr="00B41C9D">
        <w:trPr>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single" w:sz="2" w:space="0" w:color="1F3864" w:themeColor="accent1" w:themeShade="80"/>
              <w:left w:val="nil"/>
              <w:bottom w:val="nil"/>
              <w:right w:val="nil"/>
            </w:tcBorders>
            <w:shd w:val="clear" w:color="auto" w:fill="auto"/>
            <w:vAlign w:val="center"/>
          </w:tcPr>
          <w:p w14:paraId="734594DD" w14:textId="77777777" w:rsidR="003321FA" w:rsidRPr="003321FA" w:rsidRDefault="003321FA">
            <w:pPr>
              <w:rPr>
                <w:rFonts w:ascii="Arial" w:hAnsi="Arial" w:cs="Arial"/>
                <w:color w:val="FF0000"/>
                <w:sz w:val="14"/>
                <w:szCs w:val="14"/>
              </w:rPr>
            </w:pPr>
          </w:p>
        </w:tc>
        <w:tc>
          <w:tcPr>
            <w:tcW w:w="5560" w:type="dxa"/>
            <w:gridSpan w:val="3"/>
            <w:tcBorders>
              <w:top w:val="single" w:sz="2" w:space="0" w:color="1F3864" w:themeColor="accent1" w:themeShade="80"/>
              <w:left w:val="nil"/>
              <w:bottom w:val="single" w:sz="2" w:space="0" w:color="1F3864" w:themeColor="accent1" w:themeShade="80"/>
              <w:right w:val="nil"/>
            </w:tcBorders>
            <w:shd w:val="clear" w:color="auto" w:fill="auto"/>
            <w:vAlign w:val="center"/>
            <w:hideMark/>
          </w:tcPr>
          <w:p w14:paraId="4F6CCE08" w14:textId="77777777" w:rsidR="003321FA" w:rsidRPr="003321FA" w:rsidRDefault="003321F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321FA">
              <w:rPr>
                <w:rFonts w:ascii="Arial" w:hAnsi="Arial" w:cs="Arial"/>
                <w:b/>
                <w:sz w:val="14"/>
                <w:szCs w:val="14"/>
              </w:rPr>
              <w:t>Controlador</w:t>
            </w:r>
          </w:p>
        </w:tc>
      </w:tr>
      <w:tr w:rsidR="003321FA" w:rsidRPr="003321FA" w14:paraId="7C175219" w14:textId="77777777" w:rsidTr="00B41C9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single" w:sz="2" w:space="0" w:color="1F3864" w:themeColor="accent1" w:themeShade="80"/>
              <w:right w:val="nil"/>
            </w:tcBorders>
            <w:shd w:val="clear" w:color="auto" w:fill="auto"/>
            <w:vAlign w:val="center"/>
          </w:tcPr>
          <w:p w14:paraId="68BA7D9B" w14:textId="77777777" w:rsidR="003321FA" w:rsidRPr="003321FA" w:rsidRDefault="003321FA">
            <w:pPr>
              <w:rPr>
                <w:rFonts w:ascii="Arial" w:hAnsi="Arial" w:cs="Arial"/>
                <w:color w:val="FF0000"/>
                <w:sz w:val="14"/>
                <w:szCs w:val="14"/>
              </w:rPr>
            </w:pPr>
          </w:p>
        </w:tc>
        <w:tc>
          <w:tcPr>
            <w:tcW w:w="200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5719C77"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b/>
                <w:sz w:val="14"/>
                <w:szCs w:val="14"/>
              </w:rPr>
            </w:pPr>
            <w:r w:rsidRPr="003321FA">
              <w:rPr>
                <w:rFonts w:ascii="Arial" w:hAnsi="Arial" w:cs="Arial"/>
                <w:b/>
                <w:color w:val="auto"/>
                <w:sz w:val="14"/>
                <w:szCs w:val="14"/>
              </w:rPr>
              <w:t>BB Seguros</w:t>
            </w:r>
          </w:p>
        </w:tc>
        <w:tc>
          <w:tcPr>
            <w:tcW w:w="1742"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28C766C"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b/>
                <w:sz w:val="14"/>
                <w:szCs w:val="14"/>
              </w:rPr>
            </w:pPr>
            <w:r w:rsidRPr="003321FA">
              <w:rPr>
                <w:rFonts w:ascii="Arial" w:hAnsi="Arial" w:cs="Arial"/>
                <w:b/>
                <w:color w:val="auto"/>
                <w:sz w:val="14"/>
                <w:szCs w:val="14"/>
              </w:rPr>
              <w:t>BB Corretora</w:t>
            </w:r>
          </w:p>
        </w:tc>
        <w:tc>
          <w:tcPr>
            <w:tcW w:w="1812"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1A7C401"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b/>
                <w:sz w:val="14"/>
                <w:szCs w:val="14"/>
              </w:rPr>
            </w:pPr>
            <w:r w:rsidRPr="003321FA">
              <w:rPr>
                <w:rFonts w:ascii="Arial" w:hAnsi="Arial" w:cs="Arial"/>
                <w:b/>
                <w:sz w:val="14"/>
                <w:szCs w:val="14"/>
              </w:rPr>
              <w:t>Total</w:t>
            </w:r>
          </w:p>
        </w:tc>
      </w:tr>
      <w:tr w:rsidR="003321FA" w:rsidRPr="003321FA" w14:paraId="42CA0719" w14:textId="77777777" w:rsidTr="00B41C9D">
        <w:trPr>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nil"/>
              <w:right w:val="nil"/>
            </w:tcBorders>
            <w:shd w:val="clear" w:color="auto" w:fill="auto"/>
            <w:vAlign w:val="center"/>
            <w:hideMark/>
          </w:tcPr>
          <w:p w14:paraId="25B583F7" w14:textId="77777777" w:rsidR="003321FA" w:rsidRPr="003321FA" w:rsidRDefault="003321FA">
            <w:pPr>
              <w:rPr>
                <w:color w:val="FF0000"/>
                <w:szCs w:val="14"/>
              </w:rPr>
            </w:pPr>
            <w:r w:rsidRPr="003321FA">
              <w:rPr>
                <w:rFonts w:ascii="Arial" w:hAnsi="Arial" w:cs="Arial"/>
                <w:sz w:val="14"/>
                <w:szCs w:val="14"/>
              </w:rPr>
              <w:t>Saldos Contábeis em 31.12.2023</w:t>
            </w:r>
            <w:r w:rsidRPr="003321FA">
              <w:rPr>
                <w:rFonts w:cs="Arial"/>
                <w:szCs w:val="14"/>
              </w:rPr>
              <w:t xml:space="preserve"> </w:t>
            </w:r>
          </w:p>
        </w:tc>
        <w:tc>
          <w:tcPr>
            <w:tcW w:w="2006" w:type="dxa"/>
            <w:tcBorders>
              <w:top w:val="nil"/>
              <w:left w:val="nil"/>
              <w:bottom w:val="nil"/>
              <w:right w:val="nil"/>
            </w:tcBorders>
            <w:shd w:val="clear" w:color="auto" w:fill="auto"/>
            <w:vAlign w:val="center"/>
            <w:hideMark/>
          </w:tcPr>
          <w:p w14:paraId="3F947060" w14:textId="77777777" w:rsidR="003321FA" w:rsidRPr="003321FA" w:rsidRDefault="003321FA">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000000"/>
                <w:szCs w:val="14"/>
                <w:lang w:eastAsia="en-US"/>
              </w:rPr>
            </w:pPr>
            <w:r w:rsidRPr="003321FA">
              <w:rPr>
                <w:rFonts w:cs="Arial"/>
                <w:b/>
                <w:bCs/>
                <w:color w:val="000000"/>
                <w:szCs w:val="14"/>
              </w:rPr>
              <w:t>9.122.733</w:t>
            </w:r>
          </w:p>
        </w:tc>
        <w:tc>
          <w:tcPr>
            <w:tcW w:w="1742" w:type="dxa"/>
            <w:tcBorders>
              <w:top w:val="nil"/>
              <w:left w:val="nil"/>
              <w:bottom w:val="nil"/>
              <w:right w:val="nil"/>
            </w:tcBorders>
            <w:shd w:val="clear" w:color="auto" w:fill="auto"/>
            <w:vAlign w:val="center"/>
            <w:hideMark/>
          </w:tcPr>
          <w:p w14:paraId="3CA7DDF4" w14:textId="77777777" w:rsidR="003321FA" w:rsidRPr="003321FA" w:rsidRDefault="003321FA">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000000"/>
                <w:szCs w:val="14"/>
                <w:lang w:eastAsia="en-US"/>
              </w:rPr>
            </w:pPr>
            <w:r w:rsidRPr="003321FA">
              <w:rPr>
                <w:rFonts w:cs="Arial"/>
                <w:b/>
                <w:bCs/>
                <w:color w:val="000000"/>
                <w:szCs w:val="14"/>
              </w:rPr>
              <w:t>5.872</w:t>
            </w:r>
          </w:p>
        </w:tc>
        <w:tc>
          <w:tcPr>
            <w:tcW w:w="1812" w:type="dxa"/>
            <w:tcBorders>
              <w:top w:val="nil"/>
              <w:left w:val="nil"/>
              <w:bottom w:val="nil"/>
              <w:right w:val="nil"/>
            </w:tcBorders>
            <w:shd w:val="clear" w:color="auto" w:fill="auto"/>
            <w:vAlign w:val="center"/>
            <w:hideMark/>
          </w:tcPr>
          <w:p w14:paraId="0EFAB3A2" w14:textId="77777777" w:rsidR="003321FA" w:rsidRPr="003321FA" w:rsidRDefault="003321FA">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000000"/>
                <w:szCs w:val="14"/>
                <w:lang w:eastAsia="en-US"/>
              </w:rPr>
            </w:pPr>
            <w:r w:rsidRPr="003321FA">
              <w:rPr>
                <w:rFonts w:cs="Arial"/>
                <w:b/>
                <w:bCs/>
                <w:color w:val="000000"/>
                <w:szCs w:val="14"/>
              </w:rPr>
              <w:t>9.128.605</w:t>
            </w:r>
          </w:p>
        </w:tc>
      </w:tr>
      <w:tr w:rsidR="003321FA" w:rsidRPr="003321FA" w14:paraId="0D32FF92" w14:textId="77777777" w:rsidTr="00B41C9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nil"/>
              <w:right w:val="nil"/>
            </w:tcBorders>
            <w:shd w:val="clear" w:color="auto" w:fill="auto"/>
            <w:vAlign w:val="center"/>
          </w:tcPr>
          <w:p w14:paraId="5B7F1B3A" w14:textId="77777777" w:rsidR="003321FA" w:rsidRPr="003321FA" w:rsidRDefault="003321FA">
            <w:pPr>
              <w:pStyle w:val="08-Tabelageral"/>
              <w:ind w:firstLine="174"/>
              <w:jc w:val="left"/>
              <w:rPr>
                <w:rFonts w:cs="Arial"/>
                <w:b w:val="0"/>
                <w:color w:val="auto"/>
                <w:szCs w:val="14"/>
                <w:lang w:eastAsia="en-US"/>
              </w:rPr>
            </w:pPr>
            <w:r w:rsidRPr="003321FA">
              <w:rPr>
                <w:rFonts w:cs="Arial"/>
                <w:b w:val="0"/>
                <w:color w:val="auto"/>
                <w:szCs w:val="14"/>
                <w:lang w:eastAsia="en-US"/>
              </w:rPr>
              <w:t>Dividendos</w:t>
            </w:r>
          </w:p>
        </w:tc>
        <w:tc>
          <w:tcPr>
            <w:tcW w:w="2006" w:type="dxa"/>
            <w:tcBorders>
              <w:top w:val="nil"/>
              <w:left w:val="nil"/>
              <w:bottom w:val="nil"/>
              <w:right w:val="nil"/>
            </w:tcBorders>
            <w:shd w:val="clear" w:color="auto" w:fill="auto"/>
            <w:vAlign w:val="center"/>
          </w:tcPr>
          <w:p w14:paraId="36447569" w14:textId="77777777" w:rsidR="003321FA" w:rsidRPr="003321FA" w:rsidRDefault="003321FA">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lang w:eastAsia="en-US"/>
              </w:rPr>
            </w:pPr>
            <w:r w:rsidRPr="003321FA">
              <w:rPr>
                <w:rFonts w:cs="Arial"/>
                <w:color w:val="000000"/>
                <w:szCs w:val="14"/>
              </w:rPr>
              <w:t>(4.484.260)</w:t>
            </w:r>
          </w:p>
        </w:tc>
        <w:tc>
          <w:tcPr>
            <w:tcW w:w="1742" w:type="dxa"/>
            <w:tcBorders>
              <w:top w:val="nil"/>
              <w:left w:val="nil"/>
              <w:bottom w:val="nil"/>
              <w:right w:val="nil"/>
            </w:tcBorders>
            <w:shd w:val="clear" w:color="auto" w:fill="auto"/>
            <w:vAlign w:val="center"/>
          </w:tcPr>
          <w:p w14:paraId="7B5901DA" w14:textId="77777777" w:rsidR="003321FA" w:rsidRPr="003321FA" w:rsidRDefault="003321FA">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lang w:eastAsia="en-US"/>
              </w:rPr>
            </w:pPr>
            <w:r w:rsidRPr="003321FA">
              <w:rPr>
                <w:rFonts w:cs="Arial"/>
                <w:color w:val="000000"/>
                <w:szCs w:val="14"/>
              </w:rPr>
              <w:t>(3.308.139)</w:t>
            </w:r>
          </w:p>
        </w:tc>
        <w:tc>
          <w:tcPr>
            <w:tcW w:w="1812" w:type="dxa"/>
            <w:tcBorders>
              <w:top w:val="nil"/>
              <w:left w:val="nil"/>
              <w:bottom w:val="nil"/>
              <w:right w:val="nil"/>
            </w:tcBorders>
            <w:shd w:val="clear" w:color="auto" w:fill="auto"/>
            <w:vAlign w:val="center"/>
          </w:tcPr>
          <w:p w14:paraId="20A8F7B1" w14:textId="77777777" w:rsidR="003321FA" w:rsidRPr="003321FA" w:rsidRDefault="003321FA">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color w:val="000000"/>
                <w:szCs w:val="14"/>
                <w:lang w:eastAsia="en-US"/>
              </w:rPr>
            </w:pPr>
            <w:r w:rsidRPr="003321FA">
              <w:rPr>
                <w:rFonts w:cs="Arial"/>
                <w:color w:val="000000"/>
                <w:szCs w:val="14"/>
              </w:rPr>
              <w:t>(7.792.399)</w:t>
            </w:r>
          </w:p>
        </w:tc>
      </w:tr>
      <w:tr w:rsidR="003321FA" w:rsidRPr="003321FA" w14:paraId="0F58C1A8" w14:textId="77777777" w:rsidTr="00B41C9D">
        <w:trPr>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nil"/>
              <w:right w:val="nil"/>
            </w:tcBorders>
            <w:shd w:val="clear" w:color="auto" w:fill="auto"/>
            <w:vAlign w:val="center"/>
            <w:hideMark/>
          </w:tcPr>
          <w:p w14:paraId="78833557" w14:textId="77777777" w:rsidR="003321FA" w:rsidRPr="003321FA" w:rsidRDefault="003321FA">
            <w:pPr>
              <w:pStyle w:val="08-Tabelageral"/>
              <w:ind w:firstLine="174"/>
              <w:jc w:val="left"/>
              <w:rPr>
                <w:rFonts w:cs="Arial"/>
                <w:b w:val="0"/>
                <w:color w:val="auto"/>
                <w:szCs w:val="14"/>
                <w:lang w:eastAsia="en-US"/>
              </w:rPr>
            </w:pPr>
            <w:r w:rsidRPr="003321FA">
              <w:rPr>
                <w:rFonts w:cs="Arial"/>
                <w:b w:val="0"/>
                <w:color w:val="auto"/>
                <w:szCs w:val="14"/>
                <w:lang w:eastAsia="en-US"/>
              </w:rPr>
              <w:t xml:space="preserve">Outros resultados abrangentes - </w:t>
            </w:r>
            <w:proofErr w:type="spellStart"/>
            <w:r w:rsidRPr="003321FA">
              <w:rPr>
                <w:rFonts w:cs="Arial"/>
                <w:b w:val="0"/>
                <w:color w:val="auto"/>
                <w:szCs w:val="14"/>
                <w:lang w:eastAsia="en-US"/>
              </w:rPr>
              <w:t>Instr</w:t>
            </w:r>
            <w:proofErr w:type="spellEnd"/>
            <w:r w:rsidRPr="003321FA">
              <w:rPr>
                <w:rFonts w:cs="Arial"/>
                <w:b w:val="0"/>
                <w:color w:val="auto"/>
                <w:szCs w:val="14"/>
                <w:lang w:eastAsia="en-US"/>
              </w:rPr>
              <w:t xml:space="preserve">. </w:t>
            </w:r>
            <w:proofErr w:type="spellStart"/>
            <w:r w:rsidRPr="003321FA">
              <w:rPr>
                <w:rFonts w:cs="Arial"/>
                <w:b w:val="0"/>
                <w:color w:val="auto"/>
                <w:szCs w:val="14"/>
                <w:lang w:eastAsia="en-US"/>
              </w:rPr>
              <w:t>Financ</w:t>
            </w:r>
            <w:proofErr w:type="spellEnd"/>
            <w:r w:rsidRPr="003321FA">
              <w:rPr>
                <w:rFonts w:cs="Arial"/>
                <w:b w:val="0"/>
                <w:color w:val="auto"/>
                <w:szCs w:val="14"/>
                <w:lang w:eastAsia="en-US"/>
              </w:rPr>
              <w:t>.</w:t>
            </w:r>
          </w:p>
        </w:tc>
        <w:tc>
          <w:tcPr>
            <w:tcW w:w="2006" w:type="dxa"/>
            <w:tcBorders>
              <w:top w:val="nil"/>
              <w:left w:val="nil"/>
              <w:bottom w:val="nil"/>
              <w:right w:val="nil"/>
            </w:tcBorders>
            <w:shd w:val="clear" w:color="auto" w:fill="auto"/>
            <w:vAlign w:val="center"/>
          </w:tcPr>
          <w:p w14:paraId="5CA23860" w14:textId="77777777" w:rsidR="003321FA" w:rsidRPr="003321FA" w:rsidRDefault="003321FA">
            <w:pPr>
              <w:pStyle w:val="08-Tabelageral"/>
              <w:ind w:left="113"/>
              <w:cnfStyle w:val="000000000000" w:firstRow="0" w:lastRow="0" w:firstColumn="0" w:lastColumn="0" w:oddVBand="0" w:evenVBand="0" w:oddHBand="0" w:evenHBand="0" w:firstRowFirstColumn="0" w:firstRowLastColumn="0" w:lastRowFirstColumn="0" w:lastRowLastColumn="0"/>
              <w:rPr>
                <w:rFonts w:cs="Arial"/>
                <w:color w:val="000000"/>
                <w:szCs w:val="14"/>
                <w:lang w:eastAsia="en-US"/>
              </w:rPr>
            </w:pPr>
            <w:r w:rsidRPr="003321FA">
              <w:rPr>
                <w:rFonts w:cs="Arial"/>
                <w:color w:val="000000"/>
                <w:szCs w:val="14"/>
              </w:rPr>
              <w:t xml:space="preserve">(279.966) </w:t>
            </w:r>
          </w:p>
        </w:tc>
        <w:tc>
          <w:tcPr>
            <w:tcW w:w="1742" w:type="dxa"/>
            <w:tcBorders>
              <w:top w:val="nil"/>
              <w:left w:val="nil"/>
              <w:bottom w:val="nil"/>
              <w:right w:val="nil"/>
            </w:tcBorders>
            <w:shd w:val="clear" w:color="auto" w:fill="auto"/>
            <w:vAlign w:val="center"/>
          </w:tcPr>
          <w:p w14:paraId="565998C2" w14:textId="77777777" w:rsidR="003321FA" w:rsidRPr="003321FA" w:rsidRDefault="003321FA">
            <w:pPr>
              <w:pStyle w:val="08-Tabelageral"/>
              <w:ind w:left="113"/>
              <w:cnfStyle w:val="000000000000" w:firstRow="0" w:lastRow="0" w:firstColumn="0" w:lastColumn="0" w:oddVBand="0" w:evenVBand="0" w:oddHBand="0" w:evenHBand="0" w:firstRowFirstColumn="0" w:firstRowLastColumn="0" w:lastRowFirstColumn="0" w:lastRowLastColumn="0"/>
              <w:rPr>
                <w:rFonts w:cs="Arial"/>
                <w:color w:val="000000"/>
                <w:szCs w:val="14"/>
                <w:lang w:eastAsia="en-US"/>
              </w:rPr>
            </w:pPr>
            <w:r w:rsidRPr="003321FA">
              <w:rPr>
                <w:rFonts w:cs="Arial"/>
                <w:color w:val="000000"/>
                <w:szCs w:val="14"/>
              </w:rPr>
              <w:t>--</w:t>
            </w:r>
          </w:p>
        </w:tc>
        <w:tc>
          <w:tcPr>
            <w:tcW w:w="1812" w:type="dxa"/>
            <w:tcBorders>
              <w:top w:val="nil"/>
              <w:left w:val="nil"/>
              <w:bottom w:val="nil"/>
              <w:right w:val="nil"/>
            </w:tcBorders>
            <w:shd w:val="clear" w:color="auto" w:fill="auto"/>
            <w:vAlign w:val="center"/>
          </w:tcPr>
          <w:p w14:paraId="46463B2B" w14:textId="77777777" w:rsidR="003321FA" w:rsidRPr="003321FA" w:rsidRDefault="003321FA">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000000"/>
                <w:szCs w:val="14"/>
                <w:lang w:eastAsia="en-US"/>
              </w:rPr>
            </w:pPr>
            <w:r w:rsidRPr="003321FA">
              <w:rPr>
                <w:rFonts w:cs="Arial"/>
                <w:color w:val="000000"/>
                <w:szCs w:val="14"/>
              </w:rPr>
              <w:t xml:space="preserve">(279.966) </w:t>
            </w:r>
          </w:p>
        </w:tc>
      </w:tr>
      <w:tr w:rsidR="003321FA" w:rsidRPr="003321FA" w14:paraId="13FC5345" w14:textId="77777777" w:rsidTr="00B41C9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nil"/>
              <w:right w:val="nil"/>
            </w:tcBorders>
            <w:shd w:val="clear" w:color="auto" w:fill="auto"/>
            <w:vAlign w:val="center"/>
            <w:hideMark/>
          </w:tcPr>
          <w:p w14:paraId="5B0A061F" w14:textId="77777777" w:rsidR="003321FA" w:rsidRPr="003321FA" w:rsidRDefault="003321FA">
            <w:pPr>
              <w:pStyle w:val="08-Tabelageral"/>
              <w:ind w:firstLine="174"/>
              <w:jc w:val="left"/>
              <w:rPr>
                <w:rFonts w:cs="Arial"/>
                <w:b w:val="0"/>
                <w:color w:val="auto"/>
                <w:szCs w:val="14"/>
                <w:lang w:eastAsia="en-US"/>
              </w:rPr>
            </w:pPr>
            <w:r w:rsidRPr="003321FA">
              <w:rPr>
                <w:rFonts w:cs="Arial"/>
                <w:b w:val="0"/>
                <w:color w:val="auto"/>
                <w:szCs w:val="14"/>
                <w:lang w:eastAsia="en-US"/>
              </w:rPr>
              <w:t>Outros resultados abrangentes - CPC 50</w:t>
            </w:r>
          </w:p>
        </w:tc>
        <w:tc>
          <w:tcPr>
            <w:tcW w:w="2006" w:type="dxa"/>
            <w:tcBorders>
              <w:top w:val="nil"/>
              <w:left w:val="nil"/>
              <w:bottom w:val="nil"/>
              <w:right w:val="nil"/>
            </w:tcBorders>
            <w:shd w:val="clear" w:color="auto" w:fill="auto"/>
            <w:vAlign w:val="center"/>
          </w:tcPr>
          <w:p w14:paraId="2A99C707" w14:textId="77777777" w:rsidR="003321FA" w:rsidRPr="003321FA" w:rsidRDefault="003321FA">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lang w:eastAsia="en-US"/>
              </w:rPr>
            </w:pPr>
            <w:r w:rsidRPr="003321FA">
              <w:rPr>
                <w:rFonts w:cs="Arial"/>
                <w:color w:val="000000"/>
                <w:szCs w:val="14"/>
              </w:rPr>
              <w:t>(267.064)</w:t>
            </w:r>
          </w:p>
        </w:tc>
        <w:tc>
          <w:tcPr>
            <w:tcW w:w="1742" w:type="dxa"/>
            <w:tcBorders>
              <w:top w:val="nil"/>
              <w:left w:val="nil"/>
              <w:bottom w:val="nil"/>
              <w:right w:val="nil"/>
            </w:tcBorders>
            <w:shd w:val="clear" w:color="auto" w:fill="auto"/>
            <w:vAlign w:val="center"/>
          </w:tcPr>
          <w:p w14:paraId="6875235E" w14:textId="77777777" w:rsidR="003321FA" w:rsidRPr="003321FA" w:rsidRDefault="003321FA">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lang w:eastAsia="en-US"/>
              </w:rPr>
            </w:pPr>
            <w:r w:rsidRPr="003321FA">
              <w:rPr>
                <w:rFonts w:cs="Arial"/>
                <w:color w:val="000000"/>
                <w:szCs w:val="14"/>
              </w:rPr>
              <w:t>--</w:t>
            </w:r>
          </w:p>
        </w:tc>
        <w:tc>
          <w:tcPr>
            <w:tcW w:w="1812" w:type="dxa"/>
            <w:tcBorders>
              <w:top w:val="nil"/>
              <w:left w:val="nil"/>
              <w:bottom w:val="nil"/>
              <w:right w:val="nil"/>
            </w:tcBorders>
            <w:shd w:val="clear" w:color="auto" w:fill="auto"/>
            <w:vAlign w:val="center"/>
          </w:tcPr>
          <w:p w14:paraId="70DAC674" w14:textId="77777777" w:rsidR="003321FA" w:rsidRPr="003321FA" w:rsidRDefault="003321FA">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color w:val="000000"/>
                <w:szCs w:val="14"/>
                <w:lang w:eastAsia="en-US"/>
              </w:rPr>
            </w:pPr>
            <w:r w:rsidRPr="003321FA">
              <w:rPr>
                <w:rFonts w:cs="Arial"/>
                <w:color w:val="000000"/>
                <w:szCs w:val="14"/>
              </w:rPr>
              <w:t>(267.064)</w:t>
            </w:r>
          </w:p>
        </w:tc>
      </w:tr>
      <w:tr w:rsidR="003321FA" w:rsidRPr="003321FA" w14:paraId="3198D690" w14:textId="77777777" w:rsidTr="00B41C9D">
        <w:trPr>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nil"/>
              <w:right w:val="nil"/>
            </w:tcBorders>
            <w:shd w:val="clear" w:color="auto" w:fill="auto"/>
            <w:vAlign w:val="center"/>
            <w:hideMark/>
          </w:tcPr>
          <w:p w14:paraId="52132CBF" w14:textId="77777777" w:rsidR="003321FA" w:rsidRPr="003321FA" w:rsidRDefault="003321FA">
            <w:pPr>
              <w:pStyle w:val="08-Tabelageral"/>
              <w:ind w:firstLine="174"/>
              <w:jc w:val="left"/>
              <w:rPr>
                <w:rFonts w:cs="Arial"/>
                <w:b w:val="0"/>
                <w:color w:val="auto"/>
                <w:szCs w:val="14"/>
                <w:lang w:eastAsia="en-US"/>
              </w:rPr>
            </w:pPr>
            <w:r w:rsidRPr="003321FA">
              <w:rPr>
                <w:rFonts w:cs="Arial"/>
                <w:b w:val="0"/>
                <w:color w:val="auto"/>
                <w:szCs w:val="14"/>
                <w:lang w:eastAsia="en-US"/>
              </w:rPr>
              <w:t>Outros resultados abrangentes</w:t>
            </w:r>
          </w:p>
        </w:tc>
        <w:tc>
          <w:tcPr>
            <w:tcW w:w="2006" w:type="dxa"/>
            <w:tcBorders>
              <w:top w:val="nil"/>
              <w:left w:val="nil"/>
              <w:bottom w:val="nil"/>
              <w:right w:val="nil"/>
            </w:tcBorders>
            <w:shd w:val="clear" w:color="auto" w:fill="auto"/>
            <w:vAlign w:val="center"/>
          </w:tcPr>
          <w:p w14:paraId="44A87B72" w14:textId="77777777" w:rsidR="003321FA" w:rsidRPr="003321FA" w:rsidRDefault="003321FA">
            <w:pPr>
              <w:pStyle w:val="08-Tabelageral"/>
              <w:ind w:left="113"/>
              <w:cnfStyle w:val="000000000000" w:firstRow="0" w:lastRow="0" w:firstColumn="0" w:lastColumn="0" w:oddVBand="0" w:evenVBand="0" w:oddHBand="0" w:evenHBand="0" w:firstRowFirstColumn="0" w:firstRowLastColumn="0" w:lastRowFirstColumn="0" w:lastRowLastColumn="0"/>
              <w:rPr>
                <w:rFonts w:cs="Arial"/>
                <w:color w:val="000000"/>
                <w:szCs w:val="14"/>
                <w:lang w:eastAsia="en-US"/>
              </w:rPr>
            </w:pPr>
            <w:r w:rsidRPr="003321FA">
              <w:rPr>
                <w:rFonts w:cs="Arial"/>
                <w:color w:val="000000"/>
                <w:szCs w:val="14"/>
              </w:rPr>
              <w:t>--</w:t>
            </w:r>
          </w:p>
        </w:tc>
        <w:tc>
          <w:tcPr>
            <w:tcW w:w="1742" w:type="dxa"/>
            <w:tcBorders>
              <w:top w:val="nil"/>
              <w:left w:val="nil"/>
              <w:bottom w:val="nil"/>
              <w:right w:val="nil"/>
            </w:tcBorders>
            <w:shd w:val="clear" w:color="auto" w:fill="auto"/>
            <w:vAlign w:val="center"/>
          </w:tcPr>
          <w:p w14:paraId="0E949903" w14:textId="77777777" w:rsidR="003321FA" w:rsidRPr="003321FA" w:rsidRDefault="003321FA">
            <w:pPr>
              <w:pStyle w:val="08-Tabelageral"/>
              <w:ind w:left="113"/>
              <w:cnfStyle w:val="000000000000" w:firstRow="0" w:lastRow="0" w:firstColumn="0" w:lastColumn="0" w:oddVBand="0" w:evenVBand="0" w:oddHBand="0" w:evenHBand="0" w:firstRowFirstColumn="0" w:firstRowLastColumn="0" w:lastRowFirstColumn="0" w:lastRowLastColumn="0"/>
              <w:rPr>
                <w:rFonts w:cs="Arial"/>
                <w:color w:val="000000"/>
                <w:szCs w:val="14"/>
                <w:lang w:eastAsia="en-US"/>
              </w:rPr>
            </w:pPr>
            <w:r w:rsidRPr="003321FA">
              <w:rPr>
                <w:rFonts w:cs="Arial"/>
                <w:color w:val="000000"/>
                <w:szCs w:val="14"/>
              </w:rPr>
              <w:t>246</w:t>
            </w:r>
          </w:p>
        </w:tc>
        <w:tc>
          <w:tcPr>
            <w:tcW w:w="1812" w:type="dxa"/>
            <w:tcBorders>
              <w:top w:val="nil"/>
              <w:left w:val="nil"/>
              <w:bottom w:val="nil"/>
              <w:right w:val="nil"/>
            </w:tcBorders>
            <w:shd w:val="clear" w:color="auto" w:fill="auto"/>
            <w:vAlign w:val="center"/>
          </w:tcPr>
          <w:p w14:paraId="75BEBE56" w14:textId="77777777" w:rsidR="003321FA" w:rsidRPr="003321FA" w:rsidRDefault="003321FA">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000000"/>
                <w:szCs w:val="14"/>
                <w:lang w:eastAsia="en-US"/>
              </w:rPr>
            </w:pPr>
            <w:r w:rsidRPr="003321FA">
              <w:rPr>
                <w:rFonts w:cs="Arial"/>
                <w:color w:val="000000"/>
                <w:szCs w:val="14"/>
              </w:rPr>
              <w:t>246</w:t>
            </w:r>
          </w:p>
        </w:tc>
      </w:tr>
      <w:tr w:rsidR="003321FA" w:rsidRPr="003321FA" w14:paraId="72CEC67D" w14:textId="77777777" w:rsidTr="00B41C9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nil"/>
              <w:right w:val="nil"/>
            </w:tcBorders>
            <w:shd w:val="clear" w:color="auto" w:fill="auto"/>
            <w:vAlign w:val="center"/>
            <w:hideMark/>
          </w:tcPr>
          <w:p w14:paraId="4F6C2CC0" w14:textId="77777777" w:rsidR="003321FA" w:rsidRPr="003321FA" w:rsidRDefault="003321FA">
            <w:pPr>
              <w:pStyle w:val="08-Tabelageral"/>
              <w:ind w:firstLine="174"/>
              <w:jc w:val="left"/>
              <w:rPr>
                <w:rFonts w:cs="Arial"/>
                <w:b w:val="0"/>
                <w:color w:val="auto"/>
                <w:szCs w:val="14"/>
                <w:lang w:eastAsia="en-US"/>
              </w:rPr>
            </w:pPr>
            <w:r w:rsidRPr="003321FA">
              <w:rPr>
                <w:rFonts w:cs="Arial"/>
                <w:b w:val="0"/>
                <w:color w:val="auto"/>
                <w:szCs w:val="14"/>
                <w:lang w:eastAsia="en-US"/>
              </w:rPr>
              <w:t>Resultado de equivalência patrimonial</w:t>
            </w:r>
          </w:p>
        </w:tc>
        <w:tc>
          <w:tcPr>
            <w:tcW w:w="2006" w:type="dxa"/>
            <w:tcBorders>
              <w:top w:val="nil"/>
              <w:left w:val="nil"/>
              <w:bottom w:val="nil"/>
              <w:right w:val="nil"/>
            </w:tcBorders>
            <w:shd w:val="clear" w:color="auto" w:fill="auto"/>
            <w:vAlign w:val="center"/>
          </w:tcPr>
          <w:p w14:paraId="03FDA4CF" w14:textId="77777777" w:rsidR="003321FA" w:rsidRPr="003321FA" w:rsidRDefault="003321FA">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lang w:eastAsia="en-US"/>
              </w:rPr>
            </w:pPr>
            <w:r w:rsidRPr="003321FA">
              <w:rPr>
                <w:rFonts w:cs="Arial"/>
                <w:szCs w:val="14"/>
              </w:rPr>
              <w:t>5.375.678</w:t>
            </w:r>
          </w:p>
        </w:tc>
        <w:tc>
          <w:tcPr>
            <w:tcW w:w="1742" w:type="dxa"/>
            <w:tcBorders>
              <w:top w:val="nil"/>
              <w:left w:val="nil"/>
              <w:bottom w:val="nil"/>
              <w:right w:val="nil"/>
            </w:tcBorders>
            <w:shd w:val="clear" w:color="auto" w:fill="auto"/>
            <w:vAlign w:val="center"/>
          </w:tcPr>
          <w:p w14:paraId="34A8519F" w14:textId="77777777" w:rsidR="003321FA" w:rsidRPr="003321FA" w:rsidRDefault="003321FA">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lang w:eastAsia="en-US"/>
              </w:rPr>
            </w:pPr>
            <w:r w:rsidRPr="003321FA">
              <w:rPr>
                <w:rFonts w:cs="Arial"/>
                <w:szCs w:val="14"/>
              </w:rPr>
              <w:t>3.308.139</w:t>
            </w:r>
          </w:p>
        </w:tc>
        <w:tc>
          <w:tcPr>
            <w:tcW w:w="1812" w:type="dxa"/>
            <w:tcBorders>
              <w:top w:val="nil"/>
              <w:left w:val="nil"/>
              <w:bottom w:val="nil"/>
              <w:right w:val="nil"/>
            </w:tcBorders>
            <w:shd w:val="clear" w:color="auto" w:fill="auto"/>
            <w:vAlign w:val="center"/>
          </w:tcPr>
          <w:p w14:paraId="385011FC" w14:textId="77777777" w:rsidR="003321FA" w:rsidRPr="003321FA" w:rsidRDefault="003321FA">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color w:val="000000"/>
                <w:szCs w:val="14"/>
                <w:lang w:eastAsia="en-US"/>
              </w:rPr>
            </w:pPr>
            <w:r w:rsidRPr="003321FA">
              <w:rPr>
                <w:rFonts w:cs="Arial"/>
                <w:szCs w:val="14"/>
              </w:rPr>
              <w:t>8.683.817</w:t>
            </w:r>
          </w:p>
        </w:tc>
      </w:tr>
      <w:tr w:rsidR="003321FA" w:rsidRPr="003321FA" w14:paraId="09444C1E" w14:textId="77777777" w:rsidTr="00B41C9D">
        <w:trPr>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single" w:sz="6" w:space="0" w:color="1F3864" w:themeColor="accent1" w:themeShade="80"/>
              <w:right w:val="nil"/>
            </w:tcBorders>
            <w:shd w:val="clear" w:color="auto" w:fill="auto"/>
            <w:vAlign w:val="center"/>
            <w:hideMark/>
          </w:tcPr>
          <w:p w14:paraId="01A1905E" w14:textId="77777777" w:rsidR="003321FA" w:rsidRPr="003321FA" w:rsidRDefault="003321FA">
            <w:pPr>
              <w:rPr>
                <w:bCs w:val="0"/>
                <w:color w:val="FF0000"/>
                <w:szCs w:val="14"/>
              </w:rPr>
            </w:pPr>
            <w:r w:rsidRPr="003321FA">
              <w:rPr>
                <w:rFonts w:ascii="Arial" w:hAnsi="Arial" w:cs="Arial"/>
                <w:sz w:val="14"/>
                <w:szCs w:val="14"/>
              </w:rPr>
              <w:t>Saldos Contábeis em 31.12.2024</w:t>
            </w:r>
          </w:p>
        </w:tc>
        <w:tc>
          <w:tcPr>
            <w:tcW w:w="2006" w:type="dxa"/>
            <w:tcBorders>
              <w:top w:val="nil"/>
              <w:left w:val="nil"/>
              <w:bottom w:val="single" w:sz="6" w:space="0" w:color="1F3864" w:themeColor="accent1" w:themeShade="80"/>
              <w:right w:val="nil"/>
            </w:tcBorders>
            <w:shd w:val="clear" w:color="auto" w:fill="auto"/>
            <w:vAlign w:val="center"/>
          </w:tcPr>
          <w:p w14:paraId="2E2C0971" w14:textId="77777777" w:rsidR="003321FA" w:rsidRPr="003321FA" w:rsidRDefault="003321FA">
            <w:pPr>
              <w:pStyle w:val="08-Tabelageral"/>
              <w:ind w:left="113"/>
              <w:cnfStyle w:val="000000000000" w:firstRow="0" w:lastRow="0" w:firstColumn="0" w:lastColumn="0" w:oddVBand="0" w:evenVBand="0" w:oddHBand="0" w:evenHBand="0" w:firstRowFirstColumn="0" w:firstRowLastColumn="0" w:lastRowFirstColumn="0" w:lastRowLastColumn="0"/>
              <w:rPr>
                <w:rFonts w:cs="Arial"/>
                <w:b/>
                <w:color w:val="000000"/>
                <w:szCs w:val="14"/>
                <w:lang w:eastAsia="en-US"/>
              </w:rPr>
            </w:pPr>
            <w:r w:rsidRPr="003321FA">
              <w:rPr>
                <w:rFonts w:cs="Arial"/>
                <w:b/>
                <w:bCs/>
                <w:color w:val="000000"/>
                <w:szCs w:val="14"/>
              </w:rPr>
              <w:t>9.467.121</w:t>
            </w:r>
          </w:p>
        </w:tc>
        <w:tc>
          <w:tcPr>
            <w:tcW w:w="1742" w:type="dxa"/>
            <w:tcBorders>
              <w:top w:val="nil"/>
              <w:left w:val="nil"/>
              <w:bottom w:val="single" w:sz="6" w:space="0" w:color="1F3864" w:themeColor="accent1" w:themeShade="80"/>
              <w:right w:val="nil"/>
            </w:tcBorders>
            <w:shd w:val="clear" w:color="auto" w:fill="auto"/>
            <w:vAlign w:val="center"/>
          </w:tcPr>
          <w:p w14:paraId="6A72FCBB" w14:textId="77777777" w:rsidR="003321FA" w:rsidRPr="003321FA" w:rsidRDefault="003321FA">
            <w:pPr>
              <w:pStyle w:val="08-Tabelageral"/>
              <w:ind w:left="113"/>
              <w:cnfStyle w:val="000000000000" w:firstRow="0" w:lastRow="0" w:firstColumn="0" w:lastColumn="0" w:oddVBand="0" w:evenVBand="0" w:oddHBand="0" w:evenHBand="0" w:firstRowFirstColumn="0" w:firstRowLastColumn="0" w:lastRowFirstColumn="0" w:lastRowLastColumn="0"/>
              <w:rPr>
                <w:rFonts w:cs="Arial"/>
                <w:b/>
                <w:color w:val="000000"/>
                <w:szCs w:val="14"/>
                <w:lang w:eastAsia="en-US"/>
              </w:rPr>
            </w:pPr>
            <w:r w:rsidRPr="003321FA">
              <w:rPr>
                <w:rFonts w:cs="Arial"/>
                <w:b/>
                <w:bCs/>
                <w:color w:val="000000"/>
                <w:szCs w:val="14"/>
              </w:rPr>
              <w:t>6.118</w:t>
            </w:r>
          </w:p>
        </w:tc>
        <w:tc>
          <w:tcPr>
            <w:tcW w:w="1812" w:type="dxa"/>
            <w:tcBorders>
              <w:top w:val="nil"/>
              <w:left w:val="nil"/>
              <w:bottom w:val="single" w:sz="6" w:space="0" w:color="1F3864" w:themeColor="accent1" w:themeShade="80"/>
              <w:right w:val="nil"/>
            </w:tcBorders>
            <w:shd w:val="clear" w:color="auto" w:fill="auto"/>
            <w:vAlign w:val="center"/>
          </w:tcPr>
          <w:p w14:paraId="58567E9E" w14:textId="77777777" w:rsidR="003321FA" w:rsidRPr="003321FA" w:rsidRDefault="003321FA">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000000"/>
                <w:szCs w:val="14"/>
                <w:lang w:eastAsia="en-US"/>
              </w:rPr>
            </w:pPr>
            <w:r w:rsidRPr="003321FA">
              <w:rPr>
                <w:rFonts w:cs="Arial"/>
                <w:b/>
                <w:bCs/>
                <w:color w:val="000000"/>
                <w:szCs w:val="14"/>
              </w:rPr>
              <w:t>9.473.239</w:t>
            </w:r>
          </w:p>
        </w:tc>
      </w:tr>
    </w:tbl>
    <w:p w14:paraId="1C28D0C6" w14:textId="77777777" w:rsidR="003321FA" w:rsidRPr="003321FA" w:rsidRDefault="003321FA" w:rsidP="003321FA">
      <w:pPr>
        <w:pStyle w:val="01-TtulodeNota"/>
        <w:keepNext/>
        <w:keepLines/>
        <w:spacing w:before="0" w:after="0"/>
        <w:jc w:val="right"/>
        <w:rPr>
          <w:sz w:val="14"/>
          <w:szCs w:val="14"/>
        </w:rPr>
      </w:pPr>
    </w:p>
    <w:p w14:paraId="64DE0668" w14:textId="77777777" w:rsidR="003321FA" w:rsidRPr="003321FA" w:rsidRDefault="003321FA" w:rsidP="003321FA">
      <w:pPr>
        <w:pStyle w:val="01-TtulodeNota"/>
        <w:spacing w:before="0" w:after="0"/>
        <w:jc w:val="right"/>
        <w:rPr>
          <w:bCs/>
          <w:sz w:val="14"/>
          <w:szCs w:val="14"/>
        </w:rPr>
      </w:pPr>
    </w:p>
    <w:p w14:paraId="34A8B2C0" w14:textId="77777777" w:rsidR="003321FA" w:rsidRPr="003321FA" w:rsidRDefault="003321FA" w:rsidP="003321FA">
      <w:pPr>
        <w:pStyle w:val="01-TtulodeNota"/>
        <w:spacing w:before="0" w:after="0"/>
        <w:jc w:val="right"/>
        <w:rPr>
          <w:bCs/>
          <w:color w:val="000000" w:themeColor="text1"/>
          <w:sz w:val="14"/>
          <w:szCs w:val="14"/>
        </w:rPr>
      </w:pPr>
      <w:r w:rsidRPr="003321FA">
        <w:rPr>
          <w:bCs/>
          <w:color w:val="000000" w:themeColor="text1"/>
          <w:sz w:val="14"/>
          <w:szCs w:val="14"/>
        </w:rPr>
        <w:t>R$ mil</w:t>
      </w:r>
    </w:p>
    <w:tbl>
      <w:tblPr>
        <w:tblStyle w:val="TabeladeLista6Colorida-nfase51"/>
        <w:tblW w:w="9639" w:type="dxa"/>
        <w:jc w:val="center"/>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3386"/>
        <w:gridCol w:w="1213"/>
        <w:gridCol w:w="1115"/>
        <w:gridCol w:w="1020"/>
        <w:gridCol w:w="1197"/>
        <w:gridCol w:w="679"/>
        <w:gridCol w:w="1015"/>
        <w:gridCol w:w="14"/>
      </w:tblGrid>
      <w:tr w:rsidR="003321FA" w:rsidRPr="003321FA" w14:paraId="18B9E0E3" w14:textId="77777777" w:rsidTr="00B41C9D">
        <w:trPr>
          <w:gridAfter w:val="1"/>
          <w:cnfStyle w:val="100000000000" w:firstRow="1" w:lastRow="0" w:firstColumn="0" w:lastColumn="0" w:oddVBand="0" w:evenVBand="0" w:oddHBand="0" w:evenHBand="0" w:firstRowFirstColumn="0" w:firstRowLastColumn="0" w:lastRowFirstColumn="0" w:lastRowLastColumn="0"/>
          <w:wAfter w:w="14" w:type="dxa"/>
          <w:trHeight w:val="238"/>
          <w:jc w:val="center"/>
        </w:trPr>
        <w:tc>
          <w:tcPr>
            <w:cnfStyle w:val="001000000000" w:firstRow="0" w:lastRow="0" w:firstColumn="1" w:lastColumn="0" w:oddVBand="0" w:evenVBand="0" w:oddHBand="0" w:evenHBand="0" w:firstRowFirstColumn="0" w:firstRowLastColumn="0" w:lastRowFirstColumn="0" w:lastRowLastColumn="0"/>
            <w:tcW w:w="3386" w:type="dxa"/>
            <w:tcBorders>
              <w:top w:val="single" w:sz="6" w:space="0" w:color="1F3864" w:themeColor="accent1" w:themeShade="80"/>
              <w:left w:val="nil"/>
              <w:bottom w:val="nil"/>
              <w:right w:val="nil"/>
            </w:tcBorders>
            <w:shd w:val="clear" w:color="auto" w:fill="auto"/>
            <w:vAlign w:val="center"/>
          </w:tcPr>
          <w:p w14:paraId="46DE49F7" w14:textId="77777777" w:rsidR="003321FA" w:rsidRPr="003321FA" w:rsidRDefault="003321FA">
            <w:pPr>
              <w:rPr>
                <w:rFonts w:ascii="Arial" w:hAnsi="Arial" w:cs="Arial"/>
                <w:color w:val="FF0000"/>
                <w:sz w:val="14"/>
                <w:szCs w:val="14"/>
              </w:rPr>
            </w:pPr>
          </w:p>
        </w:tc>
        <w:tc>
          <w:tcPr>
            <w:tcW w:w="6239" w:type="dxa"/>
            <w:gridSpan w:val="6"/>
            <w:tcBorders>
              <w:top w:val="single" w:sz="6" w:space="0" w:color="1F3864" w:themeColor="accent1" w:themeShade="80"/>
              <w:left w:val="nil"/>
              <w:bottom w:val="single" w:sz="6" w:space="0" w:color="1F3864" w:themeColor="accent1" w:themeShade="80"/>
              <w:right w:val="nil"/>
            </w:tcBorders>
            <w:shd w:val="clear" w:color="auto" w:fill="auto"/>
            <w:vAlign w:val="center"/>
          </w:tcPr>
          <w:p w14:paraId="58C856E1" w14:textId="77777777" w:rsidR="003321FA" w:rsidRPr="003321FA" w:rsidRDefault="003321F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r w:rsidRPr="003321FA">
              <w:rPr>
                <w:rFonts w:ascii="Arial" w:hAnsi="Arial" w:cs="Arial"/>
                <w:sz w:val="14"/>
                <w:szCs w:val="14"/>
              </w:rPr>
              <w:t>Consolidado</w:t>
            </w:r>
          </w:p>
        </w:tc>
      </w:tr>
      <w:tr w:rsidR="003321FA" w:rsidRPr="003321FA" w14:paraId="5AEB2C34" w14:textId="77777777" w:rsidTr="00B41C9D">
        <w:trPr>
          <w:trHeight w:val="238"/>
          <w:jc w:val="center"/>
        </w:trPr>
        <w:tc>
          <w:tcPr>
            <w:cnfStyle w:val="001000000000" w:firstRow="0" w:lastRow="0" w:firstColumn="1" w:lastColumn="0" w:oddVBand="0" w:evenVBand="0" w:oddHBand="0" w:evenHBand="0" w:firstRowFirstColumn="0" w:firstRowLastColumn="0" w:lastRowFirstColumn="0" w:lastRowLastColumn="0"/>
            <w:tcW w:w="3386" w:type="dxa"/>
            <w:tcBorders>
              <w:top w:val="nil"/>
              <w:left w:val="nil"/>
              <w:bottom w:val="single" w:sz="6" w:space="0" w:color="1F3864" w:themeColor="accent1" w:themeShade="80"/>
              <w:right w:val="nil"/>
            </w:tcBorders>
            <w:shd w:val="clear" w:color="auto" w:fill="auto"/>
            <w:vAlign w:val="center"/>
            <w:hideMark/>
          </w:tcPr>
          <w:p w14:paraId="2DF53491" w14:textId="77777777" w:rsidR="003321FA" w:rsidRPr="003321FA" w:rsidRDefault="003321FA">
            <w:pPr>
              <w:rPr>
                <w:rFonts w:ascii="Arial" w:hAnsi="Arial" w:cs="Arial"/>
                <w:color w:val="FF0000"/>
                <w:sz w:val="14"/>
                <w:szCs w:val="14"/>
              </w:rPr>
            </w:pPr>
            <w:r w:rsidRPr="003321FA">
              <w:rPr>
                <w:rFonts w:ascii="Arial" w:hAnsi="Arial" w:cs="Arial"/>
                <w:color w:val="FF0000"/>
                <w:sz w:val="14"/>
                <w:szCs w:val="14"/>
              </w:rPr>
              <w:t xml:space="preserve"> </w:t>
            </w:r>
          </w:p>
        </w:tc>
        <w:tc>
          <w:tcPr>
            <w:tcW w:w="1213" w:type="dxa"/>
            <w:tcBorders>
              <w:top w:val="nil"/>
              <w:left w:val="nil"/>
              <w:bottom w:val="single" w:sz="6" w:space="0" w:color="1F3864" w:themeColor="accent1" w:themeShade="80"/>
              <w:right w:val="nil"/>
            </w:tcBorders>
            <w:shd w:val="clear" w:color="auto" w:fill="auto"/>
            <w:vAlign w:val="center"/>
            <w:hideMark/>
          </w:tcPr>
          <w:p w14:paraId="32EE58D2" w14:textId="77777777" w:rsidR="003321FA" w:rsidRPr="003321FA" w:rsidRDefault="003321FA">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3321FA">
              <w:rPr>
                <w:rFonts w:ascii="Arial" w:hAnsi="Arial" w:cs="Arial"/>
                <w:b/>
                <w:color w:val="auto"/>
                <w:sz w:val="14"/>
                <w:szCs w:val="14"/>
              </w:rPr>
              <w:t xml:space="preserve">BB MAPFRE </w:t>
            </w:r>
            <w:r w:rsidRPr="003321FA">
              <w:rPr>
                <w:rFonts w:ascii="Arial" w:hAnsi="Arial" w:cs="Arial"/>
                <w:b/>
                <w:color w:val="auto"/>
                <w:sz w:val="14"/>
                <w:szCs w:val="14"/>
                <w:vertAlign w:val="superscript"/>
              </w:rPr>
              <w:t>(1)</w:t>
            </w:r>
          </w:p>
        </w:tc>
        <w:tc>
          <w:tcPr>
            <w:tcW w:w="1115" w:type="dxa"/>
            <w:tcBorders>
              <w:top w:val="nil"/>
              <w:left w:val="nil"/>
              <w:bottom w:val="single" w:sz="6" w:space="0" w:color="1F3864" w:themeColor="accent1" w:themeShade="80"/>
              <w:right w:val="nil"/>
            </w:tcBorders>
            <w:shd w:val="clear" w:color="auto" w:fill="auto"/>
            <w:vAlign w:val="center"/>
            <w:hideMark/>
          </w:tcPr>
          <w:p w14:paraId="7CD24854" w14:textId="77777777" w:rsidR="003321FA" w:rsidRPr="003321FA" w:rsidRDefault="003321FA">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3321FA">
              <w:rPr>
                <w:rFonts w:ascii="Arial" w:hAnsi="Arial" w:cs="Arial"/>
                <w:b/>
                <w:color w:val="auto"/>
                <w:sz w:val="14"/>
                <w:szCs w:val="14"/>
              </w:rPr>
              <w:t xml:space="preserve">Brasilprev </w:t>
            </w:r>
            <w:r w:rsidRPr="003321FA">
              <w:rPr>
                <w:rFonts w:ascii="Arial" w:hAnsi="Arial" w:cs="Arial"/>
                <w:b/>
                <w:color w:val="auto"/>
                <w:sz w:val="14"/>
                <w:szCs w:val="14"/>
                <w:vertAlign w:val="superscript"/>
              </w:rPr>
              <w:t>(2)</w:t>
            </w:r>
          </w:p>
        </w:tc>
        <w:tc>
          <w:tcPr>
            <w:tcW w:w="1020" w:type="dxa"/>
            <w:tcBorders>
              <w:top w:val="nil"/>
              <w:left w:val="nil"/>
              <w:bottom w:val="single" w:sz="6" w:space="0" w:color="1F3864" w:themeColor="accent1" w:themeShade="80"/>
              <w:right w:val="nil"/>
            </w:tcBorders>
            <w:shd w:val="clear" w:color="auto" w:fill="auto"/>
            <w:vAlign w:val="center"/>
            <w:hideMark/>
          </w:tcPr>
          <w:p w14:paraId="2A2DA8C4" w14:textId="77777777" w:rsidR="003321FA" w:rsidRPr="003321FA" w:rsidRDefault="003321FA">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roofErr w:type="spellStart"/>
            <w:r w:rsidRPr="003321FA">
              <w:rPr>
                <w:rFonts w:ascii="Arial" w:hAnsi="Arial" w:cs="Arial"/>
                <w:b/>
                <w:color w:val="auto"/>
                <w:sz w:val="14"/>
                <w:szCs w:val="14"/>
              </w:rPr>
              <w:t>Brasilcap</w:t>
            </w:r>
            <w:proofErr w:type="spellEnd"/>
            <w:r w:rsidRPr="003321FA">
              <w:rPr>
                <w:rFonts w:ascii="Arial" w:hAnsi="Arial" w:cs="Arial"/>
                <w:b/>
                <w:color w:val="auto"/>
                <w:sz w:val="14"/>
                <w:szCs w:val="14"/>
              </w:rPr>
              <w:t xml:space="preserve"> </w:t>
            </w:r>
            <w:r w:rsidRPr="003321FA">
              <w:rPr>
                <w:rFonts w:ascii="Arial" w:hAnsi="Arial" w:cs="Arial"/>
                <w:b/>
                <w:color w:val="auto"/>
                <w:sz w:val="14"/>
                <w:szCs w:val="14"/>
                <w:vertAlign w:val="superscript"/>
              </w:rPr>
              <w:t>(3)</w:t>
            </w:r>
          </w:p>
        </w:tc>
        <w:tc>
          <w:tcPr>
            <w:tcW w:w="1197" w:type="dxa"/>
            <w:tcBorders>
              <w:top w:val="nil"/>
              <w:left w:val="nil"/>
              <w:bottom w:val="single" w:sz="6" w:space="0" w:color="1F3864" w:themeColor="accent1" w:themeShade="80"/>
              <w:right w:val="nil"/>
            </w:tcBorders>
            <w:shd w:val="clear" w:color="auto" w:fill="auto"/>
            <w:vAlign w:val="center"/>
            <w:hideMark/>
          </w:tcPr>
          <w:p w14:paraId="34B0308F" w14:textId="77777777" w:rsidR="003321FA" w:rsidRPr="003321FA" w:rsidRDefault="003321FA">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roofErr w:type="spellStart"/>
            <w:r w:rsidRPr="003321FA">
              <w:rPr>
                <w:rFonts w:ascii="Arial" w:hAnsi="Arial" w:cs="Arial"/>
                <w:b/>
                <w:color w:val="auto"/>
                <w:sz w:val="14"/>
                <w:szCs w:val="14"/>
              </w:rPr>
              <w:t>Brasildental</w:t>
            </w:r>
            <w:proofErr w:type="spellEnd"/>
            <w:r w:rsidRPr="003321FA">
              <w:rPr>
                <w:rFonts w:ascii="Arial" w:hAnsi="Arial" w:cs="Arial"/>
                <w:b/>
                <w:color w:val="auto"/>
                <w:sz w:val="14"/>
                <w:szCs w:val="14"/>
              </w:rPr>
              <w:t xml:space="preserve"> </w:t>
            </w:r>
            <w:r w:rsidRPr="003321FA">
              <w:rPr>
                <w:rFonts w:ascii="Arial" w:hAnsi="Arial" w:cs="Arial"/>
                <w:b/>
                <w:color w:val="auto"/>
                <w:sz w:val="14"/>
                <w:szCs w:val="14"/>
                <w:vertAlign w:val="superscript"/>
              </w:rPr>
              <w:t>(4)</w:t>
            </w:r>
          </w:p>
        </w:tc>
        <w:tc>
          <w:tcPr>
            <w:tcW w:w="679" w:type="dxa"/>
            <w:tcBorders>
              <w:top w:val="nil"/>
              <w:left w:val="nil"/>
              <w:bottom w:val="single" w:sz="6" w:space="0" w:color="1F3864" w:themeColor="accent1" w:themeShade="80"/>
              <w:right w:val="nil"/>
            </w:tcBorders>
            <w:shd w:val="clear" w:color="auto" w:fill="auto"/>
            <w:vAlign w:val="center"/>
            <w:hideMark/>
          </w:tcPr>
          <w:p w14:paraId="6643B11E" w14:textId="77777777" w:rsidR="003321FA" w:rsidRPr="003321FA" w:rsidRDefault="003321FA">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roofErr w:type="spellStart"/>
            <w:r w:rsidRPr="003321FA">
              <w:rPr>
                <w:rFonts w:ascii="Arial" w:hAnsi="Arial" w:cs="Arial"/>
                <w:b/>
                <w:color w:val="auto"/>
                <w:sz w:val="14"/>
                <w:szCs w:val="14"/>
              </w:rPr>
              <w:t>Ciclic</w:t>
            </w:r>
            <w:proofErr w:type="spellEnd"/>
          </w:p>
        </w:tc>
        <w:tc>
          <w:tcPr>
            <w:tcW w:w="1029" w:type="dxa"/>
            <w:gridSpan w:val="2"/>
            <w:tcBorders>
              <w:top w:val="nil"/>
              <w:left w:val="nil"/>
              <w:bottom w:val="single" w:sz="6" w:space="0" w:color="1F3864" w:themeColor="accent1" w:themeShade="80"/>
              <w:right w:val="nil"/>
            </w:tcBorders>
            <w:shd w:val="clear" w:color="auto" w:fill="auto"/>
            <w:vAlign w:val="center"/>
            <w:hideMark/>
          </w:tcPr>
          <w:p w14:paraId="4DEEBD90" w14:textId="77777777" w:rsidR="003321FA" w:rsidRPr="003321FA" w:rsidRDefault="003321FA">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3321FA">
              <w:rPr>
                <w:rFonts w:ascii="Arial" w:hAnsi="Arial" w:cs="Arial"/>
                <w:b/>
                <w:color w:val="auto"/>
                <w:sz w:val="14"/>
                <w:szCs w:val="14"/>
              </w:rPr>
              <w:t>Total</w:t>
            </w:r>
          </w:p>
        </w:tc>
      </w:tr>
      <w:tr w:rsidR="003321FA" w:rsidRPr="003321FA" w14:paraId="7AF47923" w14:textId="77777777" w:rsidTr="00B41C9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86" w:type="dxa"/>
            <w:tcBorders>
              <w:top w:val="single" w:sz="6" w:space="0" w:color="1F3864" w:themeColor="accent1" w:themeShade="80"/>
              <w:left w:val="nil"/>
              <w:bottom w:val="nil"/>
              <w:right w:val="nil"/>
            </w:tcBorders>
            <w:shd w:val="clear" w:color="auto" w:fill="auto"/>
            <w:vAlign w:val="center"/>
            <w:hideMark/>
          </w:tcPr>
          <w:p w14:paraId="0B0BC081" w14:textId="77777777" w:rsidR="003321FA" w:rsidRPr="003321FA" w:rsidRDefault="003321FA">
            <w:pPr>
              <w:rPr>
                <w:rFonts w:ascii="Arial" w:hAnsi="Arial" w:cs="Arial"/>
                <w:sz w:val="14"/>
                <w:szCs w:val="14"/>
              </w:rPr>
            </w:pPr>
            <w:r w:rsidRPr="003321FA">
              <w:rPr>
                <w:rFonts w:ascii="Arial" w:hAnsi="Arial" w:cs="Arial"/>
                <w:sz w:val="14"/>
                <w:szCs w:val="14"/>
              </w:rPr>
              <w:t>Saldos Contábeis em 31.12.2023</w:t>
            </w:r>
          </w:p>
        </w:tc>
        <w:tc>
          <w:tcPr>
            <w:tcW w:w="1213" w:type="dxa"/>
            <w:tcBorders>
              <w:top w:val="single" w:sz="6" w:space="0" w:color="1F3864" w:themeColor="accent1" w:themeShade="80"/>
              <w:left w:val="nil"/>
              <w:bottom w:val="nil"/>
              <w:right w:val="nil"/>
            </w:tcBorders>
            <w:shd w:val="clear" w:color="auto" w:fill="auto"/>
            <w:vAlign w:val="center"/>
          </w:tcPr>
          <w:p w14:paraId="5CE4C0C5"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321FA">
              <w:rPr>
                <w:rFonts w:ascii="Arial" w:hAnsi="Arial" w:cs="Arial"/>
                <w:b/>
                <w:bCs/>
                <w:color w:val="000000"/>
                <w:sz w:val="14"/>
                <w:szCs w:val="14"/>
              </w:rPr>
              <w:t>2.998.631</w:t>
            </w:r>
          </w:p>
        </w:tc>
        <w:tc>
          <w:tcPr>
            <w:tcW w:w="1115" w:type="dxa"/>
            <w:tcBorders>
              <w:top w:val="single" w:sz="6" w:space="0" w:color="1F3864" w:themeColor="accent1" w:themeShade="80"/>
              <w:left w:val="nil"/>
              <w:bottom w:val="nil"/>
              <w:right w:val="nil"/>
            </w:tcBorders>
            <w:shd w:val="clear" w:color="auto" w:fill="auto"/>
            <w:vAlign w:val="center"/>
          </w:tcPr>
          <w:p w14:paraId="4EC43057"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321FA">
              <w:rPr>
                <w:rFonts w:ascii="Arial" w:hAnsi="Arial" w:cs="Arial"/>
                <w:b/>
                <w:bCs/>
                <w:color w:val="000000"/>
                <w:sz w:val="14"/>
                <w:szCs w:val="14"/>
              </w:rPr>
              <w:t>5.695.326</w:t>
            </w:r>
          </w:p>
        </w:tc>
        <w:tc>
          <w:tcPr>
            <w:tcW w:w="1020" w:type="dxa"/>
            <w:tcBorders>
              <w:top w:val="single" w:sz="6" w:space="0" w:color="1F3864" w:themeColor="accent1" w:themeShade="80"/>
              <w:left w:val="nil"/>
              <w:bottom w:val="nil"/>
              <w:right w:val="nil"/>
            </w:tcBorders>
            <w:shd w:val="clear" w:color="auto" w:fill="auto"/>
            <w:vAlign w:val="center"/>
          </w:tcPr>
          <w:p w14:paraId="577F4D39"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321FA">
              <w:rPr>
                <w:rFonts w:ascii="Arial" w:hAnsi="Arial" w:cs="Arial"/>
                <w:b/>
                <w:bCs/>
                <w:color w:val="000000"/>
                <w:sz w:val="14"/>
                <w:szCs w:val="14"/>
              </w:rPr>
              <w:t>622.336</w:t>
            </w:r>
          </w:p>
        </w:tc>
        <w:tc>
          <w:tcPr>
            <w:tcW w:w="1197" w:type="dxa"/>
            <w:tcBorders>
              <w:top w:val="single" w:sz="6" w:space="0" w:color="1F3864" w:themeColor="accent1" w:themeShade="80"/>
              <w:left w:val="nil"/>
              <w:bottom w:val="nil"/>
              <w:right w:val="nil"/>
            </w:tcBorders>
            <w:shd w:val="clear" w:color="auto" w:fill="auto"/>
            <w:vAlign w:val="center"/>
          </w:tcPr>
          <w:p w14:paraId="49C278D2"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321FA">
              <w:rPr>
                <w:rFonts w:ascii="Arial" w:hAnsi="Arial" w:cs="Arial"/>
                <w:b/>
                <w:bCs/>
                <w:color w:val="000000"/>
                <w:sz w:val="14"/>
                <w:szCs w:val="14"/>
              </w:rPr>
              <w:t>11.255</w:t>
            </w:r>
          </w:p>
        </w:tc>
        <w:tc>
          <w:tcPr>
            <w:tcW w:w="679" w:type="dxa"/>
            <w:tcBorders>
              <w:top w:val="single" w:sz="6" w:space="0" w:color="1F3864" w:themeColor="accent1" w:themeShade="80"/>
              <w:left w:val="nil"/>
              <w:bottom w:val="nil"/>
              <w:right w:val="nil"/>
            </w:tcBorders>
            <w:shd w:val="clear" w:color="auto" w:fill="auto"/>
            <w:vAlign w:val="center"/>
          </w:tcPr>
          <w:p w14:paraId="44A1E675"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321FA">
              <w:rPr>
                <w:rFonts w:ascii="Arial" w:hAnsi="Arial" w:cs="Arial"/>
                <w:b/>
                <w:bCs/>
                <w:color w:val="000000"/>
                <w:sz w:val="14"/>
                <w:szCs w:val="14"/>
              </w:rPr>
              <w:t>4.359</w:t>
            </w:r>
          </w:p>
        </w:tc>
        <w:tc>
          <w:tcPr>
            <w:tcW w:w="1029" w:type="dxa"/>
            <w:gridSpan w:val="2"/>
            <w:tcBorders>
              <w:top w:val="single" w:sz="6" w:space="0" w:color="1F3864" w:themeColor="accent1" w:themeShade="80"/>
              <w:left w:val="nil"/>
              <w:bottom w:val="nil"/>
              <w:right w:val="nil"/>
            </w:tcBorders>
            <w:shd w:val="clear" w:color="auto" w:fill="auto"/>
            <w:vAlign w:val="center"/>
          </w:tcPr>
          <w:p w14:paraId="1212EC00"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321FA">
              <w:rPr>
                <w:rFonts w:ascii="Arial" w:hAnsi="Arial" w:cs="Arial"/>
                <w:b/>
                <w:bCs/>
                <w:color w:val="000000"/>
                <w:sz w:val="14"/>
                <w:szCs w:val="14"/>
              </w:rPr>
              <w:t>9.331.907</w:t>
            </w:r>
          </w:p>
        </w:tc>
      </w:tr>
      <w:tr w:rsidR="003321FA" w:rsidRPr="003321FA" w14:paraId="59B61AE8" w14:textId="77777777" w:rsidTr="00B41C9D">
        <w:trPr>
          <w:trHeight w:val="238"/>
          <w:jc w:val="center"/>
        </w:trPr>
        <w:tc>
          <w:tcPr>
            <w:cnfStyle w:val="001000000000" w:firstRow="0" w:lastRow="0" w:firstColumn="1" w:lastColumn="0" w:oddVBand="0" w:evenVBand="0" w:oddHBand="0" w:evenHBand="0" w:firstRowFirstColumn="0" w:firstRowLastColumn="0" w:lastRowFirstColumn="0" w:lastRowLastColumn="0"/>
            <w:tcW w:w="3386" w:type="dxa"/>
            <w:tcBorders>
              <w:top w:val="nil"/>
              <w:left w:val="nil"/>
              <w:bottom w:val="nil"/>
              <w:right w:val="nil"/>
            </w:tcBorders>
            <w:shd w:val="clear" w:color="auto" w:fill="auto"/>
            <w:vAlign w:val="center"/>
            <w:hideMark/>
          </w:tcPr>
          <w:p w14:paraId="0FD83C50" w14:textId="77777777" w:rsidR="003321FA" w:rsidRPr="003321FA" w:rsidRDefault="003321FA">
            <w:pPr>
              <w:ind w:firstLine="174"/>
              <w:rPr>
                <w:rFonts w:ascii="Arial" w:hAnsi="Arial" w:cs="Arial"/>
                <w:b w:val="0"/>
                <w:sz w:val="14"/>
                <w:szCs w:val="14"/>
              </w:rPr>
            </w:pPr>
            <w:r w:rsidRPr="003321FA">
              <w:rPr>
                <w:rFonts w:ascii="Arial" w:hAnsi="Arial" w:cs="Arial"/>
                <w:b w:val="0"/>
                <w:sz w:val="14"/>
                <w:szCs w:val="14"/>
              </w:rPr>
              <w:t>Dividendos</w:t>
            </w:r>
          </w:p>
        </w:tc>
        <w:tc>
          <w:tcPr>
            <w:tcW w:w="1213" w:type="dxa"/>
            <w:tcBorders>
              <w:top w:val="nil"/>
              <w:left w:val="nil"/>
              <w:bottom w:val="nil"/>
              <w:right w:val="nil"/>
            </w:tcBorders>
            <w:shd w:val="clear" w:color="auto" w:fill="auto"/>
            <w:vAlign w:val="center"/>
          </w:tcPr>
          <w:p w14:paraId="758E81A1"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(3.284.562)</w:t>
            </w:r>
          </w:p>
        </w:tc>
        <w:tc>
          <w:tcPr>
            <w:tcW w:w="1115" w:type="dxa"/>
            <w:tcBorders>
              <w:top w:val="nil"/>
              <w:left w:val="nil"/>
              <w:bottom w:val="nil"/>
              <w:right w:val="nil"/>
            </w:tcBorders>
            <w:shd w:val="clear" w:color="auto" w:fill="auto"/>
            <w:vAlign w:val="center"/>
          </w:tcPr>
          <w:p w14:paraId="77100302" w14:textId="77777777" w:rsidR="003321FA" w:rsidRPr="003321FA" w:rsidRDefault="003321FA">
            <w:pPr>
              <w:pStyle w:val="08-Tabelageral"/>
              <w:ind w:left="113"/>
              <w:cnfStyle w:val="000000000000" w:firstRow="0" w:lastRow="0" w:firstColumn="0" w:lastColumn="0" w:oddVBand="0" w:evenVBand="0" w:oddHBand="0" w:evenHBand="0" w:firstRowFirstColumn="0" w:firstRowLastColumn="0" w:lastRowFirstColumn="0" w:lastRowLastColumn="0"/>
              <w:rPr>
                <w:rFonts w:eastAsia="MS Mincho" w:cs="Arial"/>
                <w:color w:val="000000"/>
                <w:spacing w:val="0"/>
                <w:szCs w:val="14"/>
                <w:lang w:eastAsia="en-US"/>
              </w:rPr>
            </w:pPr>
            <w:r w:rsidRPr="003321FA">
              <w:rPr>
                <w:rFonts w:cs="Arial"/>
                <w:color w:val="000000"/>
                <w:szCs w:val="14"/>
              </w:rPr>
              <w:t>(1.792.333)</w:t>
            </w:r>
          </w:p>
        </w:tc>
        <w:tc>
          <w:tcPr>
            <w:tcW w:w="1020" w:type="dxa"/>
            <w:tcBorders>
              <w:top w:val="nil"/>
              <w:left w:val="nil"/>
              <w:bottom w:val="nil"/>
              <w:right w:val="nil"/>
            </w:tcBorders>
            <w:shd w:val="clear" w:color="auto" w:fill="auto"/>
            <w:vAlign w:val="center"/>
          </w:tcPr>
          <w:p w14:paraId="3C5057F1" w14:textId="77777777" w:rsidR="003321FA" w:rsidRPr="003321FA" w:rsidRDefault="003321FA">
            <w:pPr>
              <w:pStyle w:val="08-Tabelageral"/>
              <w:ind w:left="113"/>
              <w:cnfStyle w:val="000000000000" w:firstRow="0" w:lastRow="0" w:firstColumn="0" w:lastColumn="0" w:oddVBand="0" w:evenVBand="0" w:oddHBand="0" w:evenHBand="0" w:firstRowFirstColumn="0" w:firstRowLastColumn="0" w:lastRowFirstColumn="0" w:lastRowLastColumn="0"/>
              <w:rPr>
                <w:rFonts w:eastAsia="MS Mincho" w:cs="Arial"/>
                <w:color w:val="000000"/>
                <w:spacing w:val="0"/>
                <w:szCs w:val="14"/>
                <w:lang w:eastAsia="en-US"/>
              </w:rPr>
            </w:pPr>
            <w:r w:rsidRPr="003321FA">
              <w:rPr>
                <w:rFonts w:cs="Arial"/>
                <w:color w:val="000000"/>
                <w:szCs w:val="14"/>
              </w:rPr>
              <w:t>(174.761)</w:t>
            </w:r>
          </w:p>
        </w:tc>
        <w:tc>
          <w:tcPr>
            <w:tcW w:w="1197" w:type="dxa"/>
            <w:tcBorders>
              <w:top w:val="nil"/>
              <w:left w:val="nil"/>
              <w:bottom w:val="nil"/>
              <w:right w:val="nil"/>
            </w:tcBorders>
            <w:shd w:val="clear" w:color="auto" w:fill="auto"/>
            <w:vAlign w:val="center"/>
          </w:tcPr>
          <w:p w14:paraId="714A87E6" w14:textId="77777777" w:rsidR="003321FA" w:rsidRPr="003321FA" w:rsidRDefault="003321FA">
            <w:pPr>
              <w:pStyle w:val="08-Tabelageral"/>
              <w:ind w:left="113"/>
              <w:cnfStyle w:val="000000000000" w:firstRow="0" w:lastRow="0" w:firstColumn="0" w:lastColumn="0" w:oddVBand="0" w:evenVBand="0" w:oddHBand="0" w:evenHBand="0" w:firstRowFirstColumn="0" w:firstRowLastColumn="0" w:lastRowFirstColumn="0" w:lastRowLastColumn="0"/>
              <w:rPr>
                <w:rFonts w:eastAsia="MS Mincho" w:cs="Arial"/>
                <w:color w:val="000000"/>
                <w:spacing w:val="0"/>
                <w:szCs w:val="14"/>
                <w:lang w:eastAsia="en-US"/>
              </w:rPr>
            </w:pPr>
            <w:r w:rsidRPr="003321FA">
              <w:rPr>
                <w:rFonts w:cs="Arial"/>
                <w:color w:val="000000"/>
                <w:szCs w:val="14"/>
              </w:rPr>
              <w:t>(18.975)</w:t>
            </w:r>
          </w:p>
        </w:tc>
        <w:tc>
          <w:tcPr>
            <w:tcW w:w="679" w:type="dxa"/>
            <w:tcBorders>
              <w:top w:val="nil"/>
              <w:left w:val="nil"/>
              <w:bottom w:val="nil"/>
              <w:right w:val="nil"/>
            </w:tcBorders>
            <w:shd w:val="clear" w:color="auto" w:fill="auto"/>
            <w:vAlign w:val="center"/>
          </w:tcPr>
          <w:p w14:paraId="534C6A1B" w14:textId="77777777" w:rsidR="003321FA" w:rsidRPr="003321FA" w:rsidRDefault="003321FA">
            <w:pPr>
              <w:pStyle w:val="08-Tabelageral"/>
              <w:ind w:left="113"/>
              <w:cnfStyle w:val="000000000000" w:firstRow="0" w:lastRow="0" w:firstColumn="0" w:lastColumn="0" w:oddVBand="0" w:evenVBand="0" w:oddHBand="0" w:evenHBand="0" w:firstRowFirstColumn="0" w:firstRowLastColumn="0" w:lastRowFirstColumn="0" w:lastRowLastColumn="0"/>
              <w:rPr>
                <w:rFonts w:eastAsia="MS Mincho" w:cs="Arial"/>
                <w:color w:val="000000"/>
                <w:spacing w:val="0"/>
                <w:szCs w:val="14"/>
                <w:lang w:eastAsia="en-US"/>
              </w:rPr>
            </w:pPr>
            <w:r w:rsidRPr="003321FA">
              <w:rPr>
                <w:rFonts w:cs="Arial"/>
                <w:color w:val="000000"/>
                <w:szCs w:val="14"/>
              </w:rPr>
              <w:t>--</w:t>
            </w:r>
          </w:p>
        </w:tc>
        <w:tc>
          <w:tcPr>
            <w:tcW w:w="1029" w:type="dxa"/>
            <w:gridSpan w:val="2"/>
            <w:tcBorders>
              <w:top w:val="nil"/>
              <w:left w:val="nil"/>
              <w:bottom w:val="nil"/>
              <w:right w:val="nil"/>
            </w:tcBorders>
            <w:shd w:val="clear" w:color="auto" w:fill="auto"/>
            <w:vAlign w:val="center"/>
          </w:tcPr>
          <w:p w14:paraId="358F68D9" w14:textId="77777777" w:rsidR="003321FA" w:rsidRPr="003321FA" w:rsidRDefault="003321FA">
            <w:pPr>
              <w:pStyle w:val="08-Tabelageral"/>
              <w:ind w:left="113"/>
              <w:cnfStyle w:val="000000000000" w:firstRow="0" w:lastRow="0" w:firstColumn="0" w:lastColumn="0" w:oddVBand="0" w:evenVBand="0" w:oddHBand="0" w:evenHBand="0" w:firstRowFirstColumn="0" w:firstRowLastColumn="0" w:lastRowFirstColumn="0" w:lastRowLastColumn="0"/>
              <w:rPr>
                <w:rFonts w:eastAsia="MS Mincho" w:cs="Arial"/>
                <w:color w:val="000000"/>
                <w:spacing w:val="0"/>
                <w:szCs w:val="14"/>
                <w:lang w:eastAsia="en-US"/>
              </w:rPr>
            </w:pPr>
            <w:r w:rsidRPr="003321FA">
              <w:rPr>
                <w:rFonts w:cs="Arial"/>
                <w:color w:val="000000"/>
                <w:szCs w:val="14"/>
              </w:rPr>
              <w:t>(5.270.631)</w:t>
            </w:r>
          </w:p>
        </w:tc>
      </w:tr>
      <w:tr w:rsidR="003321FA" w:rsidRPr="003321FA" w14:paraId="5F0D4856" w14:textId="77777777" w:rsidTr="00B41C9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86" w:type="dxa"/>
            <w:tcBorders>
              <w:top w:val="nil"/>
              <w:left w:val="nil"/>
              <w:bottom w:val="nil"/>
              <w:right w:val="nil"/>
            </w:tcBorders>
            <w:shd w:val="clear" w:color="auto" w:fill="auto"/>
            <w:vAlign w:val="center"/>
            <w:hideMark/>
          </w:tcPr>
          <w:p w14:paraId="3A331A76" w14:textId="77777777" w:rsidR="003321FA" w:rsidRPr="003321FA" w:rsidRDefault="003321FA">
            <w:pPr>
              <w:ind w:left="316" w:hanging="142"/>
              <w:rPr>
                <w:rFonts w:ascii="Arial" w:hAnsi="Arial" w:cs="Arial"/>
                <w:b w:val="0"/>
                <w:sz w:val="14"/>
                <w:szCs w:val="14"/>
              </w:rPr>
            </w:pPr>
            <w:r w:rsidRPr="003321FA">
              <w:rPr>
                <w:rFonts w:ascii="Arial" w:hAnsi="Arial" w:cs="Arial"/>
                <w:b w:val="0"/>
                <w:sz w:val="14"/>
                <w:szCs w:val="14"/>
              </w:rPr>
              <w:t xml:space="preserve">Outros resultados abrangentes - </w:t>
            </w:r>
            <w:proofErr w:type="spellStart"/>
            <w:r w:rsidRPr="003321FA">
              <w:rPr>
                <w:rFonts w:ascii="Arial" w:hAnsi="Arial" w:cs="Arial"/>
                <w:b w:val="0"/>
                <w:sz w:val="14"/>
                <w:szCs w:val="14"/>
              </w:rPr>
              <w:t>Instr</w:t>
            </w:r>
            <w:proofErr w:type="spellEnd"/>
            <w:r w:rsidRPr="003321FA">
              <w:rPr>
                <w:rFonts w:ascii="Arial" w:hAnsi="Arial" w:cs="Arial"/>
                <w:b w:val="0"/>
                <w:sz w:val="14"/>
                <w:szCs w:val="14"/>
              </w:rPr>
              <w:t xml:space="preserve">. </w:t>
            </w:r>
            <w:proofErr w:type="spellStart"/>
            <w:r w:rsidRPr="003321FA">
              <w:rPr>
                <w:rFonts w:ascii="Arial" w:hAnsi="Arial" w:cs="Arial"/>
                <w:b w:val="0"/>
                <w:sz w:val="14"/>
                <w:szCs w:val="14"/>
              </w:rPr>
              <w:t>Financ</w:t>
            </w:r>
            <w:proofErr w:type="spellEnd"/>
            <w:r w:rsidRPr="003321FA">
              <w:rPr>
                <w:rFonts w:ascii="Arial" w:hAnsi="Arial" w:cs="Arial"/>
                <w:b w:val="0"/>
                <w:sz w:val="14"/>
                <w:szCs w:val="14"/>
              </w:rPr>
              <w:t>.</w:t>
            </w:r>
          </w:p>
        </w:tc>
        <w:tc>
          <w:tcPr>
            <w:tcW w:w="1213" w:type="dxa"/>
            <w:tcBorders>
              <w:top w:val="nil"/>
              <w:left w:val="nil"/>
              <w:bottom w:val="nil"/>
              <w:right w:val="nil"/>
            </w:tcBorders>
            <w:shd w:val="clear" w:color="auto" w:fill="auto"/>
            <w:vAlign w:val="center"/>
          </w:tcPr>
          <w:p w14:paraId="558AF516"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(38.448)</w:t>
            </w:r>
          </w:p>
        </w:tc>
        <w:tc>
          <w:tcPr>
            <w:tcW w:w="1115" w:type="dxa"/>
            <w:tcBorders>
              <w:top w:val="nil"/>
              <w:left w:val="nil"/>
              <w:bottom w:val="nil"/>
              <w:right w:val="nil"/>
            </w:tcBorders>
            <w:shd w:val="clear" w:color="auto" w:fill="auto"/>
            <w:vAlign w:val="center"/>
          </w:tcPr>
          <w:p w14:paraId="4EE92D20"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(253.868)</w:t>
            </w:r>
          </w:p>
        </w:tc>
        <w:tc>
          <w:tcPr>
            <w:tcW w:w="1020" w:type="dxa"/>
            <w:tcBorders>
              <w:top w:val="nil"/>
              <w:left w:val="nil"/>
              <w:bottom w:val="nil"/>
              <w:right w:val="nil"/>
            </w:tcBorders>
            <w:shd w:val="clear" w:color="auto" w:fill="auto"/>
            <w:vAlign w:val="center"/>
          </w:tcPr>
          <w:p w14:paraId="62750030"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12.350</w:t>
            </w:r>
          </w:p>
        </w:tc>
        <w:tc>
          <w:tcPr>
            <w:tcW w:w="1197" w:type="dxa"/>
            <w:tcBorders>
              <w:top w:val="nil"/>
              <w:left w:val="nil"/>
              <w:bottom w:val="nil"/>
              <w:right w:val="nil"/>
            </w:tcBorders>
            <w:shd w:val="clear" w:color="auto" w:fill="auto"/>
            <w:vAlign w:val="center"/>
          </w:tcPr>
          <w:p w14:paraId="3D9509EE" w14:textId="77777777" w:rsidR="003321FA" w:rsidRPr="003321FA" w:rsidRDefault="003321FA">
            <w:pPr>
              <w:pStyle w:val="08-Tabelageral"/>
              <w:ind w:left="113"/>
              <w:cnfStyle w:val="000000010000" w:firstRow="0" w:lastRow="0" w:firstColumn="0" w:lastColumn="0" w:oddVBand="0" w:evenVBand="0" w:oddHBand="0" w:evenHBand="1" w:firstRowFirstColumn="0" w:firstRowLastColumn="0" w:lastRowFirstColumn="0" w:lastRowLastColumn="0"/>
              <w:rPr>
                <w:rFonts w:eastAsia="MS Mincho" w:cs="Arial"/>
                <w:color w:val="000000"/>
                <w:spacing w:val="0"/>
                <w:szCs w:val="14"/>
                <w:lang w:eastAsia="en-US"/>
              </w:rPr>
            </w:pPr>
            <w:r w:rsidRPr="003321FA">
              <w:rPr>
                <w:rFonts w:cs="Arial"/>
                <w:color w:val="000000"/>
                <w:szCs w:val="14"/>
              </w:rPr>
              <w:t>--</w:t>
            </w:r>
          </w:p>
        </w:tc>
        <w:tc>
          <w:tcPr>
            <w:tcW w:w="679" w:type="dxa"/>
            <w:tcBorders>
              <w:top w:val="nil"/>
              <w:left w:val="nil"/>
              <w:bottom w:val="nil"/>
              <w:right w:val="nil"/>
            </w:tcBorders>
            <w:shd w:val="clear" w:color="auto" w:fill="auto"/>
            <w:vAlign w:val="center"/>
          </w:tcPr>
          <w:p w14:paraId="19AAB6CC" w14:textId="77777777" w:rsidR="003321FA" w:rsidRPr="003321FA" w:rsidRDefault="003321FA">
            <w:pPr>
              <w:pStyle w:val="08-Tabelageral"/>
              <w:ind w:left="113"/>
              <w:cnfStyle w:val="000000010000" w:firstRow="0" w:lastRow="0" w:firstColumn="0" w:lastColumn="0" w:oddVBand="0" w:evenVBand="0" w:oddHBand="0" w:evenHBand="1" w:firstRowFirstColumn="0" w:firstRowLastColumn="0" w:lastRowFirstColumn="0" w:lastRowLastColumn="0"/>
              <w:rPr>
                <w:rFonts w:eastAsia="MS Mincho" w:cs="Arial"/>
                <w:color w:val="000000"/>
                <w:spacing w:val="0"/>
                <w:szCs w:val="14"/>
                <w:lang w:eastAsia="en-US"/>
              </w:rPr>
            </w:pPr>
            <w:r w:rsidRPr="003321FA">
              <w:rPr>
                <w:rFonts w:cs="Arial"/>
                <w:color w:val="000000"/>
                <w:szCs w:val="14"/>
              </w:rPr>
              <w:t>--</w:t>
            </w:r>
          </w:p>
        </w:tc>
        <w:tc>
          <w:tcPr>
            <w:tcW w:w="1029" w:type="dxa"/>
            <w:gridSpan w:val="2"/>
            <w:tcBorders>
              <w:top w:val="nil"/>
              <w:left w:val="nil"/>
              <w:bottom w:val="nil"/>
              <w:right w:val="nil"/>
            </w:tcBorders>
            <w:shd w:val="clear" w:color="auto" w:fill="auto"/>
            <w:vAlign w:val="center"/>
          </w:tcPr>
          <w:p w14:paraId="45336097"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(279.966)</w:t>
            </w:r>
          </w:p>
        </w:tc>
      </w:tr>
      <w:tr w:rsidR="003321FA" w:rsidRPr="003321FA" w14:paraId="4591E945" w14:textId="77777777" w:rsidTr="00B41C9D">
        <w:trPr>
          <w:trHeight w:val="238"/>
          <w:jc w:val="center"/>
        </w:trPr>
        <w:tc>
          <w:tcPr>
            <w:cnfStyle w:val="001000000000" w:firstRow="0" w:lastRow="0" w:firstColumn="1" w:lastColumn="0" w:oddVBand="0" w:evenVBand="0" w:oddHBand="0" w:evenHBand="0" w:firstRowFirstColumn="0" w:firstRowLastColumn="0" w:lastRowFirstColumn="0" w:lastRowLastColumn="0"/>
            <w:tcW w:w="3386" w:type="dxa"/>
            <w:tcBorders>
              <w:top w:val="nil"/>
              <w:left w:val="nil"/>
              <w:bottom w:val="nil"/>
              <w:right w:val="nil"/>
            </w:tcBorders>
            <w:shd w:val="clear" w:color="auto" w:fill="auto"/>
            <w:vAlign w:val="center"/>
            <w:hideMark/>
          </w:tcPr>
          <w:p w14:paraId="1B9CF006" w14:textId="77777777" w:rsidR="003321FA" w:rsidRPr="003321FA" w:rsidRDefault="003321FA">
            <w:pPr>
              <w:ind w:firstLine="174"/>
              <w:rPr>
                <w:rFonts w:ascii="Arial" w:hAnsi="Arial" w:cs="Arial"/>
                <w:b w:val="0"/>
                <w:sz w:val="14"/>
                <w:szCs w:val="14"/>
              </w:rPr>
            </w:pPr>
            <w:r w:rsidRPr="003321FA">
              <w:rPr>
                <w:rFonts w:ascii="Arial" w:hAnsi="Arial" w:cs="Arial"/>
                <w:b w:val="0"/>
                <w:sz w:val="14"/>
                <w:szCs w:val="14"/>
              </w:rPr>
              <w:t>Outros resultados abrangentes - CPC 50</w:t>
            </w:r>
          </w:p>
        </w:tc>
        <w:tc>
          <w:tcPr>
            <w:tcW w:w="1213" w:type="dxa"/>
            <w:tcBorders>
              <w:top w:val="nil"/>
              <w:left w:val="nil"/>
              <w:bottom w:val="nil"/>
              <w:right w:val="nil"/>
            </w:tcBorders>
            <w:shd w:val="clear" w:color="auto" w:fill="auto"/>
            <w:vAlign w:val="center"/>
          </w:tcPr>
          <w:p w14:paraId="6EB0D56B"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(19.073)</w:t>
            </w:r>
          </w:p>
        </w:tc>
        <w:tc>
          <w:tcPr>
            <w:tcW w:w="1115" w:type="dxa"/>
            <w:tcBorders>
              <w:top w:val="nil"/>
              <w:left w:val="nil"/>
              <w:bottom w:val="nil"/>
              <w:right w:val="nil"/>
            </w:tcBorders>
            <w:shd w:val="clear" w:color="auto" w:fill="auto"/>
            <w:vAlign w:val="center"/>
          </w:tcPr>
          <w:p w14:paraId="10F84F67"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(247.710)</w:t>
            </w:r>
          </w:p>
        </w:tc>
        <w:tc>
          <w:tcPr>
            <w:tcW w:w="1020" w:type="dxa"/>
            <w:tcBorders>
              <w:top w:val="nil"/>
              <w:left w:val="nil"/>
              <w:bottom w:val="nil"/>
              <w:right w:val="nil"/>
            </w:tcBorders>
            <w:shd w:val="clear" w:color="auto" w:fill="auto"/>
            <w:vAlign w:val="center"/>
          </w:tcPr>
          <w:p w14:paraId="210ADAB1"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w:t>
            </w:r>
          </w:p>
        </w:tc>
        <w:tc>
          <w:tcPr>
            <w:tcW w:w="1197" w:type="dxa"/>
            <w:tcBorders>
              <w:top w:val="nil"/>
              <w:left w:val="nil"/>
              <w:bottom w:val="nil"/>
              <w:right w:val="nil"/>
            </w:tcBorders>
            <w:shd w:val="clear" w:color="auto" w:fill="auto"/>
            <w:vAlign w:val="center"/>
          </w:tcPr>
          <w:p w14:paraId="38747B96" w14:textId="77777777" w:rsidR="003321FA" w:rsidRPr="003321FA" w:rsidRDefault="003321FA">
            <w:pPr>
              <w:pStyle w:val="08-Tabelageral"/>
              <w:ind w:left="113"/>
              <w:cnfStyle w:val="000000000000" w:firstRow="0" w:lastRow="0" w:firstColumn="0" w:lastColumn="0" w:oddVBand="0" w:evenVBand="0" w:oddHBand="0" w:evenHBand="0" w:firstRowFirstColumn="0" w:firstRowLastColumn="0" w:lastRowFirstColumn="0" w:lastRowLastColumn="0"/>
              <w:rPr>
                <w:rFonts w:eastAsia="MS Mincho" w:cs="Arial"/>
                <w:color w:val="000000"/>
                <w:spacing w:val="0"/>
                <w:szCs w:val="14"/>
                <w:lang w:eastAsia="en-US"/>
              </w:rPr>
            </w:pPr>
            <w:r w:rsidRPr="003321FA">
              <w:rPr>
                <w:rFonts w:cs="Arial"/>
                <w:color w:val="000000"/>
                <w:szCs w:val="14"/>
              </w:rPr>
              <w:t>(281)</w:t>
            </w:r>
          </w:p>
        </w:tc>
        <w:tc>
          <w:tcPr>
            <w:tcW w:w="679" w:type="dxa"/>
            <w:tcBorders>
              <w:top w:val="nil"/>
              <w:left w:val="nil"/>
              <w:bottom w:val="nil"/>
              <w:right w:val="nil"/>
            </w:tcBorders>
            <w:shd w:val="clear" w:color="auto" w:fill="auto"/>
            <w:vAlign w:val="center"/>
          </w:tcPr>
          <w:p w14:paraId="67B607AD" w14:textId="77777777" w:rsidR="003321FA" w:rsidRPr="003321FA" w:rsidRDefault="003321FA">
            <w:pPr>
              <w:pStyle w:val="08-Tabelageral"/>
              <w:ind w:left="113"/>
              <w:cnfStyle w:val="000000000000" w:firstRow="0" w:lastRow="0" w:firstColumn="0" w:lastColumn="0" w:oddVBand="0" w:evenVBand="0" w:oddHBand="0" w:evenHBand="0" w:firstRowFirstColumn="0" w:firstRowLastColumn="0" w:lastRowFirstColumn="0" w:lastRowLastColumn="0"/>
              <w:rPr>
                <w:rFonts w:eastAsia="MS Mincho" w:cs="Arial"/>
                <w:color w:val="000000"/>
                <w:spacing w:val="0"/>
                <w:szCs w:val="14"/>
                <w:lang w:eastAsia="en-US"/>
              </w:rPr>
            </w:pPr>
            <w:r w:rsidRPr="003321FA">
              <w:rPr>
                <w:rFonts w:cs="Arial"/>
                <w:color w:val="000000"/>
                <w:szCs w:val="14"/>
              </w:rPr>
              <w:t>--</w:t>
            </w:r>
          </w:p>
        </w:tc>
        <w:tc>
          <w:tcPr>
            <w:tcW w:w="1029" w:type="dxa"/>
            <w:gridSpan w:val="2"/>
            <w:tcBorders>
              <w:top w:val="nil"/>
              <w:left w:val="nil"/>
              <w:bottom w:val="nil"/>
              <w:right w:val="nil"/>
            </w:tcBorders>
            <w:shd w:val="clear" w:color="auto" w:fill="auto"/>
            <w:vAlign w:val="center"/>
          </w:tcPr>
          <w:p w14:paraId="4D515E0D"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(267.064)</w:t>
            </w:r>
          </w:p>
        </w:tc>
      </w:tr>
      <w:tr w:rsidR="003321FA" w:rsidRPr="003321FA" w14:paraId="4A8E820E" w14:textId="77777777" w:rsidTr="00B41C9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86" w:type="dxa"/>
            <w:tcBorders>
              <w:top w:val="nil"/>
              <w:left w:val="nil"/>
              <w:bottom w:val="nil"/>
              <w:right w:val="nil"/>
            </w:tcBorders>
            <w:shd w:val="clear" w:color="auto" w:fill="auto"/>
            <w:vAlign w:val="center"/>
            <w:hideMark/>
          </w:tcPr>
          <w:p w14:paraId="09AEE006" w14:textId="77777777" w:rsidR="003321FA" w:rsidRPr="003321FA" w:rsidRDefault="003321FA">
            <w:pPr>
              <w:ind w:firstLine="174"/>
              <w:rPr>
                <w:rFonts w:ascii="Arial" w:hAnsi="Arial" w:cs="Arial"/>
                <w:b w:val="0"/>
                <w:sz w:val="14"/>
                <w:szCs w:val="14"/>
              </w:rPr>
            </w:pPr>
            <w:r w:rsidRPr="003321FA">
              <w:rPr>
                <w:rFonts w:ascii="Arial" w:hAnsi="Arial" w:cs="Arial"/>
                <w:b w:val="0"/>
                <w:sz w:val="14"/>
                <w:szCs w:val="14"/>
              </w:rPr>
              <w:t>Outros resultados Abrangentes</w:t>
            </w:r>
          </w:p>
        </w:tc>
        <w:tc>
          <w:tcPr>
            <w:tcW w:w="1213" w:type="dxa"/>
            <w:tcBorders>
              <w:top w:val="nil"/>
              <w:left w:val="nil"/>
              <w:bottom w:val="nil"/>
              <w:right w:val="nil"/>
            </w:tcBorders>
            <w:shd w:val="clear" w:color="auto" w:fill="auto"/>
            <w:vAlign w:val="center"/>
          </w:tcPr>
          <w:p w14:paraId="14D5057F"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w:t>
            </w:r>
          </w:p>
        </w:tc>
        <w:tc>
          <w:tcPr>
            <w:tcW w:w="1115" w:type="dxa"/>
            <w:tcBorders>
              <w:top w:val="nil"/>
              <w:left w:val="nil"/>
              <w:bottom w:val="nil"/>
              <w:right w:val="nil"/>
            </w:tcBorders>
            <w:shd w:val="clear" w:color="auto" w:fill="auto"/>
            <w:vAlign w:val="center"/>
          </w:tcPr>
          <w:p w14:paraId="4B409F45"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w:t>
            </w:r>
          </w:p>
        </w:tc>
        <w:tc>
          <w:tcPr>
            <w:tcW w:w="1020" w:type="dxa"/>
            <w:tcBorders>
              <w:top w:val="nil"/>
              <w:left w:val="nil"/>
              <w:bottom w:val="nil"/>
              <w:right w:val="nil"/>
            </w:tcBorders>
            <w:shd w:val="clear" w:color="auto" w:fill="auto"/>
            <w:vAlign w:val="center"/>
          </w:tcPr>
          <w:p w14:paraId="092AF482"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w:t>
            </w:r>
          </w:p>
        </w:tc>
        <w:tc>
          <w:tcPr>
            <w:tcW w:w="1197" w:type="dxa"/>
            <w:tcBorders>
              <w:top w:val="nil"/>
              <w:left w:val="nil"/>
              <w:bottom w:val="nil"/>
              <w:right w:val="nil"/>
            </w:tcBorders>
            <w:shd w:val="clear" w:color="auto" w:fill="auto"/>
            <w:vAlign w:val="center"/>
          </w:tcPr>
          <w:p w14:paraId="4FF2DBEB"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w:t>
            </w:r>
          </w:p>
        </w:tc>
        <w:tc>
          <w:tcPr>
            <w:tcW w:w="679" w:type="dxa"/>
            <w:tcBorders>
              <w:top w:val="nil"/>
              <w:left w:val="nil"/>
              <w:bottom w:val="nil"/>
              <w:right w:val="nil"/>
            </w:tcBorders>
            <w:shd w:val="clear" w:color="auto" w:fill="auto"/>
            <w:vAlign w:val="center"/>
          </w:tcPr>
          <w:p w14:paraId="32EBA528"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246</w:t>
            </w:r>
          </w:p>
        </w:tc>
        <w:tc>
          <w:tcPr>
            <w:tcW w:w="1029" w:type="dxa"/>
            <w:gridSpan w:val="2"/>
            <w:tcBorders>
              <w:top w:val="nil"/>
              <w:left w:val="nil"/>
              <w:bottom w:val="nil"/>
              <w:right w:val="nil"/>
            </w:tcBorders>
            <w:shd w:val="clear" w:color="auto" w:fill="auto"/>
            <w:vAlign w:val="center"/>
          </w:tcPr>
          <w:p w14:paraId="152BC0C2"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246</w:t>
            </w:r>
          </w:p>
        </w:tc>
      </w:tr>
      <w:tr w:rsidR="003321FA" w:rsidRPr="003321FA" w14:paraId="3DA83564" w14:textId="77777777" w:rsidTr="00B41C9D">
        <w:trPr>
          <w:trHeight w:val="238"/>
          <w:jc w:val="center"/>
        </w:trPr>
        <w:tc>
          <w:tcPr>
            <w:cnfStyle w:val="001000000000" w:firstRow="0" w:lastRow="0" w:firstColumn="1" w:lastColumn="0" w:oddVBand="0" w:evenVBand="0" w:oddHBand="0" w:evenHBand="0" w:firstRowFirstColumn="0" w:firstRowLastColumn="0" w:lastRowFirstColumn="0" w:lastRowLastColumn="0"/>
            <w:tcW w:w="3386" w:type="dxa"/>
            <w:tcBorders>
              <w:top w:val="nil"/>
              <w:left w:val="nil"/>
              <w:bottom w:val="nil"/>
              <w:right w:val="nil"/>
            </w:tcBorders>
            <w:shd w:val="clear" w:color="auto" w:fill="auto"/>
            <w:vAlign w:val="center"/>
            <w:hideMark/>
          </w:tcPr>
          <w:p w14:paraId="58203A09" w14:textId="77777777" w:rsidR="003321FA" w:rsidRPr="003321FA" w:rsidRDefault="003321FA">
            <w:pPr>
              <w:ind w:firstLine="174"/>
              <w:rPr>
                <w:rFonts w:ascii="Arial" w:hAnsi="Arial" w:cs="Arial"/>
                <w:b w:val="0"/>
                <w:sz w:val="14"/>
                <w:szCs w:val="14"/>
              </w:rPr>
            </w:pPr>
            <w:r w:rsidRPr="003321FA">
              <w:rPr>
                <w:rFonts w:ascii="Arial" w:hAnsi="Arial" w:cs="Arial"/>
                <w:b w:val="0"/>
                <w:sz w:val="14"/>
                <w:szCs w:val="14"/>
              </w:rPr>
              <w:t>Resultado de equivalência patrimonial</w:t>
            </w:r>
          </w:p>
        </w:tc>
        <w:tc>
          <w:tcPr>
            <w:tcW w:w="1213" w:type="dxa"/>
            <w:tcBorders>
              <w:top w:val="nil"/>
              <w:left w:val="nil"/>
              <w:bottom w:val="nil"/>
              <w:right w:val="nil"/>
            </w:tcBorders>
            <w:shd w:val="clear" w:color="auto" w:fill="auto"/>
            <w:vAlign w:val="center"/>
          </w:tcPr>
          <w:p w14:paraId="675F5B23"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3.295.563</w:t>
            </w:r>
          </w:p>
        </w:tc>
        <w:tc>
          <w:tcPr>
            <w:tcW w:w="1115" w:type="dxa"/>
            <w:tcBorders>
              <w:top w:val="nil"/>
              <w:left w:val="nil"/>
              <w:bottom w:val="nil"/>
              <w:right w:val="nil"/>
            </w:tcBorders>
            <w:shd w:val="clear" w:color="auto" w:fill="auto"/>
            <w:vAlign w:val="center"/>
          </w:tcPr>
          <w:p w14:paraId="50382ED2"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1.801.907</w:t>
            </w:r>
          </w:p>
        </w:tc>
        <w:tc>
          <w:tcPr>
            <w:tcW w:w="1020" w:type="dxa"/>
            <w:tcBorders>
              <w:top w:val="nil"/>
              <w:left w:val="nil"/>
              <w:bottom w:val="nil"/>
              <w:right w:val="nil"/>
            </w:tcBorders>
            <w:shd w:val="clear" w:color="auto" w:fill="auto"/>
            <w:vAlign w:val="center"/>
          </w:tcPr>
          <w:p w14:paraId="166917B7"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187.464</w:t>
            </w:r>
          </w:p>
        </w:tc>
        <w:tc>
          <w:tcPr>
            <w:tcW w:w="1197" w:type="dxa"/>
            <w:tcBorders>
              <w:top w:val="nil"/>
              <w:left w:val="nil"/>
              <w:bottom w:val="nil"/>
              <w:right w:val="nil"/>
            </w:tcBorders>
            <w:shd w:val="clear" w:color="auto" w:fill="auto"/>
            <w:vAlign w:val="center"/>
          </w:tcPr>
          <w:p w14:paraId="58BF90C2"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19.594</w:t>
            </w:r>
          </w:p>
        </w:tc>
        <w:tc>
          <w:tcPr>
            <w:tcW w:w="679" w:type="dxa"/>
            <w:tcBorders>
              <w:top w:val="nil"/>
              <w:left w:val="nil"/>
              <w:bottom w:val="nil"/>
              <w:right w:val="nil"/>
            </w:tcBorders>
            <w:shd w:val="clear" w:color="auto" w:fill="auto"/>
            <w:vAlign w:val="center"/>
          </w:tcPr>
          <w:p w14:paraId="4821550B"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7.436</w:t>
            </w:r>
          </w:p>
        </w:tc>
        <w:tc>
          <w:tcPr>
            <w:tcW w:w="1029" w:type="dxa"/>
            <w:gridSpan w:val="2"/>
            <w:tcBorders>
              <w:top w:val="nil"/>
              <w:left w:val="nil"/>
              <w:bottom w:val="nil"/>
              <w:right w:val="nil"/>
            </w:tcBorders>
            <w:shd w:val="clear" w:color="auto" w:fill="auto"/>
            <w:vAlign w:val="center"/>
          </w:tcPr>
          <w:p w14:paraId="41C8566C"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5.311.964</w:t>
            </w:r>
          </w:p>
        </w:tc>
      </w:tr>
      <w:tr w:rsidR="003321FA" w:rsidRPr="003321FA" w14:paraId="0634E9FF" w14:textId="77777777" w:rsidTr="00B41C9D">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86" w:type="dxa"/>
            <w:tcBorders>
              <w:top w:val="nil"/>
              <w:left w:val="nil"/>
              <w:bottom w:val="single" w:sz="6" w:space="0" w:color="1F3864" w:themeColor="accent1" w:themeShade="80"/>
              <w:right w:val="nil"/>
            </w:tcBorders>
            <w:shd w:val="clear" w:color="auto" w:fill="auto"/>
            <w:vAlign w:val="center"/>
            <w:hideMark/>
          </w:tcPr>
          <w:p w14:paraId="79151418" w14:textId="77777777" w:rsidR="003321FA" w:rsidRPr="003321FA" w:rsidRDefault="003321FA">
            <w:pPr>
              <w:rPr>
                <w:rFonts w:cs="Arial"/>
                <w:bCs w:val="0"/>
                <w:color w:val="FF0000"/>
                <w:szCs w:val="14"/>
              </w:rPr>
            </w:pPr>
            <w:r w:rsidRPr="003321FA">
              <w:rPr>
                <w:rFonts w:ascii="Arial" w:hAnsi="Arial" w:cs="Arial"/>
                <w:sz w:val="14"/>
                <w:szCs w:val="14"/>
              </w:rPr>
              <w:t>Saldos Contábeis em 31.12.2024</w:t>
            </w:r>
          </w:p>
        </w:tc>
        <w:tc>
          <w:tcPr>
            <w:tcW w:w="1213" w:type="dxa"/>
            <w:tcBorders>
              <w:top w:val="nil"/>
              <w:left w:val="nil"/>
              <w:bottom w:val="single" w:sz="6" w:space="0" w:color="1F3864" w:themeColor="accent1" w:themeShade="80"/>
              <w:right w:val="nil"/>
            </w:tcBorders>
            <w:shd w:val="clear" w:color="auto" w:fill="auto"/>
            <w:vAlign w:val="center"/>
          </w:tcPr>
          <w:p w14:paraId="38B0C399"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321FA">
              <w:rPr>
                <w:rFonts w:ascii="Arial" w:hAnsi="Arial" w:cs="Arial"/>
                <w:b/>
                <w:bCs/>
                <w:color w:val="000000"/>
                <w:sz w:val="14"/>
                <w:szCs w:val="14"/>
              </w:rPr>
              <w:t>2.952.111</w:t>
            </w:r>
          </w:p>
        </w:tc>
        <w:tc>
          <w:tcPr>
            <w:tcW w:w="1115" w:type="dxa"/>
            <w:tcBorders>
              <w:top w:val="nil"/>
              <w:left w:val="nil"/>
              <w:bottom w:val="single" w:sz="6" w:space="0" w:color="1F3864" w:themeColor="accent1" w:themeShade="80"/>
              <w:right w:val="nil"/>
            </w:tcBorders>
            <w:shd w:val="clear" w:color="auto" w:fill="auto"/>
            <w:vAlign w:val="center"/>
          </w:tcPr>
          <w:p w14:paraId="704C8731"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321FA">
              <w:rPr>
                <w:rFonts w:ascii="Arial" w:hAnsi="Arial" w:cs="Arial"/>
                <w:b/>
                <w:bCs/>
                <w:color w:val="000000"/>
                <w:sz w:val="14"/>
                <w:szCs w:val="14"/>
              </w:rPr>
              <w:t>5.203.322</w:t>
            </w:r>
          </w:p>
        </w:tc>
        <w:tc>
          <w:tcPr>
            <w:tcW w:w="1020" w:type="dxa"/>
            <w:tcBorders>
              <w:top w:val="nil"/>
              <w:left w:val="nil"/>
              <w:bottom w:val="single" w:sz="6" w:space="0" w:color="1F3864" w:themeColor="accent1" w:themeShade="80"/>
              <w:right w:val="nil"/>
            </w:tcBorders>
            <w:shd w:val="clear" w:color="auto" w:fill="auto"/>
            <w:vAlign w:val="center"/>
          </w:tcPr>
          <w:p w14:paraId="42EB4EFF"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321FA">
              <w:rPr>
                <w:rFonts w:ascii="Arial" w:hAnsi="Arial" w:cs="Arial"/>
                <w:b/>
                <w:bCs/>
                <w:color w:val="000000"/>
                <w:sz w:val="14"/>
                <w:szCs w:val="14"/>
              </w:rPr>
              <w:t>647.389</w:t>
            </w:r>
          </w:p>
        </w:tc>
        <w:tc>
          <w:tcPr>
            <w:tcW w:w="1197" w:type="dxa"/>
            <w:tcBorders>
              <w:top w:val="nil"/>
              <w:left w:val="nil"/>
              <w:bottom w:val="single" w:sz="6" w:space="0" w:color="1F3864" w:themeColor="accent1" w:themeShade="80"/>
              <w:right w:val="nil"/>
            </w:tcBorders>
            <w:shd w:val="clear" w:color="auto" w:fill="auto"/>
            <w:vAlign w:val="center"/>
          </w:tcPr>
          <w:p w14:paraId="58427190"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321FA">
              <w:rPr>
                <w:rFonts w:ascii="Arial" w:hAnsi="Arial" w:cs="Arial"/>
                <w:b/>
                <w:bCs/>
                <w:color w:val="000000"/>
                <w:sz w:val="14"/>
                <w:szCs w:val="14"/>
              </w:rPr>
              <w:t>11.593</w:t>
            </w:r>
          </w:p>
        </w:tc>
        <w:tc>
          <w:tcPr>
            <w:tcW w:w="679" w:type="dxa"/>
            <w:tcBorders>
              <w:top w:val="nil"/>
              <w:left w:val="nil"/>
              <w:bottom w:val="single" w:sz="6" w:space="0" w:color="1F3864" w:themeColor="accent1" w:themeShade="80"/>
              <w:right w:val="nil"/>
            </w:tcBorders>
            <w:shd w:val="clear" w:color="auto" w:fill="auto"/>
            <w:vAlign w:val="center"/>
          </w:tcPr>
          <w:p w14:paraId="080B94DB"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321FA">
              <w:rPr>
                <w:rFonts w:ascii="Arial" w:hAnsi="Arial" w:cs="Arial"/>
                <w:b/>
                <w:bCs/>
                <w:color w:val="000000"/>
                <w:sz w:val="14"/>
                <w:szCs w:val="14"/>
              </w:rPr>
              <w:t>12.041</w:t>
            </w:r>
          </w:p>
        </w:tc>
        <w:tc>
          <w:tcPr>
            <w:tcW w:w="1029" w:type="dxa"/>
            <w:gridSpan w:val="2"/>
            <w:tcBorders>
              <w:top w:val="nil"/>
              <w:left w:val="nil"/>
              <w:bottom w:val="single" w:sz="6" w:space="0" w:color="1F3864" w:themeColor="accent1" w:themeShade="80"/>
              <w:right w:val="nil"/>
            </w:tcBorders>
            <w:shd w:val="clear" w:color="auto" w:fill="auto"/>
            <w:vAlign w:val="center"/>
          </w:tcPr>
          <w:p w14:paraId="3F5A4C7B"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321FA">
              <w:rPr>
                <w:rFonts w:ascii="Arial" w:hAnsi="Arial" w:cs="Arial"/>
                <w:b/>
                <w:bCs/>
                <w:color w:val="000000"/>
                <w:sz w:val="14"/>
                <w:szCs w:val="14"/>
              </w:rPr>
              <w:t>8.826.456</w:t>
            </w:r>
          </w:p>
        </w:tc>
      </w:tr>
    </w:tbl>
    <w:p w14:paraId="370190E9" w14:textId="16212DC8" w:rsidR="003321FA" w:rsidRPr="003321FA" w:rsidRDefault="003321FA" w:rsidP="002C3B56">
      <w:pPr>
        <w:pStyle w:val="PargrafodaLista"/>
        <w:keepNext/>
        <w:keepLines/>
        <w:numPr>
          <w:ilvl w:val="0"/>
          <w:numId w:val="24"/>
        </w:numPr>
        <w:spacing w:after="60" w:line="276" w:lineRule="auto"/>
        <w:ind w:left="284" w:hanging="284"/>
        <w:jc w:val="both"/>
        <w:rPr>
          <w:rFonts w:ascii="Arial" w:eastAsia="Times New Roman" w:hAnsi="Arial" w:cs="Arial"/>
          <w:spacing w:val="-2"/>
          <w:sz w:val="14"/>
          <w:szCs w:val="16"/>
          <w:lang w:eastAsia="zh-CN"/>
        </w:rPr>
      </w:pPr>
      <w:r w:rsidRPr="003321FA">
        <w:rPr>
          <w:rFonts w:ascii="Arial" w:eastAsia="Times New Roman" w:hAnsi="Arial" w:cs="Arial"/>
          <w:spacing w:val="-2"/>
          <w:sz w:val="14"/>
          <w:szCs w:val="16"/>
          <w:lang w:eastAsia="zh-CN"/>
        </w:rPr>
        <w:t>O saldo contábil em 31.12.2024, do investimento na BB MAPFRE, de R$ 2.952.111 mil, inclui intangível de vida útil definida no montante líquido de amortizações de R$ 124.693 mil (R$ 140.874 mil em 31.12.2023), sendo o valor da amortização de R$ 16.181 mil de exercício 2024 (R$</w:t>
      </w:r>
      <w:r w:rsidR="00B61A0B">
        <w:rPr>
          <w:rFonts w:ascii="Arial" w:eastAsia="Times New Roman" w:hAnsi="Arial" w:cs="Arial"/>
          <w:spacing w:val="-2"/>
          <w:sz w:val="14"/>
          <w:szCs w:val="16"/>
          <w:lang w:eastAsia="zh-CN"/>
        </w:rPr>
        <w:t xml:space="preserve"> </w:t>
      </w:r>
      <w:r w:rsidRPr="003321FA">
        <w:rPr>
          <w:rFonts w:ascii="Arial" w:eastAsia="Times New Roman" w:hAnsi="Arial" w:cs="Arial"/>
          <w:spacing w:val="-2"/>
          <w:sz w:val="14"/>
          <w:szCs w:val="16"/>
          <w:lang w:eastAsia="zh-CN"/>
        </w:rPr>
        <w:t>15.407 mil no exercício 2023) e intangível de vida útil indefinida no montante de R$ 339.004 mil oriundo do acordo de parceria com o Grupo MAPFRE.</w:t>
      </w:r>
    </w:p>
    <w:p w14:paraId="52211A1A" w14:textId="61EF1234" w:rsidR="003321FA" w:rsidRPr="003321FA" w:rsidRDefault="003321FA" w:rsidP="002C3B56">
      <w:pPr>
        <w:pStyle w:val="PargrafodaLista"/>
        <w:keepNext/>
        <w:keepLines/>
        <w:numPr>
          <w:ilvl w:val="0"/>
          <w:numId w:val="24"/>
        </w:numPr>
        <w:spacing w:after="60" w:line="276" w:lineRule="auto"/>
        <w:ind w:left="284" w:hanging="284"/>
        <w:jc w:val="both"/>
        <w:rPr>
          <w:rFonts w:ascii="Arial" w:eastAsia="Times New Roman" w:hAnsi="Arial" w:cs="Arial"/>
          <w:spacing w:val="-2"/>
          <w:sz w:val="14"/>
          <w:szCs w:val="16"/>
          <w:lang w:eastAsia="zh-CN"/>
        </w:rPr>
      </w:pPr>
      <w:r w:rsidRPr="003321FA">
        <w:rPr>
          <w:rFonts w:ascii="Arial" w:eastAsia="Times New Roman" w:hAnsi="Arial" w:cs="Arial"/>
          <w:spacing w:val="-2"/>
          <w:sz w:val="14"/>
          <w:szCs w:val="16"/>
          <w:lang w:eastAsia="zh-CN"/>
        </w:rPr>
        <w:t xml:space="preserve">O saldo contábil em 31.12.2024, do investimento na Brasilprev, de R$ 5.203.322 mil, inclui R$ 12.127 mil de resultado não realizado da venda da </w:t>
      </w:r>
      <w:r w:rsidR="008F0055" w:rsidRPr="003321FA">
        <w:rPr>
          <w:rFonts w:ascii="Arial" w:eastAsia="Times New Roman" w:hAnsi="Arial" w:cs="Arial"/>
          <w:spacing w:val="-2"/>
          <w:sz w:val="14"/>
          <w:szCs w:val="16"/>
          <w:lang w:eastAsia="zh-CN"/>
        </w:rPr>
        <w:t>MAPFRE</w:t>
      </w:r>
      <w:r w:rsidRPr="003321FA">
        <w:rPr>
          <w:rFonts w:ascii="Arial" w:eastAsia="Times New Roman" w:hAnsi="Arial" w:cs="Arial"/>
          <w:spacing w:val="-2"/>
          <w:sz w:val="14"/>
          <w:szCs w:val="16"/>
          <w:lang w:eastAsia="zh-CN"/>
        </w:rPr>
        <w:t xml:space="preserve"> Nossa Caixa Vida e Previdência (MNCVP).</w:t>
      </w:r>
    </w:p>
    <w:p w14:paraId="5AF34105" w14:textId="77777777" w:rsidR="003321FA" w:rsidRPr="003321FA" w:rsidRDefault="003321FA" w:rsidP="002C3B56">
      <w:pPr>
        <w:pStyle w:val="PargrafodaLista"/>
        <w:keepNext/>
        <w:keepLines/>
        <w:numPr>
          <w:ilvl w:val="0"/>
          <w:numId w:val="24"/>
        </w:numPr>
        <w:spacing w:after="60" w:line="276" w:lineRule="auto"/>
        <w:ind w:left="284" w:hanging="284"/>
        <w:jc w:val="both"/>
        <w:rPr>
          <w:rFonts w:ascii="Arial" w:eastAsia="Times New Roman" w:hAnsi="Arial" w:cs="Arial"/>
          <w:spacing w:val="-2"/>
          <w:sz w:val="14"/>
          <w:szCs w:val="16"/>
          <w:lang w:eastAsia="zh-CN"/>
        </w:rPr>
      </w:pPr>
      <w:r w:rsidRPr="003321FA">
        <w:rPr>
          <w:rFonts w:ascii="Arial" w:eastAsia="Times New Roman" w:hAnsi="Arial" w:cs="Arial"/>
          <w:spacing w:val="-2"/>
          <w:sz w:val="14"/>
          <w:szCs w:val="16"/>
          <w:lang w:eastAsia="zh-CN"/>
        </w:rPr>
        <w:t xml:space="preserve">O saldo contábil, em 31.12.2024, do investimento na </w:t>
      </w:r>
      <w:proofErr w:type="spellStart"/>
      <w:r w:rsidRPr="003321FA">
        <w:rPr>
          <w:rFonts w:ascii="Arial" w:eastAsia="Times New Roman" w:hAnsi="Arial" w:cs="Arial"/>
          <w:spacing w:val="-2"/>
          <w:sz w:val="14"/>
          <w:szCs w:val="16"/>
          <w:lang w:eastAsia="zh-CN"/>
        </w:rPr>
        <w:t>Brasilcap</w:t>
      </w:r>
      <w:proofErr w:type="spellEnd"/>
      <w:r w:rsidRPr="003321FA">
        <w:rPr>
          <w:rFonts w:ascii="Arial" w:eastAsia="Times New Roman" w:hAnsi="Arial" w:cs="Arial"/>
          <w:spacing w:val="-2"/>
          <w:sz w:val="14"/>
          <w:szCs w:val="16"/>
          <w:lang w:eastAsia="zh-CN"/>
        </w:rPr>
        <w:t>, de R$ 647.389 mil, inclui o ágio de R$ 110.749 mil, na aquisição de participação societária da empresa Sulacap pela BB Seguros, ocorrida em 22.07.2011.</w:t>
      </w:r>
    </w:p>
    <w:p w14:paraId="7263013A" w14:textId="69D034FB" w:rsidR="003321FA" w:rsidRPr="003321FA" w:rsidRDefault="003321FA" w:rsidP="00DB1EC6">
      <w:pPr>
        <w:pStyle w:val="PargrafodaLista"/>
        <w:keepNext/>
        <w:keepLines/>
        <w:numPr>
          <w:ilvl w:val="0"/>
          <w:numId w:val="24"/>
        </w:numPr>
        <w:spacing w:after="60" w:line="276" w:lineRule="auto"/>
        <w:ind w:left="284" w:hanging="284"/>
        <w:jc w:val="both"/>
        <w:rPr>
          <w:rFonts w:ascii="Arial" w:eastAsia="Times New Roman" w:hAnsi="Arial" w:cs="Arial"/>
          <w:spacing w:val="-2"/>
          <w:sz w:val="14"/>
          <w:szCs w:val="16"/>
          <w:lang w:eastAsia="zh-CN"/>
        </w:rPr>
      </w:pPr>
      <w:r w:rsidRPr="003321FA">
        <w:rPr>
          <w:rFonts w:ascii="Arial" w:eastAsia="Times New Roman" w:hAnsi="Arial" w:cs="Arial"/>
          <w:spacing w:val="-2"/>
          <w:sz w:val="14"/>
          <w:szCs w:val="16"/>
          <w:lang w:eastAsia="zh-CN"/>
        </w:rPr>
        <w:t xml:space="preserve">Na </w:t>
      </w:r>
      <w:proofErr w:type="spellStart"/>
      <w:r w:rsidRPr="003321FA">
        <w:rPr>
          <w:rFonts w:ascii="Arial" w:eastAsia="Times New Roman" w:hAnsi="Arial" w:cs="Arial"/>
          <w:spacing w:val="-2"/>
          <w:sz w:val="14"/>
          <w:szCs w:val="16"/>
          <w:lang w:eastAsia="zh-CN"/>
        </w:rPr>
        <w:t>Brasildental</w:t>
      </w:r>
      <w:proofErr w:type="spellEnd"/>
      <w:r w:rsidRPr="003321FA">
        <w:rPr>
          <w:rFonts w:ascii="Arial" w:eastAsia="Times New Roman" w:hAnsi="Arial" w:cs="Arial"/>
          <w:spacing w:val="-2"/>
          <w:sz w:val="14"/>
          <w:szCs w:val="16"/>
          <w:lang w:eastAsia="zh-CN"/>
        </w:rPr>
        <w:t xml:space="preserve">, apesar da defasagem de um mês no reconhecimento contábil da equivalência patrimonial, </w:t>
      </w:r>
      <w:r w:rsidR="00DB1EC6" w:rsidRPr="00DB1EC6">
        <w:rPr>
          <w:rFonts w:ascii="Arial" w:eastAsia="Times New Roman" w:hAnsi="Arial" w:cs="Arial"/>
          <w:spacing w:val="-2"/>
          <w:sz w:val="14"/>
          <w:szCs w:val="16"/>
          <w:lang w:eastAsia="zh-CN"/>
        </w:rPr>
        <w:t xml:space="preserve">os dividendos recebidos em dezembro de 2024 e em dezembro de 2023 </w:t>
      </w:r>
      <w:r w:rsidRPr="003321FA">
        <w:rPr>
          <w:rFonts w:ascii="Arial" w:eastAsia="Times New Roman" w:hAnsi="Arial" w:cs="Arial"/>
          <w:spacing w:val="-2"/>
          <w:sz w:val="14"/>
          <w:szCs w:val="16"/>
          <w:lang w:eastAsia="zh-CN"/>
        </w:rPr>
        <w:t xml:space="preserve">estão refletidos nos saldos do investimento, </w:t>
      </w:r>
      <w:r w:rsidR="00DB1EC6" w:rsidRPr="00DB1EC6">
        <w:rPr>
          <w:rFonts w:ascii="Arial" w:eastAsia="Times New Roman" w:hAnsi="Arial" w:cs="Arial"/>
          <w:spacing w:val="-2"/>
          <w:sz w:val="14"/>
          <w:szCs w:val="16"/>
          <w:lang w:eastAsia="zh-CN"/>
        </w:rPr>
        <w:t xml:space="preserve">sendo R$ 1.350 mil em 31.12.2024 e R$ </w:t>
      </w:r>
      <w:r w:rsidRPr="003321FA">
        <w:rPr>
          <w:rFonts w:ascii="Arial" w:eastAsia="Times New Roman" w:hAnsi="Arial" w:cs="Arial"/>
          <w:spacing w:val="-2"/>
          <w:sz w:val="14"/>
          <w:szCs w:val="16"/>
          <w:lang w:eastAsia="zh-CN"/>
        </w:rPr>
        <w:t>3.750 mil em 31.12.2023</w:t>
      </w:r>
      <w:r w:rsidR="00DB1EC6" w:rsidRPr="00DB1EC6">
        <w:rPr>
          <w:rFonts w:ascii="Arial" w:eastAsia="Times New Roman" w:hAnsi="Arial" w:cs="Arial"/>
          <w:spacing w:val="-2"/>
          <w:sz w:val="14"/>
          <w:szCs w:val="16"/>
          <w:lang w:eastAsia="zh-CN"/>
        </w:rPr>
        <w:t>.</w:t>
      </w:r>
    </w:p>
    <w:p w14:paraId="4B5A25D6" w14:textId="77777777" w:rsidR="00DB1EC6" w:rsidRPr="00DB1EC6" w:rsidRDefault="00DB1EC6" w:rsidP="00DB1EC6">
      <w:pPr>
        <w:keepNext/>
        <w:keepLines/>
        <w:spacing w:after="60" w:line="276" w:lineRule="auto"/>
        <w:jc w:val="both"/>
        <w:rPr>
          <w:rFonts w:ascii="Arial" w:eastAsia="Times New Roman" w:hAnsi="Arial" w:cs="Arial"/>
          <w:spacing w:val="-2"/>
          <w:sz w:val="14"/>
          <w:szCs w:val="16"/>
          <w:lang w:eastAsia="zh-CN"/>
        </w:rPr>
      </w:pPr>
    </w:p>
    <w:p w14:paraId="5B33049B" w14:textId="77777777" w:rsidR="003321FA" w:rsidRPr="003321FA" w:rsidRDefault="003321FA" w:rsidP="003321FA">
      <w:pPr>
        <w:pStyle w:val="05-Textonormal"/>
        <w:spacing w:line="240" w:lineRule="auto"/>
        <w:rPr>
          <w:rFonts w:cs="Arial"/>
        </w:rPr>
      </w:pPr>
      <w:r w:rsidRPr="003321FA">
        <w:rPr>
          <w:rFonts w:cs="Arial"/>
        </w:rPr>
        <w:t xml:space="preserve">Em função de questões operacionais, a partir de janeiro de 2023, o reconhecimento contábil do investimento na </w:t>
      </w:r>
      <w:proofErr w:type="spellStart"/>
      <w:r w:rsidRPr="003321FA">
        <w:rPr>
          <w:rFonts w:cs="Arial"/>
        </w:rPr>
        <w:t>Brasildental</w:t>
      </w:r>
      <w:proofErr w:type="spellEnd"/>
      <w:r w:rsidRPr="003321FA">
        <w:rPr>
          <w:rFonts w:cs="Arial"/>
        </w:rPr>
        <w:t>, por meio de equivalência patrimonial, está sendo efetuado com defasagem de um mês, conforme previsto no CPC 18 [IAS 28]. De acordo com a referida norma, o reconhecimento do investimento pelo método de equivalência patrimonial deve ser efetuado com base no balanço patrimonial ou balancete de verificação levantado na mesma data ou até dois meses de defasagem.</w:t>
      </w:r>
    </w:p>
    <w:p w14:paraId="4F4495EF" w14:textId="77777777" w:rsidR="003321FA" w:rsidRPr="003321FA" w:rsidRDefault="003321FA" w:rsidP="003321FA">
      <w:pPr>
        <w:pStyle w:val="05-Textonormal"/>
        <w:spacing w:line="240" w:lineRule="auto"/>
        <w:rPr>
          <w:rFonts w:cs="Arial"/>
        </w:rPr>
      </w:pPr>
      <w:r w:rsidRPr="003321FA">
        <w:rPr>
          <w:rFonts w:cs="Arial"/>
        </w:rPr>
        <w:t xml:space="preserve">A BB MAPFRE adota o BRGAAP em suas informações contábeis. Portanto, já efetua os ajustes necessários para uniformização das práticas adotadas pelas suas controladas </w:t>
      </w:r>
      <w:proofErr w:type="spellStart"/>
      <w:r w:rsidRPr="003321FA">
        <w:rPr>
          <w:rFonts w:cs="Arial"/>
        </w:rPr>
        <w:t>Brasilseg</w:t>
      </w:r>
      <w:proofErr w:type="spellEnd"/>
      <w:r w:rsidRPr="003321FA">
        <w:rPr>
          <w:rFonts w:cs="Arial"/>
        </w:rPr>
        <w:t xml:space="preserve"> e Aliança do Brasil, que adotam as normas contábeis definidas pela Susep (SUSEPGAAP).</w:t>
      </w:r>
    </w:p>
    <w:p w14:paraId="1538D3AF" w14:textId="77777777" w:rsidR="003321FA" w:rsidRPr="003321FA" w:rsidRDefault="003321FA" w:rsidP="003321FA">
      <w:pPr>
        <w:pStyle w:val="05-Textonormal"/>
        <w:spacing w:line="240" w:lineRule="auto"/>
        <w:rPr>
          <w:rFonts w:cs="Arial"/>
        </w:rPr>
      </w:pPr>
      <w:r w:rsidRPr="003321FA">
        <w:rPr>
          <w:rFonts w:cs="Arial"/>
        </w:rPr>
        <w:t>Foram recebidos dos investimentos em participações societárias, avaliados pelo método de equivalência patrimonial, R$ 6.043.027 mil de dividendos no exercício 2024 (R$ 8.174.409 mil no exercício 2023) pelo Controlador e R$ 5.173.629 mil de dividendos no exercício 2024 (R$ 3.650.067 mil no exercício 2023</w:t>
      </w:r>
      <w:r w:rsidRPr="003321FA">
        <w:t xml:space="preserve">) </w:t>
      </w:r>
      <w:r w:rsidRPr="003321FA">
        <w:rPr>
          <w:rFonts w:cs="Arial"/>
        </w:rPr>
        <w:t>pelo Consolidado.</w:t>
      </w:r>
    </w:p>
    <w:p w14:paraId="401D9C98" w14:textId="77777777" w:rsidR="003321FA" w:rsidRPr="003321FA" w:rsidRDefault="003321FA" w:rsidP="003321FA">
      <w:pPr>
        <w:pStyle w:val="04-TtuloNegrito"/>
        <w:keepNext/>
        <w:keepLines/>
        <w:pageBreakBefore/>
        <w:rPr>
          <w:color w:val="1F3864" w:themeColor="accent1" w:themeShade="80"/>
          <w:sz w:val="18"/>
          <w:szCs w:val="18"/>
        </w:rPr>
      </w:pPr>
      <w:bookmarkStart w:id="61" w:name="_Hlk164445890"/>
      <w:r w:rsidRPr="003321FA">
        <w:rPr>
          <w:color w:val="1F3864" w:themeColor="accent1" w:themeShade="80"/>
          <w:sz w:val="18"/>
          <w:szCs w:val="18"/>
        </w:rPr>
        <w:lastRenderedPageBreak/>
        <w:t>c) Informações financeiras resumidas dos Investimentos em Participações Societárias</w:t>
      </w:r>
    </w:p>
    <w:p w14:paraId="4B0D39A7" w14:textId="77777777" w:rsidR="003321FA" w:rsidRPr="003321FA" w:rsidRDefault="003321FA" w:rsidP="003321FA">
      <w:pPr>
        <w:pStyle w:val="01-TtulodeNota"/>
        <w:rPr>
          <w:rFonts w:cs="Arial"/>
          <w:b w:val="0"/>
          <w:sz w:val="18"/>
          <w:lang w:eastAsia="zh-CN"/>
        </w:rPr>
      </w:pPr>
      <w:bookmarkStart w:id="62" w:name="_Hlk173172405"/>
      <w:r w:rsidRPr="003321FA">
        <w:rPr>
          <w:rFonts w:cs="Arial"/>
          <w:b w:val="0"/>
          <w:sz w:val="18"/>
          <w:lang w:eastAsia="zh-CN"/>
        </w:rPr>
        <w:t>Os valores apresentados, a seguir, referem-se às informações contábeis das investidas ajustadas às práticas contábeis adotadas no Brasil e aos IFRS.</w:t>
      </w:r>
    </w:p>
    <w:p w14:paraId="55698B9E" w14:textId="77777777" w:rsidR="003321FA" w:rsidRPr="003321FA" w:rsidRDefault="003321FA" w:rsidP="003321FA">
      <w:pPr>
        <w:spacing w:before="120" w:after="120" w:line="240" w:lineRule="auto"/>
        <w:rPr>
          <w:rFonts w:ascii="Arial" w:eastAsia="Times New Roman" w:hAnsi="Arial" w:cs="Times New Roman"/>
          <w:b/>
          <w:color w:val="1F3864" w:themeColor="accent1" w:themeShade="80"/>
          <w:spacing w:val="-2"/>
          <w:sz w:val="18"/>
          <w:szCs w:val="20"/>
          <w:lang w:eastAsia="pt-BR"/>
        </w:rPr>
      </w:pPr>
      <w:bookmarkStart w:id="63" w:name="_Hlk164876128"/>
      <w:bookmarkStart w:id="64" w:name="_Hlk117187389"/>
      <w:bookmarkStart w:id="65" w:name="_Hlk86328757"/>
      <w:r w:rsidRPr="003321FA">
        <w:rPr>
          <w:rFonts w:ascii="Arial" w:eastAsia="Times New Roman" w:hAnsi="Arial" w:cs="Times New Roman"/>
          <w:b/>
          <w:color w:val="1F3864" w:themeColor="accent1" w:themeShade="80"/>
          <w:spacing w:val="-2"/>
          <w:sz w:val="18"/>
          <w:szCs w:val="20"/>
          <w:lang w:eastAsia="pt-BR"/>
        </w:rPr>
        <w:t xml:space="preserve">c.1) BB MAPFRE Participações, </w:t>
      </w:r>
      <w:proofErr w:type="spellStart"/>
      <w:r w:rsidRPr="003321FA">
        <w:rPr>
          <w:rFonts w:ascii="Arial" w:eastAsia="Times New Roman" w:hAnsi="Arial" w:cs="Times New Roman"/>
          <w:b/>
          <w:color w:val="1F3864" w:themeColor="accent1" w:themeShade="80"/>
          <w:spacing w:val="-2"/>
          <w:sz w:val="18"/>
          <w:szCs w:val="20"/>
          <w:lang w:eastAsia="pt-BR"/>
        </w:rPr>
        <w:t>Brasilseg</w:t>
      </w:r>
      <w:proofErr w:type="spellEnd"/>
      <w:r w:rsidRPr="003321FA">
        <w:rPr>
          <w:rFonts w:ascii="Arial" w:eastAsia="Times New Roman" w:hAnsi="Arial" w:cs="Times New Roman"/>
          <w:b/>
          <w:color w:val="1F3864" w:themeColor="accent1" w:themeShade="80"/>
          <w:spacing w:val="-2"/>
          <w:sz w:val="18"/>
          <w:szCs w:val="20"/>
          <w:lang w:eastAsia="pt-BR"/>
        </w:rPr>
        <w:t xml:space="preserve"> e Aliança do Brasil Seguros </w:t>
      </w:r>
    </w:p>
    <w:p w14:paraId="4D1DFEF8" w14:textId="77777777" w:rsidR="003321FA" w:rsidRPr="003321FA" w:rsidRDefault="003321FA" w:rsidP="003321FA">
      <w:pPr>
        <w:keepNext/>
        <w:keepLines/>
        <w:spacing w:before="120" w:after="120" w:line="240" w:lineRule="auto"/>
        <w:rPr>
          <w:rFonts w:ascii="Arial" w:eastAsia="Times New Roman" w:hAnsi="Arial" w:cs="Times New Roman"/>
          <w:b/>
          <w:color w:val="1F3864" w:themeColor="accent1" w:themeShade="80"/>
          <w:spacing w:val="-2"/>
          <w:sz w:val="18"/>
          <w:szCs w:val="20"/>
          <w:lang w:eastAsia="pt-BR"/>
        </w:rPr>
      </w:pPr>
      <w:bookmarkStart w:id="66" w:name="_Hlk164945643"/>
      <w:r w:rsidRPr="003321FA">
        <w:rPr>
          <w:rFonts w:ascii="Arial" w:eastAsia="Times New Roman" w:hAnsi="Arial" w:cs="Times New Roman"/>
          <w:b/>
          <w:color w:val="1F3864" w:themeColor="accent1" w:themeShade="80"/>
          <w:spacing w:val="-2"/>
          <w:sz w:val="18"/>
          <w:szCs w:val="20"/>
          <w:lang w:eastAsia="pt-BR"/>
        </w:rPr>
        <w:t>c.1.1) BB MAPFRE Participações S.A. (BB MAPFRE)</w:t>
      </w:r>
    </w:p>
    <w:p w14:paraId="12CB5061" w14:textId="77777777" w:rsidR="003321FA" w:rsidRPr="003321FA" w:rsidRDefault="003321FA" w:rsidP="003321FA">
      <w:pPr>
        <w:spacing w:before="120" w:after="120" w:line="240" w:lineRule="auto"/>
        <w:rPr>
          <w:rFonts w:ascii="Arial" w:eastAsia="Times New Roman" w:hAnsi="Arial" w:cs="Arial"/>
          <w:spacing w:val="-2"/>
          <w:sz w:val="18"/>
          <w:szCs w:val="20"/>
          <w:lang w:eastAsia="zh-CN"/>
        </w:rPr>
      </w:pPr>
      <w:r w:rsidRPr="003321FA">
        <w:rPr>
          <w:rFonts w:ascii="Arial" w:eastAsia="Times New Roman" w:hAnsi="Arial" w:cs="Times New Roman"/>
          <w:b/>
          <w:color w:val="1F3864" w:themeColor="accent1" w:themeShade="80"/>
          <w:spacing w:val="-2"/>
          <w:sz w:val="18"/>
          <w:szCs w:val="20"/>
          <w:lang w:eastAsia="pt-BR"/>
        </w:rPr>
        <w:t>Informações de Resultado</w:t>
      </w:r>
    </w:p>
    <w:p w14:paraId="1CD75C60" w14:textId="77777777" w:rsidR="003321FA" w:rsidRPr="003321FA" w:rsidRDefault="003321FA" w:rsidP="003321FA">
      <w:pPr>
        <w:spacing w:after="0" w:line="240" w:lineRule="auto"/>
        <w:jc w:val="right"/>
        <w:rPr>
          <w:rFonts w:ascii="Arial" w:hAnsi="Arial" w:cs="Arial"/>
          <w:b/>
          <w:sz w:val="14"/>
          <w:lang w:eastAsia="pt-BR"/>
        </w:rPr>
      </w:pPr>
      <w:r w:rsidRPr="003321FA">
        <w:rPr>
          <w:rFonts w:ascii="Arial" w:hAnsi="Arial" w:cs="Arial"/>
          <w:b/>
          <w:sz w:val="14"/>
          <w:lang w:eastAsia="pt-BR"/>
        </w:rPr>
        <w:t>R$ mil</w:t>
      </w:r>
    </w:p>
    <w:tbl>
      <w:tblPr>
        <w:tblStyle w:val="TabeladeLista6Colorida-nfase512"/>
        <w:tblW w:w="9639" w:type="dxa"/>
        <w:jc w:val="center"/>
        <w:tblLayout w:type="fixed"/>
        <w:tblLook w:val="04A0" w:firstRow="1" w:lastRow="0" w:firstColumn="1" w:lastColumn="0" w:noHBand="0" w:noVBand="1"/>
      </w:tblPr>
      <w:tblGrid>
        <w:gridCol w:w="2803"/>
        <w:gridCol w:w="1709"/>
        <w:gridCol w:w="1709"/>
        <w:gridCol w:w="1709"/>
        <w:gridCol w:w="1709"/>
      </w:tblGrid>
      <w:tr w:rsidR="003321FA" w:rsidRPr="003321FA" w14:paraId="16321667"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CFF9F20" w14:textId="77777777" w:rsidR="003321FA" w:rsidRPr="003321FA" w:rsidRDefault="003321FA">
            <w:pPr>
              <w:jc w:val="center"/>
              <w:rPr>
                <w:rFonts w:ascii="Arial" w:hAnsi="Arial" w:cs="Arial"/>
                <w:sz w:val="14"/>
                <w:szCs w:val="14"/>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58856B5" w14:textId="77777777" w:rsidR="003321FA" w:rsidRPr="003321FA" w:rsidRDefault="003321F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A732D8E" w14:textId="77777777" w:rsidR="003321FA" w:rsidRPr="003321FA" w:rsidRDefault="003321F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FA76538" w14:textId="77777777" w:rsidR="003321FA" w:rsidRPr="003321FA" w:rsidRDefault="003321FA">
            <w:pPr>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3321FA">
              <w:rPr>
                <w:rFonts w:ascii="Arial" w:hAnsi="Arial" w:cs="Arial"/>
                <w:bCs w:val="0"/>
                <w:sz w:val="14"/>
                <w:szCs w:val="14"/>
              </w:rPr>
              <w:t>Exercício 2024</w:t>
            </w: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3E2FDDE" w14:textId="77777777" w:rsidR="003321FA" w:rsidRPr="003321FA" w:rsidRDefault="003321F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sz w:val="14"/>
                <w:szCs w:val="14"/>
              </w:rPr>
              <w:t>Exercício 2023</w:t>
            </w:r>
          </w:p>
        </w:tc>
      </w:tr>
      <w:tr w:rsidR="003321FA" w:rsidRPr="003321FA" w14:paraId="1826FC07"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3864" w:themeColor="accent1" w:themeShade="80"/>
              <w:left w:val="nil"/>
              <w:bottom w:val="nil"/>
              <w:right w:val="nil"/>
            </w:tcBorders>
            <w:shd w:val="clear" w:color="auto" w:fill="auto"/>
            <w:vAlign w:val="center"/>
          </w:tcPr>
          <w:p w14:paraId="1A921E59" w14:textId="77777777" w:rsidR="003321FA" w:rsidRPr="003321FA" w:rsidRDefault="003321FA">
            <w:pPr>
              <w:keepNext/>
              <w:keepLines/>
              <w:rPr>
                <w:rFonts w:ascii="Arial" w:eastAsia="Times New Roman" w:hAnsi="Arial" w:cs="Arial"/>
                <w:spacing w:val="-2"/>
                <w:sz w:val="14"/>
                <w:szCs w:val="14"/>
              </w:rPr>
            </w:pPr>
            <w:r w:rsidRPr="003321FA">
              <w:rPr>
                <w:rFonts w:ascii="Arial" w:hAnsi="Arial" w:cs="Arial"/>
                <w:sz w:val="14"/>
                <w:szCs w:val="14"/>
              </w:rPr>
              <w:t>Resultado de equivalência</w:t>
            </w:r>
          </w:p>
        </w:tc>
        <w:tc>
          <w:tcPr>
            <w:tcW w:w="1709" w:type="dxa"/>
            <w:tcBorders>
              <w:top w:val="single" w:sz="2" w:space="0" w:color="1F3864" w:themeColor="accent1" w:themeShade="80"/>
              <w:left w:val="nil"/>
              <w:bottom w:val="nil"/>
              <w:right w:val="nil"/>
            </w:tcBorders>
            <w:shd w:val="clear" w:color="auto" w:fill="auto"/>
            <w:vAlign w:val="center"/>
          </w:tcPr>
          <w:p w14:paraId="72A30742"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709" w:type="dxa"/>
            <w:tcBorders>
              <w:top w:val="single" w:sz="2" w:space="0" w:color="1F3864" w:themeColor="accent1" w:themeShade="80"/>
              <w:left w:val="nil"/>
              <w:bottom w:val="nil"/>
              <w:right w:val="nil"/>
            </w:tcBorders>
            <w:shd w:val="clear" w:color="auto" w:fill="auto"/>
            <w:vAlign w:val="center"/>
          </w:tcPr>
          <w:p w14:paraId="735A6164"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709" w:type="dxa"/>
            <w:tcBorders>
              <w:top w:val="single" w:sz="2" w:space="0" w:color="1F3864" w:themeColor="accent1" w:themeShade="80"/>
              <w:left w:val="nil"/>
              <w:bottom w:val="nil"/>
              <w:right w:val="nil"/>
            </w:tcBorders>
            <w:shd w:val="clear" w:color="auto" w:fill="auto"/>
            <w:vAlign w:val="center"/>
          </w:tcPr>
          <w:p w14:paraId="6D572140"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321FA">
              <w:rPr>
                <w:rFonts w:ascii="Arial" w:hAnsi="Arial" w:cs="Arial"/>
                <w:b/>
                <w:bCs/>
                <w:color w:val="000000"/>
                <w:sz w:val="14"/>
                <w:szCs w:val="14"/>
              </w:rPr>
              <w:t>4.411.764</w:t>
            </w:r>
          </w:p>
        </w:tc>
        <w:tc>
          <w:tcPr>
            <w:tcW w:w="1709" w:type="dxa"/>
            <w:tcBorders>
              <w:top w:val="single" w:sz="2" w:space="0" w:color="1F3864" w:themeColor="accent1" w:themeShade="80"/>
              <w:left w:val="nil"/>
              <w:bottom w:val="nil"/>
              <w:right w:val="nil"/>
            </w:tcBorders>
            <w:shd w:val="clear" w:color="auto" w:fill="auto"/>
            <w:vAlign w:val="center"/>
          </w:tcPr>
          <w:p w14:paraId="42A3920E"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321FA">
              <w:rPr>
                <w:rFonts w:ascii="Arial" w:hAnsi="Arial" w:cs="Arial"/>
                <w:b/>
                <w:bCs/>
                <w:sz w:val="14"/>
                <w:szCs w:val="14"/>
              </w:rPr>
              <w:t>3.887.620</w:t>
            </w:r>
          </w:p>
        </w:tc>
      </w:tr>
      <w:tr w:rsidR="003321FA" w:rsidRPr="003321FA" w14:paraId="334A498A"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2A9F6353" w14:textId="77777777" w:rsidR="003321FA" w:rsidRPr="003321FA" w:rsidRDefault="003321FA">
            <w:pPr>
              <w:keepNext/>
              <w:keepLines/>
              <w:spacing w:before="40" w:after="40"/>
              <w:rPr>
                <w:rFonts w:ascii="Arial" w:hAnsi="Arial" w:cs="Arial"/>
                <w:sz w:val="14"/>
                <w:szCs w:val="14"/>
              </w:rPr>
            </w:pPr>
            <w:r w:rsidRPr="003321FA">
              <w:rPr>
                <w:rFonts w:ascii="Arial" w:hAnsi="Arial" w:cs="Arial"/>
                <w:sz w:val="14"/>
                <w:szCs w:val="14"/>
              </w:rPr>
              <w:t>Resultado Financeiro</w:t>
            </w:r>
          </w:p>
        </w:tc>
        <w:tc>
          <w:tcPr>
            <w:tcW w:w="1709" w:type="dxa"/>
            <w:tcBorders>
              <w:top w:val="nil"/>
              <w:left w:val="nil"/>
              <w:bottom w:val="nil"/>
              <w:right w:val="nil"/>
            </w:tcBorders>
            <w:shd w:val="clear" w:color="auto" w:fill="auto"/>
            <w:vAlign w:val="center"/>
          </w:tcPr>
          <w:p w14:paraId="3FB22545"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709" w:type="dxa"/>
            <w:tcBorders>
              <w:top w:val="nil"/>
              <w:left w:val="nil"/>
              <w:bottom w:val="nil"/>
              <w:right w:val="nil"/>
            </w:tcBorders>
            <w:shd w:val="clear" w:color="auto" w:fill="auto"/>
            <w:vAlign w:val="center"/>
          </w:tcPr>
          <w:p w14:paraId="304C91CC"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709" w:type="dxa"/>
            <w:tcBorders>
              <w:top w:val="nil"/>
              <w:left w:val="nil"/>
              <w:bottom w:val="nil"/>
              <w:right w:val="nil"/>
            </w:tcBorders>
            <w:shd w:val="clear" w:color="auto" w:fill="auto"/>
            <w:vAlign w:val="center"/>
          </w:tcPr>
          <w:p w14:paraId="04820EC3"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321FA">
              <w:rPr>
                <w:rFonts w:ascii="Arial" w:hAnsi="Arial" w:cs="Arial"/>
                <w:b/>
                <w:bCs/>
                <w:color w:val="000000"/>
                <w:sz w:val="14"/>
                <w:szCs w:val="14"/>
              </w:rPr>
              <w:t>8.293</w:t>
            </w:r>
          </w:p>
        </w:tc>
        <w:tc>
          <w:tcPr>
            <w:tcW w:w="1709" w:type="dxa"/>
            <w:tcBorders>
              <w:top w:val="nil"/>
              <w:left w:val="nil"/>
              <w:bottom w:val="nil"/>
              <w:right w:val="nil"/>
            </w:tcBorders>
            <w:shd w:val="clear" w:color="auto" w:fill="auto"/>
            <w:vAlign w:val="center"/>
          </w:tcPr>
          <w:p w14:paraId="0C7D058A"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321FA">
              <w:rPr>
                <w:rFonts w:ascii="Arial" w:hAnsi="Arial" w:cs="Arial"/>
                <w:b/>
                <w:bCs/>
                <w:sz w:val="14"/>
                <w:szCs w:val="14"/>
              </w:rPr>
              <w:t xml:space="preserve">1.304 </w:t>
            </w:r>
          </w:p>
        </w:tc>
      </w:tr>
      <w:tr w:rsidR="003321FA" w:rsidRPr="003321FA" w14:paraId="32C234F5"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43F3F4C5" w14:textId="77777777" w:rsidR="003321FA" w:rsidRPr="003321FA" w:rsidRDefault="003321FA">
            <w:pPr>
              <w:keepNext/>
              <w:keepLines/>
              <w:ind w:left="113"/>
              <w:rPr>
                <w:rFonts w:ascii="Arial" w:hAnsi="Arial" w:cs="Arial"/>
                <w:b w:val="0"/>
                <w:bCs w:val="0"/>
                <w:sz w:val="14"/>
                <w:szCs w:val="14"/>
              </w:rPr>
            </w:pPr>
            <w:r w:rsidRPr="003321FA">
              <w:rPr>
                <w:rFonts w:ascii="Arial" w:hAnsi="Arial" w:cs="Arial"/>
                <w:b w:val="0"/>
                <w:bCs w:val="0"/>
                <w:sz w:val="14"/>
                <w:szCs w:val="14"/>
              </w:rPr>
              <w:t>Receitas financeiras</w:t>
            </w:r>
          </w:p>
        </w:tc>
        <w:tc>
          <w:tcPr>
            <w:tcW w:w="1709" w:type="dxa"/>
            <w:tcBorders>
              <w:top w:val="nil"/>
              <w:left w:val="nil"/>
              <w:bottom w:val="nil"/>
              <w:right w:val="nil"/>
            </w:tcBorders>
            <w:shd w:val="clear" w:color="auto" w:fill="auto"/>
            <w:vAlign w:val="center"/>
          </w:tcPr>
          <w:p w14:paraId="010207E8"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09" w:type="dxa"/>
            <w:tcBorders>
              <w:top w:val="nil"/>
              <w:left w:val="nil"/>
              <w:bottom w:val="nil"/>
              <w:right w:val="nil"/>
            </w:tcBorders>
            <w:shd w:val="clear" w:color="auto" w:fill="auto"/>
            <w:vAlign w:val="center"/>
          </w:tcPr>
          <w:p w14:paraId="45F5F6B2"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09" w:type="dxa"/>
            <w:tcBorders>
              <w:top w:val="nil"/>
              <w:left w:val="nil"/>
              <w:bottom w:val="nil"/>
              <w:right w:val="nil"/>
            </w:tcBorders>
            <w:shd w:val="clear" w:color="auto" w:fill="auto"/>
            <w:vAlign w:val="center"/>
          </w:tcPr>
          <w:p w14:paraId="0805D2FA"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8.293</w:t>
            </w:r>
          </w:p>
        </w:tc>
        <w:tc>
          <w:tcPr>
            <w:tcW w:w="1709" w:type="dxa"/>
            <w:tcBorders>
              <w:top w:val="nil"/>
              <w:left w:val="nil"/>
              <w:bottom w:val="nil"/>
              <w:right w:val="nil"/>
            </w:tcBorders>
            <w:shd w:val="clear" w:color="auto" w:fill="auto"/>
            <w:vAlign w:val="center"/>
          </w:tcPr>
          <w:p w14:paraId="627B6442"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 xml:space="preserve">1.304 </w:t>
            </w:r>
          </w:p>
        </w:tc>
      </w:tr>
      <w:tr w:rsidR="003321FA" w:rsidRPr="003321FA" w14:paraId="19D99E19"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5F7673F1" w14:textId="77777777" w:rsidR="003321FA" w:rsidRPr="003321FA" w:rsidRDefault="003321FA">
            <w:pPr>
              <w:keepNext/>
              <w:keepLines/>
              <w:rPr>
                <w:rFonts w:ascii="Arial" w:hAnsi="Arial" w:cs="Arial"/>
                <w:color w:val="000000"/>
                <w:sz w:val="14"/>
                <w:szCs w:val="14"/>
              </w:rPr>
            </w:pPr>
            <w:r w:rsidRPr="003321FA">
              <w:rPr>
                <w:rFonts w:ascii="Arial" w:hAnsi="Arial" w:cs="Arial"/>
                <w:sz w:val="14"/>
                <w:szCs w:val="14"/>
              </w:rPr>
              <w:t>Outras receitas e despesas</w:t>
            </w:r>
          </w:p>
        </w:tc>
        <w:tc>
          <w:tcPr>
            <w:tcW w:w="1709" w:type="dxa"/>
            <w:tcBorders>
              <w:top w:val="nil"/>
              <w:left w:val="nil"/>
              <w:bottom w:val="nil"/>
              <w:right w:val="nil"/>
            </w:tcBorders>
            <w:shd w:val="clear" w:color="auto" w:fill="auto"/>
            <w:vAlign w:val="center"/>
          </w:tcPr>
          <w:p w14:paraId="5E4AD5B1"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709" w:type="dxa"/>
            <w:tcBorders>
              <w:top w:val="nil"/>
              <w:left w:val="nil"/>
              <w:bottom w:val="nil"/>
              <w:right w:val="nil"/>
            </w:tcBorders>
            <w:shd w:val="clear" w:color="auto" w:fill="auto"/>
            <w:vAlign w:val="center"/>
          </w:tcPr>
          <w:p w14:paraId="77F4CBC7"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709" w:type="dxa"/>
            <w:tcBorders>
              <w:top w:val="nil"/>
              <w:left w:val="nil"/>
              <w:bottom w:val="nil"/>
              <w:right w:val="nil"/>
            </w:tcBorders>
            <w:shd w:val="clear" w:color="auto" w:fill="auto"/>
            <w:vAlign w:val="center"/>
          </w:tcPr>
          <w:p w14:paraId="053A8164"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321FA">
              <w:rPr>
                <w:rFonts w:ascii="Arial" w:hAnsi="Arial" w:cs="Arial"/>
                <w:b/>
                <w:bCs/>
                <w:color w:val="000000"/>
                <w:sz w:val="14"/>
                <w:szCs w:val="14"/>
              </w:rPr>
              <w:t>(1.500)</w:t>
            </w:r>
          </w:p>
        </w:tc>
        <w:tc>
          <w:tcPr>
            <w:tcW w:w="1709" w:type="dxa"/>
            <w:tcBorders>
              <w:top w:val="nil"/>
              <w:left w:val="nil"/>
              <w:bottom w:val="nil"/>
              <w:right w:val="nil"/>
            </w:tcBorders>
            <w:shd w:val="clear" w:color="auto" w:fill="auto"/>
            <w:vAlign w:val="center"/>
          </w:tcPr>
          <w:p w14:paraId="3082829D"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321FA">
              <w:rPr>
                <w:rFonts w:ascii="Arial" w:hAnsi="Arial" w:cs="Arial"/>
                <w:b/>
                <w:bCs/>
                <w:sz w:val="14"/>
                <w:szCs w:val="14"/>
              </w:rPr>
              <w:t>(1.215)</w:t>
            </w:r>
          </w:p>
        </w:tc>
      </w:tr>
      <w:tr w:rsidR="003321FA" w:rsidRPr="003321FA" w14:paraId="22C56EC4"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4C92EF7C" w14:textId="77777777" w:rsidR="003321FA" w:rsidRPr="003321FA" w:rsidRDefault="003321FA">
            <w:pPr>
              <w:keepNext/>
              <w:keepLines/>
              <w:spacing w:before="40" w:after="40"/>
              <w:rPr>
                <w:rFonts w:ascii="Arial" w:hAnsi="Arial" w:cs="Arial"/>
                <w:sz w:val="14"/>
                <w:szCs w:val="14"/>
              </w:rPr>
            </w:pPr>
            <w:r w:rsidRPr="003321FA">
              <w:rPr>
                <w:rFonts w:ascii="Arial" w:hAnsi="Arial" w:cs="Arial"/>
                <w:sz w:val="14"/>
                <w:szCs w:val="14"/>
              </w:rPr>
              <w:t>Lucro antes do IRPJ e CSLL</w:t>
            </w:r>
          </w:p>
        </w:tc>
        <w:tc>
          <w:tcPr>
            <w:tcW w:w="1709" w:type="dxa"/>
            <w:tcBorders>
              <w:top w:val="nil"/>
              <w:left w:val="nil"/>
              <w:bottom w:val="nil"/>
              <w:right w:val="nil"/>
            </w:tcBorders>
            <w:shd w:val="clear" w:color="auto" w:fill="auto"/>
            <w:vAlign w:val="center"/>
          </w:tcPr>
          <w:p w14:paraId="3BFA500C"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709" w:type="dxa"/>
            <w:tcBorders>
              <w:top w:val="nil"/>
              <w:left w:val="nil"/>
              <w:bottom w:val="nil"/>
              <w:right w:val="nil"/>
            </w:tcBorders>
            <w:shd w:val="clear" w:color="auto" w:fill="auto"/>
            <w:vAlign w:val="center"/>
          </w:tcPr>
          <w:p w14:paraId="0CDDBAB3"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709" w:type="dxa"/>
            <w:tcBorders>
              <w:top w:val="nil"/>
              <w:left w:val="nil"/>
              <w:bottom w:val="nil"/>
              <w:right w:val="nil"/>
            </w:tcBorders>
            <w:shd w:val="clear" w:color="auto" w:fill="auto"/>
            <w:vAlign w:val="center"/>
          </w:tcPr>
          <w:p w14:paraId="31500C71"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321FA">
              <w:rPr>
                <w:rFonts w:ascii="Arial" w:hAnsi="Arial" w:cs="Arial"/>
                <w:b/>
                <w:bCs/>
                <w:color w:val="000000"/>
                <w:sz w:val="14"/>
                <w:szCs w:val="14"/>
              </w:rPr>
              <w:t>4.418.557</w:t>
            </w:r>
          </w:p>
        </w:tc>
        <w:tc>
          <w:tcPr>
            <w:tcW w:w="1709" w:type="dxa"/>
            <w:tcBorders>
              <w:top w:val="nil"/>
              <w:left w:val="nil"/>
              <w:bottom w:val="nil"/>
              <w:right w:val="nil"/>
            </w:tcBorders>
            <w:shd w:val="clear" w:color="auto" w:fill="auto"/>
            <w:vAlign w:val="center"/>
          </w:tcPr>
          <w:p w14:paraId="66FA135B"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321FA">
              <w:rPr>
                <w:rFonts w:ascii="Arial" w:hAnsi="Arial" w:cs="Arial"/>
                <w:b/>
                <w:bCs/>
                <w:sz w:val="14"/>
                <w:szCs w:val="14"/>
              </w:rPr>
              <w:t>3.887.709</w:t>
            </w:r>
          </w:p>
        </w:tc>
      </w:tr>
      <w:tr w:rsidR="003321FA" w:rsidRPr="003321FA" w14:paraId="5783801A"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0B370D7A" w14:textId="77777777" w:rsidR="003321FA" w:rsidRPr="003321FA" w:rsidRDefault="003321FA">
            <w:pPr>
              <w:keepNext/>
              <w:keepLines/>
              <w:spacing w:before="40" w:after="40"/>
              <w:ind w:left="113"/>
              <w:rPr>
                <w:rFonts w:ascii="Arial" w:hAnsi="Arial" w:cs="Arial"/>
                <w:b w:val="0"/>
                <w:bCs w:val="0"/>
                <w:color w:val="000000"/>
                <w:sz w:val="14"/>
                <w:szCs w:val="14"/>
              </w:rPr>
            </w:pPr>
            <w:r w:rsidRPr="003321FA">
              <w:rPr>
                <w:rFonts w:ascii="Arial" w:hAnsi="Arial" w:cs="Arial"/>
                <w:b w:val="0"/>
                <w:bCs w:val="0"/>
                <w:sz w:val="14"/>
                <w:szCs w:val="14"/>
              </w:rPr>
              <w:t>IRPJ e CSLL</w:t>
            </w:r>
          </w:p>
        </w:tc>
        <w:tc>
          <w:tcPr>
            <w:tcW w:w="1709" w:type="dxa"/>
            <w:tcBorders>
              <w:top w:val="nil"/>
              <w:left w:val="nil"/>
              <w:bottom w:val="nil"/>
              <w:right w:val="nil"/>
            </w:tcBorders>
            <w:shd w:val="clear" w:color="auto" w:fill="auto"/>
            <w:vAlign w:val="center"/>
          </w:tcPr>
          <w:p w14:paraId="5A0CC49B"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709" w:type="dxa"/>
            <w:tcBorders>
              <w:top w:val="nil"/>
              <w:left w:val="nil"/>
              <w:bottom w:val="nil"/>
              <w:right w:val="nil"/>
            </w:tcBorders>
            <w:shd w:val="clear" w:color="auto" w:fill="auto"/>
            <w:vAlign w:val="center"/>
          </w:tcPr>
          <w:p w14:paraId="36DF4C7F"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709" w:type="dxa"/>
            <w:tcBorders>
              <w:top w:val="nil"/>
              <w:left w:val="nil"/>
              <w:bottom w:val="nil"/>
              <w:right w:val="nil"/>
            </w:tcBorders>
            <w:shd w:val="clear" w:color="auto" w:fill="auto"/>
            <w:vAlign w:val="center"/>
          </w:tcPr>
          <w:p w14:paraId="2F8663FA"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(2.310)</w:t>
            </w:r>
          </w:p>
        </w:tc>
        <w:tc>
          <w:tcPr>
            <w:tcW w:w="1709" w:type="dxa"/>
            <w:tcBorders>
              <w:top w:val="nil"/>
              <w:left w:val="nil"/>
              <w:bottom w:val="nil"/>
              <w:right w:val="nil"/>
            </w:tcBorders>
            <w:shd w:val="clear" w:color="auto" w:fill="auto"/>
            <w:vAlign w:val="center"/>
          </w:tcPr>
          <w:p w14:paraId="51B63E5E"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sz w:val="14"/>
                <w:szCs w:val="14"/>
              </w:rPr>
              <w:t>(21)</w:t>
            </w:r>
          </w:p>
        </w:tc>
      </w:tr>
      <w:tr w:rsidR="003321FA" w:rsidRPr="003321FA" w14:paraId="57E972E1"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6AD64B1F" w14:textId="77777777" w:rsidR="003321FA" w:rsidRPr="003321FA" w:rsidRDefault="003321FA">
            <w:pPr>
              <w:keepNext/>
              <w:keepLines/>
              <w:spacing w:before="40" w:after="40"/>
              <w:rPr>
                <w:rFonts w:ascii="Arial" w:hAnsi="Arial" w:cs="Arial"/>
                <w:color w:val="000000"/>
                <w:sz w:val="14"/>
                <w:szCs w:val="14"/>
              </w:rPr>
            </w:pPr>
            <w:r w:rsidRPr="003321FA">
              <w:rPr>
                <w:rFonts w:ascii="Arial" w:hAnsi="Arial" w:cs="Arial"/>
                <w:sz w:val="14"/>
                <w:szCs w:val="14"/>
              </w:rPr>
              <w:t>Resultado líquido</w:t>
            </w:r>
          </w:p>
        </w:tc>
        <w:tc>
          <w:tcPr>
            <w:tcW w:w="1709" w:type="dxa"/>
            <w:tcBorders>
              <w:top w:val="nil"/>
              <w:left w:val="nil"/>
              <w:bottom w:val="nil"/>
              <w:right w:val="nil"/>
            </w:tcBorders>
            <w:shd w:val="clear" w:color="auto" w:fill="auto"/>
            <w:vAlign w:val="center"/>
          </w:tcPr>
          <w:p w14:paraId="3A0CD0C2"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709" w:type="dxa"/>
            <w:tcBorders>
              <w:top w:val="nil"/>
              <w:left w:val="nil"/>
              <w:bottom w:val="nil"/>
              <w:right w:val="nil"/>
            </w:tcBorders>
            <w:shd w:val="clear" w:color="auto" w:fill="auto"/>
            <w:vAlign w:val="center"/>
          </w:tcPr>
          <w:p w14:paraId="18B17CEB"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709" w:type="dxa"/>
            <w:tcBorders>
              <w:top w:val="nil"/>
              <w:left w:val="nil"/>
              <w:bottom w:val="nil"/>
              <w:right w:val="nil"/>
            </w:tcBorders>
            <w:shd w:val="clear" w:color="auto" w:fill="auto"/>
            <w:vAlign w:val="center"/>
          </w:tcPr>
          <w:p w14:paraId="6C120010"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321FA">
              <w:rPr>
                <w:rFonts w:ascii="Arial" w:hAnsi="Arial" w:cs="Arial"/>
                <w:b/>
                <w:bCs/>
                <w:color w:val="000000"/>
                <w:sz w:val="14"/>
                <w:szCs w:val="14"/>
              </w:rPr>
              <w:t>4.416.247</w:t>
            </w:r>
          </w:p>
        </w:tc>
        <w:tc>
          <w:tcPr>
            <w:tcW w:w="1709" w:type="dxa"/>
            <w:tcBorders>
              <w:top w:val="nil"/>
              <w:left w:val="nil"/>
              <w:bottom w:val="nil"/>
              <w:right w:val="nil"/>
            </w:tcBorders>
            <w:shd w:val="clear" w:color="auto" w:fill="auto"/>
            <w:vAlign w:val="center"/>
          </w:tcPr>
          <w:p w14:paraId="0999449A"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321FA">
              <w:rPr>
                <w:rFonts w:ascii="Arial" w:hAnsi="Arial" w:cs="Arial"/>
                <w:b/>
                <w:bCs/>
                <w:color w:val="000000"/>
                <w:sz w:val="14"/>
                <w:szCs w:val="14"/>
              </w:rPr>
              <w:t xml:space="preserve">3.887.688 </w:t>
            </w:r>
          </w:p>
        </w:tc>
      </w:tr>
      <w:tr w:rsidR="003321FA" w:rsidRPr="003321FA" w14:paraId="55C6442F"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31E8FEA7" w14:textId="77777777" w:rsidR="003321FA" w:rsidRPr="003321FA" w:rsidRDefault="003321FA">
            <w:pPr>
              <w:keepNext/>
              <w:keepLines/>
              <w:ind w:left="113"/>
              <w:rPr>
                <w:rFonts w:ascii="Arial" w:hAnsi="Arial" w:cs="Arial"/>
                <w:b w:val="0"/>
                <w:bCs w:val="0"/>
                <w:color w:val="000000"/>
                <w:sz w:val="14"/>
                <w:szCs w:val="14"/>
              </w:rPr>
            </w:pPr>
            <w:r w:rsidRPr="003321FA">
              <w:rPr>
                <w:rFonts w:ascii="Arial" w:hAnsi="Arial" w:cs="Arial"/>
                <w:b w:val="0"/>
                <w:bCs w:val="0"/>
                <w:sz w:val="14"/>
                <w:szCs w:val="14"/>
              </w:rPr>
              <w:t>Outros resultados abrangentes</w:t>
            </w:r>
          </w:p>
        </w:tc>
        <w:tc>
          <w:tcPr>
            <w:tcW w:w="1709" w:type="dxa"/>
            <w:tcBorders>
              <w:top w:val="nil"/>
              <w:left w:val="nil"/>
              <w:bottom w:val="nil"/>
              <w:right w:val="nil"/>
            </w:tcBorders>
            <w:shd w:val="clear" w:color="auto" w:fill="auto"/>
            <w:vAlign w:val="center"/>
          </w:tcPr>
          <w:p w14:paraId="527E0922"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709" w:type="dxa"/>
            <w:tcBorders>
              <w:top w:val="nil"/>
              <w:left w:val="nil"/>
              <w:bottom w:val="nil"/>
              <w:right w:val="nil"/>
            </w:tcBorders>
            <w:shd w:val="clear" w:color="auto" w:fill="auto"/>
            <w:vAlign w:val="center"/>
          </w:tcPr>
          <w:p w14:paraId="48314D98"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709" w:type="dxa"/>
            <w:tcBorders>
              <w:top w:val="nil"/>
              <w:left w:val="nil"/>
              <w:bottom w:val="nil"/>
              <w:right w:val="nil"/>
            </w:tcBorders>
            <w:shd w:val="clear" w:color="auto" w:fill="auto"/>
            <w:vAlign w:val="center"/>
          </w:tcPr>
          <w:p w14:paraId="267A9DCE"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(76.705)</w:t>
            </w:r>
          </w:p>
        </w:tc>
        <w:tc>
          <w:tcPr>
            <w:tcW w:w="1709" w:type="dxa"/>
            <w:tcBorders>
              <w:top w:val="nil"/>
              <w:left w:val="nil"/>
              <w:bottom w:val="nil"/>
              <w:right w:val="nil"/>
            </w:tcBorders>
            <w:shd w:val="clear" w:color="auto" w:fill="auto"/>
            <w:vAlign w:val="center"/>
          </w:tcPr>
          <w:p w14:paraId="4904BCA8" w14:textId="77777777" w:rsidR="003321FA" w:rsidRPr="003321FA" w:rsidRDefault="003321FA">
            <w:pPr>
              <w:ind w:firstLineChars="100" w:firstLine="1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 xml:space="preserve">106.756 </w:t>
            </w:r>
          </w:p>
        </w:tc>
      </w:tr>
      <w:tr w:rsidR="003321FA" w:rsidRPr="003321FA" w14:paraId="357E31C0"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3232A008" w14:textId="77777777" w:rsidR="003321FA" w:rsidRPr="003321FA" w:rsidRDefault="003321FA">
            <w:pPr>
              <w:keepNext/>
              <w:keepLines/>
              <w:rPr>
                <w:rFonts w:ascii="Arial" w:hAnsi="Arial" w:cs="Arial"/>
                <w:color w:val="000000"/>
                <w:sz w:val="14"/>
                <w:szCs w:val="14"/>
              </w:rPr>
            </w:pPr>
            <w:r w:rsidRPr="003321FA">
              <w:rPr>
                <w:rFonts w:ascii="Arial" w:hAnsi="Arial" w:cs="Arial"/>
                <w:sz w:val="14"/>
                <w:szCs w:val="14"/>
              </w:rPr>
              <w:t>Resultado abrangente total</w:t>
            </w:r>
          </w:p>
        </w:tc>
        <w:tc>
          <w:tcPr>
            <w:tcW w:w="1709" w:type="dxa"/>
            <w:tcBorders>
              <w:top w:val="nil"/>
              <w:left w:val="nil"/>
              <w:bottom w:val="nil"/>
              <w:right w:val="nil"/>
            </w:tcBorders>
            <w:shd w:val="clear" w:color="auto" w:fill="auto"/>
            <w:vAlign w:val="center"/>
          </w:tcPr>
          <w:p w14:paraId="5B322E64"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709" w:type="dxa"/>
            <w:tcBorders>
              <w:top w:val="nil"/>
              <w:left w:val="nil"/>
              <w:bottom w:val="nil"/>
              <w:right w:val="nil"/>
            </w:tcBorders>
            <w:shd w:val="clear" w:color="auto" w:fill="auto"/>
            <w:vAlign w:val="center"/>
          </w:tcPr>
          <w:p w14:paraId="2F2AAA37"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709" w:type="dxa"/>
            <w:tcBorders>
              <w:top w:val="nil"/>
              <w:left w:val="nil"/>
              <w:bottom w:val="nil"/>
              <w:right w:val="nil"/>
            </w:tcBorders>
            <w:shd w:val="clear" w:color="auto" w:fill="auto"/>
            <w:vAlign w:val="center"/>
          </w:tcPr>
          <w:p w14:paraId="12D0CB70"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321FA">
              <w:rPr>
                <w:rFonts w:ascii="Arial" w:hAnsi="Arial" w:cs="Arial"/>
                <w:b/>
                <w:bCs/>
                <w:color w:val="000000"/>
                <w:sz w:val="14"/>
                <w:szCs w:val="14"/>
              </w:rPr>
              <w:t>4.339.542</w:t>
            </w:r>
          </w:p>
        </w:tc>
        <w:tc>
          <w:tcPr>
            <w:tcW w:w="1709" w:type="dxa"/>
            <w:tcBorders>
              <w:top w:val="nil"/>
              <w:left w:val="nil"/>
              <w:bottom w:val="nil"/>
              <w:right w:val="nil"/>
            </w:tcBorders>
            <w:shd w:val="clear" w:color="auto" w:fill="auto"/>
            <w:vAlign w:val="center"/>
          </w:tcPr>
          <w:p w14:paraId="6F1937CA"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321FA">
              <w:rPr>
                <w:rFonts w:ascii="Arial" w:hAnsi="Arial" w:cs="Arial"/>
                <w:b/>
                <w:bCs/>
                <w:color w:val="000000"/>
                <w:sz w:val="14"/>
                <w:szCs w:val="14"/>
              </w:rPr>
              <w:t xml:space="preserve">3.994.444 </w:t>
            </w:r>
          </w:p>
        </w:tc>
      </w:tr>
      <w:tr w:rsidR="003321FA" w:rsidRPr="003321FA" w14:paraId="25E8DB38"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454765D8" w14:textId="77777777" w:rsidR="003321FA" w:rsidRPr="003321FA" w:rsidRDefault="003321FA">
            <w:pPr>
              <w:keepNext/>
              <w:keepLines/>
              <w:rPr>
                <w:rFonts w:ascii="Arial" w:hAnsi="Arial" w:cs="Arial"/>
                <w:sz w:val="14"/>
                <w:szCs w:val="14"/>
              </w:rPr>
            </w:pPr>
            <w:r w:rsidRPr="003321FA">
              <w:rPr>
                <w:rFonts w:ascii="Arial" w:eastAsia="Times New Roman" w:hAnsi="Arial" w:cs="Arial"/>
                <w:color w:val="000000"/>
                <w:spacing w:val="-2"/>
                <w:sz w:val="14"/>
                <w:szCs w:val="14"/>
                <w:lang w:eastAsia="pt-BR"/>
              </w:rPr>
              <w:t>Atribuível à BB Seguridade</w:t>
            </w:r>
          </w:p>
        </w:tc>
        <w:tc>
          <w:tcPr>
            <w:tcW w:w="1709" w:type="dxa"/>
            <w:tcBorders>
              <w:top w:val="nil"/>
              <w:left w:val="nil"/>
              <w:bottom w:val="nil"/>
              <w:right w:val="nil"/>
            </w:tcBorders>
            <w:shd w:val="clear" w:color="auto" w:fill="auto"/>
            <w:vAlign w:val="center"/>
          </w:tcPr>
          <w:p w14:paraId="5F1AFA2A"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709" w:type="dxa"/>
            <w:tcBorders>
              <w:top w:val="nil"/>
              <w:left w:val="nil"/>
              <w:bottom w:val="nil"/>
              <w:right w:val="nil"/>
            </w:tcBorders>
            <w:shd w:val="clear" w:color="auto" w:fill="auto"/>
            <w:vAlign w:val="center"/>
          </w:tcPr>
          <w:p w14:paraId="28FC1046"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709" w:type="dxa"/>
            <w:tcBorders>
              <w:top w:val="nil"/>
              <w:left w:val="nil"/>
              <w:bottom w:val="nil"/>
              <w:right w:val="nil"/>
            </w:tcBorders>
            <w:shd w:val="clear" w:color="auto" w:fill="auto"/>
            <w:vAlign w:val="center"/>
          </w:tcPr>
          <w:p w14:paraId="6909204C"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321FA">
              <w:rPr>
                <w:rFonts w:ascii="Arial" w:hAnsi="Arial" w:cs="Arial"/>
                <w:b/>
                <w:bCs/>
                <w:color w:val="000000"/>
                <w:sz w:val="14"/>
                <w:szCs w:val="14"/>
              </w:rPr>
              <w:t>3.311.744</w:t>
            </w:r>
          </w:p>
        </w:tc>
        <w:tc>
          <w:tcPr>
            <w:tcW w:w="1709" w:type="dxa"/>
            <w:tcBorders>
              <w:top w:val="nil"/>
              <w:left w:val="nil"/>
              <w:bottom w:val="nil"/>
              <w:right w:val="nil"/>
            </w:tcBorders>
            <w:shd w:val="clear" w:color="auto" w:fill="auto"/>
            <w:vAlign w:val="center"/>
          </w:tcPr>
          <w:p w14:paraId="1E28FFC5"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321FA">
              <w:rPr>
                <w:rFonts w:ascii="Arial" w:hAnsi="Arial" w:cs="Arial"/>
                <w:b/>
                <w:bCs/>
                <w:color w:val="000000"/>
                <w:sz w:val="14"/>
                <w:szCs w:val="14"/>
              </w:rPr>
              <w:t>2.915.377</w:t>
            </w:r>
          </w:p>
        </w:tc>
      </w:tr>
      <w:tr w:rsidR="003321FA" w:rsidRPr="003321FA" w14:paraId="64C4D406"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712EC516" w14:textId="77777777" w:rsidR="003321FA" w:rsidRPr="003321FA" w:rsidRDefault="003321FA">
            <w:pPr>
              <w:keepNext/>
              <w:keepLines/>
              <w:ind w:left="113"/>
              <w:rPr>
                <w:rFonts w:ascii="Arial" w:hAnsi="Arial" w:cs="Arial"/>
                <w:b w:val="0"/>
                <w:bCs w:val="0"/>
                <w:sz w:val="14"/>
                <w:szCs w:val="14"/>
              </w:rPr>
            </w:pPr>
            <w:r w:rsidRPr="003321FA">
              <w:rPr>
                <w:rFonts w:ascii="Arial" w:hAnsi="Arial" w:cs="Arial"/>
                <w:b w:val="0"/>
                <w:bCs w:val="0"/>
                <w:sz w:val="14"/>
                <w:szCs w:val="14"/>
              </w:rPr>
              <w:t xml:space="preserve">Amortização do intangível </w:t>
            </w:r>
            <w:r w:rsidRPr="003321FA">
              <w:rPr>
                <w:rFonts w:ascii="Arial" w:hAnsi="Arial" w:cs="Arial"/>
                <w:b w:val="0"/>
                <w:bCs w:val="0"/>
                <w:sz w:val="14"/>
                <w:szCs w:val="14"/>
                <w:vertAlign w:val="superscript"/>
              </w:rPr>
              <w:t>(1)</w:t>
            </w:r>
          </w:p>
        </w:tc>
        <w:tc>
          <w:tcPr>
            <w:tcW w:w="1709" w:type="dxa"/>
            <w:tcBorders>
              <w:top w:val="nil"/>
              <w:left w:val="nil"/>
              <w:bottom w:val="nil"/>
              <w:right w:val="nil"/>
            </w:tcBorders>
            <w:shd w:val="clear" w:color="auto" w:fill="auto"/>
            <w:vAlign w:val="center"/>
          </w:tcPr>
          <w:p w14:paraId="2A4BE3B7"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09" w:type="dxa"/>
            <w:tcBorders>
              <w:top w:val="nil"/>
              <w:left w:val="nil"/>
              <w:bottom w:val="nil"/>
              <w:right w:val="nil"/>
            </w:tcBorders>
            <w:shd w:val="clear" w:color="auto" w:fill="auto"/>
            <w:vAlign w:val="center"/>
          </w:tcPr>
          <w:p w14:paraId="3C6BADBC"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09" w:type="dxa"/>
            <w:tcBorders>
              <w:top w:val="nil"/>
              <w:left w:val="nil"/>
              <w:bottom w:val="nil"/>
              <w:right w:val="nil"/>
            </w:tcBorders>
            <w:shd w:val="clear" w:color="auto" w:fill="auto"/>
            <w:vAlign w:val="center"/>
          </w:tcPr>
          <w:p w14:paraId="09F4DF5D"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(16.181)</w:t>
            </w:r>
          </w:p>
        </w:tc>
        <w:tc>
          <w:tcPr>
            <w:tcW w:w="1709" w:type="dxa"/>
            <w:tcBorders>
              <w:top w:val="nil"/>
              <w:left w:val="nil"/>
              <w:bottom w:val="nil"/>
              <w:right w:val="nil"/>
            </w:tcBorders>
            <w:shd w:val="clear" w:color="auto" w:fill="auto"/>
            <w:vAlign w:val="center"/>
          </w:tcPr>
          <w:p w14:paraId="1229B300"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(15.407)</w:t>
            </w:r>
          </w:p>
        </w:tc>
      </w:tr>
      <w:tr w:rsidR="003321FA" w:rsidRPr="003321FA" w14:paraId="6D2AF33C"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single" w:sz="2" w:space="0" w:color="1F3864" w:themeColor="accent1" w:themeShade="80"/>
              <w:right w:val="nil"/>
            </w:tcBorders>
            <w:shd w:val="clear" w:color="auto" w:fill="auto"/>
            <w:vAlign w:val="center"/>
          </w:tcPr>
          <w:p w14:paraId="6E06DFE4" w14:textId="77777777" w:rsidR="003321FA" w:rsidRPr="003321FA" w:rsidRDefault="003321FA">
            <w:pPr>
              <w:keepNext/>
              <w:keepLines/>
              <w:rPr>
                <w:rFonts w:ascii="Arial" w:hAnsi="Arial" w:cs="Arial"/>
                <w:color w:val="000000"/>
                <w:sz w:val="14"/>
                <w:szCs w:val="14"/>
              </w:rPr>
            </w:pPr>
            <w:r w:rsidRPr="003321FA">
              <w:rPr>
                <w:rFonts w:ascii="Arial" w:eastAsia="Times New Roman" w:hAnsi="Arial" w:cs="Arial"/>
                <w:color w:val="000000"/>
                <w:spacing w:val="-2"/>
                <w:sz w:val="14"/>
                <w:szCs w:val="14"/>
                <w:lang w:eastAsia="pt-BR"/>
              </w:rPr>
              <w:t>Resultado de equivalência</w:t>
            </w:r>
          </w:p>
        </w:tc>
        <w:tc>
          <w:tcPr>
            <w:tcW w:w="1709" w:type="dxa"/>
            <w:tcBorders>
              <w:top w:val="nil"/>
              <w:left w:val="nil"/>
              <w:bottom w:val="single" w:sz="2" w:space="0" w:color="1F3864" w:themeColor="accent1" w:themeShade="80"/>
              <w:right w:val="nil"/>
            </w:tcBorders>
            <w:shd w:val="clear" w:color="auto" w:fill="auto"/>
            <w:vAlign w:val="center"/>
          </w:tcPr>
          <w:p w14:paraId="18C81562"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709" w:type="dxa"/>
            <w:tcBorders>
              <w:top w:val="nil"/>
              <w:left w:val="nil"/>
              <w:bottom w:val="single" w:sz="2" w:space="0" w:color="1F3864" w:themeColor="accent1" w:themeShade="80"/>
              <w:right w:val="nil"/>
            </w:tcBorders>
            <w:shd w:val="clear" w:color="auto" w:fill="auto"/>
            <w:vAlign w:val="center"/>
          </w:tcPr>
          <w:p w14:paraId="4EE90547"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709" w:type="dxa"/>
            <w:tcBorders>
              <w:top w:val="nil"/>
              <w:left w:val="nil"/>
              <w:bottom w:val="single" w:sz="2" w:space="0" w:color="1F3864" w:themeColor="accent1" w:themeShade="80"/>
              <w:right w:val="nil"/>
            </w:tcBorders>
            <w:shd w:val="clear" w:color="auto" w:fill="auto"/>
            <w:vAlign w:val="center"/>
          </w:tcPr>
          <w:p w14:paraId="5C7C42DE"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321FA">
              <w:rPr>
                <w:rFonts w:ascii="Arial" w:hAnsi="Arial" w:cs="Arial"/>
                <w:b/>
                <w:bCs/>
                <w:color w:val="000000"/>
                <w:sz w:val="14"/>
                <w:szCs w:val="14"/>
              </w:rPr>
              <w:t>3.295.563</w:t>
            </w:r>
          </w:p>
        </w:tc>
        <w:tc>
          <w:tcPr>
            <w:tcW w:w="1709" w:type="dxa"/>
            <w:tcBorders>
              <w:top w:val="nil"/>
              <w:left w:val="nil"/>
              <w:bottom w:val="single" w:sz="2" w:space="0" w:color="1F3864" w:themeColor="accent1" w:themeShade="80"/>
              <w:right w:val="nil"/>
            </w:tcBorders>
            <w:shd w:val="clear" w:color="auto" w:fill="auto"/>
            <w:vAlign w:val="center"/>
          </w:tcPr>
          <w:p w14:paraId="261E22D4"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321FA">
              <w:rPr>
                <w:rFonts w:ascii="Arial" w:hAnsi="Arial" w:cs="Arial"/>
                <w:b/>
                <w:bCs/>
                <w:color w:val="000000"/>
                <w:sz w:val="14"/>
                <w:szCs w:val="14"/>
              </w:rPr>
              <w:t>2.899.970</w:t>
            </w:r>
          </w:p>
        </w:tc>
      </w:tr>
    </w:tbl>
    <w:p w14:paraId="23C224EF" w14:textId="77777777" w:rsidR="003321FA" w:rsidRPr="003321FA" w:rsidRDefault="003321FA" w:rsidP="002C3B56">
      <w:pPr>
        <w:numPr>
          <w:ilvl w:val="0"/>
          <w:numId w:val="16"/>
        </w:numPr>
        <w:spacing w:after="160" w:line="257" w:lineRule="auto"/>
        <w:ind w:left="284" w:hanging="284"/>
        <w:contextualSpacing/>
        <w:jc w:val="both"/>
        <w:rPr>
          <w:rFonts w:ascii="Arial" w:eastAsia="Times New Roman" w:hAnsi="Arial" w:cs="Times New Roman"/>
          <w:spacing w:val="-2"/>
          <w:sz w:val="14"/>
          <w:szCs w:val="18"/>
          <w:lang w:eastAsia="pt-BR"/>
        </w:rPr>
      </w:pPr>
      <w:r w:rsidRPr="003321FA">
        <w:rPr>
          <w:rFonts w:ascii="Arial" w:eastAsia="Times New Roman" w:hAnsi="Arial" w:cs="Times New Roman"/>
          <w:spacing w:val="-2"/>
          <w:sz w:val="14"/>
          <w:szCs w:val="18"/>
          <w:lang w:eastAsia="pt-BR"/>
        </w:rPr>
        <w:t>Oriundo do acordo de parceria com a MAPFRE.</w:t>
      </w:r>
    </w:p>
    <w:p w14:paraId="6A0F9A19" w14:textId="77777777" w:rsidR="003321FA" w:rsidRPr="003321FA" w:rsidRDefault="003321FA" w:rsidP="003321FA">
      <w:pPr>
        <w:pStyle w:val="05-Textonormal"/>
        <w:spacing w:line="240" w:lineRule="auto"/>
        <w:rPr>
          <w:rFonts w:cs="Arial"/>
        </w:rPr>
      </w:pPr>
    </w:p>
    <w:p w14:paraId="7397908A" w14:textId="77777777" w:rsidR="003321FA" w:rsidRPr="003321FA" w:rsidRDefault="003321FA" w:rsidP="003321FA">
      <w:pPr>
        <w:pStyle w:val="05-Textonormal"/>
        <w:spacing w:line="240" w:lineRule="auto"/>
        <w:rPr>
          <w:rFonts w:cs="Arial"/>
        </w:rPr>
      </w:pPr>
      <w:r w:rsidRPr="003321FA">
        <w:rPr>
          <w:rFonts w:cs="Arial"/>
        </w:rPr>
        <w:t>Os impactos do CPC 50 [IFRS 17], em 2024 e 2023, e do CPC 48 [IFRS 9], em 2023, no Resultado líquido e no Resultado Abrangente, para fins de comparabilidade, estão indicados no quadro a seguir:</w:t>
      </w:r>
    </w:p>
    <w:p w14:paraId="1890E7B6" w14:textId="77777777" w:rsidR="003321FA" w:rsidRPr="003321FA" w:rsidRDefault="003321FA" w:rsidP="003321FA">
      <w:pPr>
        <w:spacing w:after="0" w:line="240" w:lineRule="auto"/>
        <w:jc w:val="right"/>
        <w:rPr>
          <w:rFonts w:ascii="Arial" w:hAnsi="Arial" w:cs="Arial"/>
          <w:b/>
          <w:sz w:val="14"/>
          <w:lang w:eastAsia="pt-BR"/>
        </w:rPr>
      </w:pPr>
      <w:r w:rsidRPr="003321FA">
        <w:rPr>
          <w:rFonts w:ascii="Arial" w:hAnsi="Arial" w:cs="Arial"/>
          <w:b/>
          <w:sz w:val="14"/>
          <w:lang w:eastAsia="pt-BR"/>
        </w:rPr>
        <w:t>R$ mil</w:t>
      </w:r>
    </w:p>
    <w:tbl>
      <w:tblPr>
        <w:tblStyle w:val="TabeladeLista6Colorida-nfase512"/>
        <w:tblW w:w="9639" w:type="dxa"/>
        <w:jc w:val="center"/>
        <w:tblLayout w:type="fixed"/>
        <w:tblLook w:val="04A0" w:firstRow="1" w:lastRow="0" w:firstColumn="1" w:lastColumn="0" w:noHBand="0" w:noVBand="1"/>
      </w:tblPr>
      <w:tblGrid>
        <w:gridCol w:w="2803"/>
        <w:gridCol w:w="1709"/>
        <w:gridCol w:w="1709"/>
        <w:gridCol w:w="1709"/>
        <w:gridCol w:w="1709"/>
      </w:tblGrid>
      <w:tr w:rsidR="003321FA" w:rsidRPr="003321FA" w14:paraId="213B52E8"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A15E20D" w14:textId="77777777" w:rsidR="003321FA" w:rsidRPr="003321FA" w:rsidRDefault="003321FA">
            <w:pPr>
              <w:jc w:val="center"/>
              <w:rPr>
                <w:rFonts w:ascii="Arial" w:hAnsi="Arial" w:cs="Arial"/>
                <w:sz w:val="14"/>
                <w:szCs w:val="14"/>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48DB14B" w14:textId="77777777" w:rsidR="003321FA" w:rsidRPr="003321FA" w:rsidRDefault="003321F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AD72FEF" w14:textId="77777777" w:rsidR="003321FA" w:rsidRPr="003321FA" w:rsidRDefault="003321F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C56CBAD" w14:textId="089FDB43" w:rsidR="003321FA" w:rsidRPr="003321FA" w:rsidRDefault="00BC794F">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r w:rsidRPr="003321FA">
              <w:rPr>
                <w:rFonts w:ascii="Arial" w:hAnsi="Arial" w:cs="Arial"/>
                <w:bCs w:val="0"/>
                <w:sz w:val="14"/>
                <w:szCs w:val="14"/>
              </w:rPr>
              <w:t>Exercício 2024</w:t>
            </w: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8D07C3E" w14:textId="77AB3D4D" w:rsidR="003321FA" w:rsidRPr="003321FA" w:rsidRDefault="00BC794F">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sz w:val="14"/>
                <w:szCs w:val="14"/>
              </w:rPr>
              <w:t>Exercício 2023</w:t>
            </w:r>
          </w:p>
        </w:tc>
      </w:tr>
      <w:tr w:rsidR="003321FA" w:rsidRPr="003321FA" w14:paraId="692DF903"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3864" w:themeColor="accent1" w:themeShade="80"/>
              <w:left w:val="nil"/>
              <w:bottom w:val="nil"/>
              <w:right w:val="nil"/>
            </w:tcBorders>
            <w:shd w:val="clear" w:color="auto" w:fill="auto"/>
            <w:vAlign w:val="center"/>
          </w:tcPr>
          <w:p w14:paraId="7BE855D6" w14:textId="77777777" w:rsidR="003321FA" w:rsidRPr="003321FA" w:rsidRDefault="003321FA">
            <w:pPr>
              <w:keepNext/>
              <w:keepLines/>
              <w:rPr>
                <w:rFonts w:ascii="Arial" w:eastAsia="Times New Roman" w:hAnsi="Arial" w:cs="Arial"/>
                <w:b w:val="0"/>
                <w:bCs w:val="0"/>
                <w:spacing w:val="-2"/>
                <w:sz w:val="14"/>
                <w:szCs w:val="14"/>
              </w:rPr>
            </w:pPr>
            <w:r w:rsidRPr="003321FA">
              <w:rPr>
                <w:rFonts w:ascii="Arial" w:hAnsi="Arial" w:cs="Arial"/>
                <w:b w:val="0"/>
                <w:bCs w:val="0"/>
                <w:sz w:val="14"/>
                <w:szCs w:val="14"/>
              </w:rPr>
              <w:t>Resultado Líquido - BRGAAP e IFRS</w:t>
            </w:r>
          </w:p>
        </w:tc>
        <w:tc>
          <w:tcPr>
            <w:tcW w:w="1709" w:type="dxa"/>
            <w:tcBorders>
              <w:top w:val="single" w:sz="2" w:space="0" w:color="1F3864" w:themeColor="accent1" w:themeShade="80"/>
              <w:left w:val="nil"/>
              <w:bottom w:val="nil"/>
              <w:right w:val="nil"/>
            </w:tcBorders>
            <w:shd w:val="clear" w:color="auto" w:fill="auto"/>
            <w:vAlign w:val="center"/>
          </w:tcPr>
          <w:p w14:paraId="1B31DE7E"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4"/>
                <w:szCs w:val="14"/>
              </w:rPr>
            </w:pPr>
          </w:p>
        </w:tc>
        <w:tc>
          <w:tcPr>
            <w:tcW w:w="1709" w:type="dxa"/>
            <w:tcBorders>
              <w:top w:val="single" w:sz="2" w:space="0" w:color="1F3864" w:themeColor="accent1" w:themeShade="80"/>
              <w:left w:val="nil"/>
              <w:bottom w:val="nil"/>
              <w:right w:val="nil"/>
            </w:tcBorders>
            <w:shd w:val="clear" w:color="auto" w:fill="auto"/>
            <w:vAlign w:val="center"/>
          </w:tcPr>
          <w:p w14:paraId="6331430A"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4"/>
                <w:szCs w:val="14"/>
              </w:rPr>
            </w:pPr>
          </w:p>
        </w:tc>
        <w:tc>
          <w:tcPr>
            <w:tcW w:w="1709" w:type="dxa"/>
            <w:tcBorders>
              <w:top w:val="single" w:sz="2" w:space="0" w:color="1F3864" w:themeColor="accent1" w:themeShade="80"/>
              <w:left w:val="nil"/>
              <w:bottom w:val="nil"/>
              <w:right w:val="nil"/>
            </w:tcBorders>
            <w:shd w:val="clear" w:color="auto" w:fill="auto"/>
            <w:vAlign w:val="center"/>
          </w:tcPr>
          <w:p w14:paraId="73E5CA78"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 xml:space="preserve">4.416.247 </w:t>
            </w:r>
          </w:p>
        </w:tc>
        <w:tc>
          <w:tcPr>
            <w:tcW w:w="1709" w:type="dxa"/>
            <w:tcBorders>
              <w:top w:val="single" w:sz="2" w:space="0" w:color="1F3864" w:themeColor="accent1" w:themeShade="80"/>
              <w:left w:val="nil"/>
              <w:bottom w:val="nil"/>
              <w:right w:val="nil"/>
            </w:tcBorders>
            <w:shd w:val="clear" w:color="auto" w:fill="auto"/>
            <w:vAlign w:val="center"/>
          </w:tcPr>
          <w:p w14:paraId="519556C1"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 xml:space="preserve">             3.887.688</w:t>
            </w:r>
          </w:p>
        </w:tc>
      </w:tr>
      <w:tr w:rsidR="003321FA" w:rsidRPr="003321FA" w14:paraId="20761486"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23B6CC32" w14:textId="77777777" w:rsidR="003321FA" w:rsidRPr="003321FA" w:rsidRDefault="003321FA">
            <w:pPr>
              <w:keepNext/>
              <w:keepLines/>
              <w:rPr>
                <w:rFonts w:ascii="Arial" w:hAnsi="Arial" w:cs="Arial"/>
                <w:b w:val="0"/>
                <w:bCs w:val="0"/>
                <w:sz w:val="14"/>
                <w:szCs w:val="14"/>
              </w:rPr>
            </w:pPr>
            <w:r w:rsidRPr="003321FA">
              <w:rPr>
                <w:rFonts w:ascii="Arial" w:hAnsi="Arial" w:cs="Arial"/>
                <w:b w:val="0"/>
                <w:bCs w:val="0"/>
                <w:sz w:val="14"/>
                <w:szCs w:val="14"/>
              </w:rPr>
              <w:t>Resultado Líquido - SUSEPGAAP</w:t>
            </w:r>
          </w:p>
        </w:tc>
        <w:tc>
          <w:tcPr>
            <w:tcW w:w="1709" w:type="dxa"/>
            <w:tcBorders>
              <w:top w:val="nil"/>
              <w:left w:val="nil"/>
              <w:bottom w:val="nil"/>
              <w:right w:val="nil"/>
            </w:tcBorders>
            <w:shd w:val="clear" w:color="auto" w:fill="auto"/>
            <w:vAlign w:val="center"/>
          </w:tcPr>
          <w:p w14:paraId="36C4676B"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bCs/>
                <w:color w:val="000000"/>
                <w:sz w:val="14"/>
                <w:szCs w:val="14"/>
              </w:rPr>
            </w:pPr>
          </w:p>
        </w:tc>
        <w:tc>
          <w:tcPr>
            <w:tcW w:w="1709" w:type="dxa"/>
            <w:tcBorders>
              <w:top w:val="nil"/>
              <w:left w:val="nil"/>
              <w:bottom w:val="nil"/>
              <w:right w:val="nil"/>
            </w:tcBorders>
            <w:shd w:val="clear" w:color="auto" w:fill="auto"/>
            <w:vAlign w:val="center"/>
          </w:tcPr>
          <w:p w14:paraId="27C031C3"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bCs/>
                <w:color w:val="000000"/>
                <w:sz w:val="14"/>
                <w:szCs w:val="14"/>
              </w:rPr>
            </w:pPr>
          </w:p>
        </w:tc>
        <w:tc>
          <w:tcPr>
            <w:tcW w:w="1709" w:type="dxa"/>
            <w:tcBorders>
              <w:top w:val="nil"/>
              <w:left w:val="nil"/>
              <w:bottom w:val="nil"/>
              <w:right w:val="nil"/>
            </w:tcBorders>
            <w:shd w:val="clear" w:color="auto" w:fill="auto"/>
            <w:vAlign w:val="center"/>
          </w:tcPr>
          <w:p w14:paraId="1341E108"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 xml:space="preserve">4.468.463 </w:t>
            </w:r>
          </w:p>
        </w:tc>
        <w:tc>
          <w:tcPr>
            <w:tcW w:w="1709" w:type="dxa"/>
            <w:tcBorders>
              <w:top w:val="nil"/>
              <w:left w:val="nil"/>
              <w:bottom w:val="nil"/>
              <w:right w:val="nil"/>
            </w:tcBorders>
            <w:shd w:val="clear" w:color="auto" w:fill="auto"/>
            <w:vAlign w:val="center"/>
          </w:tcPr>
          <w:p w14:paraId="6162A58E"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 xml:space="preserve">             4.043.925</w:t>
            </w:r>
          </w:p>
        </w:tc>
      </w:tr>
      <w:tr w:rsidR="003321FA" w:rsidRPr="003321FA" w14:paraId="1CCC2350"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6CFE2DA5" w14:textId="77777777" w:rsidR="003321FA" w:rsidRPr="003321FA" w:rsidRDefault="003321FA">
            <w:pPr>
              <w:keepNext/>
              <w:keepLines/>
              <w:rPr>
                <w:rFonts w:ascii="Arial" w:hAnsi="Arial" w:cs="Arial"/>
                <w:b w:val="0"/>
                <w:bCs w:val="0"/>
                <w:sz w:val="14"/>
                <w:szCs w:val="14"/>
              </w:rPr>
            </w:pPr>
          </w:p>
        </w:tc>
        <w:tc>
          <w:tcPr>
            <w:tcW w:w="1709" w:type="dxa"/>
            <w:tcBorders>
              <w:top w:val="nil"/>
              <w:left w:val="nil"/>
              <w:bottom w:val="nil"/>
              <w:right w:val="nil"/>
            </w:tcBorders>
            <w:shd w:val="clear" w:color="auto" w:fill="auto"/>
            <w:vAlign w:val="center"/>
          </w:tcPr>
          <w:p w14:paraId="6E2A1264"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4"/>
                <w:szCs w:val="14"/>
              </w:rPr>
            </w:pPr>
          </w:p>
        </w:tc>
        <w:tc>
          <w:tcPr>
            <w:tcW w:w="1709" w:type="dxa"/>
            <w:tcBorders>
              <w:top w:val="nil"/>
              <w:left w:val="nil"/>
              <w:bottom w:val="nil"/>
              <w:right w:val="nil"/>
            </w:tcBorders>
            <w:shd w:val="clear" w:color="auto" w:fill="auto"/>
            <w:vAlign w:val="center"/>
          </w:tcPr>
          <w:p w14:paraId="5F10857B"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4"/>
                <w:szCs w:val="14"/>
              </w:rPr>
            </w:pPr>
          </w:p>
        </w:tc>
        <w:tc>
          <w:tcPr>
            <w:tcW w:w="1709" w:type="dxa"/>
            <w:tcBorders>
              <w:top w:val="nil"/>
              <w:left w:val="nil"/>
              <w:bottom w:val="nil"/>
              <w:right w:val="nil"/>
            </w:tcBorders>
            <w:shd w:val="clear" w:color="auto" w:fill="auto"/>
            <w:vAlign w:val="center"/>
          </w:tcPr>
          <w:p w14:paraId="17DDA2F7"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auto"/>
            <w:vAlign w:val="center"/>
          </w:tcPr>
          <w:p w14:paraId="2CC1AB0F"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r>
      <w:tr w:rsidR="003321FA" w:rsidRPr="003321FA" w14:paraId="01407C3A"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5E7364C4" w14:textId="77777777" w:rsidR="003321FA" w:rsidRPr="003321FA" w:rsidRDefault="003321FA">
            <w:pPr>
              <w:keepNext/>
              <w:keepLines/>
              <w:spacing w:before="40" w:after="40"/>
              <w:rPr>
                <w:rFonts w:ascii="Arial" w:hAnsi="Arial" w:cs="Arial"/>
                <w:b w:val="0"/>
                <w:bCs w:val="0"/>
                <w:sz w:val="14"/>
                <w:szCs w:val="14"/>
              </w:rPr>
            </w:pPr>
            <w:r w:rsidRPr="003321FA">
              <w:rPr>
                <w:rFonts w:ascii="Arial" w:hAnsi="Arial" w:cs="Arial"/>
                <w:b w:val="0"/>
                <w:bCs w:val="0"/>
                <w:sz w:val="14"/>
                <w:szCs w:val="14"/>
              </w:rPr>
              <w:t>Resultado Abrangente - BRGAAP e IFRS</w:t>
            </w:r>
          </w:p>
        </w:tc>
        <w:tc>
          <w:tcPr>
            <w:tcW w:w="1709" w:type="dxa"/>
            <w:tcBorders>
              <w:top w:val="nil"/>
              <w:left w:val="nil"/>
              <w:bottom w:val="nil"/>
              <w:right w:val="nil"/>
            </w:tcBorders>
            <w:shd w:val="clear" w:color="auto" w:fill="auto"/>
            <w:vAlign w:val="center"/>
          </w:tcPr>
          <w:p w14:paraId="0BED8F98"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bCs/>
                <w:color w:val="000000"/>
                <w:sz w:val="14"/>
                <w:szCs w:val="14"/>
              </w:rPr>
            </w:pPr>
          </w:p>
        </w:tc>
        <w:tc>
          <w:tcPr>
            <w:tcW w:w="1709" w:type="dxa"/>
            <w:tcBorders>
              <w:top w:val="nil"/>
              <w:left w:val="nil"/>
              <w:bottom w:val="nil"/>
              <w:right w:val="nil"/>
            </w:tcBorders>
            <w:shd w:val="clear" w:color="auto" w:fill="auto"/>
            <w:vAlign w:val="center"/>
          </w:tcPr>
          <w:p w14:paraId="33AA6C46"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bCs/>
                <w:color w:val="000000"/>
                <w:sz w:val="14"/>
                <w:szCs w:val="14"/>
              </w:rPr>
            </w:pPr>
          </w:p>
        </w:tc>
        <w:tc>
          <w:tcPr>
            <w:tcW w:w="1709" w:type="dxa"/>
            <w:tcBorders>
              <w:top w:val="nil"/>
              <w:left w:val="nil"/>
              <w:bottom w:val="nil"/>
              <w:right w:val="nil"/>
            </w:tcBorders>
            <w:shd w:val="clear" w:color="auto" w:fill="auto"/>
            <w:vAlign w:val="center"/>
          </w:tcPr>
          <w:p w14:paraId="2C0879CB"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 xml:space="preserve">4.339.542 </w:t>
            </w:r>
          </w:p>
        </w:tc>
        <w:tc>
          <w:tcPr>
            <w:tcW w:w="1709" w:type="dxa"/>
            <w:tcBorders>
              <w:top w:val="nil"/>
              <w:left w:val="nil"/>
              <w:bottom w:val="nil"/>
              <w:right w:val="nil"/>
            </w:tcBorders>
            <w:shd w:val="clear" w:color="auto" w:fill="auto"/>
            <w:vAlign w:val="center"/>
          </w:tcPr>
          <w:p w14:paraId="5C353BB5"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 xml:space="preserve">             3.994.444</w:t>
            </w:r>
          </w:p>
        </w:tc>
      </w:tr>
      <w:tr w:rsidR="003321FA" w:rsidRPr="003321FA" w14:paraId="116C49D1"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single" w:sz="2" w:space="0" w:color="1F3864" w:themeColor="accent1" w:themeShade="80"/>
              <w:right w:val="nil"/>
            </w:tcBorders>
            <w:shd w:val="clear" w:color="auto" w:fill="auto"/>
            <w:vAlign w:val="center"/>
          </w:tcPr>
          <w:p w14:paraId="21EA7F02" w14:textId="77777777" w:rsidR="003321FA" w:rsidRPr="003321FA" w:rsidRDefault="003321FA">
            <w:pPr>
              <w:keepNext/>
              <w:keepLines/>
              <w:spacing w:before="40" w:after="40"/>
              <w:rPr>
                <w:rFonts w:ascii="Arial" w:hAnsi="Arial" w:cs="Arial"/>
                <w:b w:val="0"/>
                <w:bCs w:val="0"/>
                <w:sz w:val="14"/>
                <w:szCs w:val="14"/>
              </w:rPr>
            </w:pPr>
            <w:r w:rsidRPr="003321FA">
              <w:rPr>
                <w:rFonts w:ascii="Arial" w:hAnsi="Arial" w:cs="Arial"/>
                <w:b w:val="0"/>
                <w:bCs w:val="0"/>
                <w:sz w:val="14"/>
                <w:szCs w:val="14"/>
              </w:rPr>
              <w:t>Resultado Abrangente - SUSEPGAAP</w:t>
            </w:r>
          </w:p>
        </w:tc>
        <w:tc>
          <w:tcPr>
            <w:tcW w:w="1709" w:type="dxa"/>
            <w:tcBorders>
              <w:top w:val="nil"/>
              <w:left w:val="nil"/>
              <w:bottom w:val="single" w:sz="2" w:space="0" w:color="1F3864" w:themeColor="accent1" w:themeShade="80"/>
              <w:right w:val="nil"/>
            </w:tcBorders>
            <w:shd w:val="clear" w:color="auto" w:fill="auto"/>
            <w:vAlign w:val="center"/>
          </w:tcPr>
          <w:p w14:paraId="3C174393"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4"/>
                <w:szCs w:val="14"/>
              </w:rPr>
            </w:pPr>
          </w:p>
        </w:tc>
        <w:tc>
          <w:tcPr>
            <w:tcW w:w="1709" w:type="dxa"/>
            <w:tcBorders>
              <w:top w:val="nil"/>
              <w:left w:val="nil"/>
              <w:bottom w:val="single" w:sz="2" w:space="0" w:color="1F3864" w:themeColor="accent1" w:themeShade="80"/>
              <w:right w:val="nil"/>
            </w:tcBorders>
            <w:shd w:val="clear" w:color="auto" w:fill="auto"/>
            <w:vAlign w:val="center"/>
          </w:tcPr>
          <w:p w14:paraId="63882731"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4"/>
                <w:szCs w:val="14"/>
              </w:rPr>
            </w:pPr>
          </w:p>
        </w:tc>
        <w:tc>
          <w:tcPr>
            <w:tcW w:w="1709" w:type="dxa"/>
            <w:tcBorders>
              <w:top w:val="nil"/>
              <w:left w:val="nil"/>
              <w:bottom w:val="single" w:sz="2" w:space="0" w:color="1F3864" w:themeColor="accent1" w:themeShade="80"/>
              <w:right w:val="nil"/>
            </w:tcBorders>
            <w:shd w:val="clear" w:color="auto" w:fill="auto"/>
            <w:vAlign w:val="center"/>
          </w:tcPr>
          <w:p w14:paraId="79548194"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 xml:space="preserve">4.418.130 </w:t>
            </w:r>
          </w:p>
        </w:tc>
        <w:tc>
          <w:tcPr>
            <w:tcW w:w="1709" w:type="dxa"/>
            <w:tcBorders>
              <w:top w:val="nil"/>
              <w:left w:val="nil"/>
              <w:bottom w:val="single" w:sz="2" w:space="0" w:color="1F3864" w:themeColor="accent1" w:themeShade="80"/>
              <w:right w:val="nil"/>
            </w:tcBorders>
            <w:shd w:val="clear" w:color="auto" w:fill="auto"/>
            <w:vAlign w:val="center"/>
          </w:tcPr>
          <w:p w14:paraId="39FBF17E"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 xml:space="preserve">             4.121.109</w:t>
            </w:r>
          </w:p>
        </w:tc>
      </w:tr>
    </w:tbl>
    <w:p w14:paraId="02587EA4" w14:textId="77777777" w:rsidR="003321FA" w:rsidRPr="003321FA" w:rsidRDefault="003321FA" w:rsidP="003321FA">
      <w:pPr>
        <w:spacing w:after="0" w:line="240" w:lineRule="auto"/>
        <w:rPr>
          <w:rFonts w:ascii="Arial" w:eastAsia="Times New Roman" w:hAnsi="Arial" w:cs="Times New Roman"/>
          <w:b/>
          <w:color w:val="1F3864" w:themeColor="accent1" w:themeShade="80"/>
          <w:spacing w:val="-2"/>
          <w:sz w:val="18"/>
          <w:szCs w:val="20"/>
          <w:lang w:eastAsia="pt-BR"/>
        </w:rPr>
      </w:pPr>
    </w:p>
    <w:p w14:paraId="17FF1766" w14:textId="77777777" w:rsidR="003321FA" w:rsidRPr="003321FA" w:rsidRDefault="003321FA" w:rsidP="003321FA">
      <w:pPr>
        <w:pageBreakBefore/>
        <w:spacing w:after="0" w:line="240" w:lineRule="auto"/>
        <w:rPr>
          <w:rFonts w:ascii="Arial" w:eastAsia="Times New Roman" w:hAnsi="Arial" w:cs="Times New Roman"/>
          <w:b/>
          <w:color w:val="1F3864" w:themeColor="accent1" w:themeShade="80"/>
          <w:spacing w:val="-2"/>
          <w:sz w:val="18"/>
          <w:szCs w:val="20"/>
          <w:lang w:eastAsia="pt-BR"/>
        </w:rPr>
      </w:pPr>
      <w:r w:rsidRPr="003321FA">
        <w:rPr>
          <w:rFonts w:ascii="Arial" w:eastAsia="Times New Roman" w:hAnsi="Arial" w:cs="Times New Roman"/>
          <w:b/>
          <w:color w:val="1F3864" w:themeColor="accent1" w:themeShade="80"/>
          <w:spacing w:val="-2"/>
          <w:sz w:val="18"/>
          <w:szCs w:val="20"/>
          <w:lang w:eastAsia="pt-BR"/>
        </w:rPr>
        <w:lastRenderedPageBreak/>
        <w:t>Informações Patrimoniais</w:t>
      </w:r>
    </w:p>
    <w:p w14:paraId="303151EA" w14:textId="77777777" w:rsidR="003321FA" w:rsidRPr="003321FA" w:rsidRDefault="003321FA" w:rsidP="003321FA">
      <w:pPr>
        <w:spacing w:after="0" w:line="240" w:lineRule="auto"/>
        <w:jc w:val="right"/>
        <w:rPr>
          <w:rFonts w:ascii="Arial" w:hAnsi="Arial" w:cs="Arial"/>
          <w:b/>
          <w:sz w:val="14"/>
          <w:lang w:eastAsia="pt-BR"/>
        </w:rPr>
      </w:pPr>
      <w:r w:rsidRPr="003321FA">
        <w:rPr>
          <w:rFonts w:ascii="Arial" w:hAnsi="Arial" w:cs="Arial"/>
          <w:b/>
          <w:sz w:val="14"/>
          <w:lang w:eastAsia="pt-BR"/>
        </w:rPr>
        <w:t>R$ mil</w:t>
      </w:r>
    </w:p>
    <w:tbl>
      <w:tblPr>
        <w:tblStyle w:val="TabeladeLista6Colorida-nfase512"/>
        <w:tblW w:w="9640" w:type="dxa"/>
        <w:jc w:val="center"/>
        <w:tblLayout w:type="fixed"/>
        <w:tblLook w:val="04A0" w:firstRow="1" w:lastRow="0" w:firstColumn="1" w:lastColumn="0" w:noHBand="0" w:noVBand="1"/>
      </w:tblPr>
      <w:tblGrid>
        <w:gridCol w:w="3120"/>
        <w:gridCol w:w="3260"/>
        <w:gridCol w:w="3260"/>
      </w:tblGrid>
      <w:tr w:rsidR="003321FA" w:rsidRPr="003321FA" w14:paraId="4B3C722D"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F204EC7" w14:textId="77777777" w:rsidR="003321FA" w:rsidRPr="003321FA" w:rsidRDefault="003321FA">
            <w:pPr>
              <w:rPr>
                <w:rFonts w:ascii="Arial" w:hAnsi="Arial" w:cs="Arial"/>
                <w:sz w:val="14"/>
                <w:szCs w:val="14"/>
              </w:rPr>
            </w:pPr>
          </w:p>
        </w:tc>
        <w:tc>
          <w:tcPr>
            <w:tcW w:w="326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57B2127" w14:textId="77777777" w:rsidR="003321FA" w:rsidRPr="003321FA" w:rsidRDefault="003321F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sz w:val="14"/>
                <w:szCs w:val="14"/>
              </w:rPr>
              <w:t>31.12.2024</w:t>
            </w:r>
          </w:p>
        </w:tc>
        <w:tc>
          <w:tcPr>
            <w:tcW w:w="326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FB3AE8F" w14:textId="77777777" w:rsidR="003321FA" w:rsidRPr="003321FA" w:rsidRDefault="003321F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sz w:val="14"/>
                <w:szCs w:val="14"/>
              </w:rPr>
              <w:t>31.12.2023</w:t>
            </w:r>
          </w:p>
        </w:tc>
      </w:tr>
      <w:tr w:rsidR="003321FA" w:rsidRPr="003321FA" w14:paraId="6E30E06A"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nil"/>
              <w:right w:val="nil"/>
            </w:tcBorders>
            <w:shd w:val="clear" w:color="auto" w:fill="auto"/>
            <w:vAlign w:val="center"/>
          </w:tcPr>
          <w:p w14:paraId="68F4F419" w14:textId="77777777" w:rsidR="003321FA" w:rsidRPr="003321FA" w:rsidRDefault="003321FA">
            <w:pPr>
              <w:keepNext/>
              <w:keepLines/>
              <w:rPr>
                <w:rFonts w:ascii="Arial" w:hAnsi="Arial" w:cs="Arial"/>
                <w:color w:val="000000"/>
                <w:sz w:val="14"/>
                <w:szCs w:val="14"/>
              </w:rPr>
            </w:pPr>
            <w:r w:rsidRPr="003321FA">
              <w:rPr>
                <w:rFonts w:ascii="Arial" w:hAnsi="Arial" w:cs="Arial"/>
                <w:color w:val="000000"/>
                <w:sz w:val="14"/>
                <w:szCs w:val="14"/>
              </w:rPr>
              <w:t>Ativo Circulante</w:t>
            </w:r>
          </w:p>
        </w:tc>
        <w:tc>
          <w:tcPr>
            <w:tcW w:w="3260" w:type="dxa"/>
            <w:tcBorders>
              <w:top w:val="single" w:sz="2" w:space="0" w:color="1F3864" w:themeColor="accent1" w:themeShade="80"/>
              <w:left w:val="nil"/>
              <w:bottom w:val="nil"/>
              <w:right w:val="nil"/>
            </w:tcBorders>
            <w:shd w:val="clear" w:color="auto" w:fill="auto"/>
            <w:vAlign w:val="center"/>
          </w:tcPr>
          <w:p w14:paraId="1845556D"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321FA">
              <w:rPr>
                <w:rFonts w:ascii="Arial" w:hAnsi="Arial" w:cs="Arial"/>
                <w:b/>
                <w:bCs/>
                <w:color w:val="000000"/>
                <w:sz w:val="14"/>
                <w:szCs w:val="14"/>
              </w:rPr>
              <w:t>277.505</w:t>
            </w:r>
          </w:p>
        </w:tc>
        <w:tc>
          <w:tcPr>
            <w:tcW w:w="3260" w:type="dxa"/>
            <w:tcBorders>
              <w:top w:val="single" w:sz="2" w:space="0" w:color="1F3864" w:themeColor="accent1" w:themeShade="80"/>
              <w:left w:val="nil"/>
              <w:bottom w:val="nil"/>
              <w:right w:val="nil"/>
            </w:tcBorders>
            <w:shd w:val="clear" w:color="auto" w:fill="auto"/>
            <w:vAlign w:val="center"/>
          </w:tcPr>
          <w:p w14:paraId="36EAF11E"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321FA">
              <w:rPr>
                <w:rFonts w:ascii="Arial" w:hAnsi="Arial" w:cs="Arial"/>
                <w:b/>
                <w:bCs/>
                <w:color w:val="000000"/>
                <w:sz w:val="14"/>
                <w:szCs w:val="14"/>
              </w:rPr>
              <w:t>11.864</w:t>
            </w:r>
          </w:p>
        </w:tc>
      </w:tr>
      <w:tr w:rsidR="003321FA" w:rsidRPr="003321FA" w14:paraId="287997D8"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41E3E83" w14:textId="77777777" w:rsidR="003321FA" w:rsidRPr="003321FA" w:rsidRDefault="003321FA">
            <w:pPr>
              <w:keepNext/>
              <w:keepLines/>
              <w:ind w:left="113"/>
              <w:rPr>
                <w:rFonts w:ascii="Arial" w:hAnsi="Arial" w:cs="Arial"/>
                <w:b w:val="0"/>
                <w:bCs w:val="0"/>
                <w:color w:val="000000"/>
                <w:sz w:val="14"/>
                <w:szCs w:val="14"/>
              </w:rPr>
            </w:pPr>
            <w:r w:rsidRPr="003321FA">
              <w:rPr>
                <w:rFonts w:ascii="Arial" w:hAnsi="Arial" w:cs="Arial"/>
                <w:b w:val="0"/>
                <w:bCs w:val="0"/>
                <w:color w:val="000000"/>
                <w:sz w:val="14"/>
                <w:szCs w:val="14"/>
              </w:rPr>
              <w:t>Caixa e equivalente de caixa</w:t>
            </w:r>
          </w:p>
        </w:tc>
        <w:tc>
          <w:tcPr>
            <w:tcW w:w="3260" w:type="dxa"/>
            <w:tcBorders>
              <w:top w:val="nil"/>
              <w:left w:val="nil"/>
              <w:bottom w:val="nil"/>
              <w:right w:val="nil"/>
            </w:tcBorders>
            <w:shd w:val="clear" w:color="auto" w:fill="auto"/>
            <w:vAlign w:val="center"/>
          </w:tcPr>
          <w:p w14:paraId="7751191A"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w:t>
            </w:r>
          </w:p>
        </w:tc>
        <w:tc>
          <w:tcPr>
            <w:tcW w:w="3260" w:type="dxa"/>
            <w:tcBorders>
              <w:top w:val="nil"/>
              <w:left w:val="nil"/>
              <w:bottom w:val="nil"/>
              <w:right w:val="nil"/>
            </w:tcBorders>
            <w:shd w:val="clear" w:color="auto" w:fill="auto"/>
            <w:vAlign w:val="center"/>
          </w:tcPr>
          <w:p w14:paraId="7D3D01C3"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18</w:t>
            </w:r>
          </w:p>
        </w:tc>
      </w:tr>
      <w:tr w:rsidR="003321FA" w:rsidRPr="003321FA" w14:paraId="0836BBBE"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BC2F2A3" w14:textId="77777777" w:rsidR="003321FA" w:rsidRPr="003321FA" w:rsidRDefault="003321FA">
            <w:pPr>
              <w:keepNext/>
              <w:keepLines/>
              <w:ind w:left="113"/>
              <w:rPr>
                <w:rFonts w:ascii="Arial" w:hAnsi="Arial" w:cs="Arial"/>
                <w:b w:val="0"/>
                <w:bCs w:val="0"/>
                <w:color w:val="000000"/>
                <w:sz w:val="14"/>
                <w:szCs w:val="14"/>
              </w:rPr>
            </w:pPr>
            <w:r w:rsidRPr="003321FA">
              <w:rPr>
                <w:rFonts w:ascii="Arial" w:hAnsi="Arial" w:cs="Arial"/>
                <w:b w:val="0"/>
                <w:bCs w:val="0"/>
                <w:color w:val="000000"/>
                <w:sz w:val="14"/>
                <w:szCs w:val="14"/>
              </w:rPr>
              <w:t>Contas a receber</w:t>
            </w:r>
          </w:p>
        </w:tc>
        <w:tc>
          <w:tcPr>
            <w:tcW w:w="3260" w:type="dxa"/>
            <w:tcBorders>
              <w:top w:val="nil"/>
              <w:left w:val="nil"/>
              <w:bottom w:val="nil"/>
              <w:right w:val="nil"/>
            </w:tcBorders>
            <w:shd w:val="clear" w:color="auto" w:fill="auto"/>
            <w:vAlign w:val="center"/>
          </w:tcPr>
          <w:p w14:paraId="60E347C1"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400</w:t>
            </w:r>
          </w:p>
        </w:tc>
        <w:tc>
          <w:tcPr>
            <w:tcW w:w="3260" w:type="dxa"/>
            <w:tcBorders>
              <w:top w:val="nil"/>
              <w:left w:val="nil"/>
              <w:bottom w:val="nil"/>
              <w:right w:val="nil"/>
            </w:tcBorders>
            <w:shd w:val="clear" w:color="auto" w:fill="auto"/>
            <w:vAlign w:val="center"/>
          </w:tcPr>
          <w:p w14:paraId="0A44B093"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438</w:t>
            </w:r>
          </w:p>
        </w:tc>
      </w:tr>
      <w:tr w:rsidR="003321FA" w:rsidRPr="003321FA" w14:paraId="0BB3A17E"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6CD0E50" w14:textId="77777777" w:rsidR="003321FA" w:rsidRPr="003321FA" w:rsidRDefault="003321FA">
            <w:pPr>
              <w:keepNext/>
              <w:keepLines/>
              <w:ind w:left="113"/>
              <w:rPr>
                <w:rFonts w:ascii="Arial" w:hAnsi="Arial" w:cs="Arial"/>
                <w:b w:val="0"/>
                <w:bCs w:val="0"/>
                <w:color w:val="000000"/>
                <w:sz w:val="14"/>
                <w:szCs w:val="14"/>
              </w:rPr>
            </w:pPr>
            <w:r w:rsidRPr="003321FA">
              <w:rPr>
                <w:rFonts w:ascii="Arial" w:hAnsi="Arial" w:cs="Arial"/>
                <w:b w:val="0"/>
                <w:bCs w:val="0"/>
                <w:color w:val="000000"/>
                <w:sz w:val="14"/>
                <w:szCs w:val="14"/>
              </w:rPr>
              <w:t>Instrumentos Financeiros</w:t>
            </w:r>
          </w:p>
        </w:tc>
        <w:tc>
          <w:tcPr>
            <w:tcW w:w="3260" w:type="dxa"/>
            <w:tcBorders>
              <w:top w:val="nil"/>
              <w:left w:val="nil"/>
              <w:bottom w:val="nil"/>
              <w:right w:val="nil"/>
            </w:tcBorders>
            <w:shd w:val="clear" w:color="auto" w:fill="auto"/>
            <w:vAlign w:val="center"/>
          </w:tcPr>
          <w:p w14:paraId="73AAE5EE"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275.645</w:t>
            </w:r>
          </w:p>
        </w:tc>
        <w:tc>
          <w:tcPr>
            <w:tcW w:w="3260" w:type="dxa"/>
            <w:tcBorders>
              <w:top w:val="nil"/>
              <w:left w:val="nil"/>
              <w:bottom w:val="nil"/>
              <w:right w:val="nil"/>
            </w:tcBorders>
            <w:shd w:val="clear" w:color="auto" w:fill="auto"/>
            <w:vAlign w:val="center"/>
          </w:tcPr>
          <w:p w14:paraId="7E43D79D"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9.906</w:t>
            </w:r>
          </w:p>
        </w:tc>
      </w:tr>
      <w:tr w:rsidR="003321FA" w:rsidRPr="003321FA" w14:paraId="53663403"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5471134" w14:textId="77777777" w:rsidR="003321FA" w:rsidRPr="003321FA" w:rsidRDefault="003321FA">
            <w:pPr>
              <w:keepNext/>
              <w:keepLines/>
              <w:ind w:left="113"/>
              <w:rPr>
                <w:rFonts w:ascii="Arial" w:hAnsi="Arial" w:cs="Arial"/>
                <w:b w:val="0"/>
                <w:bCs w:val="0"/>
                <w:color w:val="000000"/>
                <w:sz w:val="14"/>
                <w:szCs w:val="14"/>
              </w:rPr>
            </w:pPr>
            <w:r w:rsidRPr="003321FA">
              <w:rPr>
                <w:rFonts w:ascii="Arial" w:hAnsi="Arial" w:cs="Arial"/>
                <w:b w:val="0"/>
                <w:bCs w:val="0"/>
                <w:color w:val="000000"/>
                <w:sz w:val="14"/>
                <w:szCs w:val="14"/>
              </w:rPr>
              <w:t>Ativo fiscal Corrente</w:t>
            </w:r>
          </w:p>
        </w:tc>
        <w:tc>
          <w:tcPr>
            <w:tcW w:w="3260" w:type="dxa"/>
            <w:tcBorders>
              <w:top w:val="nil"/>
              <w:left w:val="nil"/>
              <w:bottom w:val="nil"/>
              <w:right w:val="nil"/>
            </w:tcBorders>
            <w:shd w:val="clear" w:color="auto" w:fill="auto"/>
            <w:vAlign w:val="center"/>
          </w:tcPr>
          <w:p w14:paraId="126BB4BC"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1.335</w:t>
            </w:r>
          </w:p>
        </w:tc>
        <w:tc>
          <w:tcPr>
            <w:tcW w:w="3260" w:type="dxa"/>
            <w:tcBorders>
              <w:top w:val="nil"/>
              <w:left w:val="nil"/>
              <w:bottom w:val="nil"/>
              <w:right w:val="nil"/>
            </w:tcBorders>
            <w:shd w:val="clear" w:color="auto" w:fill="auto"/>
            <w:vAlign w:val="center"/>
          </w:tcPr>
          <w:p w14:paraId="490156A8"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1.361</w:t>
            </w:r>
          </w:p>
        </w:tc>
      </w:tr>
      <w:tr w:rsidR="003321FA" w:rsidRPr="003321FA" w14:paraId="7C8AF7BB"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2E62DC9" w14:textId="77777777" w:rsidR="003321FA" w:rsidRPr="003321FA" w:rsidRDefault="003321FA">
            <w:pPr>
              <w:keepNext/>
              <w:keepLines/>
              <w:ind w:left="113"/>
              <w:rPr>
                <w:rFonts w:ascii="Arial" w:hAnsi="Arial" w:cs="Arial"/>
                <w:b w:val="0"/>
                <w:bCs w:val="0"/>
                <w:color w:val="000000"/>
                <w:sz w:val="14"/>
                <w:szCs w:val="14"/>
              </w:rPr>
            </w:pPr>
            <w:r w:rsidRPr="003321FA">
              <w:rPr>
                <w:rFonts w:ascii="Arial" w:hAnsi="Arial" w:cs="Arial"/>
                <w:b w:val="0"/>
                <w:bCs w:val="0"/>
                <w:color w:val="000000"/>
                <w:sz w:val="14"/>
                <w:szCs w:val="14"/>
              </w:rPr>
              <w:t>Outros Ativos</w:t>
            </w:r>
          </w:p>
        </w:tc>
        <w:tc>
          <w:tcPr>
            <w:tcW w:w="3260" w:type="dxa"/>
            <w:tcBorders>
              <w:top w:val="nil"/>
              <w:left w:val="nil"/>
              <w:bottom w:val="nil"/>
              <w:right w:val="nil"/>
            </w:tcBorders>
            <w:shd w:val="clear" w:color="auto" w:fill="auto"/>
            <w:vAlign w:val="center"/>
          </w:tcPr>
          <w:p w14:paraId="23773191"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125</w:t>
            </w:r>
          </w:p>
        </w:tc>
        <w:tc>
          <w:tcPr>
            <w:tcW w:w="3260" w:type="dxa"/>
            <w:tcBorders>
              <w:top w:val="nil"/>
              <w:left w:val="nil"/>
              <w:bottom w:val="nil"/>
              <w:right w:val="nil"/>
            </w:tcBorders>
            <w:shd w:val="clear" w:color="auto" w:fill="auto"/>
            <w:vAlign w:val="center"/>
          </w:tcPr>
          <w:p w14:paraId="2EB54E56"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141</w:t>
            </w:r>
          </w:p>
        </w:tc>
      </w:tr>
      <w:tr w:rsidR="003321FA" w:rsidRPr="003321FA" w14:paraId="22A28DEC"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A4EAD80" w14:textId="77777777" w:rsidR="003321FA" w:rsidRPr="003321FA" w:rsidRDefault="003321FA">
            <w:pPr>
              <w:keepNext/>
              <w:keepLines/>
              <w:rPr>
                <w:rFonts w:ascii="Arial" w:hAnsi="Arial" w:cs="Arial"/>
                <w:color w:val="000000"/>
                <w:sz w:val="14"/>
                <w:szCs w:val="14"/>
              </w:rPr>
            </w:pPr>
            <w:r w:rsidRPr="003321FA">
              <w:rPr>
                <w:rFonts w:ascii="Arial" w:hAnsi="Arial" w:cs="Arial"/>
                <w:color w:val="000000"/>
                <w:sz w:val="14"/>
                <w:szCs w:val="14"/>
              </w:rPr>
              <w:t>Ativos Não Circulante</w:t>
            </w:r>
          </w:p>
        </w:tc>
        <w:tc>
          <w:tcPr>
            <w:tcW w:w="3260" w:type="dxa"/>
            <w:tcBorders>
              <w:top w:val="nil"/>
              <w:left w:val="nil"/>
              <w:bottom w:val="nil"/>
              <w:right w:val="nil"/>
            </w:tcBorders>
            <w:shd w:val="clear" w:color="auto" w:fill="auto"/>
            <w:vAlign w:val="center"/>
          </w:tcPr>
          <w:p w14:paraId="37630F59"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321FA">
              <w:rPr>
                <w:rFonts w:ascii="Arial" w:hAnsi="Arial" w:cs="Arial"/>
                <w:b/>
                <w:bCs/>
                <w:color w:val="000000"/>
                <w:sz w:val="14"/>
                <w:szCs w:val="14"/>
              </w:rPr>
              <w:t>3.041.869</w:t>
            </w:r>
          </w:p>
        </w:tc>
        <w:tc>
          <w:tcPr>
            <w:tcW w:w="3260" w:type="dxa"/>
            <w:tcBorders>
              <w:top w:val="nil"/>
              <w:left w:val="nil"/>
              <w:bottom w:val="nil"/>
              <w:right w:val="nil"/>
            </w:tcBorders>
            <w:shd w:val="clear" w:color="auto" w:fill="auto"/>
            <w:vAlign w:val="center"/>
          </w:tcPr>
          <w:p w14:paraId="6E5088F2"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321FA">
              <w:rPr>
                <w:rFonts w:ascii="Arial" w:hAnsi="Arial" w:cs="Arial"/>
                <w:b/>
                <w:bCs/>
                <w:color w:val="000000"/>
                <w:sz w:val="14"/>
                <w:szCs w:val="14"/>
              </w:rPr>
              <w:t>3.347.092</w:t>
            </w:r>
          </w:p>
        </w:tc>
      </w:tr>
      <w:tr w:rsidR="003321FA" w:rsidRPr="003321FA" w14:paraId="4DEFDB7C"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12B60B0" w14:textId="77777777" w:rsidR="003321FA" w:rsidRPr="003321FA" w:rsidRDefault="003321FA">
            <w:pPr>
              <w:keepNext/>
              <w:keepLines/>
              <w:ind w:left="113"/>
              <w:rPr>
                <w:rFonts w:ascii="Arial" w:hAnsi="Arial" w:cs="Arial"/>
                <w:b w:val="0"/>
                <w:bCs w:val="0"/>
                <w:color w:val="000000"/>
                <w:sz w:val="14"/>
                <w:szCs w:val="14"/>
              </w:rPr>
            </w:pPr>
            <w:r w:rsidRPr="003321FA">
              <w:rPr>
                <w:rFonts w:ascii="Arial" w:hAnsi="Arial" w:cs="Arial"/>
                <w:b w:val="0"/>
                <w:bCs w:val="0"/>
                <w:color w:val="000000"/>
                <w:sz w:val="14"/>
                <w:szCs w:val="14"/>
              </w:rPr>
              <w:t>Ativo fiscal diferido</w:t>
            </w:r>
          </w:p>
        </w:tc>
        <w:tc>
          <w:tcPr>
            <w:tcW w:w="3260" w:type="dxa"/>
            <w:tcBorders>
              <w:top w:val="nil"/>
              <w:left w:val="nil"/>
              <w:bottom w:val="nil"/>
              <w:right w:val="nil"/>
            </w:tcBorders>
            <w:shd w:val="clear" w:color="auto" w:fill="auto"/>
            <w:vAlign w:val="center"/>
          </w:tcPr>
          <w:p w14:paraId="0829247F"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w:t>
            </w:r>
          </w:p>
        </w:tc>
        <w:tc>
          <w:tcPr>
            <w:tcW w:w="3260" w:type="dxa"/>
            <w:tcBorders>
              <w:top w:val="nil"/>
              <w:left w:val="nil"/>
              <w:bottom w:val="nil"/>
              <w:right w:val="nil"/>
            </w:tcBorders>
            <w:shd w:val="clear" w:color="auto" w:fill="auto"/>
            <w:vAlign w:val="center"/>
          </w:tcPr>
          <w:p w14:paraId="2D69C679"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282</w:t>
            </w:r>
          </w:p>
        </w:tc>
      </w:tr>
      <w:tr w:rsidR="003321FA" w:rsidRPr="003321FA" w14:paraId="15C292C5"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5C4017D" w14:textId="77777777" w:rsidR="003321FA" w:rsidRPr="003321FA" w:rsidRDefault="003321FA">
            <w:pPr>
              <w:keepNext/>
              <w:keepLines/>
              <w:ind w:left="113"/>
              <w:rPr>
                <w:rFonts w:ascii="Arial" w:hAnsi="Arial" w:cs="Arial"/>
                <w:b w:val="0"/>
                <w:bCs w:val="0"/>
                <w:color w:val="000000"/>
                <w:sz w:val="14"/>
                <w:szCs w:val="14"/>
              </w:rPr>
            </w:pPr>
            <w:r w:rsidRPr="003321FA">
              <w:rPr>
                <w:rFonts w:ascii="Arial" w:hAnsi="Arial" w:cs="Arial"/>
                <w:b w:val="0"/>
                <w:bCs w:val="0"/>
                <w:color w:val="000000"/>
                <w:sz w:val="14"/>
                <w:szCs w:val="14"/>
              </w:rPr>
              <w:t>Investimentos em participações</w:t>
            </w:r>
          </w:p>
        </w:tc>
        <w:tc>
          <w:tcPr>
            <w:tcW w:w="3260" w:type="dxa"/>
            <w:tcBorders>
              <w:top w:val="nil"/>
              <w:left w:val="nil"/>
              <w:bottom w:val="nil"/>
              <w:right w:val="nil"/>
            </w:tcBorders>
            <w:shd w:val="clear" w:color="auto" w:fill="auto"/>
            <w:vAlign w:val="center"/>
          </w:tcPr>
          <w:p w14:paraId="4B79B8EE"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3.041.869</w:t>
            </w:r>
          </w:p>
        </w:tc>
        <w:tc>
          <w:tcPr>
            <w:tcW w:w="3260" w:type="dxa"/>
            <w:tcBorders>
              <w:top w:val="nil"/>
              <w:left w:val="nil"/>
              <w:bottom w:val="nil"/>
              <w:right w:val="nil"/>
            </w:tcBorders>
            <w:shd w:val="clear" w:color="auto" w:fill="auto"/>
            <w:vAlign w:val="center"/>
          </w:tcPr>
          <w:p w14:paraId="17B855DC"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3.346.810</w:t>
            </w:r>
          </w:p>
        </w:tc>
      </w:tr>
      <w:tr w:rsidR="003321FA" w:rsidRPr="003321FA" w14:paraId="2DCD7A56"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4854BBB" w14:textId="77777777" w:rsidR="003321FA" w:rsidRPr="003321FA" w:rsidRDefault="003321FA">
            <w:pPr>
              <w:keepNext/>
              <w:keepLines/>
              <w:rPr>
                <w:rFonts w:ascii="Arial" w:hAnsi="Arial" w:cs="Arial"/>
                <w:color w:val="000000"/>
                <w:sz w:val="14"/>
                <w:szCs w:val="14"/>
              </w:rPr>
            </w:pPr>
            <w:r w:rsidRPr="003321FA">
              <w:rPr>
                <w:rFonts w:ascii="Arial" w:hAnsi="Arial" w:cs="Arial"/>
                <w:color w:val="000000"/>
                <w:sz w:val="14"/>
                <w:szCs w:val="14"/>
              </w:rPr>
              <w:t>Ativo Total</w:t>
            </w:r>
          </w:p>
        </w:tc>
        <w:tc>
          <w:tcPr>
            <w:tcW w:w="3260" w:type="dxa"/>
            <w:tcBorders>
              <w:top w:val="nil"/>
              <w:left w:val="nil"/>
              <w:bottom w:val="nil"/>
              <w:right w:val="nil"/>
            </w:tcBorders>
            <w:shd w:val="clear" w:color="auto" w:fill="auto"/>
            <w:vAlign w:val="center"/>
          </w:tcPr>
          <w:p w14:paraId="68B73FAA"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321FA">
              <w:rPr>
                <w:rFonts w:ascii="Arial" w:hAnsi="Arial" w:cs="Arial"/>
                <w:b/>
                <w:bCs/>
                <w:color w:val="000000"/>
                <w:sz w:val="14"/>
                <w:szCs w:val="14"/>
              </w:rPr>
              <w:t>3.319.374</w:t>
            </w:r>
          </w:p>
        </w:tc>
        <w:tc>
          <w:tcPr>
            <w:tcW w:w="3260" w:type="dxa"/>
            <w:tcBorders>
              <w:top w:val="nil"/>
              <w:left w:val="nil"/>
              <w:bottom w:val="nil"/>
              <w:right w:val="nil"/>
            </w:tcBorders>
            <w:shd w:val="clear" w:color="auto" w:fill="auto"/>
            <w:vAlign w:val="center"/>
          </w:tcPr>
          <w:p w14:paraId="59124AD4"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321FA">
              <w:rPr>
                <w:rFonts w:ascii="Arial" w:hAnsi="Arial" w:cs="Arial"/>
                <w:b/>
                <w:bCs/>
                <w:color w:val="000000"/>
                <w:sz w:val="14"/>
                <w:szCs w:val="14"/>
              </w:rPr>
              <w:t>3.358.956</w:t>
            </w:r>
          </w:p>
        </w:tc>
      </w:tr>
      <w:tr w:rsidR="003321FA" w:rsidRPr="003321FA" w14:paraId="04296D78"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EDB0E7B" w14:textId="77777777" w:rsidR="003321FA" w:rsidRPr="003321FA" w:rsidRDefault="003321FA">
            <w:pPr>
              <w:keepNext/>
              <w:keepLines/>
              <w:rPr>
                <w:rFonts w:ascii="Arial" w:hAnsi="Arial" w:cs="Arial"/>
                <w:b w:val="0"/>
                <w:bCs w:val="0"/>
                <w:color w:val="000000"/>
                <w:sz w:val="14"/>
                <w:szCs w:val="14"/>
              </w:rPr>
            </w:pPr>
          </w:p>
        </w:tc>
        <w:tc>
          <w:tcPr>
            <w:tcW w:w="3260" w:type="dxa"/>
            <w:tcBorders>
              <w:top w:val="nil"/>
              <w:left w:val="nil"/>
              <w:bottom w:val="nil"/>
              <w:right w:val="nil"/>
            </w:tcBorders>
            <w:shd w:val="clear" w:color="auto" w:fill="auto"/>
            <w:vAlign w:val="center"/>
          </w:tcPr>
          <w:p w14:paraId="74C76B55"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3260" w:type="dxa"/>
            <w:tcBorders>
              <w:top w:val="nil"/>
              <w:left w:val="nil"/>
              <w:bottom w:val="nil"/>
              <w:right w:val="nil"/>
            </w:tcBorders>
            <w:shd w:val="clear" w:color="auto" w:fill="auto"/>
            <w:vAlign w:val="center"/>
          </w:tcPr>
          <w:p w14:paraId="216D963D"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r>
      <w:tr w:rsidR="003321FA" w:rsidRPr="003321FA" w14:paraId="3133551D"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45936C3" w14:textId="77777777" w:rsidR="003321FA" w:rsidRPr="003321FA" w:rsidRDefault="003321FA">
            <w:pPr>
              <w:keepNext/>
              <w:keepLines/>
              <w:rPr>
                <w:rFonts w:ascii="Arial" w:hAnsi="Arial" w:cs="Arial"/>
                <w:color w:val="000000"/>
                <w:sz w:val="14"/>
                <w:szCs w:val="14"/>
              </w:rPr>
            </w:pPr>
            <w:r w:rsidRPr="003321FA">
              <w:rPr>
                <w:rFonts w:ascii="Arial" w:hAnsi="Arial" w:cs="Arial"/>
                <w:color w:val="000000"/>
                <w:sz w:val="14"/>
                <w:szCs w:val="14"/>
              </w:rPr>
              <w:t>Passivo Circulante</w:t>
            </w:r>
          </w:p>
        </w:tc>
        <w:tc>
          <w:tcPr>
            <w:tcW w:w="3260" w:type="dxa"/>
            <w:tcBorders>
              <w:top w:val="nil"/>
              <w:left w:val="nil"/>
              <w:bottom w:val="nil"/>
              <w:right w:val="nil"/>
            </w:tcBorders>
            <w:shd w:val="clear" w:color="auto" w:fill="auto"/>
            <w:vAlign w:val="center"/>
          </w:tcPr>
          <w:p w14:paraId="2D96AA16"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321FA">
              <w:rPr>
                <w:rFonts w:ascii="Arial" w:hAnsi="Arial" w:cs="Arial"/>
                <w:b/>
                <w:bCs/>
                <w:color w:val="000000"/>
                <w:sz w:val="14"/>
                <w:szCs w:val="14"/>
              </w:rPr>
              <w:t>1.046</w:t>
            </w:r>
          </w:p>
        </w:tc>
        <w:tc>
          <w:tcPr>
            <w:tcW w:w="3260" w:type="dxa"/>
            <w:tcBorders>
              <w:top w:val="nil"/>
              <w:left w:val="nil"/>
              <w:bottom w:val="nil"/>
              <w:right w:val="nil"/>
            </w:tcBorders>
            <w:shd w:val="clear" w:color="auto" w:fill="auto"/>
            <w:vAlign w:val="center"/>
          </w:tcPr>
          <w:p w14:paraId="0807E044"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321FA">
              <w:rPr>
                <w:rFonts w:ascii="Arial" w:hAnsi="Arial" w:cs="Arial"/>
                <w:b/>
                <w:bCs/>
                <w:color w:val="000000"/>
                <w:sz w:val="14"/>
                <w:szCs w:val="14"/>
              </w:rPr>
              <w:t>171</w:t>
            </w:r>
          </w:p>
        </w:tc>
      </w:tr>
      <w:tr w:rsidR="003321FA" w:rsidRPr="003321FA" w14:paraId="325B9BCC"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9550D28" w14:textId="77777777" w:rsidR="003321FA" w:rsidRPr="003321FA" w:rsidRDefault="003321FA">
            <w:pPr>
              <w:keepNext/>
              <w:keepLines/>
              <w:ind w:left="113"/>
              <w:rPr>
                <w:rFonts w:ascii="Arial" w:hAnsi="Arial" w:cs="Arial"/>
                <w:b w:val="0"/>
                <w:bCs w:val="0"/>
                <w:color w:val="000000"/>
                <w:sz w:val="14"/>
                <w:szCs w:val="14"/>
              </w:rPr>
            </w:pPr>
            <w:r w:rsidRPr="003321FA">
              <w:rPr>
                <w:rFonts w:ascii="Arial" w:hAnsi="Arial" w:cs="Arial"/>
                <w:b w:val="0"/>
                <w:bCs w:val="0"/>
                <w:color w:val="000000"/>
                <w:sz w:val="14"/>
                <w:szCs w:val="14"/>
              </w:rPr>
              <w:t>Contas a pagar</w:t>
            </w:r>
          </w:p>
        </w:tc>
        <w:tc>
          <w:tcPr>
            <w:tcW w:w="3260" w:type="dxa"/>
            <w:tcBorders>
              <w:top w:val="nil"/>
              <w:left w:val="nil"/>
              <w:bottom w:val="nil"/>
              <w:right w:val="nil"/>
            </w:tcBorders>
            <w:shd w:val="clear" w:color="auto" w:fill="auto"/>
            <w:vAlign w:val="center"/>
          </w:tcPr>
          <w:p w14:paraId="6EE68647"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2</w:t>
            </w:r>
          </w:p>
        </w:tc>
        <w:tc>
          <w:tcPr>
            <w:tcW w:w="3260" w:type="dxa"/>
            <w:tcBorders>
              <w:top w:val="nil"/>
              <w:left w:val="nil"/>
              <w:bottom w:val="nil"/>
              <w:right w:val="nil"/>
            </w:tcBorders>
            <w:shd w:val="clear" w:color="auto" w:fill="auto"/>
            <w:vAlign w:val="center"/>
          </w:tcPr>
          <w:p w14:paraId="1CBA4E54"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4</w:t>
            </w:r>
          </w:p>
        </w:tc>
      </w:tr>
      <w:tr w:rsidR="003321FA" w:rsidRPr="003321FA" w14:paraId="7614E245"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F74AC2F" w14:textId="77777777" w:rsidR="003321FA" w:rsidRPr="003321FA" w:rsidRDefault="003321FA">
            <w:pPr>
              <w:keepNext/>
              <w:keepLines/>
              <w:ind w:left="113"/>
              <w:rPr>
                <w:rFonts w:ascii="Arial" w:hAnsi="Arial" w:cs="Arial"/>
                <w:b w:val="0"/>
                <w:bCs w:val="0"/>
                <w:color w:val="000000"/>
                <w:sz w:val="14"/>
                <w:szCs w:val="14"/>
              </w:rPr>
            </w:pPr>
            <w:r w:rsidRPr="003321FA">
              <w:rPr>
                <w:rFonts w:ascii="Arial" w:hAnsi="Arial" w:cs="Arial"/>
                <w:b w:val="0"/>
                <w:bCs w:val="0"/>
                <w:color w:val="000000"/>
                <w:sz w:val="14"/>
                <w:szCs w:val="14"/>
              </w:rPr>
              <w:t>Passivo fiscal corrente</w:t>
            </w:r>
          </w:p>
        </w:tc>
        <w:tc>
          <w:tcPr>
            <w:tcW w:w="3260" w:type="dxa"/>
            <w:tcBorders>
              <w:top w:val="nil"/>
              <w:left w:val="nil"/>
              <w:bottom w:val="nil"/>
              <w:right w:val="nil"/>
            </w:tcBorders>
            <w:shd w:val="clear" w:color="auto" w:fill="auto"/>
            <w:vAlign w:val="center"/>
          </w:tcPr>
          <w:p w14:paraId="39FE876D"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1.044</w:t>
            </w:r>
          </w:p>
        </w:tc>
        <w:tc>
          <w:tcPr>
            <w:tcW w:w="3260" w:type="dxa"/>
            <w:tcBorders>
              <w:top w:val="nil"/>
              <w:left w:val="nil"/>
              <w:bottom w:val="nil"/>
              <w:right w:val="nil"/>
            </w:tcBorders>
            <w:shd w:val="clear" w:color="auto" w:fill="auto"/>
            <w:vAlign w:val="center"/>
          </w:tcPr>
          <w:p w14:paraId="749E4047"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167</w:t>
            </w:r>
          </w:p>
        </w:tc>
      </w:tr>
      <w:tr w:rsidR="003321FA" w:rsidRPr="003321FA" w14:paraId="2C511B49"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A396249" w14:textId="77777777" w:rsidR="003321FA" w:rsidRPr="003321FA" w:rsidRDefault="003321FA">
            <w:pPr>
              <w:keepNext/>
              <w:keepLines/>
              <w:spacing w:before="40" w:after="40"/>
              <w:rPr>
                <w:rFonts w:ascii="Arial" w:hAnsi="Arial" w:cs="Arial"/>
                <w:sz w:val="14"/>
                <w:szCs w:val="14"/>
              </w:rPr>
            </w:pPr>
            <w:r w:rsidRPr="003321FA">
              <w:rPr>
                <w:rFonts w:ascii="Arial" w:hAnsi="Arial" w:cs="Arial"/>
                <w:color w:val="000000"/>
                <w:sz w:val="14"/>
                <w:szCs w:val="14"/>
              </w:rPr>
              <w:t>Patrimônio Líquido</w:t>
            </w:r>
          </w:p>
        </w:tc>
        <w:tc>
          <w:tcPr>
            <w:tcW w:w="3260" w:type="dxa"/>
            <w:tcBorders>
              <w:top w:val="nil"/>
              <w:left w:val="nil"/>
              <w:bottom w:val="nil"/>
              <w:right w:val="nil"/>
            </w:tcBorders>
            <w:shd w:val="clear" w:color="auto" w:fill="auto"/>
            <w:vAlign w:val="center"/>
          </w:tcPr>
          <w:p w14:paraId="267C4FAE"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321FA">
              <w:rPr>
                <w:rFonts w:ascii="Arial" w:hAnsi="Arial" w:cs="Arial"/>
                <w:b/>
                <w:bCs/>
                <w:color w:val="000000"/>
                <w:sz w:val="14"/>
                <w:szCs w:val="14"/>
              </w:rPr>
              <w:t>3.318.328</w:t>
            </w:r>
          </w:p>
        </w:tc>
        <w:tc>
          <w:tcPr>
            <w:tcW w:w="3260" w:type="dxa"/>
            <w:tcBorders>
              <w:top w:val="nil"/>
              <w:left w:val="nil"/>
              <w:bottom w:val="nil"/>
              <w:right w:val="nil"/>
            </w:tcBorders>
            <w:shd w:val="clear" w:color="auto" w:fill="auto"/>
            <w:vAlign w:val="center"/>
          </w:tcPr>
          <w:p w14:paraId="0A0992CB"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321FA">
              <w:rPr>
                <w:rFonts w:ascii="Arial" w:hAnsi="Arial" w:cs="Arial"/>
                <w:b/>
                <w:bCs/>
                <w:color w:val="000000"/>
                <w:sz w:val="14"/>
                <w:szCs w:val="14"/>
              </w:rPr>
              <w:t>3.358.785</w:t>
            </w:r>
          </w:p>
        </w:tc>
      </w:tr>
      <w:tr w:rsidR="003321FA" w:rsidRPr="003321FA" w14:paraId="40F06A9A"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E90996F" w14:textId="77777777" w:rsidR="003321FA" w:rsidRPr="003321FA" w:rsidRDefault="003321FA">
            <w:pPr>
              <w:keepNext/>
              <w:keepLines/>
              <w:ind w:left="113"/>
              <w:rPr>
                <w:rFonts w:ascii="Arial" w:hAnsi="Arial" w:cs="Arial"/>
                <w:b w:val="0"/>
                <w:bCs w:val="0"/>
                <w:color w:val="000000"/>
                <w:sz w:val="14"/>
                <w:szCs w:val="14"/>
              </w:rPr>
            </w:pPr>
            <w:r w:rsidRPr="003321FA">
              <w:rPr>
                <w:rFonts w:ascii="Arial" w:hAnsi="Arial" w:cs="Arial"/>
                <w:b w:val="0"/>
                <w:bCs w:val="0"/>
                <w:color w:val="000000"/>
                <w:sz w:val="14"/>
                <w:szCs w:val="14"/>
              </w:rPr>
              <w:t>Capital e reservas</w:t>
            </w:r>
          </w:p>
        </w:tc>
        <w:tc>
          <w:tcPr>
            <w:tcW w:w="3260" w:type="dxa"/>
            <w:tcBorders>
              <w:top w:val="nil"/>
              <w:left w:val="nil"/>
              <w:bottom w:val="nil"/>
              <w:right w:val="nil"/>
            </w:tcBorders>
            <w:shd w:val="clear" w:color="auto" w:fill="auto"/>
            <w:vAlign w:val="center"/>
          </w:tcPr>
          <w:p w14:paraId="4C5B0FF7"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3.410.449</w:t>
            </w:r>
          </w:p>
        </w:tc>
        <w:tc>
          <w:tcPr>
            <w:tcW w:w="3260" w:type="dxa"/>
            <w:tcBorders>
              <w:top w:val="nil"/>
              <w:left w:val="nil"/>
              <w:bottom w:val="nil"/>
              <w:right w:val="nil"/>
            </w:tcBorders>
            <w:shd w:val="clear" w:color="auto" w:fill="auto"/>
            <w:vAlign w:val="center"/>
          </w:tcPr>
          <w:p w14:paraId="5C804BFF"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3.374.202</w:t>
            </w:r>
          </w:p>
        </w:tc>
      </w:tr>
      <w:tr w:rsidR="003321FA" w:rsidRPr="003321FA" w14:paraId="502FD2E0"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2365E2D" w14:textId="77777777" w:rsidR="003321FA" w:rsidRPr="003321FA" w:rsidRDefault="003321FA">
            <w:pPr>
              <w:keepNext/>
              <w:keepLines/>
              <w:ind w:left="113"/>
              <w:rPr>
                <w:rFonts w:ascii="Arial" w:hAnsi="Arial" w:cs="Arial"/>
                <w:b w:val="0"/>
                <w:bCs w:val="0"/>
                <w:color w:val="000000"/>
                <w:sz w:val="14"/>
                <w:szCs w:val="14"/>
              </w:rPr>
            </w:pPr>
            <w:r w:rsidRPr="003321FA">
              <w:rPr>
                <w:rFonts w:ascii="Arial" w:hAnsi="Arial" w:cs="Arial"/>
                <w:b w:val="0"/>
                <w:bCs w:val="0"/>
                <w:color w:val="000000"/>
                <w:sz w:val="14"/>
                <w:szCs w:val="14"/>
              </w:rPr>
              <w:t>Outros resultados abrangentes</w:t>
            </w:r>
          </w:p>
        </w:tc>
        <w:tc>
          <w:tcPr>
            <w:tcW w:w="3260" w:type="dxa"/>
            <w:tcBorders>
              <w:top w:val="nil"/>
              <w:left w:val="nil"/>
              <w:bottom w:val="nil"/>
              <w:right w:val="nil"/>
            </w:tcBorders>
            <w:shd w:val="clear" w:color="auto" w:fill="auto"/>
            <w:vAlign w:val="center"/>
          </w:tcPr>
          <w:p w14:paraId="5AC7C215"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(92.121)</w:t>
            </w:r>
          </w:p>
        </w:tc>
        <w:tc>
          <w:tcPr>
            <w:tcW w:w="3260" w:type="dxa"/>
            <w:tcBorders>
              <w:top w:val="nil"/>
              <w:left w:val="nil"/>
              <w:bottom w:val="nil"/>
              <w:right w:val="nil"/>
            </w:tcBorders>
            <w:shd w:val="clear" w:color="auto" w:fill="auto"/>
            <w:vAlign w:val="center"/>
          </w:tcPr>
          <w:p w14:paraId="3C6D8263"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(15.417)</w:t>
            </w:r>
          </w:p>
        </w:tc>
      </w:tr>
      <w:tr w:rsidR="003321FA" w:rsidRPr="003321FA" w14:paraId="6302A2F7"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5B9BD15" w14:textId="77777777" w:rsidR="003321FA" w:rsidRPr="003321FA" w:rsidRDefault="003321FA">
            <w:pPr>
              <w:keepNext/>
              <w:keepLines/>
              <w:rPr>
                <w:rFonts w:ascii="Arial" w:hAnsi="Arial" w:cs="Arial"/>
                <w:color w:val="000000"/>
                <w:sz w:val="14"/>
                <w:szCs w:val="14"/>
              </w:rPr>
            </w:pPr>
            <w:r w:rsidRPr="003321FA">
              <w:rPr>
                <w:rFonts w:ascii="Arial" w:hAnsi="Arial" w:cs="Arial"/>
                <w:color w:val="000000"/>
                <w:sz w:val="14"/>
                <w:szCs w:val="14"/>
              </w:rPr>
              <w:t>Passivo e Patrimônio Líquido</w:t>
            </w:r>
          </w:p>
        </w:tc>
        <w:tc>
          <w:tcPr>
            <w:tcW w:w="3260" w:type="dxa"/>
            <w:tcBorders>
              <w:top w:val="nil"/>
              <w:left w:val="nil"/>
              <w:bottom w:val="nil"/>
              <w:right w:val="nil"/>
            </w:tcBorders>
            <w:shd w:val="clear" w:color="auto" w:fill="auto"/>
            <w:vAlign w:val="center"/>
          </w:tcPr>
          <w:p w14:paraId="5197A313"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321FA">
              <w:rPr>
                <w:rFonts w:ascii="Arial" w:hAnsi="Arial" w:cs="Arial"/>
                <w:b/>
                <w:bCs/>
                <w:color w:val="000000"/>
                <w:sz w:val="14"/>
                <w:szCs w:val="14"/>
              </w:rPr>
              <w:t>3.319.374</w:t>
            </w:r>
          </w:p>
        </w:tc>
        <w:tc>
          <w:tcPr>
            <w:tcW w:w="3260" w:type="dxa"/>
            <w:tcBorders>
              <w:top w:val="nil"/>
              <w:left w:val="nil"/>
              <w:bottom w:val="nil"/>
              <w:right w:val="nil"/>
            </w:tcBorders>
            <w:shd w:val="clear" w:color="auto" w:fill="auto"/>
            <w:vAlign w:val="center"/>
          </w:tcPr>
          <w:p w14:paraId="4157DE94"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321FA">
              <w:rPr>
                <w:rFonts w:ascii="Arial" w:hAnsi="Arial" w:cs="Arial"/>
                <w:b/>
                <w:bCs/>
                <w:color w:val="000000"/>
                <w:sz w:val="14"/>
                <w:szCs w:val="14"/>
              </w:rPr>
              <w:t>3.358.956</w:t>
            </w:r>
          </w:p>
        </w:tc>
      </w:tr>
      <w:tr w:rsidR="003321FA" w:rsidRPr="003321FA" w14:paraId="6508D0C9"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732B757" w14:textId="77777777" w:rsidR="003321FA" w:rsidRPr="003321FA" w:rsidRDefault="003321FA">
            <w:pPr>
              <w:keepNext/>
              <w:keepLines/>
              <w:rPr>
                <w:rFonts w:ascii="Arial" w:hAnsi="Arial" w:cs="Arial"/>
                <w:color w:val="000000"/>
                <w:sz w:val="14"/>
                <w:szCs w:val="14"/>
              </w:rPr>
            </w:pPr>
            <w:r w:rsidRPr="003321FA">
              <w:rPr>
                <w:rFonts w:ascii="Arial" w:hAnsi="Arial" w:cs="Arial"/>
                <w:sz w:val="14"/>
                <w:szCs w:val="14"/>
              </w:rPr>
              <w:t>Atribuível à BB Seguridade</w:t>
            </w:r>
          </w:p>
        </w:tc>
        <w:tc>
          <w:tcPr>
            <w:tcW w:w="3260" w:type="dxa"/>
            <w:tcBorders>
              <w:top w:val="nil"/>
              <w:left w:val="nil"/>
              <w:bottom w:val="nil"/>
              <w:right w:val="nil"/>
            </w:tcBorders>
            <w:shd w:val="clear" w:color="auto" w:fill="auto"/>
            <w:vAlign w:val="center"/>
          </w:tcPr>
          <w:p w14:paraId="6FB08E19"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321FA">
              <w:rPr>
                <w:rFonts w:ascii="Arial" w:hAnsi="Arial" w:cs="Arial"/>
                <w:b/>
                <w:bCs/>
                <w:color w:val="000000"/>
                <w:sz w:val="14"/>
                <w:szCs w:val="14"/>
              </w:rPr>
              <w:t>2.488.414</w:t>
            </w:r>
          </w:p>
        </w:tc>
        <w:tc>
          <w:tcPr>
            <w:tcW w:w="3260" w:type="dxa"/>
            <w:tcBorders>
              <w:top w:val="nil"/>
              <w:left w:val="nil"/>
              <w:bottom w:val="nil"/>
              <w:right w:val="nil"/>
            </w:tcBorders>
            <w:shd w:val="clear" w:color="auto" w:fill="auto"/>
            <w:vAlign w:val="center"/>
          </w:tcPr>
          <w:p w14:paraId="63483AE8"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321FA">
              <w:rPr>
                <w:rFonts w:ascii="Arial" w:hAnsi="Arial" w:cs="Arial"/>
                <w:b/>
                <w:bCs/>
                <w:color w:val="000000"/>
                <w:sz w:val="14"/>
                <w:szCs w:val="14"/>
              </w:rPr>
              <w:t>2.518.753</w:t>
            </w:r>
          </w:p>
        </w:tc>
      </w:tr>
      <w:tr w:rsidR="003321FA" w:rsidRPr="003321FA" w14:paraId="60975DE3"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E3EAE8D" w14:textId="77777777" w:rsidR="003321FA" w:rsidRPr="003321FA" w:rsidRDefault="003321FA">
            <w:pPr>
              <w:keepNext/>
              <w:keepLines/>
              <w:rPr>
                <w:rFonts w:ascii="Arial" w:hAnsi="Arial" w:cs="Arial"/>
                <w:color w:val="000000"/>
                <w:sz w:val="14"/>
                <w:szCs w:val="14"/>
              </w:rPr>
            </w:pPr>
            <w:r w:rsidRPr="003321FA">
              <w:rPr>
                <w:rFonts w:ascii="Arial" w:hAnsi="Arial" w:cs="Arial"/>
                <w:sz w:val="14"/>
                <w:szCs w:val="14"/>
              </w:rPr>
              <w:t xml:space="preserve">Intangível </w:t>
            </w:r>
            <w:r w:rsidRPr="003321FA">
              <w:rPr>
                <w:rFonts w:ascii="Arial" w:hAnsi="Arial" w:cs="Arial"/>
                <w:sz w:val="14"/>
                <w:szCs w:val="14"/>
                <w:vertAlign w:val="superscript"/>
              </w:rPr>
              <w:t>(1)</w:t>
            </w:r>
          </w:p>
        </w:tc>
        <w:tc>
          <w:tcPr>
            <w:tcW w:w="3260" w:type="dxa"/>
            <w:tcBorders>
              <w:top w:val="nil"/>
              <w:left w:val="nil"/>
              <w:bottom w:val="nil"/>
              <w:right w:val="nil"/>
            </w:tcBorders>
            <w:shd w:val="clear" w:color="auto" w:fill="auto"/>
            <w:vAlign w:val="center"/>
          </w:tcPr>
          <w:p w14:paraId="65BB108A"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321FA">
              <w:rPr>
                <w:rFonts w:ascii="Arial" w:hAnsi="Arial" w:cs="Arial"/>
                <w:b/>
                <w:bCs/>
                <w:color w:val="000000"/>
                <w:sz w:val="14"/>
                <w:szCs w:val="14"/>
              </w:rPr>
              <w:t>463.697</w:t>
            </w:r>
          </w:p>
        </w:tc>
        <w:tc>
          <w:tcPr>
            <w:tcW w:w="3260" w:type="dxa"/>
            <w:tcBorders>
              <w:top w:val="nil"/>
              <w:left w:val="nil"/>
              <w:bottom w:val="nil"/>
              <w:right w:val="nil"/>
            </w:tcBorders>
            <w:shd w:val="clear" w:color="auto" w:fill="auto"/>
            <w:vAlign w:val="center"/>
          </w:tcPr>
          <w:p w14:paraId="54767C9C"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321FA">
              <w:rPr>
                <w:rFonts w:ascii="Arial" w:hAnsi="Arial" w:cs="Arial"/>
                <w:b/>
                <w:bCs/>
                <w:color w:val="000000"/>
                <w:sz w:val="14"/>
                <w:szCs w:val="14"/>
              </w:rPr>
              <w:t>479.878</w:t>
            </w:r>
          </w:p>
        </w:tc>
      </w:tr>
      <w:tr w:rsidR="003321FA" w:rsidRPr="003321FA" w14:paraId="471A0FC6"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single" w:sz="2" w:space="0" w:color="1F3864" w:themeColor="accent1" w:themeShade="80"/>
              <w:right w:val="nil"/>
            </w:tcBorders>
            <w:shd w:val="clear" w:color="auto" w:fill="auto"/>
            <w:vAlign w:val="center"/>
          </w:tcPr>
          <w:p w14:paraId="29F9B8EA" w14:textId="77777777" w:rsidR="003321FA" w:rsidRPr="003321FA" w:rsidRDefault="003321FA">
            <w:pPr>
              <w:keepNext/>
              <w:keepLines/>
              <w:rPr>
                <w:rFonts w:ascii="Arial" w:hAnsi="Arial" w:cs="Arial"/>
                <w:color w:val="000000"/>
                <w:sz w:val="14"/>
                <w:szCs w:val="14"/>
              </w:rPr>
            </w:pPr>
            <w:r w:rsidRPr="003321FA">
              <w:rPr>
                <w:rFonts w:ascii="Arial" w:hAnsi="Arial" w:cs="Arial"/>
                <w:sz w:val="14"/>
                <w:szCs w:val="14"/>
              </w:rPr>
              <w:t>Saldo do investimento</w:t>
            </w:r>
          </w:p>
        </w:tc>
        <w:tc>
          <w:tcPr>
            <w:tcW w:w="3260" w:type="dxa"/>
            <w:tcBorders>
              <w:top w:val="nil"/>
              <w:left w:val="nil"/>
              <w:bottom w:val="single" w:sz="2" w:space="0" w:color="1F3864" w:themeColor="accent1" w:themeShade="80"/>
              <w:right w:val="nil"/>
            </w:tcBorders>
            <w:shd w:val="clear" w:color="auto" w:fill="auto"/>
            <w:vAlign w:val="center"/>
          </w:tcPr>
          <w:p w14:paraId="6C37AE9D"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321FA">
              <w:rPr>
                <w:rFonts w:ascii="Arial" w:hAnsi="Arial" w:cs="Arial"/>
                <w:b/>
                <w:bCs/>
                <w:color w:val="000000"/>
                <w:sz w:val="14"/>
                <w:szCs w:val="14"/>
              </w:rPr>
              <w:t>2.952.111</w:t>
            </w:r>
          </w:p>
        </w:tc>
        <w:tc>
          <w:tcPr>
            <w:tcW w:w="3260" w:type="dxa"/>
            <w:tcBorders>
              <w:top w:val="nil"/>
              <w:left w:val="nil"/>
              <w:bottom w:val="single" w:sz="2" w:space="0" w:color="1F3864" w:themeColor="accent1" w:themeShade="80"/>
              <w:right w:val="nil"/>
            </w:tcBorders>
            <w:shd w:val="clear" w:color="auto" w:fill="auto"/>
            <w:vAlign w:val="center"/>
          </w:tcPr>
          <w:p w14:paraId="2F32B36C"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321FA">
              <w:rPr>
                <w:rFonts w:ascii="Arial" w:hAnsi="Arial" w:cs="Arial"/>
                <w:b/>
                <w:bCs/>
                <w:color w:val="000000"/>
                <w:sz w:val="14"/>
                <w:szCs w:val="14"/>
              </w:rPr>
              <w:t>2.998.631</w:t>
            </w:r>
          </w:p>
        </w:tc>
      </w:tr>
    </w:tbl>
    <w:p w14:paraId="4DDBFB17" w14:textId="77777777" w:rsidR="003321FA" w:rsidRPr="003321FA" w:rsidRDefault="003321FA" w:rsidP="002C3B56">
      <w:pPr>
        <w:numPr>
          <w:ilvl w:val="0"/>
          <w:numId w:val="18"/>
        </w:numPr>
        <w:spacing w:after="160" w:line="257" w:lineRule="auto"/>
        <w:ind w:left="284" w:hanging="284"/>
        <w:contextualSpacing/>
        <w:jc w:val="both"/>
        <w:rPr>
          <w:rFonts w:ascii="Arial" w:eastAsia="Times New Roman" w:hAnsi="Arial" w:cs="Times New Roman"/>
          <w:spacing w:val="-2"/>
          <w:sz w:val="14"/>
          <w:szCs w:val="18"/>
          <w:lang w:eastAsia="pt-BR"/>
        </w:rPr>
      </w:pPr>
      <w:r w:rsidRPr="003321FA">
        <w:rPr>
          <w:rFonts w:ascii="Arial" w:eastAsia="Times New Roman" w:hAnsi="Arial" w:cs="Times New Roman"/>
          <w:spacing w:val="-2"/>
          <w:sz w:val="14"/>
          <w:szCs w:val="18"/>
          <w:lang w:eastAsia="pt-BR"/>
        </w:rPr>
        <w:t>Inclui no valor contábil do investimento, intangível de vida útil definida no montante líquido de amortizações de R$ 124.693 mil (R$ 140.874 mil em 31.12.2023) e intangível de vida útil indefinida no montante de R$ 339.004 mil oriundo do acordo de parceria com o Grupo MAPFRE.</w:t>
      </w:r>
    </w:p>
    <w:p w14:paraId="0B3C8B3C" w14:textId="77777777" w:rsidR="003321FA" w:rsidRPr="003321FA" w:rsidRDefault="003321FA" w:rsidP="003321FA">
      <w:pPr>
        <w:pStyle w:val="05-Textonormal"/>
        <w:spacing w:line="240" w:lineRule="auto"/>
        <w:rPr>
          <w:rFonts w:cs="Arial"/>
        </w:rPr>
      </w:pPr>
    </w:p>
    <w:p w14:paraId="2CB62329" w14:textId="77777777" w:rsidR="003321FA" w:rsidRPr="003321FA" w:rsidRDefault="003321FA" w:rsidP="003321FA">
      <w:pPr>
        <w:pStyle w:val="05-Textonormal"/>
        <w:spacing w:line="240" w:lineRule="auto"/>
        <w:rPr>
          <w:rFonts w:cs="Arial"/>
        </w:rPr>
      </w:pPr>
      <w:r w:rsidRPr="003321FA">
        <w:rPr>
          <w:rFonts w:cs="Arial"/>
        </w:rPr>
        <w:t>Os impactos do CPC 50 [IFRS 17], em 2024 e 2023, e do CPC 48 [IFRS 9], em 2023, no Patrimônio Líquido, para fins de comparabilidade, estão indicados no quadro a seguir:</w:t>
      </w:r>
    </w:p>
    <w:p w14:paraId="626FB5BB" w14:textId="77777777" w:rsidR="003321FA" w:rsidRPr="003321FA" w:rsidRDefault="003321FA" w:rsidP="003321FA">
      <w:pPr>
        <w:spacing w:after="0" w:line="240" w:lineRule="auto"/>
        <w:jc w:val="right"/>
        <w:rPr>
          <w:rFonts w:ascii="Arial" w:hAnsi="Arial" w:cs="Arial"/>
          <w:b/>
          <w:sz w:val="14"/>
          <w:lang w:eastAsia="pt-BR"/>
        </w:rPr>
      </w:pPr>
      <w:r w:rsidRPr="003321FA">
        <w:rPr>
          <w:rFonts w:ascii="Arial" w:hAnsi="Arial" w:cs="Arial"/>
          <w:b/>
          <w:sz w:val="14"/>
          <w:lang w:eastAsia="pt-BR"/>
        </w:rPr>
        <w:t>R$ mil</w:t>
      </w:r>
    </w:p>
    <w:tbl>
      <w:tblPr>
        <w:tblStyle w:val="TabeladeLista6Colorida-nfase512"/>
        <w:tblW w:w="9639" w:type="dxa"/>
        <w:jc w:val="center"/>
        <w:tblLayout w:type="fixed"/>
        <w:tblLook w:val="04A0" w:firstRow="1" w:lastRow="0" w:firstColumn="1" w:lastColumn="0" w:noHBand="0" w:noVBand="1"/>
      </w:tblPr>
      <w:tblGrid>
        <w:gridCol w:w="5387"/>
        <w:gridCol w:w="2126"/>
        <w:gridCol w:w="2126"/>
      </w:tblGrid>
      <w:tr w:rsidR="003321FA" w:rsidRPr="003321FA" w14:paraId="2529310E"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29BBEF7" w14:textId="77777777" w:rsidR="003321FA" w:rsidRPr="003321FA" w:rsidRDefault="003321FA">
            <w:pPr>
              <w:jc w:val="center"/>
              <w:rPr>
                <w:rFonts w:ascii="Arial" w:hAnsi="Arial" w:cs="Arial"/>
                <w:sz w:val="14"/>
                <w:szCs w:val="14"/>
              </w:rPr>
            </w:pPr>
          </w:p>
        </w:tc>
        <w:tc>
          <w:tcPr>
            <w:tcW w:w="21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BFA097B" w14:textId="77777777" w:rsidR="003321FA" w:rsidRPr="003321FA" w:rsidRDefault="003321F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sz w:val="14"/>
                <w:szCs w:val="14"/>
              </w:rPr>
              <w:t>31.12.2024</w:t>
            </w:r>
          </w:p>
        </w:tc>
        <w:tc>
          <w:tcPr>
            <w:tcW w:w="21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24AA859" w14:textId="77777777" w:rsidR="003321FA" w:rsidRPr="003321FA" w:rsidRDefault="003321F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sz w:val="14"/>
                <w:szCs w:val="14"/>
              </w:rPr>
              <w:t>31.12.2023</w:t>
            </w:r>
          </w:p>
        </w:tc>
      </w:tr>
      <w:tr w:rsidR="003321FA" w:rsidRPr="003321FA" w14:paraId="5264F290"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nil"/>
              <w:right w:val="nil"/>
            </w:tcBorders>
            <w:shd w:val="clear" w:color="auto" w:fill="auto"/>
            <w:vAlign w:val="center"/>
          </w:tcPr>
          <w:p w14:paraId="384BADF1" w14:textId="77777777" w:rsidR="003321FA" w:rsidRPr="003321FA" w:rsidRDefault="003321FA">
            <w:pPr>
              <w:keepNext/>
              <w:keepLines/>
              <w:rPr>
                <w:rFonts w:ascii="Arial" w:eastAsia="Times New Roman" w:hAnsi="Arial" w:cs="Arial"/>
                <w:b w:val="0"/>
                <w:bCs w:val="0"/>
                <w:spacing w:val="-2"/>
                <w:sz w:val="14"/>
                <w:szCs w:val="14"/>
              </w:rPr>
            </w:pPr>
            <w:r w:rsidRPr="003321FA">
              <w:rPr>
                <w:rFonts w:ascii="Arial" w:hAnsi="Arial" w:cs="Arial"/>
                <w:b w:val="0"/>
                <w:bCs w:val="0"/>
                <w:sz w:val="14"/>
                <w:szCs w:val="14"/>
              </w:rPr>
              <w:t>Patrimônio Líquido - BRGAAP e IFRS</w:t>
            </w:r>
          </w:p>
        </w:tc>
        <w:tc>
          <w:tcPr>
            <w:tcW w:w="2126" w:type="dxa"/>
            <w:tcBorders>
              <w:top w:val="single" w:sz="2" w:space="0" w:color="1F3864" w:themeColor="accent1" w:themeShade="80"/>
              <w:left w:val="nil"/>
              <w:bottom w:val="nil"/>
              <w:right w:val="nil"/>
            </w:tcBorders>
            <w:shd w:val="clear" w:color="auto" w:fill="auto"/>
            <w:vAlign w:val="center"/>
          </w:tcPr>
          <w:p w14:paraId="4A5CD7CF"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 xml:space="preserve">                 3.318.328 </w:t>
            </w:r>
          </w:p>
        </w:tc>
        <w:tc>
          <w:tcPr>
            <w:tcW w:w="2126" w:type="dxa"/>
            <w:tcBorders>
              <w:top w:val="single" w:sz="2" w:space="0" w:color="1F3864" w:themeColor="accent1" w:themeShade="80"/>
              <w:left w:val="nil"/>
              <w:bottom w:val="nil"/>
              <w:right w:val="nil"/>
            </w:tcBorders>
            <w:shd w:val="clear" w:color="auto" w:fill="auto"/>
            <w:vAlign w:val="center"/>
          </w:tcPr>
          <w:p w14:paraId="66CFF132"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 xml:space="preserve">             3.358.785 </w:t>
            </w:r>
          </w:p>
        </w:tc>
      </w:tr>
      <w:tr w:rsidR="003321FA" w:rsidRPr="003321FA" w14:paraId="652EF14D"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nil"/>
              <w:left w:val="nil"/>
              <w:bottom w:val="single" w:sz="2" w:space="0" w:color="1F3864" w:themeColor="accent1" w:themeShade="80"/>
              <w:right w:val="nil"/>
            </w:tcBorders>
            <w:shd w:val="clear" w:color="auto" w:fill="auto"/>
            <w:vAlign w:val="center"/>
          </w:tcPr>
          <w:p w14:paraId="05BA71A2" w14:textId="77777777" w:rsidR="003321FA" w:rsidRPr="003321FA" w:rsidRDefault="003321FA">
            <w:pPr>
              <w:keepNext/>
              <w:keepLines/>
              <w:spacing w:before="40" w:after="40"/>
              <w:rPr>
                <w:rFonts w:ascii="Arial" w:hAnsi="Arial" w:cs="Arial"/>
                <w:b w:val="0"/>
                <w:bCs w:val="0"/>
                <w:sz w:val="14"/>
                <w:szCs w:val="14"/>
              </w:rPr>
            </w:pPr>
            <w:r w:rsidRPr="003321FA">
              <w:rPr>
                <w:rFonts w:ascii="Arial" w:hAnsi="Arial" w:cs="Arial"/>
                <w:b w:val="0"/>
                <w:bCs w:val="0"/>
                <w:sz w:val="14"/>
                <w:szCs w:val="14"/>
              </w:rPr>
              <w:t>Patrimônio Líquido - SUSEPGAAP</w:t>
            </w:r>
          </w:p>
        </w:tc>
        <w:tc>
          <w:tcPr>
            <w:tcW w:w="2126" w:type="dxa"/>
            <w:tcBorders>
              <w:top w:val="nil"/>
              <w:left w:val="nil"/>
              <w:bottom w:val="single" w:sz="2" w:space="0" w:color="1F3864" w:themeColor="accent1" w:themeShade="80"/>
              <w:right w:val="nil"/>
            </w:tcBorders>
            <w:shd w:val="clear" w:color="auto" w:fill="auto"/>
            <w:vAlign w:val="center"/>
          </w:tcPr>
          <w:p w14:paraId="5CA5F5DE"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 xml:space="preserve">                 3.358.514 </w:t>
            </w:r>
          </w:p>
        </w:tc>
        <w:tc>
          <w:tcPr>
            <w:tcW w:w="2126" w:type="dxa"/>
            <w:tcBorders>
              <w:top w:val="nil"/>
              <w:left w:val="nil"/>
              <w:bottom w:val="single" w:sz="2" w:space="0" w:color="1F3864" w:themeColor="accent1" w:themeShade="80"/>
              <w:right w:val="nil"/>
            </w:tcBorders>
            <w:shd w:val="clear" w:color="auto" w:fill="auto"/>
            <w:vAlign w:val="center"/>
          </w:tcPr>
          <w:p w14:paraId="65D63152"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 xml:space="preserve">             3.330.534 </w:t>
            </w:r>
          </w:p>
        </w:tc>
      </w:tr>
    </w:tbl>
    <w:p w14:paraId="54EC00FF" w14:textId="094E89FA" w:rsidR="003321FA" w:rsidRPr="003321FA" w:rsidRDefault="003321FA" w:rsidP="003321FA">
      <w:pPr>
        <w:keepNext/>
        <w:keepLines/>
        <w:pageBreakBefore/>
        <w:spacing w:after="0" w:line="240" w:lineRule="auto"/>
        <w:rPr>
          <w:rFonts w:ascii="Arial" w:eastAsia="Times New Roman" w:hAnsi="Arial" w:cs="Times New Roman"/>
          <w:b/>
          <w:color w:val="1F3864" w:themeColor="accent1" w:themeShade="80"/>
          <w:spacing w:val="-2"/>
          <w:sz w:val="18"/>
          <w:szCs w:val="20"/>
          <w:lang w:eastAsia="pt-BR"/>
        </w:rPr>
      </w:pPr>
      <w:r w:rsidRPr="003321FA">
        <w:rPr>
          <w:rFonts w:ascii="Arial" w:eastAsia="Times New Roman" w:hAnsi="Arial" w:cs="Times New Roman"/>
          <w:b/>
          <w:color w:val="1F3864" w:themeColor="accent1" w:themeShade="80"/>
          <w:spacing w:val="-2"/>
          <w:sz w:val="18"/>
          <w:szCs w:val="20"/>
          <w:lang w:eastAsia="pt-BR"/>
        </w:rPr>
        <w:lastRenderedPageBreak/>
        <w:t xml:space="preserve">c.1.2) </w:t>
      </w:r>
      <w:proofErr w:type="spellStart"/>
      <w:r w:rsidRPr="003321FA">
        <w:rPr>
          <w:rFonts w:ascii="Arial" w:eastAsia="Times New Roman" w:hAnsi="Arial" w:cs="Times New Roman"/>
          <w:b/>
          <w:color w:val="1F3864" w:themeColor="accent1" w:themeShade="80"/>
          <w:spacing w:val="-2"/>
          <w:sz w:val="18"/>
          <w:szCs w:val="20"/>
          <w:lang w:eastAsia="pt-BR"/>
        </w:rPr>
        <w:t>Brasilseg</w:t>
      </w:r>
      <w:proofErr w:type="spellEnd"/>
      <w:r w:rsidRPr="003321FA">
        <w:rPr>
          <w:rFonts w:ascii="Arial" w:eastAsia="Times New Roman" w:hAnsi="Arial" w:cs="Times New Roman"/>
          <w:b/>
          <w:color w:val="1F3864" w:themeColor="accent1" w:themeShade="80"/>
          <w:spacing w:val="-2"/>
          <w:sz w:val="18"/>
          <w:szCs w:val="20"/>
          <w:lang w:eastAsia="pt-BR"/>
        </w:rPr>
        <w:t xml:space="preserve"> Companhia de Seguros (</w:t>
      </w:r>
      <w:proofErr w:type="spellStart"/>
      <w:r w:rsidRPr="003321FA">
        <w:rPr>
          <w:rFonts w:ascii="Arial" w:eastAsia="Times New Roman" w:hAnsi="Arial" w:cs="Times New Roman"/>
          <w:b/>
          <w:color w:val="1F3864" w:themeColor="accent1" w:themeShade="80"/>
          <w:spacing w:val="-2"/>
          <w:sz w:val="18"/>
          <w:szCs w:val="20"/>
          <w:lang w:eastAsia="pt-BR"/>
        </w:rPr>
        <w:t>Brasilseg</w:t>
      </w:r>
      <w:proofErr w:type="spellEnd"/>
      <w:r w:rsidRPr="003321FA">
        <w:rPr>
          <w:rFonts w:ascii="Arial" w:eastAsia="Times New Roman" w:hAnsi="Arial" w:cs="Times New Roman"/>
          <w:b/>
          <w:color w:val="1F3864" w:themeColor="accent1" w:themeShade="80"/>
          <w:spacing w:val="-2"/>
          <w:sz w:val="18"/>
          <w:szCs w:val="20"/>
          <w:lang w:eastAsia="pt-BR"/>
        </w:rPr>
        <w:t>)</w:t>
      </w:r>
    </w:p>
    <w:p w14:paraId="7CEF114C" w14:textId="77777777" w:rsidR="003321FA" w:rsidRPr="003321FA" w:rsidRDefault="003321FA" w:rsidP="003321FA">
      <w:pPr>
        <w:spacing w:before="120" w:after="120" w:line="240" w:lineRule="auto"/>
        <w:rPr>
          <w:rFonts w:ascii="Arial" w:eastAsia="Times New Roman" w:hAnsi="Arial" w:cs="Arial"/>
          <w:spacing w:val="-2"/>
          <w:sz w:val="18"/>
          <w:szCs w:val="20"/>
          <w:lang w:eastAsia="zh-CN"/>
        </w:rPr>
      </w:pPr>
      <w:r w:rsidRPr="003321FA">
        <w:rPr>
          <w:rFonts w:ascii="Arial" w:eastAsia="Times New Roman" w:hAnsi="Arial" w:cs="Times New Roman"/>
          <w:b/>
          <w:color w:val="1F3864" w:themeColor="accent1" w:themeShade="80"/>
          <w:spacing w:val="-2"/>
          <w:sz w:val="18"/>
          <w:szCs w:val="20"/>
          <w:lang w:eastAsia="pt-BR"/>
        </w:rPr>
        <w:t>Informações de Resultado</w:t>
      </w:r>
    </w:p>
    <w:p w14:paraId="7A778891" w14:textId="77777777" w:rsidR="003321FA" w:rsidRPr="003321FA" w:rsidRDefault="003321FA" w:rsidP="003321FA">
      <w:pPr>
        <w:spacing w:after="0" w:line="240" w:lineRule="auto"/>
        <w:jc w:val="right"/>
        <w:rPr>
          <w:rFonts w:ascii="Arial" w:hAnsi="Arial" w:cs="Arial"/>
          <w:b/>
          <w:sz w:val="14"/>
          <w:lang w:eastAsia="pt-BR"/>
        </w:rPr>
      </w:pPr>
      <w:r w:rsidRPr="003321FA">
        <w:rPr>
          <w:rFonts w:ascii="Arial" w:hAnsi="Arial" w:cs="Arial"/>
          <w:b/>
          <w:sz w:val="14"/>
          <w:lang w:eastAsia="pt-BR"/>
        </w:rPr>
        <w:t>R$ mil</w:t>
      </w:r>
    </w:p>
    <w:tbl>
      <w:tblPr>
        <w:tblStyle w:val="TabeladeLista6Colorida-nfase512"/>
        <w:tblW w:w="9639" w:type="dxa"/>
        <w:jc w:val="center"/>
        <w:tblLayout w:type="fixed"/>
        <w:tblLook w:val="04A0" w:firstRow="1" w:lastRow="0" w:firstColumn="1" w:lastColumn="0" w:noHBand="0" w:noVBand="1"/>
      </w:tblPr>
      <w:tblGrid>
        <w:gridCol w:w="2364"/>
        <w:gridCol w:w="1818"/>
        <w:gridCol w:w="1819"/>
        <w:gridCol w:w="1819"/>
        <w:gridCol w:w="1819"/>
      </w:tblGrid>
      <w:tr w:rsidR="003321FA" w:rsidRPr="003321FA" w14:paraId="2F55B5D8"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6BF1B89" w14:textId="77777777" w:rsidR="003321FA" w:rsidRPr="003321FA" w:rsidRDefault="003321FA">
            <w:pPr>
              <w:jc w:val="center"/>
              <w:rPr>
                <w:rFonts w:ascii="Arial" w:hAnsi="Arial" w:cs="Arial"/>
                <w:sz w:val="14"/>
                <w:szCs w:val="14"/>
              </w:rPr>
            </w:pPr>
          </w:p>
        </w:tc>
        <w:tc>
          <w:tcPr>
            <w:tcW w:w="1818"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C903028" w14:textId="77777777" w:rsidR="003321FA" w:rsidRPr="003321FA" w:rsidRDefault="003321F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81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294631F" w14:textId="77777777" w:rsidR="003321FA" w:rsidRPr="003321FA" w:rsidRDefault="003321F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81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1AB6803" w14:textId="77777777" w:rsidR="003321FA" w:rsidRPr="003321FA" w:rsidRDefault="003321FA">
            <w:pPr>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3321FA">
              <w:rPr>
                <w:rFonts w:ascii="Arial" w:hAnsi="Arial" w:cs="Arial"/>
                <w:bCs w:val="0"/>
                <w:sz w:val="14"/>
                <w:szCs w:val="14"/>
              </w:rPr>
              <w:t>Exercício 2024</w:t>
            </w:r>
          </w:p>
        </w:tc>
        <w:tc>
          <w:tcPr>
            <w:tcW w:w="181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7C22D6E" w14:textId="77777777" w:rsidR="003321FA" w:rsidRPr="003321FA" w:rsidRDefault="003321F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sz w:val="14"/>
                <w:szCs w:val="14"/>
              </w:rPr>
              <w:t>Exercício 2023</w:t>
            </w:r>
          </w:p>
        </w:tc>
      </w:tr>
      <w:tr w:rsidR="003321FA" w:rsidRPr="003321FA" w14:paraId="475738C9"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single" w:sz="2" w:space="0" w:color="1F3864" w:themeColor="accent1" w:themeShade="80"/>
              <w:left w:val="nil"/>
              <w:bottom w:val="nil"/>
              <w:right w:val="nil"/>
            </w:tcBorders>
            <w:shd w:val="clear" w:color="auto" w:fill="auto"/>
            <w:vAlign w:val="center"/>
          </w:tcPr>
          <w:p w14:paraId="062DF3FE" w14:textId="77777777" w:rsidR="003321FA" w:rsidRPr="003321FA" w:rsidRDefault="003321FA">
            <w:pPr>
              <w:keepNext/>
              <w:keepLines/>
              <w:rPr>
                <w:rFonts w:ascii="Arial" w:eastAsia="Times New Roman" w:hAnsi="Arial" w:cs="Arial"/>
                <w:spacing w:val="-2"/>
                <w:sz w:val="14"/>
                <w:szCs w:val="14"/>
              </w:rPr>
            </w:pPr>
            <w:r w:rsidRPr="003321FA">
              <w:rPr>
                <w:rFonts w:ascii="Arial" w:hAnsi="Arial" w:cs="Arial"/>
                <w:color w:val="000000"/>
                <w:sz w:val="14"/>
                <w:szCs w:val="14"/>
              </w:rPr>
              <w:t>Resultado de contratos de seguros</w:t>
            </w:r>
          </w:p>
        </w:tc>
        <w:tc>
          <w:tcPr>
            <w:tcW w:w="1818" w:type="dxa"/>
            <w:tcBorders>
              <w:top w:val="single" w:sz="2" w:space="0" w:color="1F3864" w:themeColor="accent1" w:themeShade="80"/>
              <w:left w:val="nil"/>
              <w:bottom w:val="nil"/>
              <w:right w:val="nil"/>
            </w:tcBorders>
            <w:shd w:val="clear" w:color="auto" w:fill="auto"/>
            <w:vAlign w:val="center"/>
          </w:tcPr>
          <w:p w14:paraId="2BF6068E"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819" w:type="dxa"/>
            <w:tcBorders>
              <w:top w:val="single" w:sz="2" w:space="0" w:color="1F3864" w:themeColor="accent1" w:themeShade="80"/>
              <w:left w:val="nil"/>
              <w:bottom w:val="nil"/>
              <w:right w:val="nil"/>
            </w:tcBorders>
            <w:shd w:val="clear" w:color="auto" w:fill="auto"/>
            <w:vAlign w:val="center"/>
          </w:tcPr>
          <w:p w14:paraId="186640AB"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819" w:type="dxa"/>
            <w:tcBorders>
              <w:top w:val="single" w:sz="2" w:space="0" w:color="1F3864" w:themeColor="accent1" w:themeShade="80"/>
              <w:left w:val="nil"/>
              <w:bottom w:val="nil"/>
              <w:right w:val="nil"/>
            </w:tcBorders>
            <w:shd w:val="clear" w:color="auto" w:fill="auto"/>
            <w:vAlign w:val="center"/>
          </w:tcPr>
          <w:p w14:paraId="25CB93C0"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321FA">
              <w:rPr>
                <w:rFonts w:ascii="Arial" w:hAnsi="Arial" w:cs="Arial"/>
                <w:b/>
                <w:bCs/>
                <w:color w:val="000000"/>
                <w:sz w:val="14"/>
                <w:szCs w:val="14"/>
              </w:rPr>
              <w:t>15.695.194</w:t>
            </w:r>
          </w:p>
        </w:tc>
        <w:tc>
          <w:tcPr>
            <w:tcW w:w="1819" w:type="dxa"/>
            <w:tcBorders>
              <w:top w:val="single" w:sz="2" w:space="0" w:color="1F3864" w:themeColor="accent1" w:themeShade="80"/>
              <w:left w:val="nil"/>
              <w:bottom w:val="nil"/>
              <w:right w:val="nil"/>
            </w:tcBorders>
            <w:shd w:val="clear" w:color="auto" w:fill="auto"/>
            <w:vAlign w:val="center"/>
          </w:tcPr>
          <w:p w14:paraId="0DEFE600" w14:textId="2B8A2696"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321FA">
              <w:rPr>
                <w:rFonts w:ascii="Arial" w:hAnsi="Arial" w:cs="Arial"/>
                <w:b/>
                <w:bCs/>
                <w:color w:val="000000"/>
                <w:sz w:val="14"/>
                <w:szCs w:val="14"/>
              </w:rPr>
              <w:t>14.815.05</w:t>
            </w:r>
            <w:r w:rsidR="009B22AB">
              <w:rPr>
                <w:rFonts w:ascii="Arial" w:hAnsi="Arial" w:cs="Arial"/>
                <w:b/>
                <w:bCs/>
                <w:color w:val="000000"/>
                <w:sz w:val="14"/>
                <w:szCs w:val="14"/>
              </w:rPr>
              <w:t>5</w:t>
            </w:r>
          </w:p>
        </w:tc>
      </w:tr>
      <w:tr w:rsidR="003321FA" w:rsidRPr="003321FA" w14:paraId="02D2CB73"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782A45FE" w14:textId="77777777" w:rsidR="003321FA" w:rsidRPr="003321FA" w:rsidRDefault="003321FA">
            <w:pPr>
              <w:keepNext/>
              <w:keepLines/>
              <w:ind w:left="113"/>
              <w:rPr>
                <w:rFonts w:ascii="Arial" w:hAnsi="Arial" w:cs="Arial"/>
                <w:b w:val="0"/>
                <w:bCs w:val="0"/>
                <w:color w:val="000000"/>
                <w:sz w:val="14"/>
                <w:szCs w:val="14"/>
              </w:rPr>
            </w:pPr>
            <w:r w:rsidRPr="003321FA">
              <w:rPr>
                <w:rFonts w:ascii="Arial" w:hAnsi="Arial" w:cs="Arial"/>
                <w:b w:val="0"/>
                <w:bCs w:val="0"/>
                <w:color w:val="000000"/>
                <w:sz w:val="14"/>
                <w:szCs w:val="14"/>
              </w:rPr>
              <w:t xml:space="preserve">Resultado dos contratos BBA </w:t>
            </w:r>
            <w:r w:rsidRPr="003321FA">
              <w:rPr>
                <w:rFonts w:ascii="Arial" w:hAnsi="Arial" w:cs="Arial"/>
                <w:b w:val="0"/>
                <w:bCs w:val="0"/>
                <w:color w:val="000000"/>
                <w:sz w:val="14"/>
                <w:szCs w:val="14"/>
                <w:vertAlign w:val="superscript"/>
              </w:rPr>
              <w:t>(1)</w:t>
            </w:r>
          </w:p>
        </w:tc>
        <w:tc>
          <w:tcPr>
            <w:tcW w:w="1818" w:type="dxa"/>
            <w:tcBorders>
              <w:top w:val="nil"/>
              <w:left w:val="nil"/>
              <w:bottom w:val="nil"/>
              <w:right w:val="nil"/>
            </w:tcBorders>
            <w:shd w:val="clear" w:color="auto" w:fill="auto"/>
            <w:vAlign w:val="center"/>
          </w:tcPr>
          <w:p w14:paraId="08CC0C5A"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17027B8A"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554A225E"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3.302.073</w:t>
            </w:r>
          </w:p>
        </w:tc>
        <w:tc>
          <w:tcPr>
            <w:tcW w:w="1819" w:type="dxa"/>
            <w:tcBorders>
              <w:top w:val="nil"/>
              <w:left w:val="nil"/>
              <w:bottom w:val="nil"/>
              <w:right w:val="nil"/>
            </w:tcBorders>
            <w:shd w:val="clear" w:color="auto" w:fill="auto"/>
            <w:vAlign w:val="center"/>
          </w:tcPr>
          <w:p w14:paraId="181543B2"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2.835.165</w:t>
            </w:r>
          </w:p>
        </w:tc>
      </w:tr>
      <w:tr w:rsidR="003321FA" w:rsidRPr="003321FA" w14:paraId="3FB01312"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6BD3AEB3" w14:textId="77777777" w:rsidR="003321FA" w:rsidRPr="003321FA" w:rsidRDefault="003321FA">
            <w:pPr>
              <w:keepNext/>
              <w:keepLines/>
              <w:ind w:left="113"/>
              <w:rPr>
                <w:rFonts w:ascii="Arial" w:hAnsi="Arial" w:cs="Arial"/>
                <w:b w:val="0"/>
                <w:bCs w:val="0"/>
                <w:color w:val="000000"/>
                <w:sz w:val="14"/>
                <w:szCs w:val="14"/>
              </w:rPr>
            </w:pPr>
            <w:r w:rsidRPr="003321FA">
              <w:rPr>
                <w:rFonts w:ascii="Arial" w:hAnsi="Arial" w:cs="Arial"/>
                <w:b w:val="0"/>
                <w:bCs w:val="0"/>
                <w:color w:val="000000"/>
                <w:sz w:val="14"/>
                <w:szCs w:val="14"/>
              </w:rPr>
              <w:t xml:space="preserve">Resultado dos contratos PAA </w:t>
            </w:r>
            <w:r w:rsidRPr="003321FA">
              <w:rPr>
                <w:rFonts w:ascii="Arial" w:hAnsi="Arial" w:cs="Arial"/>
                <w:b w:val="0"/>
                <w:bCs w:val="0"/>
                <w:color w:val="000000"/>
                <w:sz w:val="14"/>
                <w:szCs w:val="14"/>
                <w:vertAlign w:val="superscript"/>
              </w:rPr>
              <w:t>(1)</w:t>
            </w:r>
          </w:p>
        </w:tc>
        <w:tc>
          <w:tcPr>
            <w:tcW w:w="1818" w:type="dxa"/>
            <w:tcBorders>
              <w:top w:val="nil"/>
              <w:left w:val="nil"/>
              <w:bottom w:val="nil"/>
              <w:right w:val="nil"/>
            </w:tcBorders>
            <w:shd w:val="clear" w:color="auto" w:fill="auto"/>
            <w:vAlign w:val="center"/>
          </w:tcPr>
          <w:p w14:paraId="32E20483"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23D3ED55"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1444A442"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12.393.121</w:t>
            </w:r>
          </w:p>
        </w:tc>
        <w:tc>
          <w:tcPr>
            <w:tcW w:w="1819" w:type="dxa"/>
            <w:tcBorders>
              <w:top w:val="nil"/>
              <w:left w:val="nil"/>
              <w:bottom w:val="nil"/>
              <w:right w:val="nil"/>
            </w:tcBorders>
            <w:shd w:val="clear" w:color="auto" w:fill="auto"/>
            <w:vAlign w:val="center"/>
          </w:tcPr>
          <w:p w14:paraId="285E2B4E"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11.979.889</w:t>
            </w:r>
          </w:p>
        </w:tc>
      </w:tr>
      <w:tr w:rsidR="003321FA" w:rsidRPr="003321FA" w14:paraId="5F3C79D6"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60D87B2B" w14:textId="77777777" w:rsidR="003321FA" w:rsidRPr="003321FA" w:rsidRDefault="003321FA">
            <w:pPr>
              <w:keepNext/>
              <w:keepLines/>
              <w:ind w:left="113"/>
              <w:rPr>
                <w:rFonts w:ascii="Arial" w:hAnsi="Arial" w:cs="Arial"/>
                <w:b w:val="0"/>
                <w:bCs w:val="0"/>
                <w:color w:val="000000"/>
                <w:sz w:val="14"/>
                <w:szCs w:val="14"/>
              </w:rPr>
            </w:pPr>
            <w:r w:rsidRPr="003321FA">
              <w:rPr>
                <w:rFonts w:ascii="Arial" w:hAnsi="Arial" w:cs="Arial"/>
                <w:b w:val="0"/>
                <w:bCs w:val="0"/>
                <w:color w:val="000000"/>
                <w:sz w:val="14"/>
                <w:szCs w:val="14"/>
              </w:rPr>
              <w:t>Despesas de seguros</w:t>
            </w:r>
          </w:p>
        </w:tc>
        <w:tc>
          <w:tcPr>
            <w:tcW w:w="1818" w:type="dxa"/>
            <w:tcBorders>
              <w:top w:val="nil"/>
              <w:left w:val="nil"/>
              <w:bottom w:val="nil"/>
              <w:right w:val="nil"/>
            </w:tcBorders>
            <w:shd w:val="clear" w:color="auto" w:fill="auto"/>
            <w:vAlign w:val="center"/>
          </w:tcPr>
          <w:p w14:paraId="6BFA1475"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73EFC5A9"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507ED9A8"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(9.690.294)</w:t>
            </w:r>
          </w:p>
        </w:tc>
        <w:tc>
          <w:tcPr>
            <w:tcW w:w="1819" w:type="dxa"/>
            <w:tcBorders>
              <w:top w:val="nil"/>
              <w:left w:val="nil"/>
              <w:bottom w:val="nil"/>
              <w:right w:val="nil"/>
            </w:tcBorders>
            <w:shd w:val="clear" w:color="auto" w:fill="auto"/>
            <w:vAlign w:val="center"/>
          </w:tcPr>
          <w:p w14:paraId="2D70E636"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(9.403.343)</w:t>
            </w:r>
          </w:p>
        </w:tc>
      </w:tr>
      <w:tr w:rsidR="003321FA" w:rsidRPr="003321FA" w14:paraId="04FF3F17"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2E1AE6E0" w14:textId="77777777" w:rsidR="003321FA" w:rsidRPr="003321FA" w:rsidRDefault="003321FA">
            <w:pPr>
              <w:keepNext/>
              <w:keepLines/>
              <w:rPr>
                <w:rFonts w:ascii="Arial" w:hAnsi="Arial" w:cs="Arial"/>
                <w:color w:val="000000"/>
                <w:sz w:val="14"/>
                <w:szCs w:val="14"/>
              </w:rPr>
            </w:pPr>
            <w:r w:rsidRPr="003321FA">
              <w:rPr>
                <w:rFonts w:ascii="Arial" w:hAnsi="Arial" w:cs="Arial"/>
                <w:color w:val="000000"/>
                <w:sz w:val="14"/>
                <w:szCs w:val="14"/>
              </w:rPr>
              <w:t>Margem de seguros</w:t>
            </w:r>
          </w:p>
        </w:tc>
        <w:tc>
          <w:tcPr>
            <w:tcW w:w="1818" w:type="dxa"/>
            <w:tcBorders>
              <w:top w:val="nil"/>
              <w:left w:val="nil"/>
              <w:bottom w:val="nil"/>
              <w:right w:val="nil"/>
            </w:tcBorders>
            <w:shd w:val="clear" w:color="auto" w:fill="auto"/>
            <w:vAlign w:val="center"/>
          </w:tcPr>
          <w:p w14:paraId="5917FAF0"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819" w:type="dxa"/>
            <w:tcBorders>
              <w:top w:val="nil"/>
              <w:left w:val="nil"/>
              <w:bottom w:val="nil"/>
              <w:right w:val="nil"/>
            </w:tcBorders>
            <w:shd w:val="clear" w:color="auto" w:fill="auto"/>
            <w:vAlign w:val="center"/>
          </w:tcPr>
          <w:p w14:paraId="0802A1AE"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819" w:type="dxa"/>
            <w:tcBorders>
              <w:top w:val="nil"/>
              <w:left w:val="nil"/>
              <w:bottom w:val="nil"/>
              <w:right w:val="nil"/>
            </w:tcBorders>
            <w:shd w:val="clear" w:color="auto" w:fill="auto"/>
            <w:vAlign w:val="center"/>
          </w:tcPr>
          <w:p w14:paraId="6801578A"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321FA">
              <w:rPr>
                <w:rFonts w:ascii="Arial" w:hAnsi="Arial" w:cs="Arial"/>
                <w:b/>
                <w:bCs/>
                <w:color w:val="000000"/>
                <w:sz w:val="14"/>
                <w:szCs w:val="14"/>
              </w:rPr>
              <w:t>6.004.900</w:t>
            </w:r>
          </w:p>
        </w:tc>
        <w:tc>
          <w:tcPr>
            <w:tcW w:w="1819" w:type="dxa"/>
            <w:tcBorders>
              <w:top w:val="nil"/>
              <w:left w:val="nil"/>
              <w:bottom w:val="nil"/>
              <w:right w:val="nil"/>
            </w:tcBorders>
            <w:shd w:val="clear" w:color="auto" w:fill="auto"/>
            <w:vAlign w:val="center"/>
          </w:tcPr>
          <w:p w14:paraId="16884657"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321FA">
              <w:rPr>
                <w:rFonts w:ascii="Arial" w:hAnsi="Arial" w:cs="Arial"/>
                <w:b/>
                <w:bCs/>
                <w:color w:val="000000"/>
                <w:sz w:val="14"/>
                <w:szCs w:val="14"/>
              </w:rPr>
              <w:t>5.411.711</w:t>
            </w:r>
          </w:p>
        </w:tc>
      </w:tr>
      <w:tr w:rsidR="003321FA" w:rsidRPr="003321FA" w14:paraId="784CB689"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4F2413C5" w14:textId="77777777" w:rsidR="003321FA" w:rsidRPr="003321FA" w:rsidRDefault="003321FA">
            <w:pPr>
              <w:keepNext/>
              <w:keepLines/>
              <w:rPr>
                <w:rFonts w:ascii="Arial" w:hAnsi="Arial" w:cs="Arial"/>
                <w:color w:val="000000"/>
                <w:sz w:val="14"/>
                <w:szCs w:val="14"/>
              </w:rPr>
            </w:pPr>
            <w:r w:rsidRPr="003321FA">
              <w:rPr>
                <w:rFonts w:ascii="Arial" w:hAnsi="Arial" w:cs="Arial"/>
                <w:color w:val="000000"/>
                <w:sz w:val="14"/>
                <w:szCs w:val="14"/>
              </w:rPr>
              <w:t>Resultado Financeiro</w:t>
            </w:r>
          </w:p>
        </w:tc>
        <w:tc>
          <w:tcPr>
            <w:tcW w:w="1818" w:type="dxa"/>
            <w:tcBorders>
              <w:top w:val="nil"/>
              <w:left w:val="nil"/>
              <w:bottom w:val="nil"/>
              <w:right w:val="nil"/>
            </w:tcBorders>
            <w:shd w:val="clear" w:color="auto" w:fill="auto"/>
            <w:vAlign w:val="center"/>
          </w:tcPr>
          <w:p w14:paraId="3617522C"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819" w:type="dxa"/>
            <w:tcBorders>
              <w:top w:val="nil"/>
              <w:left w:val="nil"/>
              <w:bottom w:val="nil"/>
              <w:right w:val="nil"/>
            </w:tcBorders>
            <w:shd w:val="clear" w:color="auto" w:fill="auto"/>
            <w:vAlign w:val="center"/>
          </w:tcPr>
          <w:p w14:paraId="37B82126"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819" w:type="dxa"/>
            <w:tcBorders>
              <w:top w:val="nil"/>
              <w:left w:val="nil"/>
              <w:bottom w:val="nil"/>
              <w:right w:val="nil"/>
            </w:tcBorders>
            <w:shd w:val="clear" w:color="auto" w:fill="auto"/>
            <w:vAlign w:val="center"/>
          </w:tcPr>
          <w:p w14:paraId="2DDC8D5E"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321FA">
              <w:rPr>
                <w:rFonts w:ascii="Arial" w:hAnsi="Arial" w:cs="Arial"/>
                <w:b/>
                <w:bCs/>
                <w:color w:val="000000"/>
                <w:sz w:val="14"/>
                <w:szCs w:val="14"/>
              </w:rPr>
              <w:t>550.303</w:t>
            </w:r>
          </w:p>
        </w:tc>
        <w:tc>
          <w:tcPr>
            <w:tcW w:w="1819" w:type="dxa"/>
            <w:tcBorders>
              <w:top w:val="nil"/>
              <w:left w:val="nil"/>
              <w:bottom w:val="nil"/>
              <w:right w:val="nil"/>
            </w:tcBorders>
            <w:shd w:val="clear" w:color="auto" w:fill="auto"/>
            <w:vAlign w:val="center"/>
          </w:tcPr>
          <w:p w14:paraId="01280B78"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321FA">
              <w:rPr>
                <w:rFonts w:ascii="Arial" w:hAnsi="Arial" w:cs="Arial"/>
                <w:b/>
                <w:bCs/>
                <w:color w:val="000000"/>
                <w:sz w:val="14"/>
                <w:szCs w:val="14"/>
              </w:rPr>
              <w:t>614.303</w:t>
            </w:r>
          </w:p>
        </w:tc>
      </w:tr>
      <w:tr w:rsidR="003321FA" w:rsidRPr="003321FA" w14:paraId="57A3DFA6"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32038B99" w14:textId="77777777" w:rsidR="003321FA" w:rsidRPr="003321FA" w:rsidRDefault="003321FA">
            <w:pPr>
              <w:keepNext/>
              <w:keepLines/>
              <w:ind w:left="113"/>
              <w:rPr>
                <w:rFonts w:ascii="Arial" w:hAnsi="Arial" w:cs="Arial"/>
                <w:b w:val="0"/>
                <w:bCs w:val="0"/>
                <w:color w:val="000000"/>
                <w:sz w:val="14"/>
                <w:szCs w:val="14"/>
              </w:rPr>
            </w:pPr>
            <w:r w:rsidRPr="003321FA">
              <w:rPr>
                <w:rFonts w:ascii="Arial" w:hAnsi="Arial" w:cs="Arial"/>
                <w:b w:val="0"/>
                <w:bCs w:val="0"/>
                <w:color w:val="000000"/>
                <w:sz w:val="14"/>
                <w:szCs w:val="14"/>
              </w:rPr>
              <w:t>Receitas Financeiras</w:t>
            </w:r>
          </w:p>
        </w:tc>
        <w:tc>
          <w:tcPr>
            <w:tcW w:w="1818" w:type="dxa"/>
            <w:tcBorders>
              <w:top w:val="nil"/>
              <w:left w:val="nil"/>
              <w:bottom w:val="nil"/>
              <w:right w:val="nil"/>
            </w:tcBorders>
            <w:shd w:val="clear" w:color="auto" w:fill="auto"/>
            <w:vAlign w:val="center"/>
          </w:tcPr>
          <w:p w14:paraId="4D0F4C44"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5EEDA4D1"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5DD8D724"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945.689</w:t>
            </w:r>
          </w:p>
        </w:tc>
        <w:tc>
          <w:tcPr>
            <w:tcW w:w="1819" w:type="dxa"/>
            <w:tcBorders>
              <w:top w:val="nil"/>
              <w:left w:val="nil"/>
              <w:bottom w:val="nil"/>
              <w:right w:val="nil"/>
            </w:tcBorders>
            <w:shd w:val="clear" w:color="auto" w:fill="auto"/>
            <w:vAlign w:val="center"/>
          </w:tcPr>
          <w:p w14:paraId="62C26B86"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994.907</w:t>
            </w:r>
          </w:p>
        </w:tc>
      </w:tr>
      <w:tr w:rsidR="003321FA" w:rsidRPr="003321FA" w14:paraId="6D84CF9C"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44C7D9B1" w14:textId="77777777" w:rsidR="003321FA" w:rsidRPr="003321FA" w:rsidRDefault="003321FA">
            <w:pPr>
              <w:keepNext/>
              <w:keepLines/>
              <w:ind w:left="113"/>
              <w:rPr>
                <w:rFonts w:ascii="Arial" w:hAnsi="Arial" w:cs="Arial"/>
                <w:b w:val="0"/>
                <w:bCs w:val="0"/>
                <w:color w:val="000000"/>
                <w:sz w:val="14"/>
                <w:szCs w:val="14"/>
              </w:rPr>
            </w:pPr>
            <w:r w:rsidRPr="003321FA">
              <w:rPr>
                <w:rFonts w:ascii="Arial" w:hAnsi="Arial" w:cs="Arial"/>
                <w:b w:val="0"/>
                <w:bCs w:val="0"/>
                <w:color w:val="000000"/>
                <w:sz w:val="14"/>
                <w:szCs w:val="14"/>
              </w:rPr>
              <w:t>Despesas Financeiras</w:t>
            </w:r>
          </w:p>
        </w:tc>
        <w:tc>
          <w:tcPr>
            <w:tcW w:w="1818" w:type="dxa"/>
            <w:tcBorders>
              <w:top w:val="nil"/>
              <w:left w:val="nil"/>
              <w:bottom w:val="nil"/>
              <w:right w:val="nil"/>
            </w:tcBorders>
            <w:shd w:val="clear" w:color="auto" w:fill="auto"/>
            <w:vAlign w:val="center"/>
          </w:tcPr>
          <w:p w14:paraId="41F734D7"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43B2F844"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43EB3294"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(395.386)</w:t>
            </w:r>
          </w:p>
        </w:tc>
        <w:tc>
          <w:tcPr>
            <w:tcW w:w="1819" w:type="dxa"/>
            <w:tcBorders>
              <w:top w:val="nil"/>
              <w:left w:val="nil"/>
              <w:bottom w:val="nil"/>
              <w:right w:val="nil"/>
            </w:tcBorders>
            <w:shd w:val="clear" w:color="auto" w:fill="auto"/>
            <w:vAlign w:val="center"/>
          </w:tcPr>
          <w:p w14:paraId="3100247E"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(380.604)</w:t>
            </w:r>
          </w:p>
        </w:tc>
      </w:tr>
      <w:tr w:rsidR="003321FA" w:rsidRPr="003321FA" w14:paraId="4C4D8D51"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1B1D8BB6" w14:textId="77777777" w:rsidR="003321FA" w:rsidRPr="003321FA" w:rsidRDefault="003321FA">
            <w:pPr>
              <w:keepNext/>
              <w:keepLines/>
              <w:rPr>
                <w:rFonts w:ascii="Arial" w:hAnsi="Arial" w:cs="Arial"/>
                <w:b w:val="0"/>
                <w:bCs w:val="0"/>
                <w:color w:val="000000"/>
                <w:sz w:val="14"/>
                <w:szCs w:val="14"/>
              </w:rPr>
            </w:pPr>
            <w:r w:rsidRPr="003321FA">
              <w:rPr>
                <w:rFonts w:ascii="Arial" w:hAnsi="Arial" w:cs="Arial"/>
                <w:b w:val="0"/>
                <w:bCs w:val="0"/>
                <w:color w:val="000000"/>
                <w:sz w:val="14"/>
                <w:szCs w:val="14"/>
              </w:rPr>
              <w:t>Despesas Não Atribuíveis</w:t>
            </w:r>
          </w:p>
        </w:tc>
        <w:tc>
          <w:tcPr>
            <w:tcW w:w="1818" w:type="dxa"/>
            <w:tcBorders>
              <w:top w:val="nil"/>
              <w:left w:val="nil"/>
              <w:bottom w:val="nil"/>
              <w:right w:val="nil"/>
            </w:tcBorders>
            <w:shd w:val="clear" w:color="auto" w:fill="auto"/>
            <w:vAlign w:val="center"/>
          </w:tcPr>
          <w:p w14:paraId="5785784B"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3664B169"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4FF6CCA7"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(993.303)</w:t>
            </w:r>
          </w:p>
        </w:tc>
        <w:tc>
          <w:tcPr>
            <w:tcW w:w="1819" w:type="dxa"/>
            <w:tcBorders>
              <w:top w:val="nil"/>
              <w:left w:val="nil"/>
              <w:bottom w:val="nil"/>
              <w:right w:val="nil"/>
            </w:tcBorders>
            <w:shd w:val="clear" w:color="auto" w:fill="auto"/>
            <w:vAlign w:val="center"/>
          </w:tcPr>
          <w:p w14:paraId="4A1615C2"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(926.636)</w:t>
            </w:r>
          </w:p>
        </w:tc>
      </w:tr>
      <w:tr w:rsidR="003321FA" w:rsidRPr="003321FA" w14:paraId="194CA529"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56332E19" w14:textId="77777777" w:rsidR="003321FA" w:rsidRPr="003321FA" w:rsidRDefault="003321FA">
            <w:pPr>
              <w:keepNext/>
              <w:keepLines/>
              <w:rPr>
                <w:rFonts w:ascii="Arial" w:hAnsi="Arial" w:cs="Arial"/>
                <w:b w:val="0"/>
                <w:bCs w:val="0"/>
                <w:color w:val="000000"/>
                <w:sz w:val="14"/>
                <w:szCs w:val="14"/>
              </w:rPr>
            </w:pPr>
            <w:r w:rsidRPr="003321FA">
              <w:rPr>
                <w:rFonts w:ascii="Arial" w:hAnsi="Arial" w:cs="Arial"/>
                <w:b w:val="0"/>
                <w:bCs w:val="0"/>
                <w:color w:val="000000"/>
                <w:sz w:val="14"/>
                <w:szCs w:val="14"/>
              </w:rPr>
              <w:t>Outras receitas e despesas</w:t>
            </w:r>
          </w:p>
        </w:tc>
        <w:tc>
          <w:tcPr>
            <w:tcW w:w="1818" w:type="dxa"/>
            <w:tcBorders>
              <w:top w:val="nil"/>
              <w:left w:val="nil"/>
              <w:bottom w:val="nil"/>
              <w:right w:val="nil"/>
            </w:tcBorders>
            <w:shd w:val="clear" w:color="auto" w:fill="auto"/>
            <w:vAlign w:val="center"/>
          </w:tcPr>
          <w:p w14:paraId="047C4E7A"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2FDB462F"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0A2044D5"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(19.418)</w:t>
            </w:r>
          </w:p>
        </w:tc>
        <w:tc>
          <w:tcPr>
            <w:tcW w:w="1819" w:type="dxa"/>
            <w:tcBorders>
              <w:top w:val="nil"/>
              <w:left w:val="nil"/>
              <w:bottom w:val="nil"/>
              <w:right w:val="nil"/>
            </w:tcBorders>
            <w:shd w:val="clear" w:color="auto" w:fill="auto"/>
            <w:vAlign w:val="center"/>
          </w:tcPr>
          <w:p w14:paraId="12FD44FF"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(9.162)</w:t>
            </w:r>
          </w:p>
        </w:tc>
      </w:tr>
      <w:tr w:rsidR="003321FA" w:rsidRPr="003321FA" w14:paraId="57759798"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2C68C40D" w14:textId="77777777" w:rsidR="003321FA" w:rsidRPr="003321FA" w:rsidRDefault="003321FA">
            <w:pPr>
              <w:keepNext/>
              <w:keepLines/>
              <w:rPr>
                <w:rFonts w:ascii="Arial" w:hAnsi="Arial" w:cs="Arial"/>
                <w:color w:val="000000"/>
                <w:sz w:val="14"/>
                <w:szCs w:val="14"/>
              </w:rPr>
            </w:pPr>
            <w:r w:rsidRPr="003321FA">
              <w:rPr>
                <w:rFonts w:ascii="Arial" w:hAnsi="Arial" w:cs="Arial"/>
                <w:color w:val="000000"/>
                <w:sz w:val="14"/>
                <w:szCs w:val="14"/>
              </w:rPr>
              <w:t>Lucro antes do IRPJ e CSLL</w:t>
            </w:r>
          </w:p>
        </w:tc>
        <w:tc>
          <w:tcPr>
            <w:tcW w:w="1818" w:type="dxa"/>
            <w:tcBorders>
              <w:top w:val="nil"/>
              <w:left w:val="nil"/>
              <w:bottom w:val="nil"/>
              <w:right w:val="nil"/>
            </w:tcBorders>
            <w:shd w:val="clear" w:color="auto" w:fill="auto"/>
            <w:vAlign w:val="center"/>
          </w:tcPr>
          <w:p w14:paraId="4A35FC5E"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819" w:type="dxa"/>
            <w:tcBorders>
              <w:top w:val="nil"/>
              <w:left w:val="nil"/>
              <w:bottom w:val="nil"/>
              <w:right w:val="nil"/>
            </w:tcBorders>
            <w:shd w:val="clear" w:color="auto" w:fill="auto"/>
            <w:vAlign w:val="center"/>
          </w:tcPr>
          <w:p w14:paraId="141F6D3B"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819" w:type="dxa"/>
            <w:tcBorders>
              <w:top w:val="nil"/>
              <w:left w:val="nil"/>
              <w:bottom w:val="nil"/>
              <w:right w:val="nil"/>
            </w:tcBorders>
            <w:shd w:val="clear" w:color="auto" w:fill="auto"/>
            <w:vAlign w:val="center"/>
          </w:tcPr>
          <w:p w14:paraId="14AE2410"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321FA">
              <w:rPr>
                <w:rFonts w:ascii="Arial" w:hAnsi="Arial" w:cs="Arial"/>
                <w:b/>
                <w:bCs/>
                <w:color w:val="000000"/>
                <w:sz w:val="14"/>
                <w:szCs w:val="14"/>
              </w:rPr>
              <w:t>5.542.482</w:t>
            </w:r>
          </w:p>
        </w:tc>
        <w:tc>
          <w:tcPr>
            <w:tcW w:w="1819" w:type="dxa"/>
            <w:tcBorders>
              <w:top w:val="nil"/>
              <w:left w:val="nil"/>
              <w:bottom w:val="nil"/>
              <w:right w:val="nil"/>
            </w:tcBorders>
            <w:shd w:val="clear" w:color="auto" w:fill="auto"/>
            <w:vAlign w:val="center"/>
          </w:tcPr>
          <w:p w14:paraId="77AA330E"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321FA">
              <w:rPr>
                <w:rFonts w:ascii="Arial" w:hAnsi="Arial" w:cs="Arial"/>
                <w:b/>
                <w:bCs/>
                <w:color w:val="000000"/>
                <w:sz w:val="14"/>
                <w:szCs w:val="14"/>
              </w:rPr>
              <w:t>5.090.216</w:t>
            </w:r>
          </w:p>
        </w:tc>
      </w:tr>
      <w:tr w:rsidR="003321FA" w:rsidRPr="003321FA" w14:paraId="09FD008A"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554597A1" w14:textId="77777777" w:rsidR="003321FA" w:rsidRPr="003321FA" w:rsidRDefault="003321FA">
            <w:pPr>
              <w:keepNext/>
              <w:keepLines/>
              <w:ind w:left="113"/>
              <w:rPr>
                <w:rFonts w:ascii="Arial" w:hAnsi="Arial" w:cs="Arial"/>
                <w:b w:val="0"/>
                <w:bCs w:val="0"/>
                <w:color w:val="000000"/>
                <w:sz w:val="14"/>
                <w:szCs w:val="14"/>
              </w:rPr>
            </w:pPr>
            <w:r w:rsidRPr="003321FA">
              <w:rPr>
                <w:rFonts w:ascii="Arial" w:hAnsi="Arial" w:cs="Arial"/>
                <w:b w:val="0"/>
                <w:bCs w:val="0"/>
                <w:sz w:val="14"/>
                <w:szCs w:val="14"/>
              </w:rPr>
              <w:t>IRPJ e CSLL</w:t>
            </w:r>
          </w:p>
        </w:tc>
        <w:tc>
          <w:tcPr>
            <w:tcW w:w="1818" w:type="dxa"/>
            <w:tcBorders>
              <w:top w:val="nil"/>
              <w:left w:val="nil"/>
              <w:bottom w:val="nil"/>
              <w:right w:val="nil"/>
            </w:tcBorders>
            <w:shd w:val="clear" w:color="auto" w:fill="auto"/>
            <w:vAlign w:val="center"/>
          </w:tcPr>
          <w:p w14:paraId="69D6ED87"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75633F6A"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7B84AA82"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(1.192.113)</w:t>
            </w:r>
          </w:p>
        </w:tc>
        <w:tc>
          <w:tcPr>
            <w:tcW w:w="1819" w:type="dxa"/>
            <w:tcBorders>
              <w:top w:val="nil"/>
              <w:left w:val="nil"/>
              <w:bottom w:val="nil"/>
              <w:right w:val="nil"/>
            </w:tcBorders>
            <w:shd w:val="clear" w:color="auto" w:fill="auto"/>
            <w:vAlign w:val="center"/>
          </w:tcPr>
          <w:p w14:paraId="2B8E37BC"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(1.187.538)</w:t>
            </w:r>
          </w:p>
        </w:tc>
      </w:tr>
      <w:tr w:rsidR="003321FA" w:rsidRPr="003321FA" w14:paraId="58FD936D"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4A0A6E6C" w14:textId="77777777" w:rsidR="003321FA" w:rsidRPr="003321FA" w:rsidRDefault="003321FA">
            <w:pPr>
              <w:keepNext/>
              <w:keepLines/>
              <w:ind w:left="113"/>
              <w:rPr>
                <w:rFonts w:ascii="Arial" w:hAnsi="Arial" w:cs="Arial"/>
                <w:b w:val="0"/>
                <w:bCs w:val="0"/>
                <w:color w:val="000000"/>
                <w:sz w:val="14"/>
                <w:szCs w:val="14"/>
              </w:rPr>
            </w:pPr>
            <w:r w:rsidRPr="003321FA">
              <w:rPr>
                <w:rFonts w:ascii="Arial" w:hAnsi="Arial" w:cs="Arial"/>
                <w:b w:val="0"/>
                <w:bCs w:val="0"/>
                <w:color w:val="000000"/>
                <w:sz w:val="14"/>
                <w:szCs w:val="14"/>
              </w:rPr>
              <w:t>Participações sobre o resultado</w:t>
            </w:r>
          </w:p>
        </w:tc>
        <w:tc>
          <w:tcPr>
            <w:tcW w:w="1818" w:type="dxa"/>
            <w:tcBorders>
              <w:top w:val="nil"/>
              <w:left w:val="nil"/>
              <w:bottom w:val="nil"/>
              <w:right w:val="nil"/>
            </w:tcBorders>
            <w:shd w:val="clear" w:color="auto" w:fill="auto"/>
            <w:vAlign w:val="center"/>
          </w:tcPr>
          <w:p w14:paraId="0D3AF93B"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2A7817AA"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5C309652"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(39.088)</w:t>
            </w:r>
          </w:p>
        </w:tc>
        <w:tc>
          <w:tcPr>
            <w:tcW w:w="1819" w:type="dxa"/>
            <w:tcBorders>
              <w:top w:val="nil"/>
              <w:left w:val="nil"/>
              <w:bottom w:val="nil"/>
              <w:right w:val="nil"/>
            </w:tcBorders>
            <w:shd w:val="clear" w:color="auto" w:fill="auto"/>
            <w:vAlign w:val="center"/>
          </w:tcPr>
          <w:p w14:paraId="4F039F28"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(31.266)</w:t>
            </w:r>
          </w:p>
        </w:tc>
      </w:tr>
      <w:tr w:rsidR="003321FA" w:rsidRPr="003321FA" w14:paraId="6097D426"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130DAAE5" w14:textId="77777777" w:rsidR="003321FA" w:rsidRPr="003321FA" w:rsidRDefault="003321FA">
            <w:pPr>
              <w:keepNext/>
              <w:keepLines/>
              <w:rPr>
                <w:rFonts w:ascii="Arial" w:hAnsi="Arial" w:cs="Arial"/>
                <w:color w:val="000000"/>
                <w:sz w:val="14"/>
                <w:szCs w:val="14"/>
              </w:rPr>
            </w:pPr>
            <w:r w:rsidRPr="003321FA">
              <w:rPr>
                <w:rFonts w:ascii="Arial" w:hAnsi="Arial" w:cs="Arial"/>
                <w:color w:val="000000"/>
                <w:sz w:val="14"/>
                <w:szCs w:val="14"/>
              </w:rPr>
              <w:t>Resultado líquido</w:t>
            </w:r>
          </w:p>
        </w:tc>
        <w:tc>
          <w:tcPr>
            <w:tcW w:w="1818" w:type="dxa"/>
            <w:tcBorders>
              <w:top w:val="nil"/>
              <w:left w:val="nil"/>
              <w:bottom w:val="nil"/>
              <w:right w:val="nil"/>
            </w:tcBorders>
            <w:shd w:val="clear" w:color="auto" w:fill="auto"/>
            <w:vAlign w:val="center"/>
          </w:tcPr>
          <w:p w14:paraId="0E61D50F"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819" w:type="dxa"/>
            <w:tcBorders>
              <w:top w:val="nil"/>
              <w:left w:val="nil"/>
              <w:bottom w:val="nil"/>
              <w:right w:val="nil"/>
            </w:tcBorders>
            <w:shd w:val="clear" w:color="auto" w:fill="auto"/>
            <w:vAlign w:val="center"/>
          </w:tcPr>
          <w:p w14:paraId="5A3746F6"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819" w:type="dxa"/>
            <w:tcBorders>
              <w:top w:val="nil"/>
              <w:left w:val="nil"/>
              <w:bottom w:val="nil"/>
              <w:right w:val="nil"/>
            </w:tcBorders>
            <w:shd w:val="clear" w:color="auto" w:fill="auto"/>
            <w:vAlign w:val="center"/>
          </w:tcPr>
          <w:p w14:paraId="15AA3325"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321FA">
              <w:rPr>
                <w:rFonts w:ascii="Arial" w:hAnsi="Arial" w:cs="Arial"/>
                <w:b/>
                <w:bCs/>
                <w:color w:val="000000"/>
                <w:sz w:val="14"/>
                <w:szCs w:val="14"/>
              </w:rPr>
              <w:t>4.311.281</w:t>
            </w:r>
          </w:p>
        </w:tc>
        <w:tc>
          <w:tcPr>
            <w:tcW w:w="1819" w:type="dxa"/>
            <w:tcBorders>
              <w:top w:val="nil"/>
              <w:left w:val="nil"/>
              <w:bottom w:val="nil"/>
              <w:right w:val="nil"/>
            </w:tcBorders>
            <w:shd w:val="clear" w:color="auto" w:fill="auto"/>
            <w:vAlign w:val="center"/>
          </w:tcPr>
          <w:p w14:paraId="3D78DBDF"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321FA">
              <w:rPr>
                <w:rFonts w:ascii="Arial" w:hAnsi="Arial" w:cs="Arial"/>
                <w:b/>
                <w:bCs/>
                <w:color w:val="000000"/>
                <w:sz w:val="14"/>
                <w:szCs w:val="14"/>
              </w:rPr>
              <w:t>3.871.412</w:t>
            </w:r>
          </w:p>
        </w:tc>
      </w:tr>
      <w:tr w:rsidR="003321FA" w:rsidRPr="003321FA" w14:paraId="2B5CD927"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3BB2A35A" w14:textId="77777777" w:rsidR="003321FA" w:rsidRPr="003321FA" w:rsidRDefault="003321FA">
            <w:pPr>
              <w:keepNext/>
              <w:keepLines/>
              <w:ind w:left="113"/>
              <w:rPr>
                <w:rFonts w:ascii="Arial" w:hAnsi="Arial" w:cs="Arial"/>
                <w:b w:val="0"/>
                <w:bCs w:val="0"/>
                <w:color w:val="000000"/>
                <w:sz w:val="14"/>
                <w:szCs w:val="14"/>
              </w:rPr>
            </w:pPr>
            <w:r w:rsidRPr="003321FA">
              <w:rPr>
                <w:rFonts w:ascii="Arial" w:hAnsi="Arial" w:cs="Arial"/>
                <w:b w:val="0"/>
                <w:bCs w:val="0"/>
                <w:color w:val="000000"/>
                <w:sz w:val="14"/>
                <w:szCs w:val="14"/>
              </w:rPr>
              <w:t>Outros resultados abrangentes</w:t>
            </w:r>
          </w:p>
        </w:tc>
        <w:tc>
          <w:tcPr>
            <w:tcW w:w="1818" w:type="dxa"/>
            <w:tcBorders>
              <w:top w:val="nil"/>
              <w:left w:val="nil"/>
              <w:bottom w:val="nil"/>
              <w:right w:val="nil"/>
            </w:tcBorders>
            <w:shd w:val="clear" w:color="auto" w:fill="auto"/>
            <w:vAlign w:val="center"/>
          </w:tcPr>
          <w:p w14:paraId="4F317C9A"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3885EFAB"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05485727"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(76.647)</w:t>
            </w:r>
          </w:p>
        </w:tc>
        <w:tc>
          <w:tcPr>
            <w:tcW w:w="1819" w:type="dxa"/>
            <w:tcBorders>
              <w:top w:val="nil"/>
              <w:left w:val="nil"/>
              <w:bottom w:val="nil"/>
              <w:right w:val="nil"/>
            </w:tcBorders>
            <w:shd w:val="clear" w:color="auto" w:fill="auto"/>
            <w:vAlign w:val="center"/>
          </w:tcPr>
          <w:p w14:paraId="43443973"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106.810</w:t>
            </w:r>
          </w:p>
        </w:tc>
      </w:tr>
      <w:tr w:rsidR="003321FA" w:rsidRPr="003321FA" w14:paraId="3E52CFA4"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single" w:sz="2" w:space="0" w:color="1F3864" w:themeColor="accent1" w:themeShade="80"/>
              <w:right w:val="nil"/>
            </w:tcBorders>
            <w:shd w:val="clear" w:color="auto" w:fill="auto"/>
            <w:vAlign w:val="center"/>
          </w:tcPr>
          <w:p w14:paraId="240387FC" w14:textId="77777777" w:rsidR="003321FA" w:rsidRPr="003321FA" w:rsidRDefault="003321FA">
            <w:pPr>
              <w:keepNext/>
              <w:keepLines/>
              <w:rPr>
                <w:rFonts w:ascii="Arial" w:hAnsi="Arial" w:cs="Arial"/>
                <w:color w:val="000000"/>
                <w:sz w:val="14"/>
                <w:szCs w:val="14"/>
              </w:rPr>
            </w:pPr>
            <w:r w:rsidRPr="003321FA">
              <w:rPr>
                <w:rFonts w:ascii="Arial" w:hAnsi="Arial" w:cs="Arial"/>
                <w:color w:val="000000"/>
                <w:sz w:val="14"/>
                <w:szCs w:val="14"/>
              </w:rPr>
              <w:t>Resultado abrangente</w:t>
            </w:r>
          </w:p>
        </w:tc>
        <w:tc>
          <w:tcPr>
            <w:tcW w:w="1818" w:type="dxa"/>
            <w:tcBorders>
              <w:top w:val="nil"/>
              <w:left w:val="nil"/>
              <w:bottom w:val="single" w:sz="2" w:space="0" w:color="1F3864" w:themeColor="accent1" w:themeShade="80"/>
              <w:right w:val="nil"/>
            </w:tcBorders>
            <w:shd w:val="clear" w:color="auto" w:fill="auto"/>
            <w:vAlign w:val="center"/>
          </w:tcPr>
          <w:p w14:paraId="368487B8"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819" w:type="dxa"/>
            <w:tcBorders>
              <w:top w:val="nil"/>
              <w:left w:val="nil"/>
              <w:bottom w:val="single" w:sz="2" w:space="0" w:color="1F3864" w:themeColor="accent1" w:themeShade="80"/>
              <w:right w:val="nil"/>
            </w:tcBorders>
            <w:shd w:val="clear" w:color="auto" w:fill="auto"/>
            <w:vAlign w:val="center"/>
          </w:tcPr>
          <w:p w14:paraId="15576807"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819" w:type="dxa"/>
            <w:tcBorders>
              <w:top w:val="nil"/>
              <w:left w:val="nil"/>
              <w:bottom w:val="single" w:sz="2" w:space="0" w:color="1F3864" w:themeColor="accent1" w:themeShade="80"/>
              <w:right w:val="nil"/>
            </w:tcBorders>
            <w:shd w:val="clear" w:color="auto" w:fill="auto"/>
            <w:vAlign w:val="center"/>
          </w:tcPr>
          <w:p w14:paraId="553E8146"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321FA">
              <w:rPr>
                <w:rFonts w:ascii="Arial" w:hAnsi="Arial" w:cs="Arial"/>
                <w:b/>
                <w:bCs/>
                <w:color w:val="000000"/>
                <w:sz w:val="14"/>
                <w:szCs w:val="14"/>
              </w:rPr>
              <w:t>4.234.634</w:t>
            </w:r>
          </w:p>
        </w:tc>
        <w:tc>
          <w:tcPr>
            <w:tcW w:w="1819" w:type="dxa"/>
            <w:tcBorders>
              <w:top w:val="nil"/>
              <w:left w:val="nil"/>
              <w:bottom w:val="single" w:sz="2" w:space="0" w:color="1F3864" w:themeColor="accent1" w:themeShade="80"/>
              <w:right w:val="nil"/>
            </w:tcBorders>
            <w:shd w:val="clear" w:color="auto" w:fill="auto"/>
            <w:vAlign w:val="center"/>
          </w:tcPr>
          <w:p w14:paraId="59F24520"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321FA">
              <w:rPr>
                <w:rFonts w:ascii="Arial" w:hAnsi="Arial" w:cs="Arial"/>
                <w:b/>
                <w:bCs/>
                <w:color w:val="000000"/>
                <w:sz w:val="14"/>
                <w:szCs w:val="14"/>
              </w:rPr>
              <w:t>3.978.222</w:t>
            </w:r>
          </w:p>
        </w:tc>
      </w:tr>
    </w:tbl>
    <w:p w14:paraId="09F49974" w14:textId="77777777" w:rsidR="003321FA" w:rsidRPr="003321FA" w:rsidRDefault="003321FA" w:rsidP="002C3B56">
      <w:pPr>
        <w:pStyle w:val="PargrafodaLista"/>
        <w:numPr>
          <w:ilvl w:val="0"/>
          <w:numId w:val="21"/>
        </w:numPr>
        <w:spacing w:after="0" w:line="240" w:lineRule="auto"/>
        <w:ind w:left="284" w:hanging="284"/>
        <w:rPr>
          <w:rFonts w:ascii="Arial" w:eastAsia="Times New Roman" w:hAnsi="Arial" w:cs="Times New Roman"/>
          <w:bCs/>
          <w:spacing w:val="-2"/>
          <w:sz w:val="14"/>
          <w:szCs w:val="16"/>
          <w:lang w:eastAsia="pt-BR"/>
        </w:rPr>
      </w:pPr>
      <w:r w:rsidRPr="003321FA">
        <w:rPr>
          <w:rFonts w:ascii="Arial" w:eastAsia="Times New Roman" w:hAnsi="Arial" w:cs="Times New Roman"/>
          <w:bCs/>
          <w:spacing w:val="-2"/>
          <w:sz w:val="14"/>
          <w:szCs w:val="16"/>
          <w:lang w:eastAsia="pt-BR"/>
        </w:rPr>
        <w:t xml:space="preserve">BBA - </w:t>
      </w:r>
      <w:r w:rsidRPr="003321FA">
        <w:rPr>
          <w:rFonts w:ascii="Arial" w:eastAsia="Times New Roman" w:hAnsi="Arial" w:cs="Times New Roman"/>
          <w:bCs/>
          <w:i/>
          <w:iCs/>
          <w:spacing w:val="-2"/>
          <w:sz w:val="14"/>
          <w:szCs w:val="16"/>
          <w:lang w:eastAsia="pt-BR"/>
        </w:rPr>
        <w:t>Building Block Approach</w:t>
      </w:r>
      <w:r w:rsidRPr="003321FA">
        <w:rPr>
          <w:rFonts w:ascii="Arial" w:eastAsia="Times New Roman" w:hAnsi="Arial" w:cs="Times New Roman"/>
          <w:bCs/>
          <w:spacing w:val="-2"/>
          <w:sz w:val="14"/>
          <w:szCs w:val="16"/>
          <w:lang w:eastAsia="pt-BR"/>
        </w:rPr>
        <w:t xml:space="preserve"> (Modelo Geral de Mensuração) e </w:t>
      </w:r>
      <w:r w:rsidRPr="003321FA">
        <w:rPr>
          <w:rFonts w:ascii="Arial" w:eastAsia="Times New Roman" w:hAnsi="Arial" w:cs="Arial"/>
          <w:kern w:val="20"/>
          <w:sz w:val="14"/>
          <w:szCs w:val="16"/>
          <w:lang w:eastAsia="pt-BR"/>
        </w:rPr>
        <w:t xml:space="preserve">PAA - </w:t>
      </w:r>
      <w:r w:rsidRPr="003321FA">
        <w:rPr>
          <w:rFonts w:ascii="Arial" w:eastAsia="Times New Roman" w:hAnsi="Arial" w:cs="Arial"/>
          <w:i/>
          <w:iCs/>
          <w:kern w:val="20"/>
          <w:sz w:val="14"/>
          <w:szCs w:val="16"/>
          <w:lang w:eastAsia="pt-BR"/>
        </w:rPr>
        <w:t xml:space="preserve">Premium </w:t>
      </w:r>
      <w:proofErr w:type="spellStart"/>
      <w:r w:rsidRPr="003321FA">
        <w:rPr>
          <w:rFonts w:ascii="Arial" w:eastAsia="Times New Roman" w:hAnsi="Arial" w:cs="Arial"/>
          <w:i/>
          <w:iCs/>
          <w:kern w:val="20"/>
          <w:sz w:val="14"/>
          <w:szCs w:val="16"/>
          <w:lang w:eastAsia="pt-BR"/>
        </w:rPr>
        <w:t>Allocation</w:t>
      </w:r>
      <w:proofErr w:type="spellEnd"/>
      <w:r w:rsidRPr="003321FA">
        <w:rPr>
          <w:rFonts w:ascii="Arial" w:eastAsia="Times New Roman" w:hAnsi="Arial" w:cs="Arial"/>
          <w:i/>
          <w:iCs/>
          <w:kern w:val="20"/>
          <w:sz w:val="14"/>
          <w:szCs w:val="16"/>
          <w:lang w:eastAsia="pt-BR"/>
        </w:rPr>
        <w:t xml:space="preserve"> Approach</w:t>
      </w:r>
      <w:r w:rsidRPr="003321FA">
        <w:rPr>
          <w:rFonts w:ascii="Arial" w:eastAsia="Times New Roman" w:hAnsi="Arial" w:cs="Arial"/>
          <w:kern w:val="20"/>
          <w:sz w:val="14"/>
          <w:szCs w:val="16"/>
          <w:lang w:eastAsia="pt-BR"/>
        </w:rPr>
        <w:t xml:space="preserve"> (Abordagem de Alocação de Prêmio).</w:t>
      </w:r>
    </w:p>
    <w:p w14:paraId="07AFA693" w14:textId="77777777" w:rsidR="003321FA" w:rsidRPr="003321FA" w:rsidRDefault="003321FA" w:rsidP="003321FA">
      <w:pPr>
        <w:pStyle w:val="05-Textonormal"/>
        <w:spacing w:line="240" w:lineRule="auto"/>
        <w:rPr>
          <w:rFonts w:cs="Arial"/>
        </w:rPr>
      </w:pPr>
    </w:p>
    <w:p w14:paraId="7896080D" w14:textId="77777777" w:rsidR="003321FA" w:rsidRPr="003321FA" w:rsidRDefault="003321FA" w:rsidP="003321FA">
      <w:pPr>
        <w:pStyle w:val="05-Textonormal"/>
        <w:spacing w:line="240" w:lineRule="auto"/>
        <w:rPr>
          <w:rFonts w:cs="Arial"/>
        </w:rPr>
      </w:pPr>
      <w:r w:rsidRPr="003321FA">
        <w:rPr>
          <w:rFonts w:cs="Arial"/>
        </w:rPr>
        <w:t>Os impactos do CPC 50 [IFRS 17], em 2024 e 2023, e do CPC 48 [IFRS 9], em 2023, no Resultado líquido e no Resultado Abrangente, para fins de comparabilidade, estão indicados no quadro a seguir:</w:t>
      </w:r>
    </w:p>
    <w:p w14:paraId="2EBFD2D6" w14:textId="77777777" w:rsidR="003321FA" w:rsidRPr="003321FA" w:rsidRDefault="003321FA" w:rsidP="003321FA">
      <w:pPr>
        <w:spacing w:after="0" w:line="240" w:lineRule="auto"/>
        <w:jc w:val="right"/>
        <w:rPr>
          <w:rFonts w:ascii="Arial" w:hAnsi="Arial" w:cs="Arial"/>
          <w:b/>
          <w:sz w:val="14"/>
          <w:lang w:eastAsia="pt-BR"/>
        </w:rPr>
      </w:pPr>
      <w:r w:rsidRPr="003321FA">
        <w:rPr>
          <w:rFonts w:ascii="Arial" w:hAnsi="Arial" w:cs="Arial"/>
          <w:b/>
          <w:sz w:val="14"/>
          <w:lang w:eastAsia="pt-BR"/>
        </w:rPr>
        <w:t>R$ mil</w:t>
      </w:r>
    </w:p>
    <w:tbl>
      <w:tblPr>
        <w:tblStyle w:val="TabeladeLista6Colorida-nfase512"/>
        <w:tblW w:w="9639" w:type="dxa"/>
        <w:jc w:val="center"/>
        <w:tblLayout w:type="fixed"/>
        <w:tblLook w:val="04A0" w:firstRow="1" w:lastRow="0" w:firstColumn="1" w:lastColumn="0" w:noHBand="0" w:noVBand="1"/>
      </w:tblPr>
      <w:tblGrid>
        <w:gridCol w:w="2803"/>
        <w:gridCol w:w="1709"/>
        <w:gridCol w:w="1709"/>
        <w:gridCol w:w="1709"/>
        <w:gridCol w:w="1709"/>
      </w:tblGrid>
      <w:tr w:rsidR="003321FA" w:rsidRPr="003321FA" w14:paraId="13362B9E"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00815D1" w14:textId="77777777" w:rsidR="003321FA" w:rsidRPr="003321FA" w:rsidRDefault="003321FA">
            <w:pPr>
              <w:jc w:val="center"/>
              <w:rPr>
                <w:rFonts w:ascii="Arial" w:hAnsi="Arial" w:cs="Arial"/>
                <w:sz w:val="14"/>
                <w:szCs w:val="14"/>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1399DA3" w14:textId="77777777" w:rsidR="003321FA" w:rsidRPr="003321FA" w:rsidRDefault="003321F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A613E39" w14:textId="77777777" w:rsidR="003321FA" w:rsidRPr="003321FA" w:rsidRDefault="003321F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F9CD98A" w14:textId="77777777" w:rsidR="003321FA" w:rsidRPr="003321FA" w:rsidRDefault="003321FA">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r w:rsidRPr="003321FA">
              <w:rPr>
                <w:rFonts w:ascii="Arial" w:hAnsi="Arial" w:cs="Arial"/>
                <w:bCs w:val="0"/>
                <w:sz w:val="14"/>
                <w:szCs w:val="14"/>
              </w:rPr>
              <w:t>Exercício 2024</w:t>
            </w: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F524BE2" w14:textId="77777777" w:rsidR="003321FA" w:rsidRPr="003321FA" w:rsidRDefault="003321F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sz w:val="14"/>
                <w:szCs w:val="14"/>
              </w:rPr>
              <w:t>Exercício 2023</w:t>
            </w:r>
          </w:p>
        </w:tc>
      </w:tr>
      <w:tr w:rsidR="003321FA" w:rsidRPr="003321FA" w14:paraId="4AB9282D"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3864" w:themeColor="accent1" w:themeShade="80"/>
              <w:left w:val="nil"/>
              <w:bottom w:val="nil"/>
              <w:right w:val="nil"/>
            </w:tcBorders>
            <w:shd w:val="clear" w:color="auto" w:fill="auto"/>
            <w:vAlign w:val="center"/>
          </w:tcPr>
          <w:p w14:paraId="20341275" w14:textId="77777777" w:rsidR="003321FA" w:rsidRPr="003321FA" w:rsidRDefault="003321FA">
            <w:pPr>
              <w:keepNext/>
              <w:keepLines/>
              <w:rPr>
                <w:rFonts w:ascii="Arial" w:eastAsia="Times New Roman" w:hAnsi="Arial" w:cs="Arial"/>
                <w:b w:val="0"/>
                <w:bCs w:val="0"/>
                <w:spacing w:val="-2"/>
                <w:sz w:val="14"/>
                <w:szCs w:val="14"/>
              </w:rPr>
            </w:pPr>
            <w:r w:rsidRPr="003321FA">
              <w:rPr>
                <w:rFonts w:ascii="Arial" w:hAnsi="Arial" w:cs="Arial"/>
                <w:b w:val="0"/>
                <w:bCs w:val="0"/>
                <w:sz w:val="14"/>
                <w:szCs w:val="14"/>
              </w:rPr>
              <w:t>Resultado Líquido - BRGAAP e IFRS</w:t>
            </w:r>
          </w:p>
        </w:tc>
        <w:tc>
          <w:tcPr>
            <w:tcW w:w="1709" w:type="dxa"/>
            <w:tcBorders>
              <w:top w:val="single" w:sz="2" w:space="0" w:color="1F3864" w:themeColor="accent1" w:themeShade="80"/>
              <w:left w:val="nil"/>
              <w:bottom w:val="nil"/>
              <w:right w:val="nil"/>
            </w:tcBorders>
            <w:shd w:val="clear" w:color="auto" w:fill="auto"/>
            <w:vAlign w:val="center"/>
          </w:tcPr>
          <w:p w14:paraId="08B4E5FA"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single" w:sz="2" w:space="0" w:color="1F3864" w:themeColor="accent1" w:themeShade="80"/>
              <w:left w:val="nil"/>
              <w:bottom w:val="nil"/>
              <w:right w:val="nil"/>
            </w:tcBorders>
            <w:shd w:val="clear" w:color="auto" w:fill="auto"/>
            <w:vAlign w:val="center"/>
          </w:tcPr>
          <w:p w14:paraId="1EE768A3"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single" w:sz="2" w:space="0" w:color="1F3864" w:themeColor="accent1" w:themeShade="80"/>
              <w:left w:val="nil"/>
              <w:bottom w:val="nil"/>
              <w:right w:val="nil"/>
            </w:tcBorders>
            <w:shd w:val="clear" w:color="auto" w:fill="auto"/>
            <w:vAlign w:val="center"/>
          </w:tcPr>
          <w:p w14:paraId="2EA5ED43"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 xml:space="preserve">4.311.281 </w:t>
            </w:r>
          </w:p>
        </w:tc>
        <w:tc>
          <w:tcPr>
            <w:tcW w:w="1709" w:type="dxa"/>
            <w:tcBorders>
              <w:top w:val="single" w:sz="2" w:space="0" w:color="1F3864" w:themeColor="accent1" w:themeShade="80"/>
              <w:left w:val="nil"/>
              <w:bottom w:val="nil"/>
              <w:right w:val="nil"/>
            </w:tcBorders>
            <w:shd w:val="clear" w:color="auto" w:fill="auto"/>
            <w:vAlign w:val="center"/>
          </w:tcPr>
          <w:p w14:paraId="2E8BF816"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 xml:space="preserve">3.871.412 </w:t>
            </w:r>
          </w:p>
        </w:tc>
      </w:tr>
      <w:tr w:rsidR="003321FA" w:rsidRPr="003321FA" w14:paraId="63633568"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3C472B6D" w14:textId="77777777" w:rsidR="003321FA" w:rsidRPr="003321FA" w:rsidRDefault="003321FA">
            <w:pPr>
              <w:keepNext/>
              <w:keepLines/>
              <w:rPr>
                <w:rFonts w:ascii="Arial" w:hAnsi="Arial" w:cs="Arial"/>
                <w:b w:val="0"/>
                <w:bCs w:val="0"/>
                <w:sz w:val="14"/>
                <w:szCs w:val="14"/>
              </w:rPr>
            </w:pPr>
            <w:r w:rsidRPr="003321FA">
              <w:rPr>
                <w:rFonts w:ascii="Arial" w:hAnsi="Arial" w:cs="Arial"/>
                <w:b w:val="0"/>
                <w:bCs w:val="0"/>
                <w:sz w:val="14"/>
                <w:szCs w:val="14"/>
              </w:rPr>
              <w:t>Resultado Líquido – SUSEPGAAP</w:t>
            </w:r>
          </w:p>
        </w:tc>
        <w:tc>
          <w:tcPr>
            <w:tcW w:w="1709" w:type="dxa"/>
            <w:tcBorders>
              <w:top w:val="nil"/>
              <w:left w:val="nil"/>
              <w:bottom w:val="nil"/>
              <w:right w:val="nil"/>
            </w:tcBorders>
            <w:shd w:val="clear" w:color="auto" w:fill="auto"/>
            <w:vAlign w:val="center"/>
          </w:tcPr>
          <w:p w14:paraId="1159CFB7"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auto"/>
            <w:vAlign w:val="center"/>
          </w:tcPr>
          <w:p w14:paraId="3D824E29"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auto"/>
            <w:vAlign w:val="center"/>
          </w:tcPr>
          <w:p w14:paraId="4AFD5AF4"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 xml:space="preserve">4.368.416 </w:t>
            </w:r>
          </w:p>
        </w:tc>
        <w:tc>
          <w:tcPr>
            <w:tcW w:w="1709" w:type="dxa"/>
            <w:tcBorders>
              <w:top w:val="nil"/>
              <w:left w:val="nil"/>
              <w:bottom w:val="nil"/>
              <w:right w:val="nil"/>
            </w:tcBorders>
            <w:shd w:val="clear" w:color="auto" w:fill="auto"/>
            <w:vAlign w:val="center"/>
          </w:tcPr>
          <w:p w14:paraId="7497173B"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 xml:space="preserve">4.024.375 </w:t>
            </w:r>
          </w:p>
        </w:tc>
      </w:tr>
      <w:tr w:rsidR="003321FA" w:rsidRPr="003321FA" w14:paraId="00614896"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7004C419" w14:textId="77777777" w:rsidR="003321FA" w:rsidRPr="003321FA" w:rsidRDefault="003321FA">
            <w:pPr>
              <w:keepNext/>
              <w:keepLines/>
              <w:rPr>
                <w:rFonts w:ascii="Arial" w:hAnsi="Arial" w:cs="Arial"/>
                <w:b w:val="0"/>
                <w:bCs w:val="0"/>
                <w:sz w:val="14"/>
                <w:szCs w:val="14"/>
              </w:rPr>
            </w:pPr>
          </w:p>
        </w:tc>
        <w:tc>
          <w:tcPr>
            <w:tcW w:w="1709" w:type="dxa"/>
            <w:tcBorders>
              <w:top w:val="nil"/>
              <w:left w:val="nil"/>
              <w:bottom w:val="nil"/>
              <w:right w:val="nil"/>
            </w:tcBorders>
            <w:shd w:val="clear" w:color="auto" w:fill="auto"/>
            <w:vAlign w:val="center"/>
          </w:tcPr>
          <w:p w14:paraId="01E3F3D0"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auto"/>
            <w:vAlign w:val="center"/>
          </w:tcPr>
          <w:p w14:paraId="210D2870"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auto"/>
            <w:vAlign w:val="center"/>
          </w:tcPr>
          <w:p w14:paraId="10D51B2C"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auto"/>
            <w:vAlign w:val="center"/>
          </w:tcPr>
          <w:p w14:paraId="5A80203A"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r>
      <w:tr w:rsidR="003321FA" w:rsidRPr="003321FA" w14:paraId="7C8FED3E"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2F2A4B1B" w14:textId="77777777" w:rsidR="003321FA" w:rsidRPr="003321FA" w:rsidRDefault="003321FA">
            <w:pPr>
              <w:keepNext/>
              <w:keepLines/>
              <w:spacing w:before="40" w:after="40"/>
              <w:rPr>
                <w:rFonts w:ascii="Arial" w:hAnsi="Arial" w:cs="Arial"/>
                <w:b w:val="0"/>
                <w:bCs w:val="0"/>
                <w:sz w:val="14"/>
                <w:szCs w:val="14"/>
              </w:rPr>
            </w:pPr>
            <w:r w:rsidRPr="003321FA">
              <w:rPr>
                <w:rFonts w:ascii="Arial" w:hAnsi="Arial" w:cs="Arial"/>
                <w:b w:val="0"/>
                <w:bCs w:val="0"/>
                <w:sz w:val="14"/>
                <w:szCs w:val="14"/>
              </w:rPr>
              <w:t>Resultado Abrangente - BRGAAP e IFRS</w:t>
            </w:r>
          </w:p>
        </w:tc>
        <w:tc>
          <w:tcPr>
            <w:tcW w:w="1709" w:type="dxa"/>
            <w:tcBorders>
              <w:top w:val="nil"/>
              <w:left w:val="nil"/>
              <w:bottom w:val="nil"/>
              <w:right w:val="nil"/>
            </w:tcBorders>
            <w:shd w:val="clear" w:color="auto" w:fill="auto"/>
            <w:vAlign w:val="center"/>
          </w:tcPr>
          <w:p w14:paraId="04900F86"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auto"/>
            <w:vAlign w:val="center"/>
          </w:tcPr>
          <w:p w14:paraId="25B038D6"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auto"/>
            <w:vAlign w:val="center"/>
          </w:tcPr>
          <w:p w14:paraId="74812336"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 xml:space="preserve">4.234.634 </w:t>
            </w:r>
          </w:p>
        </w:tc>
        <w:tc>
          <w:tcPr>
            <w:tcW w:w="1709" w:type="dxa"/>
            <w:tcBorders>
              <w:top w:val="nil"/>
              <w:left w:val="nil"/>
              <w:bottom w:val="nil"/>
              <w:right w:val="nil"/>
            </w:tcBorders>
            <w:shd w:val="clear" w:color="auto" w:fill="auto"/>
            <w:vAlign w:val="center"/>
          </w:tcPr>
          <w:p w14:paraId="1930B4AC"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3.978.222</w:t>
            </w:r>
          </w:p>
        </w:tc>
      </w:tr>
      <w:tr w:rsidR="003321FA" w:rsidRPr="003321FA" w14:paraId="34D06384"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single" w:sz="2" w:space="0" w:color="1F3864" w:themeColor="accent1" w:themeShade="80"/>
              <w:right w:val="nil"/>
            </w:tcBorders>
            <w:shd w:val="clear" w:color="auto" w:fill="auto"/>
            <w:vAlign w:val="center"/>
          </w:tcPr>
          <w:p w14:paraId="388D5DA8" w14:textId="77777777" w:rsidR="003321FA" w:rsidRPr="003321FA" w:rsidRDefault="003321FA">
            <w:pPr>
              <w:keepNext/>
              <w:keepLines/>
              <w:spacing w:before="40" w:after="40"/>
              <w:rPr>
                <w:rFonts w:ascii="Arial" w:hAnsi="Arial" w:cs="Arial"/>
                <w:b w:val="0"/>
                <w:bCs w:val="0"/>
                <w:sz w:val="14"/>
                <w:szCs w:val="14"/>
              </w:rPr>
            </w:pPr>
            <w:r w:rsidRPr="003321FA">
              <w:rPr>
                <w:rFonts w:ascii="Arial" w:hAnsi="Arial" w:cs="Arial"/>
                <w:b w:val="0"/>
                <w:bCs w:val="0"/>
                <w:sz w:val="14"/>
                <w:szCs w:val="14"/>
              </w:rPr>
              <w:t>Resultado Abrangente - SUSEPGAAP</w:t>
            </w:r>
          </w:p>
        </w:tc>
        <w:tc>
          <w:tcPr>
            <w:tcW w:w="1709" w:type="dxa"/>
            <w:tcBorders>
              <w:top w:val="nil"/>
              <w:left w:val="nil"/>
              <w:bottom w:val="single" w:sz="2" w:space="0" w:color="1F3864" w:themeColor="accent1" w:themeShade="80"/>
              <w:right w:val="nil"/>
            </w:tcBorders>
            <w:shd w:val="clear" w:color="auto" w:fill="auto"/>
            <w:vAlign w:val="center"/>
          </w:tcPr>
          <w:p w14:paraId="224ED2DF"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nil"/>
              <w:left w:val="nil"/>
              <w:bottom w:val="single" w:sz="2" w:space="0" w:color="1F3864" w:themeColor="accent1" w:themeShade="80"/>
              <w:right w:val="nil"/>
            </w:tcBorders>
            <w:shd w:val="clear" w:color="auto" w:fill="auto"/>
            <w:vAlign w:val="center"/>
          </w:tcPr>
          <w:p w14:paraId="44FC6A83"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nil"/>
              <w:left w:val="nil"/>
              <w:bottom w:val="single" w:sz="2" w:space="0" w:color="1F3864" w:themeColor="accent1" w:themeShade="80"/>
              <w:right w:val="nil"/>
            </w:tcBorders>
            <w:shd w:val="clear" w:color="auto" w:fill="auto"/>
            <w:vAlign w:val="center"/>
          </w:tcPr>
          <w:p w14:paraId="228EF198"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 xml:space="preserve">4.318.140 </w:t>
            </w:r>
          </w:p>
        </w:tc>
        <w:tc>
          <w:tcPr>
            <w:tcW w:w="1709" w:type="dxa"/>
            <w:tcBorders>
              <w:top w:val="nil"/>
              <w:left w:val="nil"/>
              <w:bottom w:val="single" w:sz="2" w:space="0" w:color="1F3864" w:themeColor="accent1" w:themeShade="80"/>
              <w:right w:val="nil"/>
            </w:tcBorders>
            <w:shd w:val="clear" w:color="auto" w:fill="auto"/>
            <w:vAlign w:val="center"/>
          </w:tcPr>
          <w:p w14:paraId="60D70B11"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4.101.613</w:t>
            </w:r>
          </w:p>
        </w:tc>
      </w:tr>
    </w:tbl>
    <w:p w14:paraId="39869EB6" w14:textId="77777777" w:rsidR="003321FA" w:rsidRPr="003321FA" w:rsidRDefault="003321FA" w:rsidP="003321FA">
      <w:pPr>
        <w:pStyle w:val="05-Textonormal"/>
        <w:spacing w:line="240" w:lineRule="auto"/>
        <w:rPr>
          <w:rFonts w:cs="Arial"/>
        </w:rPr>
      </w:pPr>
    </w:p>
    <w:p w14:paraId="7C838B33" w14:textId="77777777" w:rsidR="003321FA" w:rsidRPr="003321FA" w:rsidRDefault="003321FA" w:rsidP="003321FA">
      <w:pPr>
        <w:keepNext/>
        <w:keepLines/>
        <w:pageBreakBefore/>
        <w:spacing w:after="0" w:line="240" w:lineRule="auto"/>
        <w:rPr>
          <w:rFonts w:ascii="Arial" w:eastAsia="Times New Roman" w:hAnsi="Arial" w:cs="Times New Roman"/>
          <w:b/>
          <w:color w:val="1F3864" w:themeColor="accent1" w:themeShade="80"/>
          <w:spacing w:val="-2"/>
          <w:sz w:val="18"/>
          <w:szCs w:val="20"/>
          <w:lang w:eastAsia="pt-BR"/>
        </w:rPr>
      </w:pPr>
      <w:r w:rsidRPr="003321FA">
        <w:rPr>
          <w:rFonts w:ascii="Arial" w:eastAsia="Times New Roman" w:hAnsi="Arial" w:cs="Times New Roman"/>
          <w:b/>
          <w:color w:val="1F3864" w:themeColor="accent1" w:themeShade="80"/>
          <w:spacing w:val="-2"/>
          <w:sz w:val="18"/>
          <w:szCs w:val="20"/>
          <w:lang w:eastAsia="pt-BR"/>
        </w:rPr>
        <w:lastRenderedPageBreak/>
        <w:t>Informações Patrimoniais</w:t>
      </w:r>
    </w:p>
    <w:p w14:paraId="5D80109F" w14:textId="77777777" w:rsidR="003321FA" w:rsidRPr="003321FA" w:rsidRDefault="003321FA" w:rsidP="003321FA">
      <w:pPr>
        <w:spacing w:after="0" w:line="240" w:lineRule="auto"/>
        <w:jc w:val="right"/>
        <w:rPr>
          <w:rFonts w:ascii="Arial" w:hAnsi="Arial" w:cs="Arial"/>
          <w:b/>
          <w:sz w:val="14"/>
          <w:lang w:eastAsia="pt-BR"/>
        </w:rPr>
      </w:pPr>
      <w:r w:rsidRPr="003321FA">
        <w:rPr>
          <w:rFonts w:ascii="Arial" w:hAnsi="Arial" w:cs="Arial"/>
          <w:b/>
          <w:sz w:val="14"/>
          <w:lang w:eastAsia="pt-BR"/>
        </w:rPr>
        <w:t>R$ mil</w:t>
      </w:r>
    </w:p>
    <w:tbl>
      <w:tblPr>
        <w:tblStyle w:val="TabeladeLista6Colorida-nfase512"/>
        <w:tblW w:w="9640" w:type="dxa"/>
        <w:jc w:val="center"/>
        <w:tblLayout w:type="fixed"/>
        <w:tblLook w:val="04A0" w:firstRow="1" w:lastRow="0" w:firstColumn="1" w:lastColumn="0" w:noHBand="0" w:noVBand="1"/>
      </w:tblPr>
      <w:tblGrid>
        <w:gridCol w:w="3120"/>
        <w:gridCol w:w="3260"/>
        <w:gridCol w:w="3260"/>
      </w:tblGrid>
      <w:tr w:rsidR="003321FA" w:rsidRPr="003321FA" w14:paraId="46FB3046"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50A8F96" w14:textId="77777777" w:rsidR="003321FA" w:rsidRPr="003321FA" w:rsidRDefault="003321FA">
            <w:pPr>
              <w:rPr>
                <w:rFonts w:ascii="Arial" w:hAnsi="Arial" w:cs="Arial"/>
                <w:sz w:val="14"/>
                <w:szCs w:val="14"/>
              </w:rPr>
            </w:pPr>
          </w:p>
        </w:tc>
        <w:tc>
          <w:tcPr>
            <w:tcW w:w="326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1332F94" w14:textId="77777777" w:rsidR="003321FA" w:rsidRPr="003321FA" w:rsidRDefault="003321F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sz w:val="14"/>
                <w:szCs w:val="14"/>
              </w:rPr>
              <w:t>31.12.2024</w:t>
            </w:r>
          </w:p>
        </w:tc>
        <w:tc>
          <w:tcPr>
            <w:tcW w:w="326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3B5228C" w14:textId="77777777" w:rsidR="003321FA" w:rsidRPr="003321FA" w:rsidRDefault="003321F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sz w:val="14"/>
                <w:szCs w:val="14"/>
              </w:rPr>
              <w:t>31.12.2023</w:t>
            </w:r>
          </w:p>
        </w:tc>
      </w:tr>
      <w:tr w:rsidR="003321FA" w:rsidRPr="003321FA" w14:paraId="26411E96"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nil"/>
              <w:right w:val="nil"/>
            </w:tcBorders>
            <w:shd w:val="clear" w:color="auto" w:fill="auto"/>
            <w:vAlign w:val="center"/>
          </w:tcPr>
          <w:p w14:paraId="2D77B7FC" w14:textId="77777777" w:rsidR="003321FA" w:rsidRPr="003321FA" w:rsidRDefault="003321FA">
            <w:pPr>
              <w:keepNext/>
              <w:keepLines/>
              <w:rPr>
                <w:rFonts w:ascii="Arial" w:hAnsi="Arial" w:cs="Arial"/>
                <w:color w:val="000000"/>
                <w:sz w:val="14"/>
                <w:szCs w:val="14"/>
              </w:rPr>
            </w:pPr>
            <w:r w:rsidRPr="003321FA">
              <w:rPr>
                <w:rFonts w:ascii="Arial" w:hAnsi="Arial" w:cs="Arial"/>
                <w:color w:val="000000"/>
                <w:sz w:val="14"/>
                <w:szCs w:val="14"/>
              </w:rPr>
              <w:t>Ativo Circulante</w:t>
            </w:r>
          </w:p>
        </w:tc>
        <w:tc>
          <w:tcPr>
            <w:tcW w:w="3260" w:type="dxa"/>
            <w:tcBorders>
              <w:top w:val="single" w:sz="2" w:space="0" w:color="1F3864" w:themeColor="accent1" w:themeShade="80"/>
              <w:left w:val="nil"/>
              <w:bottom w:val="nil"/>
              <w:right w:val="nil"/>
            </w:tcBorders>
            <w:shd w:val="clear" w:color="auto" w:fill="auto"/>
            <w:vAlign w:val="center"/>
          </w:tcPr>
          <w:p w14:paraId="64DA0E1E"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321FA">
              <w:rPr>
                <w:rFonts w:ascii="Arial" w:hAnsi="Arial" w:cs="Arial"/>
                <w:b/>
                <w:bCs/>
                <w:color w:val="000000"/>
                <w:sz w:val="14"/>
                <w:szCs w:val="14"/>
              </w:rPr>
              <w:t>8.509.780</w:t>
            </w:r>
          </w:p>
        </w:tc>
        <w:tc>
          <w:tcPr>
            <w:tcW w:w="3260" w:type="dxa"/>
            <w:tcBorders>
              <w:top w:val="single" w:sz="2" w:space="0" w:color="1F3864" w:themeColor="accent1" w:themeShade="80"/>
              <w:left w:val="nil"/>
              <w:bottom w:val="nil"/>
              <w:right w:val="nil"/>
            </w:tcBorders>
            <w:shd w:val="clear" w:color="auto" w:fill="auto"/>
            <w:vAlign w:val="center"/>
          </w:tcPr>
          <w:p w14:paraId="1C5C915B"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321FA">
              <w:rPr>
                <w:rFonts w:ascii="Arial" w:hAnsi="Arial" w:cs="Arial"/>
                <w:b/>
                <w:bCs/>
                <w:sz w:val="14"/>
                <w:szCs w:val="14"/>
              </w:rPr>
              <w:t>10.230.237</w:t>
            </w:r>
          </w:p>
        </w:tc>
      </w:tr>
      <w:tr w:rsidR="003321FA" w:rsidRPr="003321FA" w14:paraId="6A4404C0"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B3F21C2" w14:textId="77777777" w:rsidR="003321FA" w:rsidRPr="003321FA" w:rsidRDefault="003321FA">
            <w:pPr>
              <w:keepNext/>
              <w:keepLines/>
              <w:ind w:left="113"/>
              <w:rPr>
                <w:rFonts w:ascii="Arial" w:hAnsi="Arial" w:cs="Arial"/>
                <w:b w:val="0"/>
                <w:bCs w:val="0"/>
                <w:color w:val="000000"/>
                <w:sz w:val="14"/>
                <w:szCs w:val="14"/>
              </w:rPr>
            </w:pPr>
            <w:r w:rsidRPr="003321FA">
              <w:rPr>
                <w:rFonts w:ascii="Arial" w:hAnsi="Arial" w:cs="Arial"/>
                <w:b w:val="0"/>
                <w:bCs w:val="0"/>
                <w:color w:val="000000"/>
                <w:sz w:val="14"/>
                <w:szCs w:val="14"/>
              </w:rPr>
              <w:t>Caixa e equivalente de caixa</w:t>
            </w:r>
          </w:p>
        </w:tc>
        <w:tc>
          <w:tcPr>
            <w:tcW w:w="3260" w:type="dxa"/>
            <w:tcBorders>
              <w:top w:val="nil"/>
              <w:left w:val="nil"/>
              <w:bottom w:val="nil"/>
              <w:right w:val="nil"/>
            </w:tcBorders>
            <w:shd w:val="clear" w:color="auto" w:fill="auto"/>
            <w:vAlign w:val="center"/>
          </w:tcPr>
          <w:p w14:paraId="2FFECAF9"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10.206</w:t>
            </w:r>
          </w:p>
        </w:tc>
        <w:tc>
          <w:tcPr>
            <w:tcW w:w="3260" w:type="dxa"/>
            <w:tcBorders>
              <w:top w:val="nil"/>
              <w:left w:val="nil"/>
              <w:bottom w:val="nil"/>
              <w:right w:val="nil"/>
            </w:tcBorders>
            <w:shd w:val="clear" w:color="auto" w:fill="auto"/>
            <w:vAlign w:val="center"/>
          </w:tcPr>
          <w:p w14:paraId="5CBD6E79"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sz w:val="14"/>
                <w:szCs w:val="14"/>
              </w:rPr>
              <w:t>1.656</w:t>
            </w:r>
          </w:p>
        </w:tc>
      </w:tr>
      <w:tr w:rsidR="003321FA" w:rsidRPr="003321FA" w14:paraId="048AA29B"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E773010" w14:textId="77777777" w:rsidR="003321FA" w:rsidRPr="003321FA" w:rsidRDefault="003321FA">
            <w:pPr>
              <w:keepNext/>
              <w:keepLines/>
              <w:ind w:left="113"/>
              <w:rPr>
                <w:rFonts w:ascii="Arial" w:hAnsi="Arial" w:cs="Arial"/>
                <w:b w:val="0"/>
                <w:bCs w:val="0"/>
                <w:color w:val="000000"/>
                <w:sz w:val="14"/>
                <w:szCs w:val="14"/>
              </w:rPr>
            </w:pPr>
            <w:r w:rsidRPr="003321FA">
              <w:rPr>
                <w:rFonts w:ascii="Arial" w:hAnsi="Arial" w:cs="Arial"/>
                <w:b w:val="0"/>
                <w:bCs w:val="0"/>
                <w:color w:val="000000"/>
                <w:sz w:val="14"/>
                <w:szCs w:val="14"/>
              </w:rPr>
              <w:t>Contas a receber</w:t>
            </w:r>
          </w:p>
        </w:tc>
        <w:tc>
          <w:tcPr>
            <w:tcW w:w="3260" w:type="dxa"/>
            <w:tcBorders>
              <w:top w:val="nil"/>
              <w:left w:val="nil"/>
              <w:bottom w:val="nil"/>
              <w:right w:val="nil"/>
            </w:tcBorders>
            <w:shd w:val="clear" w:color="auto" w:fill="auto"/>
            <w:vAlign w:val="center"/>
          </w:tcPr>
          <w:p w14:paraId="4D7BA862"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105.089</w:t>
            </w:r>
          </w:p>
        </w:tc>
        <w:tc>
          <w:tcPr>
            <w:tcW w:w="3260" w:type="dxa"/>
            <w:tcBorders>
              <w:top w:val="nil"/>
              <w:left w:val="nil"/>
              <w:bottom w:val="nil"/>
              <w:right w:val="nil"/>
            </w:tcBorders>
            <w:shd w:val="clear" w:color="auto" w:fill="auto"/>
            <w:vAlign w:val="center"/>
          </w:tcPr>
          <w:p w14:paraId="1BF797E3"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sz w:val="14"/>
                <w:szCs w:val="14"/>
              </w:rPr>
              <w:t>317.733</w:t>
            </w:r>
          </w:p>
        </w:tc>
      </w:tr>
      <w:tr w:rsidR="003321FA" w:rsidRPr="003321FA" w14:paraId="6E851092"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58CBE31" w14:textId="77777777" w:rsidR="003321FA" w:rsidRPr="003321FA" w:rsidRDefault="003321FA">
            <w:pPr>
              <w:keepNext/>
              <w:keepLines/>
              <w:ind w:left="113"/>
              <w:rPr>
                <w:rFonts w:ascii="Arial" w:hAnsi="Arial" w:cs="Arial"/>
                <w:b w:val="0"/>
                <w:bCs w:val="0"/>
                <w:color w:val="000000"/>
                <w:sz w:val="14"/>
                <w:szCs w:val="14"/>
              </w:rPr>
            </w:pPr>
            <w:r w:rsidRPr="003321FA">
              <w:rPr>
                <w:rFonts w:ascii="Arial" w:hAnsi="Arial" w:cs="Arial"/>
                <w:b w:val="0"/>
                <w:bCs w:val="0"/>
                <w:color w:val="000000"/>
                <w:sz w:val="14"/>
                <w:szCs w:val="14"/>
              </w:rPr>
              <w:t>Instrumentos Financeiros</w:t>
            </w:r>
          </w:p>
        </w:tc>
        <w:tc>
          <w:tcPr>
            <w:tcW w:w="3260" w:type="dxa"/>
            <w:tcBorders>
              <w:top w:val="nil"/>
              <w:left w:val="nil"/>
              <w:bottom w:val="nil"/>
              <w:right w:val="nil"/>
            </w:tcBorders>
            <w:shd w:val="clear" w:color="auto" w:fill="auto"/>
            <w:vAlign w:val="center"/>
          </w:tcPr>
          <w:p w14:paraId="13694C40"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7.585.057</w:t>
            </w:r>
          </w:p>
        </w:tc>
        <w:tc>
          <w:tcPr>
            <w:tcW w:w="3260" w:type="dxa"/>
            <w:tcBorders>
              <w:top w:val="nil"/>
              <w:left w:val="nil"/>
              <w:bottom w:val="nil"/>
              <w:right w:val="nil"/>
            </w:tcBorders>
            <w:shd w:val="clear" w:color="auto" w:fill="auto"/>
            <w:vAlign w:val="center"/>
          </w:tcPr>
          <w:p w14:paraId="499EDCAF"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sz w:val="14"/>
                <w:szCs w:val="14"/>
              </w:rPr>
              <w:t>8.473.935</w:t>
            </w:r>
          </w:p>
        </w:tc>
      </w:tr>
      <w:tr w:rsidR="003321FA" w:rsidRPr="003321FA" w14:paraId="4C13A2A1"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1D99991" w14:textId="77777777" w:rsidR="003321FA" w:rsidRPr="003321FA" w:rsidRDefault="003321FA">
            <w:pPr>
              <w:keepNext/>
              <w:keepLines/>
              <w:ind w:left="113"/>
              <w:rPr>
                <w:rFonts w:ascii="Arial" w:hAnsi="Arial" w:cs="Arial"/>
                <w:b w:val="0"/>
                <w:bCs w:val="0"/>
                <w:color w:val="000000"/>
                <w:sz w:val="14"/>
                <w:szCs w:val="14"/>
              </w:rPr>
            </w:pPr>
            <w:r w:rsidRPr="003321FA">
              <w:rPr>
                <w:rFonts w:ascii="Arial" w:hAnsi="Arial" w:cs="Arial"/>
                <w:b w:val="0"/>
                <w:bCs w:val="0"/>
                <w:color w:val="000000"/>
                <w:sz w:val="14"/>
                <w:szCs w:val="14"/>
              </w:rPr>
              <w:t xml:space="preserve">Contratos de seguros e resseguros </w:t>
            </w:r>
            <w:r w:rsidRPr="003321FA">
              <w:rPr>
                <w:rFonts w:ascii="Arial" w:hAnsi="Arial" w:cs="Arial"/>
                <w:b w:val="0"/>
                <w:bCs w:val="0"/>
                <w:color w:val="000000"/>
                <w:sz w:val="14"/>
                <w:szCs w:val="14"/>
                <w:vertAlign w:val="superscript"/>
              </w:rPr>
              <w:t>(1)</w:t>
            </w:r>
          </w:p>
        </w:tc>
        <w:tc>
          <w:tcPr>
            <w:tcW w:w="3260" w:type="dxa"/>
            <w:tcBorders>
              <w:top w:val="nil"/>
              <w:left w:val="nil"/>
              <w:bottom w:val="nil"/>
              <w:right w:val="nil"/>
            </w:tcBorders>
            <w:shd w:val="clear" w:color="auto" w:fill="auto"/>
            <w:vAlign w:val="center"/>
          </w:tcPr>
          <w:p w14:paraId="13E51224"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682.430</w:t>
            </w:r>
          </w:p>
        </w:tc>
        <w:tc>
          <w:tcPr>
            <w:tcW w:w="3260" w:type="dxa"/>
            <w:tcBorders>
              <w:top w:val="nil"/>
              <w:left w:val="nil"/>
              <w:bottom w:val="nil"/>
              <w:right w:val="nil"/>
            </w:tcBorders>
            <w:shd w:val="clear" w:color="auto" w:fill="auto"/>
            <w:vAlign w:val="center"/>
          </w:tcPr>
          <w:p w14:paraId="55F5A6FA"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1.349.821</w:t>
            </w:r>
          </w:p>
        </w:tc>
      </w:tr>
      <w:tr w:rsidR="003321FA" w:rsidRPr="003321FA" w14:paraId="021B6C3B"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852E437" w14:textId="77777777" w:rsidR="003321FA" w:rsidRPr="003321FA" w:rsidRDefault="003321FA">
            <w:pPr>
              <w:keepNext/>
              <w:keepLines/>
              <w:ind w:left="113"/>
              <w:rPr>
                <w:rFonts w:ascii="Arial" w:hAnsi="Arial" w:cs="Arial"/>
                <w:b w:val="0"/>
                <w:bCs w:val="0"/>
                <w:color w:val="000000"/>
                <w:sz w:val="14"/>
                <w:szCs w:val="14"/>
              </w:rPr>
            </w:pPr>
            <w:r w:rsidRPr="003321FA">
              <w:rPr>
                <w:rFonts w:ascii="Arial" w:hAnsi="Arial" w:cs="Arial"/>
                <w:b w:val="0"/>
                <w:bCs w:val="0"/>
                <w:color w:val="000000"/>
                <w:sz w:val="14"/>
                <w:szCs w:val="14"/>
              </w:rPr>
              <w:t>Ativo fiscal Corrente</w:t>
            </w:r>
          </w:p>
        </w:tc>
        <w:tc>
          <w:tcPr>
            <w:tcW w:w="3260" w:type="dxa"/>
            <w:tcBorders>
              <w:top w:val="nil"/>
              <w:left w:val="nil"/>
              <w:bottom w:val="nil"/>
              <w:right w:val="nil"/>
            </w:tcBorders>
            <w:shd w:val="clear" w:color="auto" w:fill="auto"/>
            <w:vAlign w:val="center"/>
          </w:tcPr>
          <w:p w14:paraId="0F09D0C6"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96.685</w:t>
            </w:r>
          </w:p>
        </w:tc>
        <w:tc>
          <w:tcPr>
            <w:tcW w:w="3260" w:type="dxa"/>
            <w:tcBorders>
              <w:top w:val="nil"/>
              <w:left w:val="nil"/>
              <w:bottom w:val="nil"/>
              <w:right w:val="nil"/>
            </w:tcBorders>
            <w:shd w:val="clear" w:color="auto" w:fill="auto"/>
            <w:vAlign w:val="center"/>
          </w:tcPr>
          <w:p w14:paraId="069AF7A7"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75.734</w:t>
            </w:r>
          </w:p>
        </w:tc>
      </w:tr>
      <w:tr w:rsidR="003321FA" w:rsidRPr="003321FA" w14:paraId="02B2102B"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113CD80" w14:textId="77777777" w:rsidR="003321FA" w:rsidRPr="003321FA" w:rsidRDefault="003321FA">
            <w:pPr>
              <w:keepNext/>
              <w:keepLines/>
              <w:ind w:left="113"/>
              <w:rPr>
                <w:rFonts w:ascii="Arial" w:hAnsi="Arial" w:cs="Arial"/>
                <w:b w:val="0"/>
                <w:bCs w:val="0"/>
                <w:color w:val="000000"/>
                <w:sz w:val="14"/>
                <w:szCs w:val="14"/>
              </w:rPr>
            </w:pPr>
            <w:r w:rsidRPr="003321FA">
              <w:rPr>
                <w:rFonts w:ascii="Arial" w:hAnsi="Arial" w:cs="Arial"/>
                <w:b w:val="0"/>
                <w:bCs w:val="0"/>
                <w:color w:val="000000"/>
                <w:sz w:val="14"/>
                <w:szCs w:val="14"/>
              </w:rPr>
              <w:t>Outros Ativos</w:t>
            </w:r>
          </w:p>
        </w:tc>
        <w:tc>
          <w:tcPr>
            <w:tcW w:w="3260" w:type="dxa"/>
            <w:tcBorders>
              <w:top w:val="nil"/>
              <w:left w:val="nil"/>
              <w:bottom w:val="nil"/>
              <w:right w:val="nil"/>
            </w:tcBorders>
            <w:shd w:val="clear" w:color="auto" w:fill="auto"/>
            <w:vAlign w:val="center"/>
          </w:tcPr>
          <w:p w14:paraId="1FBF9EF1"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30.313</w:t>
            </w:r>
          </w:p>
        </w:tc>
        <w:tc>
          <w:tcPr>
            <w:tcW w:w="3260" w:type="dxa"/>
            <w:tcBorders>
              <w:top w:val="nil"/>
              <w:left w:val="nil"/>
              <w:bottom w:val="nil"/>
              <w:right w:val="nil"/>
            </w:tcBorders>
            <w:shd w:val="clear" w:color="auto" w:fill="auto"/>
            <w:vAlign w:val="center"/>
          </w:tcPr>
          <w:p w14:paraId="15413C46"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11.358</w:t>
            </w:r>
          </w:p>
        </w:tc>
      </w:tr>
      <w:tr w:rsidR="003321FA" w:rsidRPr="003321FA" w14:paraId="6C4F7238"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422E0B8" w14:textId="77777777" w:rsidR="003321FA" w:rsidRPr="003321FA" w:rsidRDefault="003321FA">
            <w:pPr>
              <w:keepNext/>
              <w:keepLines/>
              <w:rPr>
                <w:rFonts w:ascii="Arial" w:hAnsi="Arial" w:cs="Arial"/>
                <w:color w:val="000000"/>
                <w:sz w:val="14"/>
                <w:szCs w:val="14"/>
              </w:rPr>
            </w:pPr>
            <w:r w:rsidRPr="003321FA">
              <w:rPr>
                <w:rFonts w:ascii="Arial" w:hAnsi="Arial" w:cs="Arial"/>
                <w:color w:val="000000"/>
                <w:sz w:val="14"/>
                <w:szCs w:val="14"/>
              </w:rPr>
              <w:t>Ativos Não Circulante</w:t>
            </w:r>
          </w:p>
        </w:tc>
        <w:tc>
          <w:tcPr>
            <w:tcW w:w="3260" w:type="dxa"/>
            <w:tcBorders>
              <w:top w:val="nil"/>
              <w:left w:val="nil"/>
              <w:bottom w:val="nil"/>
              <w:right w:val="nil"/>
            </w:tcBorders>
            <w:shd w:val="clear" w:color="auto" w:fill="auto"/>
            <w:vAlign w:val="center"/>
          </w:tcPr>
          <w:p w14:paraId="4913B4EF"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321FA">
              <w:rPr>
                <w:rFonts w:ascii="Arial" w:hAnsi="Arial" w:cs="Arial"/>
                <w:b/>
                <w:bCs/>
                <w:color w:val="000000"/>
                <w:sz w:val="14"/>
                <w:szCs w:val="14"/>
              </w:rPr>
              <w:t>4.367.509</w:t>
            </w:r>
          </w:p>
        </w:tc>
        <w:tc>
          <w:tcPr>
            <w:tcW w:w="3260" w:type="dxa"/>
            <w:tcBorders>
              <w:top w:val="nil"/>
              <w:left w:val="nil"/>
              <w:bottom w:val="nil"/>
              <w:right w:val="nil"/>
            </w:tcBorders>
            <w:shd w:val="clear" w:color="auto" w:fill="auto"/>
            <w:vAlign w:val="center"/>
          </w:tcPr>
          <w:p w14:paraId="1411073D"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321FA">
              <w:rPr>
                <w:rFonts w:ascii="Arial" w:hAnsi="Arial" w:cs="Arial"/>
                <w:b/>
                <w:bCs/>
                <w:sz w:val="14"/>
                <w:szCs w:val="14"/>
              </w:rPr>
              <w:t>3.219.328</w:t>
            </w:r>
          </w:p>
        </w:tc>
      </w:tr>
      <w:tr w:rsidR="003321FA" w:rsidRPr="003321FA" w14:paraId="2AEF3B4E"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EDDBDFD" w14:textId="77777777" w:rsidR="003321FA" w:rsidRPr="003321FA" w:rsidRDefault="003321FA">
            <w:pPr>
              <w:keepNext/>
              <w:keepLines/>
              <w:ind w:left="113"/>
              <w:rPr>
                <w:rFonts w:ascii="Arial" w:hAnsi="Arial" w:cs="Arial"/>
                <w:b w:val="0"/>
                <w:bCs w:val="0"/>
                <w:color w:val="000000"/>
                <w:sz w:val="14"/>
                <w:szCs w:val="14"/>
              </w:rPr>
            </w:pPr>
            <w:r w:rsidRPr="003321FA">
              <w:rPr>
                <w:rFonts w:ascii="Arial" w:hAnsi="Arial" w:cs="Arial"/>
                <w:b w:val="0"/>
                <w:bCs w:val="0"/>
                <w:color w:val="000000"/>
                <w:sz w:val="14"/>
                <w:szCs w:val="14"/>
              </w:rPr>
              <w:t>Instrumentos Financeiros</w:t>
            </w:r>
          </w:p>
        </w:tc>
        <w:tc>
          <w:tcPr>
            <w:tcW w:w="3260" w:type="dxa"/>
            <w:tcBorders>
              <w:top w:val="nil"/>
              <w:left w:val="nil"/>
              <w:bottom w:val="nil"/>
              <w:right w:val="nil"/>
            </w:tcBorders>
            <w:shd w:val="clear" w:color="auto" w:fill="auto"/>
            <w:vAlign w:val="center"/>
          </w:tcPr>
          <w:p w14:paraId="5BCE5F43"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2.266.623</w:t>
            </w:r>
          </w:p>
        </w:tc>
        <w:tc>
          <w:tcPr>
            <w:tcW w:w="3260" w:type="dxa"/>
            <w:tcBorders>
              <w:top w:val="nil"/>
              <w:left w:val="nil"/>
              <w:bottom w:val="nil"/>
              <w:right w:val="nil"/>
            </w:tcBorders>
            <w:shd w:val="clear" w:color="auto" w:fill="auto"/>
            <w:vAlign w:val="center"/>
          </w:tcPr>
          <w:p w14:paraId="17296AB4"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sz w:val="14"/>
                <w:szCs w:val="14"/>
              </w:rPr>
              <w:t>1.384.199</w:t>
            </w:r>
          </w:p>
        </w:tc>
      </w:tr>
      <w:tr w:rsidR="003321FA" w:rsidRPr="003321FA" w14:paraId="50808B58"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6C2F6DA" w14:textId="77777777" w:rsidR="003321FA" w:rsidRPr="003321FA" w:rsidRDefault="003321FA">
            <w:pPr>
              <w:keepNext/>
              <w:keepLines/>
              <w:ind w:left="113"/>
              <w:rPr>
                <w:rFonts w:ascii="Arial" w:hAnsi="Arial" w:cs="Arial"/>
                <w:color w:val="000000"/>
                <w:sz w:val="14"/>
                <w:szCs w:val="14"/>
              </w:rPr>
            </w:pPr>
            <w:r w:rsidRPr="003321FA">
              <w:rPr>
                <w:rFonts w:ascii="Arial" w:hAnsi="Arial" w:cs="Arial"/>
                <w:b w:val="0"/>
                <w:bCs w:val="0"/>
                <w:color w:val="000000"/>
                <w:sz w:val="14"/>
                <w:szCs w:val="14"/>
              </w:rPr>
              <w:t xml:space="preserve">Contratos de seguros e resseguros </w:t>
            </w:r>
            <w:r w:rsidRPr="003321FA">
              <w:rPr>
                <w:rFonts w:ascii="Arial" w:hAnsi="Arial" w:cs="Arial"/>
                <w:b w:val="0"/>
                <w:bCs w:val="0"/>
                <w:color w:val="000000"/>
                <w:sz w:val="14"/>
                <w:szCs w:val="14"/>
                <w:vertAlign w:val="superscript"/>
              </w:rPr>
              <w:t>(1)</w:t>
            </w:r>
          </w:p>
        </w:tc>
        <w:tc>
          <w:tcPr>
            <w:tcW w:w="3260" w:type="dxa"/>
            <w:tcBorders>
              <w:top w:val="nil"/>
              <w:left w:val="nil"/>
              <w:bottom w:val="nil"/>
              <w:right w:val="nil"/>
            </w:tcBorders>
            <w:shd w:val="clear" w:color="auto" w:fill="auto"/>
            <w:vAlign w:val="center"/>
          </w:tcPr>
          <w:p w14:paraId="7084E907"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224.922</w:t>
            </w:r>
          </w:p>
        </w:tc>
        <w:tc>
          <w:tcPr>
            <w:tcW w:w="3260" w:type="dxa"/>
            <w:tcBorders>
              <w:top w:val="nil"/>
              <w:left w:val="nil"/>
              <w:bottom w:val="nil"/>
              <w:right w:val="nil"/>
            </w:tcBorders>
            <w:shd w:val="clear" w:color="auto" w:fill="auto"/>
            <w:vAlign w:val="center"/>
          </w:tcPr>
          <w:p w14:paraId="35EC9799"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sz w:val="14"/>
                <w:szCs w:val="14"/>
              </w:rPr>
              <w:t>--</w:t>
            </w:r>
          </w:p>
        </w:tc>
      </w:tr>
      <w:tr w:rsidR="003321FA" w:rsidRPr="003321FA" w14:paraId="44B21F17"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E6E82BC" w14:textId="77777777" w:rsidR="003321FA" w:rsidRPr="003321FA" w:rsidRDefault="003321FA">
            <w:pPr>
              <w:keepNext/>
              <w:keepLines/>
              <w:ind w:left="113"/>
              <w:rPr>
                <w:rFonts w:ascii="Arial" w:hAnsi="Arial" w:cs="Arial"/>
                <w:b w:val="0"/>
                <w:bCs w:val="0"/>
                <w:color w:val="000000"/>
                <w:sz w:val="14"/>
                <w:szCs w:val="14"/>
              </w:rPr>
            </w:pPr>
            <w:r w:rsidRPr="003321FA">
              <w:rPr>
                <w:rFonts w:ascii="Arial" w:hAnsi="Arial" w:cs="Arial"/>
                <w:b w:val="0"/>
                <w:bCs w:val="0"/>
                <w:color w:val="000000"/>
                <w:sz w:val="14"/>
                <w:szCs w:val="14"/>
              </w:rPr>
              <w:t>Ativo fiscal diferido</w:t>
            </w:r>
          </w:p>
        </w:tc>
        <w:tc>
          <w:tcPr>
            <w:tcW w:w="3260" w:type="dxa"/>
            <w:tcBorders>
              <w:top w:val="nil"/>
              <w:left w:val="nil"/>
              <w:bottom w:val="nil"/>
              <w:right w:val="nil"/>
            </w:tcBorders>
            <w:shd w:val="clear" w:color="auto" w:fill="auto"/>
            <w:vAlign w:val="center"/>
          </w:tcPr>
          <w:p w14:paraId="209A6959"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318.913</w:t>
            </w:r>
          </w:p>
        </w:tc>
        <w:tc>
          <w:tcPr>
            <w:tcW w:w="3260" w:type="dxa"/>
            <w:tcBorders>
              <w:top w:val="nil"/>
              <w:left w:val="nil"/>
              <w:bottom w:val="nil"/>
              <w:right w:val="nil"/>
            </w:tcBorders>
            <w:shd w:val="clear" w:color="auto" w:fill="auto"/>
            <w:vAlign w:val="center"/>
          </w:tcPr>
          <w:p w14:paraId="5EC84955"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sz w:val="14"/>
                <w:szCs w:val="14"/>
              </w:rPr>
              <w:t>264.480</w:t>
            </w:r>
          </w:p>
        </w:tc>
      </w:tr>
      <w:tr w:rsidR="003321FA" w:rsidRPr="003321FA" w14:paraId="1C29E1FC"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05F8DB3" w14:textId="77777777" w:rsidR="003321FA" w:rsidRPr="003321FA" w:rsidRDefault="003321FA">
            <w:pPr>
              <w:keepNext/>
              <w:keepLines/>
              <w:ind w:left="113"/>
              <w:rPr>
                <w:rFonts w:ascii="Arial" w:hAnsi="Arial" w:cs="Arial"/>
                <w:b w:val="0"/>
                <w:bCs w:val="0"/>
                <w:color w:val="000000"/>
                <w:sz w:val="14"/>
                <w:szCs w:val="14"/>
              </w:rPr>
            </w:pPr>
            <w:r w:rsidRPr="003321FA">
              <w:rPr>
                <w:rFonts w:ascii="Arial" w:hAnsi="Arial" w:cs="Arial"/>
                <w:b w:val="0"/>
                <w:bCs w:val="0"/>
                <w:color w:val="000000"/>
                <w:sz w:val="14"/>
                <w:szCs w:val="14"/>
              </w:rPr>
              <w:t>Imobilizado e intangível</w:t>
            </w:r>
          </w:p>
        </w:tc>
        <w:tc>
          <w:tcPr>
            <w:tcW w:w="3260" w:type="dxa"/>
            <w:tcBorders>
              <w:top w:val="nil"/>
              <w:left w:val="nil"/>
              <w:bottom w:val="nil"/>
              <w:right w:val="nil"/>
            </w:tcBorders>
            <w:shd w:val="clear" w:color="auto" w:fill="auto"/>
            <w:vAlign w:val="center"/>
          </w:tcPr>
          <w:p w14:paraId="6CCBC56C"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504.211</w:t>
            </w:r>
          </w:p>
        </w:tc>
        <w:tc>
          <w:tcPr>
            <w:tcW w:w="3260" w:type="dxa"/>
            <w:tcBorders>
              <w:top w:val="nil"/>
              <w:left w:val="nil"/>
              <w:bottom w:val="nil"/>
              <w:right w:val="nil"/>
            </w:tcBorders>
            <w:shd w:val="clear" w:color="auto" w:fill="auto"/>
            <w:vAlign w:val="center"/>
          </w:tcPr>
          <w:p w14:paraId="60619F51"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sz w:val="14"/>
                <w:szCs w:val="14"/>
              </w:rPr>
              <w:t>497.723</w:t>
            </w:r>
          </w:p>
        </w:tc>
      </w:tr>
      <w:tr w:rsidR="003321FA" w:rsidRPr="003321FA" w14:paraId="1C003644"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DCF482F" w14:textId="77777777" w:rsidR="003321FA" w:rsidRPr="003321FA" w:rsidRDefault="003321FA">
            <w:pPr>
              <w:keepNext/>
              <w:keepLines/>
              <w:ind w:left="113"/>
              <w:rPr>
                <w:rFonts w:ascii="Arial" w:hAnsi="Arial" w:cs="Arial"/>
                <w:b w:val="0"/>
                <w:bCs w:val="0"/>
                <w:color w:val="000000"/>
                <w:sz w:val="14"/>
                <w:szCs w:val="14"/>
              </w:rPr>
            </w:pPr>
            <w:r w:rsidRPr="003321FA">
              <w:rPr>
                <w:rFonts w:ascii="Arial" w:hAnsi="Arial" w:cs="Arial"/>
                <w:b w:val="0"/>
                <w:bCs w:val="0"/>
                <w:color w:val="000000"/>
                <w:sz w:val="14"/>
                <w:szCs w:val="14"/>
              </w:rPr>
              <w:t>Investimentos em participações</w:t>
            </w:r>
          </w:p>
        </w:tc>
        <w:tc>
          <w:tcPr>
            <w:tcW w:w="3260" w:type="dxa"/>
            <w:tcBorders>
              <w:top w:val="nil"/>
              <w:left w:val="nil"/>
              <w:bottom w:val="nil"/>
              <w:right w:val="nil"/>
            </w:tcBorders>
            <w:shd w:val="clear" w:color="auto" w:fill="auto"/>
            <w:vAlign w:val="center"/>
          </w:tcPr>
          <w:p w14:paraId="6410D910"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13.052</w:t>
            </w:r>
          </w:p>
        </w:tc>
        <w:tc>
          <w:tcPr>
            <w:tcW w:w="3260" w:type="dxa"/>
            <w:tcBorders>
              <w:top w:val="nil"/>
              <w:left w:val="nil"/>
              <w:bottom w:val="nil"/>
              <w:right w:val="nil"/>
            </w:tcBorders>
            <w:shd w:val="clear" w:color="auto" w:fill="auto"/>
            <w:vAlign w:val="center"/>
          </w:tcPr>
          <w:p w14:paraId="7564182C"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sz w:val="14"/>
                <w:szCs w:val="14"/>
              </w:rPr>
              <w:t>21.302</w:t>
            </w:r>
          </w:p>
        </w:tc>
      </w:tr>
      <w:tr w:rsidR="003321FA" w:rsidRPr="003321FA" w14:paraId="48C2506A"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F2E7FEE" w14:textId="77777777" w:rsidR="003321FA" w:rsidRPr="003321FA" w:rsidRDefault="003321FA">
            <w:pPr>
              <w:keepNext/>
              <w:keepLines/>
              <w:ind w:left="113"/>
              <w:rPr>
                <w:rFonts w:ascii="Arial" w:hAnsi="Arial" w:cs="Arial"/>
                <w:b w:val="0"/>
                <w:bCs w:val="0"/>
                <w:color w:val="000000"/>
                <w:sz w:val="14"/>
                <w:szCs w:val="14"/>
              </w:rPr>
            </w:pPr>
            <w:r w:rsidRPr="003321FA">
              <w:rPr>
                <w:rFonts w:ascii="Arial" w:hAnsi="Arial" w:cs="Arial"/>
                <w:b w:val="0"/>
                <w:bCs w:val="0"/>
                <w:color w:val="000000"/>
                <w:sz w:val="14"/>
                <w:szCs w:val="14"/>
              </w:rPr>
              <w:t>Outros Ativos</w:t>
            </w:r>
          </w:p>
        </w:tc>
        <w:tc>
          <w:tcPr>
            <w:tcW w:w="3260" w:type="dxa"/>
            <w:tcBorders>
              <w:top w:val="nil"/>
              <w:left w:val="nil"/>
              <w:bottom w:val="nil"/>
              <w:right w:val="nil"/>
            </w:tcBorders>
            <w:shd w:val="clear" w:color="auto" w:fill="auto"/>
            <w:vAlign w:val="center"/>
          </w:tcPr>
          <w:p w14:paraId="45EEB443"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1.039.788</w:t>
            </w:r>
          </w:p>
        </w:tc>
        <w:tc>
          <w:tcPr>
            <w:tcW w:w="3260" w:type="dxa"/>
            <w:tcBorders>
              <w:top w:val="nil"/>
              <w:left w:val="nil"/>
              <w:bottom w:val="nil"/>
              <w:right w:val="nil"/>
            </w:tcBorders>
            <w:shd w:val="clear" w:color="auto" w:fill="auto"/>
            <w:vAlign w:val="center"/>
          </w:tcPr>
          <w:p w14:paraId="71865045"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sz w:val="14"/>
                <w:szCs w:val="14"/>
              </w:rPr>
              <w:t>1.051.624</w:t>
            </w:r>
          </w:p>
        </w:tc>
      </w:tr>
      <w:tr w:rsidR="003321FA" w:rsidRPr="003321FA" w14:paraId="62AF69E4"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193DB55" w14:textId="77777777" w:rsidR="003321FA" w:rsidRPr="003321FA" w:rsidRDefault="003321FA">
            <w:pPr>
              <w:keepNext/>
              <w:keepLines/>
              <w:rPr>
                <w:rFonts w:ascii="Arial" w:hAnsi="Arial" w:cs="Arial"/>
                <w:color w:val="000000"/>
                <w:sz w:val="14"/>
                <w:szCs w:val="14"/>
              </w:rPr>
            </w:pPr>
            <w:r w:rsidRPr="003321FA">
              <w:rPr>
                <w:rFonts w:ascii="Arial" w:hAnsi="Arial" w:cs="Arial"/>
                <w:color w:val="000000"/>
                <w:sz w:val="14"/>
                <w:szCs w:val="14"/>
              </w:rPr>
              <w:t>Ativo Total</w:t>
            </w:r>
          </w:p>
        </w:tc>
        <w:tc>
          <w:tcPr>
            <w:tcW w:w="3260" w:type="dxa"/>
            <w:tcBorders>
              <w:top w:val="nil"/>
              <w:left w:val="nil"/>
              <w:bottom w:val="nil"/>
              <w:right w:val="nil"/>
            </w:tcBorders>
            <w:shd w:val="clear" w:color="auto" w:fill="auto"/>
            <w:vAlign w:val="center"/>
          </w:tcPr>
          <w:p w14:paraId="00522A25"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321FA">
              <w:rPr>
                <w:rFonts w:ascii="Arial" w:hAnsi="Arial" w:cs="Arial"/>
                <w:b/>
                <w:bCs/>
                <w:color w:val="000000"/>
                <w:sz w:val="14"/>
                <w:szCs w:val="14"/>
              </w:rPr>
              <w:t>12.877.289</w:t>
            </w:r>
          </w:p>
        </w:tc>
        <w:tc>
          <w:tcPr>
            <w:tcW w:w="3260" w:type="dxa"/>
            <w:tcBorders>
              <w:top w:val="nil"/>
              <w:left w:val="nil"/>
              <w:bottom w:val="nil"/>
              <w:right w:val="nil"/>
            </w:tcBorders>
            <w:shd w:val="clear" w:color="auto" w:fill="auto"/>
            <w:vAlign w:val="center"/>
          </w:tcPr>
          <w:p w14:paraId="6B276DE2"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321FA">
              <w:rPr>
                <w:rFonts w:ascii="Arial" w:hAnsi="Arial" w:cs="Arial"/>
                <w:b/>
                <w:bCs/>
                <w:sz w:val="14"/>
                <w:szCs w:val="14"/>
              </w:rPr>
              <w:t>13.449.565</w:t>
            </w:r>
          </w:p>
        </w:tc>
      </w:tr>
      <w:tr w:rsidR="003321FA" w:rsidRPr="003321FA" w14:paraId="02206701"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E7E428A" w14:textId="77777777" w:rsidR="003321FA" w:rsidRPr="003321FA" w:rsidRDefault="003321FA">
            <w:pPr>
              <w:keepNext/>
              <w:keepLines/>
              <w:rPr>
                <w:rFonts w:ascii="Arial" w:hAnsi="Arial" w:cs="Arial"/>
                <w:b w:val="0"/>
                <w:bCs w:val="0"/>
                <w:color w:val="000000"/>
                <w:sz w:val="14"/>
                <w:szCs w:val="14"/>
              </w:rPr>
            </w:pPr>
          </w:p>
        </w:tc>
        <w:tc>
          <w:tcPr>
            <w:tcW w:w="3260" w:type="dxa"/>
            <w:tcBorders>
              <w:top w:val="nil"/>
              <w:left w:val="nil"/>
              <w:bottom w:val="nil"/>
              <w:right w:val="nil"/>
            </w:tcBorders>
            <w:shd w:val="clear" w:color="auto" w:fill="auto"/>
            <w:vAlign w:val="center"/>
          </w:tcPr>
          <w:p w14:paraId="4CCBABDB"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3260" w:type="dxa"/>
            <w:tcBorders>
              <w:top w:val="nil"/>
              <w:left w:val="nil"/>
              <w:bottom w:val="nil"/>
              <w:right w:val="nil"/>
            </w:tcBorders>
            <w:shd w:val="clear" w:color="auto" w:fill="auto"/>
            <w:vAlign w:val="center"/>
          </w:tcPr>
          <w:p w14:paraId="3C8CD6FC"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r>
      <w:tr w:rsidR="003321FA" w:rsidRPr="003321FA" w14:paraId="4E389E03"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01C4298" w14:textId="77777777" w:rsidR="003321FA" w:rsidRPr="003321FA" w:rsidRDefault="003321FA">
            <w:pPr>
              <w:keepNext/>
              <w:keepLines/>
              <w:rPr>
                <w:rFonts w:ascii="Arial" w:hAnsi="Arial" w:cs="Arial"/>
                <w:color w:val="000000"/>
                <w:sz w:val="14"/>
                <w:szCs w:val="14"/>
              </w:rPr>
            </w:pPr>
            <w:r w:rsidRPr="003321FA">
              <w:rPr>
                <w:rFonts w:ascii="Arial" w:hAnsi="Arial" w:cs="Arial"/>
                <w:color w:val="000000"/>
                <w:sz w:val="14"/>
                <w:szCs w:val="14"/>
              </w:rPr>
              <w:t>Passivo Circulante</w:t>
            </w:r>
          </w:p>
        </w:tc>
        <w:tc>
          <w:tcPr>
            <w:tcW w:w="3260" w:type="dxa"/>
            <w:tcBorders>
              <w:top w:val="nil"/>
              <w:left w:val="nil"/>
              <w:bottom w:val="nil"/>
              <w:right w:val="nil"/>
            </w:tcBorders>
            <w:shd w:val="clear" w:color="auto" w:fill="auto"/>
            <w:vAlign w:val="center"/>
          </w:tcPr>
          <w:p w14:paraId="473381A9"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321FA">
              <w:rPr>
                <w:rFonts w:ascii="Arial" w:hAnsi="Arial" w:cs="Arial"/>
                <w:b/>
                <w:bCs/>
                <w:color w:val="000000"/>
                <w:sz w:val="14"/>
                <w:szCs w:val="14"/>
              </w:rPr>
              <w:t>6.476.179</w:t>
            </w:r>
          </w:p>
        </w:tc>
        <w:tc>
          <w:tcPr>
            <w:tcW w:w="3260" w:type="dxa"/>
            <w:tcBorders>
              <w:top w:val="nil"/>
              <w:left w:val="nil"/>
              <w:bottom w:val="nil"/>
              <w:right w:val="nil"/>
            </w:tcBorders>
            <w:shd w:val="clear" w:color="auto" w:fill="auto"/>
            <w:vAlign w:val="center"/>
          </w:tcPr>
          <w:p w14:paraId="1E0202F8"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321FA">
              <w:rPr>
                <w:rFonts w:ascii="Arial" w:hAnsi="Arial" w:cs="Arial"/>
                <w:b/>
                <w:bCs/>
                <w:sz w:val="14"/>
                <w:szCs w:val="14"/>
              </w:rPr>
              <w:t>6.856.065</w:t>
            </w:r>
          </w:p>
        </w:tc>
      </w:tr>
      <w:tr w:rsidR="003321FA" w:rsidRPr="003321FA" w14:paraId="66CF047F"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D12C296" w14:textId="77777777" w:rsidR="003321FA" w:rsidRPr="003321FA" w:rsidRDefault="003321FA">
            <w:pPr>
              <w:keepNext/>
              <w:keepLines/>
              <w:ind w:left="113"/>
              <w:rPr>
                <w:rFonts w:ascii="Arial" w:hAnsi="Arial" w:cs="Arial"/>
                <w:b w:val="0"/>
                <w:bCs w:val="0"/>
                <w:color w:val="000000"/>
                <w:sz w:val="14"/>
                <w:szCs w:val="14"/>
              </w:rPr>
            </w:pPr>
            <w:r w:rsidRPr="003321FA">
              <w:rPr>
                <w:rFonts w:ascii="Arial" w:hAnsi="Arial" w:cs="Arial"/>
                <w:b w:val="0"/>
                <w:bCs w:val="0"/>
                <w:color w:val="000000"/>
                <w:sz w:val="14"/>
                <w:szCs w:val="14"/>
              </w:rPr>
              <w:t>Contas a pagar</w:t>
            </w:r>
          </w:p>
        </w:tc>
        <w:tc>
          <w:tcPr>
            <w:tcW w:w="3260" w:type="dxa"/>
            <w:tcBorders>
              <w:top w:val="nil"/>
              <w:left w:val="nil"/>
              <w:bottom w:val="nil"/>
              <w:right w:val="nil"/>
            </w:tcBorders>
            <w:shd w:val="clear" w:color="auto" w:fill="auto"/>
            <w:vAlign w:val="center"/>
          </w:tcPr>
          <w:p w14:paraId="03BFEB1C"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190.312</w:t>
            </w:r>
          </w:p>
        </w:tc>
        <w:tc>
          <w:tcPr>
            <w:tcW w:w="3260" w:type="dxa"/>
            <w:tcBorders>
              <w:top w:val="nil"/>
              <w:left w:val="nil"/>
              <w:bottom w:val="nil"/>
              <w:right w:val="nil"/>
            </w:tcBorders>
            <w:shd w:val="clear" w:color="auto" w:fill="auto"/>
            <w:vAlign w:val="center"/>
          </w:tcPr>
          <w:p w14:paraId="74AB32F6"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sz w:val="14"/>
                <w:szCs w:val="14"/>
              </w:rPr>
              <w:t>232.346</w:t>
            </w:r>
          </w:p>
        </w:tc>
      </w:tr>
      <w:tr w:rsidR="003321FA" w:rsidRPr="003321FA" w14:paraId="3D7B5D2C"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EEC632A" w14:textId="77777777" w:rsidR="003321FA" w:rsidRPr="003321FA" w:rsidRDefault="003321FA">
            <w:pPr>
              <w:keepNext/>
              <w:keepLines/>
              <w:ind w:left="113"/>
              <w:rPr>
                <w:rFonts w:ascii="Arial" w:hAnsi="Arial" w:cs="Arial"/>
                <w:b w:val="0"/>
                <w:bCs w:val="0"/>
                <w:color w:val="000000"/>
                <w:sz w:val="14"/>
                <w:szCs w:val="14"/>
              </w:rPr>
            </w:pPr>
            <w:r w:rsidRPr="003321FA">
              <w:rPr>
                <w:rFonts w:ascii="Arial" w:hAnsi="Arial" w:cs="Arial"/>
                <w:b w:val="0"/>
                <w:bCs w:val="0"/>
                <w:color w:val="000000"/>
                <w:sz w:val="14"/>
                <w:szCs w:val="14"/>
              </w:rPr>
              <w:t>Passivo fiscal corrente</w:t>
            </w:r>
          </w:p>
        </w:tc>
        <w:tc>
          <w:tcPr>
            <w:tcW w:w="3260" w:type="dxa"/>
            <w:tcBorders>
              <w:top w:val="nil"/>
              <w:left w:val="nil"/>
              <w:bottom w:val="nil"/>
              <w:right w:val="nil"/>
            </w:tcBorders>
            <w:shd w:val="clear" w:color="auto" w:fill="auto"/>
            <w:vAlign w:val="center"/>
          </w:tcPr>
          <w:p w14:paraId="3DA512BB"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654.203</w:t>
            </w:r>
          </w:p>
        </w:tc>
        <w:tc>
          <w:tcPr>
            <w:tcW w:w="3260" w:type="dxa"/>
            <w:tcBorders>
              <w:top w:val="nil"/>
              <w:left w:val="nil"/>
              <w:bottom w:val="nil"/>
              <w:right w:val="nil"/>
            </w:tcBorders>
            <w:shd w:val="clear" w:color="auto" w:fill="auto"/>
            <w:vAlign w:val="center"/>
          </w:tcPr>
          <w:p w14:paraId="00CC6CEC"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sz w:val="14"/>
                <w:szCs w:val="14"/>
              </w:rPr>
              <w:t>777.120</w:t>
            </w:r>
          </w:p>
        </w:tc>
      </w:tr>
      <w:tr w:rsidR="003321FA" w:rsidRPr="003321FA" w14:paraId="2BB78CA7"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0B226BE" w14:textId="77777777" w:rsidR="003321FA" w:rsidRPr="003321FA" w:rsidRDefault="003321FA">
            <w:pPr>
              <w:keepNext/>
              <w:keepLines/>
              <w:ind w:left="113"/>
              <w:rPr>
                <w:rFonts w:ascii="Arial" w:hAnsi="Arial" w:cs="Arial"/>
                <w:b w:val="0"/>
                <w:bCs w:val="0"/>
                <w:color w:val="000000"/>
                <w:sz w:val="14"/>
                <w:szCs w:val="14"/>
              </w:rPr>
            </w:pPr>
            <w:r w:rsidRPr="003321FA">
              <w:rPr>
                <w:rFonts w:ascii="Arial" w:hAnsi="Arial" w:cs="Arial"/>
                <w:b w:val="0"/>
                <w:bCs w:val="0"/>
                <w:color w:val="000000"/>
                <w:sz w:val="14"/>
                <w:szCs w:val="14"/>
              </w:rPr>
              <w:t>Contrato de Seguros e Resseguros</w:t>
            </w:r>
          </w:p>
        </w:tc>
        <w:tc>
          <w:tcPr>
            <w:tcW w:w="3260" w:type="dxa"/>
            <w:tcBorders>
              <w:top w:val="nil"/>
              <w:left w:val="nil"/>
              <w:bottom w:val="nil"/>
              <w:right w:val="nil"/>
            </w:tcBorders>
            <w:shd w:val="clear" w:color="auto" w:fill="auto"/>
            <w:vAlign w:val="center"/>
          </w:tcPr>
          <w:p w14:paraId="0D853073"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5.608.520</w:t>
            </w:r>
          </w:p>
        </w:tc>
        <w:tc>
          <w:tcPr>
            <w:tcW w:w="3260" w:type="dxa"/>
            <w:tcBorders>
              <w:top w:val="nil"/>
              <w:left w:val="nil"/>
              <w:bottom w:val="nil"/>
              <w:right w:val="nil"/>
            </w:tcBorders>
            <w:shd w:val="clear" w:color="auto" w:fill="auto"/>
            <w:vAlign w:val="center"/>
          </w:tcPr>
          <w:p w14:paraId="49A0750F"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sz w:val="14"/>
                <w:szCs w:val="14"/>
              </w:rPr>
              <w:t>5.825.192</w:t>
            </w:r>
          </w:p>
        </w:tc>
      </w:tr>
      <w:tr w:rsidR="003321FA" w:rsidRPr="003321FA" w14:paraId="5833EDF4"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B9BB218" w14:textId="77777777" w:rsidR="003321FA" w:rsidRPr="003321FA" w:rsidRDefault="003321FA">
            <w:pPr>
              <w:keepNext/>
              <w:keepLines/>
              <w:ind w:left="113"/>
              <w:rPr>
                <w:rFonts w:ascii="Arial" w:hAnsi="Arial" w:cs="Arial"/>
                <w:b w:val="0"/>
                <w:bCs w:val="0"/>
                <w:color w:val="000000"/>
                <w:sz w:val="14"/>
                <w:szCs w:val="14"/>
              </w:rPr>
            </w:pPr>
            <w:r w:rsidRPr="003321FA">
              <w:rPr>
                <w:rFonts w:ascii="Arial" w:hAnsi="Arial" w:cs="Arial"/>
                <w:b w:val="0"/>
                <w:bCs w:val="0"/>
                <w:color w:val="000000"/>
                <w:sz w:val="14"/>
                <w:szCs w:val="14"/>
              </w:rPr>
              <w:t>Outros Passivos</w:t>
            </w:r>
          </w:p>
        </w:tc>
        <w:tc>
          <w:tcPr>
            <w:tcW w:w="3260" w:type="dxa"/>
            <w:tcBorders>
              <w:top w:val="nil"/>
              <w:left w:val="nil"/>
              <w:bottom w:val="nil"/>
              <w:right w:val="nil"/>
            </w:tcBorders>
            <w:shd w:val="clear" w:color="auto" w:fill="auto"/>
            <w:vAlign w:val="center"/>
          </w:tcPr>
          <w:p w14:paraId="5F0C0AE0"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23.144</w:t>
            </w:r>
          </w:p>
        </w:tc>
        <w:tc>
          <w:tcPr>
            <w:tcW w:w="3260" w:type="dxa"/>
            <w:tcBorders>
              <w:top w:val="nil"/>
              <w:left w:val="nil"/>
              <w:bottom w:val="nil"/>
              <w:right w:val="nil"/>
            </w:tcBorders>
            <w:shd w:val="clear" w:color="auto" w:fill="auto"/>
            <w:vAlign w:val="center"/>
          </w:tcPr>
          <w:p w14:paraId="6C0A0A24"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sz w:val="14"/>
                <w:szCs w:val="14"/>
              </w:rPr>
              <w:t>21.407</w:t>
            </w:r>
          </w:p>
        </w:tc>
      </w:tr>
      <w:tr w:rsidR="003321FA" w:rsidRPr="003321FA" w14:paraId="21AC2DF7"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B3C929D" w14:textId="77777777" w:rsidR="003321FA" w:rsidRPr="003321FA" w:rsidRDefault="003321FA">
            <w:pPr>
              <w:keepNext/>
              <w:keepLines/>
              <w:rPr>
                <w:rFonts w:ascii="Arial" w:hAnsi="Arial" w:cs="Arial"/>
                <w:color w:val="000000"/>
                <w:sz w:val="14"/>
                <w:szCs w:val="14"/>
              </w:rPr>
            </w:pPr>
            <w:r w:rsidRPr="003321FA">
              <w:rPr>
                <w:rFonts w:ascii="Arial" w:hAnsi="Arial" w:cs="Arial"/>
                <w:color w:val="000000"/>
                <w:sz w:val="14"/>
                <w:szCs w:val="14"/>
              </w:rPr>
              <w:t>Passivo Não Circulante</w:t>
            </w:r>
          </w:p>
        </w:tc>
        <w:tc>
          <w:tcPr>
            <w:tcW w:w="3260" w:type="dxa"/>
            <w:tcBorders>
              <w:top w:val="nil"/>
              <w:left w:val="nil"/>
              <w:bottom w:val="nil"/>
              <w:right w:val="nil"/>
            </w:tcBorders>
            <w:shd w:val="clear" w:color="auto" w:fill="auto"/>
            <w:vAlign w:val="center"/>
          </w:tcPr>
          <w:p w14:paraId="3DD17D3B"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321FA">
              <w:rPr>
                <w:rFonts w:ascii="Arial" w:hAnsi="Arial" w:cs="Arial"/>
                <w:b/>
                <w:bCs/>
                <w:color w:val="000000"/>
                <w:sz w:val="14"/>
                <w:szCs w:val="14"/>
              </w:rPr>
              <w:t>3.880.581</w:t>
            </w:r>
          </w:p>
        </w:tc>
        <w:tc>
          <w:tcPr>
            <w:tcW w:w="3260" w:type="dxa"/>
            <w:tcBorders>
              <w:top w:val="nil"/>
              <w:left w:val="nil"/>
              <w:bottom w:val="nil"/>
              <w:right w:val="nil"/>
            </w:tcBorders>
            <w:shd w:val="clear" w:color="auto" w:fill="auto"/>
            <w:vAlign w:val="center"/>
          </w:tcPr>
          <w:p w14:paraId="28BE255D"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321FA">
              <w:rPr>
                <w:rFonts w:ascii="Arial" w:hAnsi="Arial" w:cs="Arial"/>
                <w:b/>
                <w:bCs/>
                <w:sz w:val="14"/>
                <w:szCs w:val="14"/>
              </w:rPr>
              <w:t>3.876.605</w:t>
            </w:r>
          </w:p>
        </w:tc>
      </w:tr>
      <w:tr w:rsidR="003321FA" w:rsidRPr="003321FA" w14:paraId="2D585E0A"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56C13A7" w14:textId="77777777" w:rsidR="003321FA" w:rsidRPr="003321FA" w:rsidRDefault="003321FA">
            <w:pPr>
              <w:keepNext/>
              <w:keepLines/>
              <w:ind w:left="113"/>
              <w:rPr>
                <w:rFonts w:ascii="Arial" w:hAnsi="Arial" w:cs="Arial"/>
                <w:b w:val="0"/>
                <w:bCs w:val="0"/>
                <w:color w:val="000000"/>
                <w:sz w:val="14"/>
                <w:szCs w:val="14"/>
              </w:rPr>
            </w:pPr>
            <w:r w:rsidRPr="003321FA">
              <w:rPr>
                <w:rFonts w:ascii="Arial" w:hAnsi="Arial" w:cs="Arial"/>
                <w:b w:val="0"/>
                <w:bCs w:val="0"/>
                <w:color w:val="000000"/>
                <w:sz w:val="14"/>
                <w:szCs w:val="14"/>
              </w:rPr>
              <w:t>Contratos de Seguros e Resseguros</w:t>
            </w:r>
          </w:p>
        </w:tc>
        <w:tc>
          <w:tcPr>
            <w:tcW w:w="3260" w:type="dxa"/>
            <w:tcBorders>
              <w:top w:val="nil"/>
              <w:left w:val="nil"/>
              <w:bottom w:val="nil"/>
              <w:right w:val="nil"/>
            </w:tcBorders>
            <w:shd w:val="clear" w:color="auto" w:fill="auto"/>
            <w:vAlign w:val="center"/>
          </w:tcPr>
          <w:p w14:paraId="7E3ACCF9"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2.831.521</w:t>
            </w:r>
          </w:p>
        </w:tc>
        <w:tc>
          <w:tcPr>
            <w:tcW w:w="3260" w:type="dxa"/>
            <w:tcBorders>
              <w:top w:val="nil"/>
              <w:left w:val="nil"/>
              <w:bottom w:val="nil"/>
              <w:right w:val="nil"/>
            </w:tcBorders>
            <w:shd w:val="clear" w:color="auto" w:fill="auto"/>
            <w:vAlign w:val="center"/>
          </w:tcPr>
          <w:p w14:paraId="30D66E75"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sz w:val="14"/>
                <w:szCs w:val="14"/>
              </w:rPr>
              <w:t>2.820.963</w:t>
            </w:r>
          </w:p>
        </w:tc>
      </w:tr>
      <w:tr w:rsidR="003321FA" w:rsidRPr="003321FA" w14:paraId="1FBFC696"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21C6FD0" w14:textId="77777777" w:rsidR="003321FA" w:rsidRPr="003321FA" w:rsidRDefault="003321FA">
            <w:pPr>
              <w:keepNext/>
              <w:keepLines/>
              <w:ind w:left="113"/>
              <w:rPr>
                <w:rFonts w:ascii="Arial" w:hAnsi="Arial" w:cs="Arial"/>
                <w:b w:val="0"/>
                <w:bCs w:val="0"/>
                <w:color w:val="000000"/>
                <w:sz w:val="14"/>
                <w:szCs w:val="14"/>
              </w:rPr>
            </w:pPr>
            <w:r w:rsidRPr="003321FA">
              <w:rPr>
                <w:rFonts w:ascii="Arial" w:hAnsi="Arial" w:cs="Arial"/>
                <w:b w:val="0"/>
                <w:bCs w:val="0"/>
                <w:color w:val="000000"/>
                <w:sz w:val="14"/>
                <w:szCs w:val="14"/>
              </w:rPr>
              <w:t>Outros Passivos</w:t>
            </w:r>
          </w:p>
        </w:tc>
        <w:tc>
          <w:tcPr>
            <w:tcW w:w="3260" w:type="dxa"/>
            <w:tcBorders>
              <w:top w:val="nil"/>
              <w:left w:val="nil"/>
              <w:bottom w:val="nil"/>
              <w:right w:val="nil"/>
            </w:tcBorders>
            <w:shd w:val="clear" w:color="auto" w:fill="auto"/>
            <w:vAlign w:val="center"/>
          </w:tcPr>
          <w:p w14:paraId="07FA51A9"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1.049.060</w:t>
            </w:r>
          </w:p>
        </w:tc>
        <w:tc>
          <w:tcPr>
            <w:tcW w:w="3260" w:type="dxa"/>
            <w:tcBorders>
              <w:top w:val="nil"/>
              <w:left w:val="nil"/>
              <w:bottom w:val="nil"/>
              <w:right w:val="nil"/>
            </w:tcBorders>
            <w:shd w:val="clear" w:color="auto" w:fill="auto"/>
            <w:vAlign w:val="center"/>
          </w:tcPr>
          <w:p w14:paraId="291B84BB"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sz w:val="14"/>
                <w:szCs w:val="14"/>
              </w:rPr>
              <w:t>1.055.642</w:t>
            </w:r>
          </w:p>
        </w:tc>
      </w:tr>
      <w:tr w:rsidR="003321FA" w:rsidRPr="003321FA" w14:paraId="1750CC68"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B323B5E" w14:textId="77777777" w:rsidR="003321FA" w:rsidRPr="003321FA" w:rsidRDefault="003321FA">
            <w:pPr>
              <w:keepNext/>
              <w:keepLines/>
              <w:rPr>
                <w:rFonts w:ascii="Arial" w:hAnsi="Arial" w:cs="Arial"/>
                <w:color w:val="000000"/>
                <w:sz w:val="14"/>
                <w:szCs w:val="14"/>
              </w:rPr>
            </w:pPr>
            <w:r w:rsidRPr="003321FA">
              <w:rPr>
                <w:rFonts w:ascii="Arial" w:hAnsi="Arial" w:cs="Arial"/>
                <w:color w:val="000000"/>
                <w:sz w:val="14"/>
                <w:szCs w:val="14"/>
              </w:rPr>
              <w:t>Patrimônio Líquido</w:t>
            </w:r>
          </w:p>
        </w:tc>
        <w:tc>
          <w:tcPr>
            <w:tcW w:w="3260" w:type="dxa"/>
            <w:tcBorders>
              <w:top w:val="nil"/>
              <w:left w:val="nil"/>
              <w:bottom w:val="nil"/>
              <w:right w:val="nil"/>
            </w:tcBorders>
            <w:shd w:val="clear" w:color="auto" w:fill="auto"/>
            <w:vAlign w:val="center"/>
          </w:tcPr>
          <w:p w14:paraId="711C3493"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321FA">
              <w:rPr>
                <w:rFonts w:ascii="Arial" w:hAnsi="Arial" w:cs="Arial"/>
                <w:b/>
                <w:bCs/>
                <w:color w:val="000000"/>
                <w:sz w:val="14"/>
                <w:szCs w:val="14"/>
              </w:rPr>
              <w:t>2.520.529</w:t>
            </w:r>
          </w:p>
        </w:tc>
        <w:tc>
          <w:tcPr>
            <w:tcW w:w="3260" w:type="dxa"/>
            <w:tcBorders>
              <w:top w:val="nil"/>
              <w:left w:val="nil"/>
              <w:bottom w:val="nil"/>
              <w:right w:val="nil"/>
            </w:tcBorders>
            <w:shd w:val="clear" w:color="auto" w:fill="auto"/>
            <w:vAlign w:val="center"/>
          </w:tcPr>
          <w:p w14:paraId="6219EAC7"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321FA">
              <w:rPr>
                <w:rFonts w:ascii="Arial" w:hAnsi="Arial" w:cs="Arial"/>
                <w:b/>
                <w:bCs/>
                <w:sz w:val="14"/>
                <w:szCs w:val="14"/>
              </w:rPr>
              <w:t>2.716.895</w:t>
            </w:r>
          </w:p>
        </w:tc>
      </w:tr>
      <w:tr w:rsidR="003321FA" w:rsidRPr="003321FA" w14:paraId="1A560788"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1BE6BC7" w14:textId="77777777" w:rsidR="003321FA" w:rsidRPr="003321FA" w:rsidRDefault="003321FA">
            <w:pPr>
              <w:keepNext/>
              <w:keepLines/>
              <w:ind w:left="113"/>
              <w:rPr>
                <w:rFonts w:ascii="Arial" w:hAnsi="Arial" w:cs="Arial"/>
                <w:b w:val="0"/>
                <w:bCs w:val="0"/>
                <w:color w:val="000000"/>
                <w:sz w:val="14"/>
                <w:szCs w:val="14"/>
              </w:rPr>
            </w:pPr>
            <w:r w:rsidRPr="003321FA">
              <w:rPr>
                <w:rFonts w:ascii="Arial" w:hAnsi="Arial" w:cs="Arial"/>
                <w:b w:val="0"/>
                <w:bCs w:val="0"/>
                <w:color w:val="000000"/>
                <w:sz w:val="14"/>
                <w:szCs w:val="14"/>
              </w:rPr>
              <w:t>Capital e reservas</w:t>
            </w:r>
          </w:p>
        </w:tc>
        <w:tc>
          <w:tcPr>
            <w:tcW w:w="3260" w:type="dxa"/>
            <w:tcBorders>
              <w:top w:val="nil"/>
              <w:left w:val="nil"/>
              <w:bottom w:val="nil"/>
              <w:right w:val="nil"/>
            </w:tcBorders>
            <w:shd w:val="clear" w:color="auto" w:fill="auto"/>
            <w:vAlign w:val="center"/>
          </w:tcPr>
          <w:p w14:paraId="51397B65"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2.612.676</w:t>
            </w:r>
          </w:p>
        </w:tc>
        <w:tc>
          <w:tcPr>
            <w:tcW w:w="3260" w:type="dxa"/>
            <w:tcBorders>
              <w:top w:val="nil"/>
              <w:left w:val="nil"/>
              <w:bottom w:val="nil"/>
              <w:right w:val="nil"/>
            </w:tcBorders>
            <w:shd w:val="clear" w:color="auto" w:fill="auto"/>
            <w:vAlign w:val="center"/>
          </w:tcPr>
          <w:p w14:paraId="253FC42F"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sz w:val="14"/>
                <w:szCs w:val="14"/>
              </w:rPr>
              <w:t>2.732.395</w:t>
            </w:r>
          </w:p>
        </w:tc>
      </w:tr>
      <w:tr w:rsidR="003321FA" w:rsidRPr="003321FA" w14:paraId="45247E00"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16BB8AE" w14:textId="77777777" w:rsidR="003321FA" w:rsidRPr="003321FA" w:rsidRDefault="003321FA">
            <w:pPr>
              <w:keepNext/>
              <w:keepLines/>
              <w:ind w:left="113"/>
              <w:rPr>
                <w:rFonts w:ascii="Arial" w:hAnsi="Arial" w:cs="Arial"/>
                <w:b w:val="0"/>
                <w:bCs w:val="0"/>
                <w:color w:val="000000"/>
                <w:sz w:val="14"/>
                <w:szCs w:val="14"/>
              </w:rPr>
            </w:pPr>
            <w:r w:rsidRPr="003321FA">
              <w:rPr>
                <w:rFonts w:ascii="Arial" w:hAnsi="Arial" w:cs="Arial"/>
                <w:b w:val="0"/>
                <w:bCs w:val="0"/>
                <w:color w:val="000000"/>
                <w:sz w:val="14"/>
                <w:szCs w:val="14"/>
              </w:rPr>
              <w:t>Outros resultados abrangentes</w:t>
            </w:r>
          </w:p>
        </w:tc>
        <w:tc>
          <w:tcPr>
            <w:tcW w:w="3260" w:type="dxa"/>
            <w:tcBorders>
              <w:top w:val="nil"/>
              <w:left w:val="nil"/>
              <w:bottom w:val="nil"/>
              <w:right w:val="nil"/>
            </w:tcBorders>
            <w:shd w:val="clear" w:color="auto" w:fill="auto"/>
            <w:vAlign w:val="center"/>
          </w:tcPr>
          <w:p w14:paraId="4C98E7F7"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(92.147)</w:t>
            </w:r>
          </w:p>
        </w:tc>
        <w:tc>
          <w:tcPr>
            <w:tcW w:w="3260" w:type="dxa"/>
            <w:tcBorders>
              <w:top w:val="nil"/>
              <w:left w:val="nil"/>
              <w:bottom w:val="nil"/>
              <w:right w:val="nil"/>
            </w:tcBorders>
            <w:shd w:val="clear" w:color="auto" w:fill="auto"/>
            <w:vAlign w:val="center"/>
          </w:tcPr>
          <w:p w14:paraId="2107D935"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sz w:val="14"/>
                <w:szCs w:val="14"/>
              </w:rPr>
              <w:t>(15.500)</w:t>
            </w:r>
          </w:p>
        </w:tc>
      </w:tr>
      <w:tr w:rsidR="003321FA" w:rsidRPr="003321FA" w14:paraId="56C5E166"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single" w:sz="2" w:space="0" w:color="1F3864" w:themeColor="accent1" w:themeShade="80"/>
              <w:right w:val="nil"/>
            </w:tcBorders>
            <w:shd w:val="clear" w:color="auto" w:fill="auto"/>
            <w:vAlign w:val="center"/>
          </w:tcPr>
          <w:p w14:paraId="2402A53C" w14:textId="77777777" w:rsidR="003321FA" w:rsidRPr="003321FA" w:rsidRDefault="003321FA">
            <w:pPr>
              <w:keepNext/>
              <w:keepLines/>
              <w:rPr>
                <w:rFonts w:ascii="Arial" w:hAnsi="Arial" w:cs="Arial"/>
                <w:color w:val="000000"/>
                <w:sz w:val="14"/>
                <w:szCs w:val="14"/>
              </w:rPr>
            </w:pPr>
            <w:r w:rsidRPr="003321FA">
              <w:rPr>
                <w:rFonts w:ascii="Arial" w:hAnsi="Arial" w:cs="Arial"/>
                <w:color w:val="000000"/>
                <w:sz w:val="14"/>
                <w:szCs w:val="14"/>
              </w:rPr>
              <w:t>Passivo e Patrimônio Líquido</w:t>
            </w:r>
          </w:p>
        </w:tc>
        <w:tc>
          <w:tcPr>
            <w:tcW w:w="3260" w:type="dxa"/>
            <w:tcBorders>
              <w:top w:val="nil"/>
              <w:left w:val="nil"/>
              <w:bottom w:val="single" w:sz="2" w:space="0" w:color="1F3864" w:themeColor="accent1" w:themeShade="80"/>
              <w:right w:val="nil"/>
            </w:tcBorders>
            <w:shd w:val="clear" w:color="auto" w:fill="auto"/>
            <w:vAlign w:val="center"/>
          </w:tcPr>
          <w:p w14:paraId="1489C378"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321FA">
              <w:rPr>
                <w:rFonts w:ascii="Arial" w:hAnsi="Arial" w:cs="Arial"/>
                <w:b/>
                <w:bCs/>
                <w:color w:val="000000"/>
                <w:sz w:val="14"/>
                <w:szCs w:val="14"/>
              </w:rPr>
              <w:t>12.877.289</w:t>
            </w:r>
          </w:p>
        </w:tc>
        <w:tc>
          <w:tcPr>
            <w:tcW w:w="3260" w:type="dxa"/>
            <w:tcBorders>
              <w:top w:val="nil"/>
              <w:left w:val="nil"/>
              <w:bottom w:val="single" w:sz="2" w:space="0" w:color="1F3864" w:themeColor="accent1" w:themeShade="80"/>
              <w:right w:val="nil"/>
            </w:tcBorders>
            <w:shd w:val="clear" w:color="auto" w:fill="auto"/>
            <w:vAlign w:val="center"/>
          </w:tcPr>
          <w:p w14:paraId="041C8FD0"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321FA">
              <w:rPr>
                <w:rFonts w:ascii="Arial" w:hAnsi="Arial" w:cs="Arial"/>
                <w:b/>
                <w:bCs/>
                <w:sz w:val="14"/>
                <w:szCs w:val="14"/>
              </w:rPr>
              <w:t>13.449.565</w:t>
            </w:r>
          </w:p>
        </w:tc>
      </w:tr>
    </w:tbl>
    <w:p w14:paraId="0064E0CC" w14:textId="77777777" w:rsidR="003321FA" w:rsidRPr="003321FA" w:rsidRDefault="003321FA" w:rsidP="002C3B56">
      <w:pPr>
        <w:pStyle w:val="PargrafodaLista"/>
        <w:numPr>
          <w:ilvl w:val="0"/>
          <w:numId w:val="43"/>
        </w:numPr>
        <w:spacing w:after="0" w:line="276" w:lineRule="auto"/>
        <w:ind w:left="284" w:hanging="284"/>
        <w:rPr>
          <w:rFonts w:ascii="Arial" w:eastAsia="Times New Roman" w:hAnsi="Arial" w:cs="Times New Roman"/>
          <w:bCs/>
          <w:spacing w:val="-2"/>
          <w:sz w:val="14"/>
          <w:szCs w:val="16"/>
          <w:lang w:eastAsia="pt-BR"/>
        </w:rPr>
      </w:pPr>
      <w:r w:rsidRPr="003321FA">
        <w:rPr>
          <w:rFonts w:ascii="Arial" w:eastAsia="Times New Roman" w:hAnsi="Arial" w:cs="Times New Roman"/>
          <w:bCs/>
          <w:spacing w:val="-2"/>
          <w:sz w:val="14"/>
          <w:szCs w:val="16"/>
          <w:lang w:eastAsia="pt-BR"/>
        </w:rPr>
        <w:t>A partir de 2024, houve a segregação dos Contratos de Seguros e Resseguros, anteriormente classificados como Ativo Circulante, entre Circulante e Não Circulante.</w:t>
      </w:r>
    </w:p>
    <w:p w14:paraId="3910A450" w14:textId="77777777" w:rsidR="003321FA" w:rsidRPr="003321FA" w:rsidRDefault="003321FA" w:rsidP="003321FA">
      <w:pPr>
        <w:pStyle w:val="05-Textonormal"/>
        <w:spacing w:line="240" w:lineRule="auto"/>
        <w:rPr>
          <w:rFonts w:cs="Arial"/>
        </w:rPr>
      </w:pPr>
    </w:p>
    <w:p w14:paraId="4E7C5F5D" w14:textId="77777777" w:rsidR="003321FA" w:rsidRPr="003321FA" w:rsidRDefault="003321FA" w:rsidP="003321FA">
      <w:pPr>
        <w:pStyle w:val="05-Textonormal"/>
        <w:spacing w:line="240" w:lineRule="auto"/>
        <w:rPr>
          <w:rFonts w:cs="Arial"/>
        </w:rPr>
      </w:pPr>
      <w:r w:rsidRPr="003321FA">
        <w:rPr>
          <w:rFonts w:cs="Arial"/>
        </w:rPr>
        <w:t>Os impactos do CPC 50 [IFRS 17], em 2024 e 2023, e do CPC 48 [IFRS 9], em 2023, no Patrimônio Líquido, para fins de comparabilidade, estão indicados no quadro a seguir:</w:t>
      </w:r>
    </w:p>
    <w:p w14:paraId="146353E5" w14:textId="77777777" w:rsidR="003321FA" w:rsidRPr="003321FA" w:rsidRDefault="003321FA" w:rsidP="003321FA">
      <w:pPr>
        <w:spacing w:after="0" w:line="240" w:lineRule="auto"/>
        <w:jc w:val="right"/>
        <w:rPr>
          <w:rFonts w:ascii="Arial" w:hAnsi="Arial" w:cs="Arial"/>
          <w:b/>
          <w:sz w:val="14"/>
          <w:lang w:eastAsia="pt-BR"/>
        </w:rPr>
      </w:pPr>
      <w:r w:rsidRPr="003321FA">
        <w:rPr>
          <w:rFonts w:ascii="Arial" w:hAnsi="Arial" w:cs="Arial"/>
          <w:b/>
          <w:sz w:val="14"/>
          <w:lang w:eastAsia="pt-BR"/>
        </w:rPr>
        <w:t>R$ mil</w:t>
      </w:r>
    </w:p>
    <w:tbl>
      <w:tblPr>
        <w:tblStyle w:val="TabeladeLista6Colorida-nfase512"/>
        <w:tblW w:w="9639" w:type="dxa"/>
        <w:jc w:val="center"/>
        <w:tblLayout w:type="fixed"/>
        <w:tblLook w:val="04A0" w:firstRow="1" w:lastRow="0" w:firstColumn="1" w:lastColumn="0" w:noHBand="0" w:noVBand="1"/>
      </w:tblPr>
      <w:tblGrid>
        <w:gridCol w:w="5387"/>
        <w:gridCol w:w="2126"/>
        <w:gridCol w:w="2126"/>
      </w:tblGrid>
      <w:tr w:rsidR="003321FA" w:rsidRPr="003321FA" w14:paraId="202BD81E"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1963B41" w14:textId="77777777" w:rsidR="003321FA" w:rsidRPr="003321FA" w:rsidRDefault="003321FA">
            <w:pPr>
              <w:jc w:val="center"/>
              <w:rPr>
                <w:rFonts w:ascii="Arial" w:hAnsi="Arial" w:cs="Arial"/>
                <w:sz w:val="14"/>
                <w:szCs w:val="14"/>
              </w:rPr>
            </w:pPr>
          </w:p>
        </w:tc>
        <w:tc>
          <w:tcPr>
            <w:tcW w:w="21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B6BF5E5" w14:textId="77777777" w:rsidR="003321FA" w:rsidRPr="003321FA" w:rsidRDefault="003321F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sz w:val="14"/>
                <w:szCs w:val="14"/>
              </w:rPr>
              <w:t>31.12.2024</w:t>
            </w:r>
          </w:p>
        </w:tc>
        <w:tc>
          <w:tcPr>
            <w:tcW w:w="21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7C51E65" w14:textId="77777777" w:rsidR="003321FA" w:rsidRPr="003321FA" w:rsidRDefault="003321F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sz w:val="14"/>
                <w:szCs w:val="14"/>
              </w:rPr>
              <w:t>31.12.2023</w:t>
            </w:r>
          </w:p>
        </w:tc>
      </w:tr>
      <w:tr w:rsidR="003321FA" w:rsidRPr="003321FA" w14:paraId="47F80770"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nil"/>
              <w:right w:val="nil"/>
            </w:tcBorders>
            <w:shd w:val="clear" w:color="auto" w:fill="auto"/>
            <w:vAlign w:val="center"/>
          </w:tcPr>
          <w:p w14:paraId="4D0EBF0E" w14:textId="77777777" w:rsidR="003321FA" w:rsidRPr="003321FA" w:rsidRDefault="003321FA">
            <w:pPr>
              <w:keepNext/>
              <w:keepLines/>
              <w:rPr>
                <w:rFonts w:ascii="Arial" w:eastAsia="Times New Roman" w:hAnsi="Arial" w:cs="Arial"/>
                <w:b w:val="0"/>
                <w:bCs w:val="0"/>
                <w:spacing w:val="-2"/>
                <w:sz w:val="14"/>
                <w:szCs w:val="14"/>
              </w:rPr>
            </w:pPr>
            <w:r w:rsidRPr="003321FA">
              <w:rPr>
                <w:rFonts w:ascii="Arial" w:hAnsi="Arial" w:cs="Arial"/>
                <w:b w:val="0"/>
                <w:bCs w:val="0"/>
                <w:sz w:val="14"/>
                <w:szCs w:val="14"/>
              </w:rPr>
              <w:t xml:space="preserve">Patrimônio Líquido - BRGAAP e IFRS </w:t>
            </w:r>
          </w:p>
        </w:tc>
        <w:tc>
          <w:tcPr>
            <w:tcW w:w="2126" w:type="dxa"/>
            <w:tcBorders>
              <w:top w:val="single" w:sz="2" w:space="0" w:color="1F3864" w:themeColor="accent1" w:themeShade="80"/>
              <w:left w:val="nil"/>
              <w:bottom w:val="nil"/>
              <w:right w:val="nil"/>
            </w:tcBorders>
            <w:shd w:val="clear" w:color="auto" w:fill="auto"/>
            <w:vAlign w:val="center"/>
          </w:tcPr>
          <w:p w14:paraId="49C452DA"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 xml:space="preserve">2.520.529 </w:t>
            </w:r>
          </w:p>
        </w:tc>
        <w:tc>
          <w:tcPr>
            <w:tcW w:w="2126" w:type="dxa"/>
            <w:tcBorders>
              <w:top w:val="single" w:sz="2" w:space="0" w:color="1F3864" w:themeColor="accent1" w:themeShade="80"/>
              <w:left w:val="nil"/>
              <w:bottom w:val="nil"/>
              <w:right w:val="nil"/>
            </w:tcBorders>
            <w:shd w:val="clear" w:color="auto" w:fill="auto"/>
            <w:vAlign w:val="center"/>
          </w:tcPr>
          <w:p w14:paraId="0BAB5C13"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 xml:space="preserve">2.716.895 </w:t>
            </w:r>
          </w:p>
        </w:tc>
      </w:tr>
      <w:tr w:rsidR="003321FA" w:rsidRPr="003321FA" w14:paraId="2F9E360F"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nil"/>
              <w:left w:val="nil"/>
              <w:bottom w:val="single" w:sz="2" w:space="0" w:color="1F3864" w:themeColor="accent1" w:themeShade="80"/>
              <w:right w:val="nil"/>
            </w:tcBorders>
            <w:shd w:val="clear" w:color="auto" w:fill="auto"/>
            <w:vAlign w:val="center"/>
          </w:tcPr>
          <w:p w14:paraId="114238EB" w14:textId="77777777" w:rsidR="003321FA" w:rsidRPr="003321FA" w:rsidRDefault="003321FA">
            <w:pPr>
              <w:keepNext/>
              <w:keepLines/>
              <w:spacing w:before="40" w:after="40"/>
              <w:rPr>
                <w:rFonts w:ascii="Arial" w:hAnsi="Arial" w:cs="Arial"/>
                <w:b w:val="0"/>
                <w:bCs w:val="0"/>
                <w:sz w:val="14"/>
                <w:szCs w:val="14"/>
              </w:rPr>
            </w:pPr>
            <w:r w:rsidRPr="003321FA">
              <w:rPr>
                <w:rFonts w:ascii="Arial" w:hAnsi="Arial" w:cs="Arial"/>
                <w:b w:val="0"/>
                <w:bCs w:val="0"/>
                <w:sz w:val="14"/>
                <w:szCs w:val="14"/>
              </w:rPr>
              <w:t>Patrimônio Líquido - SUSEPGAAP</w:t>
            </w:r>
          </w:p>
        </w:tc>
        <w:tc>
          <w:tcPr>
            <w:tcW w:w="2126" w:type="dxa"/>
            <w:tcBorders>
              <w:top w:val="nil"/>
              <w:left w:val="nil"/>
              <w:bottom w:val="single" w:sz="2" w:space="0" w:color="1F3864" w:themeColor="accent1" w:themeShade="80"/>
              <w:right w:val="nil"/>
            </w:tcBorders>
            <w:shd w:val="clear" w:color="auto" w:fill="auto"/>
            <w:vAlign w:val="center"/>
          </w:tcPr>
          <w:p w14:paraId="348E520F"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 xml:space="preserve">2.556.952 </w:t>
            </w:r>
          </w:p>
        </w:tc>
        <w:tc>
          <w:tcPr>
            <w:tcW w:w="2126" w:type="dxa"/>
            <w:tcBorders>
              <w:top w:val="nil"/>
              <w:left w:val="nil"/>
              <w:bottom w:val="single" w:sz="2" w:space="0" w:color="1F3864" w:themeColor="accent1" w:themeShade="80"/>
              <w:right w:val="nil"/>
            </w:tcBorders>
            <w:shd w:val="clear" w:color="auto" w:fill="auto"/>
            <w:vAlign w:val="center"/>
          </w:tcPr>
          <w:p w14:paraId="52EED640"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 xml:space="preserve">2.679.962 </w:t>
            </w:r>
          </w:p>
        </w:tc>
      </w:tr>
    </w:tbl>
    <w:p w14:paraId="638CAB00" w14:textId="77777777" w:rsidR="003321FA" w:rsidRPr="003321FA" w:rsidRDefault="003321FA" w:rsidP="003321FA">
      <w:pPr>
        <w:spacing w:after="0" w:line="240" w:lineRule="auto"/>
        <w:rPr>
          <w:rFonts w:ascii="Arial" w:eastAsia="Times New Roman" w:hAnsi="Arial" w:cs="Times New Roman"/>
          <w:b/>
          <w:color w:val="1F3864" w:themeColor="accent1" w:themeShade="80"/>
          <w:spacing w:val="-2"/>
          <w:sz w:val="18"/>
          <w:szCs w:val="20"/>
          <w:lang w:eastAsia="pt-BR"/>
        </w:rPr>
      </w:pPr>
    </w:p>
    <w:p w14:paraId="2688F8C4" w14:textId="77777777" w:rsidR="003321FA" w:rsidRPr="003321FA" w:rsidRDefault="003321FA" w:rsidP="003321FA">
      <w:pPr>
        <w:keepNext/>
        <w:keepLines/>
        <w:pageBreakBefore/>
        <w:spacing w:after="0" w:line="240" w:lineRule="auto"/>
        <w:rPr>
          <w:rFonts w:ascii="Arial" w:eastAsia="Times New Roman" w:hAnsi="Arial" w:cs="Times New Roman"/>
          <w:b/>
          <w:color w:val="1F3864" w:themeColor="accent1" w:themeShade="80"/>
          <w:spacing w:val="-2"/>
          <w:sz w:val="18"/>
          <w:szCs w:val="20"/>
          <w:lang w:eastAsia="pt-BR"/>
        </w:rPr>
      </w:pPr>
      <w:r w:rsidRPr="003321FA">
        <w:rPr>
          <w:rFonts w:ascii="Arial" w:eastAsia="Times New Roman" w:hAnsi="Arial" w:cs="Times New Roman"/>
          <w:b/>
          <w:color w:val="1F3864" w:themeColor="accent1" w:themeShade="80"/>
          <w:spacing w:val="-2"/>
          <w:sz w:val="18"/>
          <w:szCs w:val="20"/>
          <w:lang w:eastAsia="pt-BR"/>
        </w:rPr>
        <w:lastRenderedPageBreak/>
        <w:t>c.1.3) Aliança do Brasil Seguros S.A. (Aliança do Brasil)</w:t>
      </w:r>
    </w:p>
    <w:p w14:paraId="6FBC41E7" w14:textId="77777777" w:rsidR="003321FA" w:rsidRPr="003321FA" w:rsidRDefault="003321FA" w:rsidP="003321FA">
      <w:pPr>
        <w:keepNext/>
        <w:keepLines/>
        <w:spacing w:after="0" w:line="240" w:lineRule="auto"/>
        <w:rPr>
          <w:rFonts w:ascii="Arial" w:eastAsia="Times New Roman" w:hAnsi="Arial" w:cs="Times New Roman"/>
          <w:b/>
          <w:color w:val="1F3864" w:themeColor="accent1" w:themeShade="80"/>
          <w:spacing w:val="-2"/>
          <w:sz w:val="18"/>
          <w:szCs w:val="20"/>
          <w:lang w:eastAsia="pt-BR"/>
        </w:rPr>
      </w:pPr>
    </w:p>
    <w:p w14:paraId="24393ECB" w14:textId="77777777" w:rsidR="003321FA" w:rsidRPr="003321FA" w:rsidRDefault="003321FA" w:rsidP="003321FA">
      <w:pPr>
        <w:spacing w:after="0" w:line="240" w:lineRule="auto"/>
        <w:rPr>
          <w:rFonts w:ascii="Arial" w:eastAsia="Times New Roman" w:hAnsi="Arial" w:cs="Arial"/>
          <w:spacing w:val="-2"/>
          <w:sz w:val="18"/>
          <w:szCs w:val="20"/>
          <w:lang w:eastAsia="zh-CN"/>
        </w:rPr>
      </w:pPr>
      <w:r w:rsidRPr="003321FA">
        <w:rPr>
          <w:rFonts w:ascii="Arial" w:eastAsia="Times New Roman" w:hAnsi="Arial" w:cs="Times New Roman"/>
          <w:b/>
          <w:color w:val="1F3864" w:themeColor="accent1" w:themeShade="80"/>
          <w:spacing w:val="-2"/>
          <w:sz w:val="18"/>
          <w:szCs w:val="20"/>
          <w:lang w:eastAsia="pt-BR"/>
        </w:rPr>
        <w:t>Informações de Resultado</w:t>
      </w:r>
    </w:p>
    <w:p w14:paraId="432ABF99" w14:textId="77777777" w:rsidR="003321FA" w:rsidRPr="003321FA" w:rsidRDefault="003321FA" w:rsidP="003321FA">
      <w:pPr>
        <w:keepNext/>
        <w:keepLines/>
        <w:spacing w:after="0" w:line="240" w:lineRule="auto"/>
        <w:rPr>
          <w:rFonts w:ascii="Arial" w:eastAsia="Times New Roman" w:hAnsi="Arial" w:cs="Arial"/>
          <w:spacing w:val="-2"/>
          <w:sz w:val="18"/>
          <w:szCs w:val="20"/>
          <w:lang w:eastAsia="zh-CN"/>
        </w:rPr>
      </w:pPr>
    </w:p>
    <w:p w14:paraId="5A051FDB" w14:textId="77777777" w:rsidR="003321FA" w:rsidRPr="003321FA" w:rsidRDefault="003321FA" w:rsidP="003321FA">
      <w:pPr>
        <w:spacing w:after="0" w:line="240" w:lineRule="auto"/>
        <w:jc w:val="right"/>
        <w:rPr>
          <w:rFonts w:ascii="Arial" w:hAnsi="Arial" w:cs="Arial"/>
          <w:b/>
          <w:sz w:val="14"/>
          <w:lang w:eastAsia="pt-BR"/>
        </w:rPr>
      </w:pPr>
      <w:r w:rsidRPr="003321FA">
        <w:rPr>
          <w:rFonts w:ascii="Arial" w:hAnsi="Arial" w:cs="Arial"/>
          <w:b/>
          <w:sz w:val="14"/>
          <w:lang w:eastAsia="pt-BR"/>
        </w:rPr>
        <w:t>R$ mil</w:t>
      </w:r>
    </w:p>
    <w:tbl>
      <w:tblPr>
        <w:tblStyle w:val="TabeladeLista6Colorida-nfase512"/>
        <w:tblW w:w="9639" w:type="dxa"/>
        <w:jc w:val="center"/>
        <w:tblLayout w:type="fixed"/>
        <w:tblLook w:val="04A0" w:firstRow="1" w:lastRow="0" w:firstColumn="1" w:lastColumn="0" w:noHBand="0" w:noVBand="1"/>
      </w:tblPr>
      <w:tblGrid>
        <w:gridCol w:w="2364"/>
        <w:gridCol w:w="1818"/>
        <w:gridCol w:w="1819"/>
        <w:gridCol w:w="1819"/>
        <w:gridCol w:w="1819"/>
      </w:tblGrid>
      <w:tr w:rsidR="003321FA" w:rsidRPr="003321FA" w14:paraId="787A1703"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1A3F525" w14:textId="77777777" w:rsidR="003321FA" w:rsidRPr="003321FA" w:rsidRDefault="003321FA">
            <w:pPr>
              <w:jc w:val="center"/>
              <w:rPr>
                <w:rFonts w:ascii="Arial" w:hAnsi="Arial" w:cs="Arial"/>
                <w:sz w:val="14"/>
                <w:szCs w:val="14"/>
              </w:rPr>
            </w:pPr>
          </w:p>
        </w:tc>
        <w:tc>
          <w:tcPr>
            <w:tcW w:w="1818"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A004516" w14:textId="77777777" w:rsidR="003321FA" w:rsidRPr="003321FA" w:rsidRDefault="003321F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81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767431E" w14:textId="77777777" w:rsidR="003321FA" w:rsidRPr="003321FA" w:rsidRDefault="003321F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81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F86C5D8" w14:textId="77777777" w:rsidR="003321FA" w:rsidRPr="003321FA" w:rsidRDefault="003321F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bCs w:val="0"/>
                <w:sz w:val="14"/>
                <w:szCs w:val="14"/>
              </w:rPr>
              <w:t>Exercício 2024</w:t>
            </w:r>
          </w:p>
        </w:tc>
        <w:tc>
          <w:tcPr>
            <w:tcW w:w="181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060B12E" w14:textId="77777777" w:rsidR="003321FA" w:rsidRPr="003321FA" w:rsidRDefault="003321F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sz w:val="14"/>
                <w:szCs w:val="14"/>
              </w:rPr>
              <w:t>Exercício 2023</w:t>
            </w:r>
          </w:p>
        </w:tc>
      </w:tr>
      <w:tr w:rsidR="003321FA" w:rsidRPr="003321FA" w14:paraId="0EB5B84C"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single" w:sz="2" w:space="0" w:color="1F3864" w:themeColor="accent1" w:themeShade="80"/>
              <w:left w:val="nil"/>
              <w:bottom w:val="nil"/>
              <w:right w:val="nil"/>
            </w:tcBorders>
            <w:shd w:val="clear" w:color="auto" w:fill="auto"/>
            <w:vAlign w:val="center"/>
          </w:tcPr>
          <w:p w14:paraId="7ED1BE1B" w14:textId="77777777" w:rsidR="003321FA" w:rsidRPr="003321FA" w:rsidRDefault="003321FA">
            <w:pPr>
              <w:keepNext/>
              <w:keepLines/>
              <w:rPr>
                <w:rFonts w:ascii="Arial" w:eastAsia="Times New Roman" w:hAnsi="Arial" w:cs="Arial"/>
                <w:spacing w:val="-2"/>
                <w:sz w:val="14"/>
                <w:szCs w:val="14"/>
              </w:rPr>
            </w:pPr>
            <w:r w:rsidRPr="003321FA">
              <w:rPr>
                <w:rFonts w:ascii="Arial" w:hAnsi="Arial" w:cs="Arial"/>
                <w:color w:val="000000"/>
                <w:sz w:val="14"/>
                <w:szCs w:val="14"/>
              </w:rPr>
              <w:t>Resultado de contratos de seguros</w:t>
            </w:r>
          </w:p>
        </w:tc>
        <w:tc>
          <w:tcPr>
            <w:tcW w:w="1818" w:type="dxa"/>
            <w:tcBorders>
              <w:top w:val="single" w:sz="2" w:space="0" w:color="1F3864" w:themeColor="accent1" w:themeShade="80"/>
              <w:left w:val="nil"/>
              <w:bottom w:val="nil"/>
              <w:right w:val="nil"/>
            </w:tcBorders>
            <w:shd w:val="clear" w:color="auto" w:fill="auto"/>
            <w:vAlign w:val="center"/>
          </w:tcPr>
          <w:p w14:paraId="4F7700ED"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819" w:type="dxa"/>
            <w:tcBorders>
              <w:top w:val="single" w:sz="2" w:space="0" w:color="1F3864" w:themeColor="accent1" w:themeShade="80"/>
              <w:left w:val="nil"/>
              <w:bottom w:val="nil"/>
              <w:right w:val="nil"/>
            </w:tcBorders>
            <w:shd w:val="clear" w:color="auto" w:fill="auto"/>
            <w:vAlign w:val="center"/>
          </w:tcPr>
          <w:p w14:paraId="236B6C53"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819" w:type="dxa"/>
            <w:tcBorders>
              <w:top w:val="single" w:sz="2" w:space="0" w:color="1F3864" w:themeColor="accent1" w:themeShade="80"/>
              <w:left w:val="nil"/>
              <w:bottom w:val="nil"/>
              <w:right w:val="nil"/>
            </w:tcBorders>
            <w:shd w:val="clear" w:color="auto" w:fill="auto"/>
            <w:vAlign w:val="center"/>
          </w:tcPr>
          <w:p w14:paraId="6B277907"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321FA">
              <w:rPr>
                <w:rFonts w:ascii="Arial" w:hAnsi="Arial" w:cs="Arial"/>
                <w:b/>
                <w:bCs/>
                <w:color w:val="000000"/>
                <w:sz w:val="14"/>
                <w:szCs w:val="14"/>
              </w:rPr>
              <w:t>839.470</w:t>
            </w:r>
          </w:p>
        </w:tc>
        <w:tc>
          <w:tcPr>
            <w:tcW w:w="1819" w:type="dxa"/>
            <w:tcBorders>
              <w:top w:val="single" w:sz="2" w:space="0" w:color="1F3864" w:themeColor="accent1" w:themeShade="80"/>
              <w:left w:val="nil"/>
              <w:bottom w:val="nil"/>
              <w:right w:val="nil"/>
            </w:tcBorders>
            <w:shd w:val="clear" w:color="auto" w:fill="auto"/>
            <w:vAlign w:val="center"/>
          </w:tcPr>
          <w:p w14:paraId="645AE951"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321FA">
              <w:rPr>
                <w:rFonts w:ascii="Arial" w:hAnsi="Arial" w:cs="Arial"/>
                <w:b/>
                <w:bCs/>
                <w:color w:val="000000"/>
                <w:sz w:val="14"/>
                <w:szCs w:val="14"/>
              </w:rPr>
              <w:t>1.119.131</w:t>
            </w:r>
          </w:p>
        </w:tc>
      </w:tr>
      <w:tr w:rsidR="003321FA" w:rsidRPr="003321FA" w14:paraId="09DC1E81"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6C6BF65A" w14:textId="77777777" w:rsidR="003321FA" w:rsidRPr="003321FA" w:rsidRDefault="003321FA">
            <w:pPr>
              <w:keepNext/>
              <w:keepLines/>
              <w:spacing w:before="40" w:after="40"/>
              <w:ind w:left="113"/>
              <w:rPr>
                <w:rFonts w:ascii="Arial" w:hAnsi="Arial" w:cs="Arial"/>
                <w:b w:val="0"/>
                <w:bCs w:val="0"/>
                <w:sz w:val="14"/>
                <w:szCs w:val="14"/>
              </w:rPr>
            </w:pPr>
            <w:r w:rsidRPr="003321FA">
              <w:rPr>
                <w:rFonts w:ascii="Arial" w:hAnsi="Arial" w:cs="Arial"/>
                <w:b w:val="0"/>
                <w:bCs w:val="0"/>
                <w:color w:val="000000"/>
                <w:sz w:val="14"/>
                <w:szCs w:val="14"/>
              </w:rPr>
              <w:t xml:space="preserve">Resultado dos contratos PAA </w:t>
            </w:r>
            <w:r w:rsidRPr="003321FA">
              <w:rPr>
                <w:rFonts w:ascii="Arial" w:hAnsi="Arial" w:cs="Arial"/>
                <w:b w:val="0"/>
                <w:bCs w:val="0"/>
                <w:color w:val="000000"/>
                <w:sz w:val="14"/>
                <w:szCs w:val="14"/>
                <w:vertAlign w:val="superscript"/>
              </w:rPr>
              <w:t>(1)</w:t>
            </w:r>
          </w:p>
        </w:tc>
        <w:tc>
          <w:tcPr>
            <w:tcW w:w="1818" w:type="dxa"/>
            <w:tcBorders>
              <w:top w:val="nil"/>
              <w:left w:val="nil"/>
              <w:bottom w:val="nil"/>
              <w:right w:val="nil"/>
            </w:tcBorders>
            <w:shd w:val="clear" w:color="auto" w:fill="auto"/>
            <w:vAlign w:val="center"/>
          </w:tcPr>
          <w:p w14:paraId="04D6C420"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819" w:type="dxa"/>
            <w:tcBorders>
              <w:top w:val="nil"/>
              <w:left w:val="nil"/>
              <w:bottom w:val="nil"/>
              <w:right w:val="nil"/>
            </w:tcBorders>
            <w:shd w:val="clear" w:color="auto" w:fill="auto"/>
            <w:vAlign w:val="center"/>
          </w:tcPr>
          <w:p w14:paraId="3E2EA29E"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819" w:type="dxa"/>
            <w:tcBorders>
              <w:top w:val="nil"/>
              <w:left w:val="nil"/>
              <w:bottom w:val="nil"/>
              <w:right w:val="nil"/>
            </w:tcBorders>
            <w:shd w:val="clear" w:color="auto" w:fill="auto"/>
            <w:vAlign w:val="center"/>
          </w:tcPr>
          <w:p w14:paraId="1E215A92"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839.470</w:t>
            </w:r>
          </w:p>
        </w:tc>
        <w:tc>
          <w:tcPr>
            <w:tcW w:w="1819" w:type="dxa"/>
            <w:tcBorders>
              <w:top w:val="nil"/>
              <w:left w:val="nil"/>
              <w:bottom w:val="nil"/>
              <w:right w:val="nil"/>
            </w:tcBorders>
            <w:shd w:val="clear" w:color="auto" w:fill="auto"/>
            <w:vAlign w:val="center"/>
          </w:tcPr>
          <w:p w14:paraId="009C5E59"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1.119.131</w:t>
            </w:r>
          </w:p>
        </w:tc>
      </w:tr>
      <w:tr w:rsidR="003321FA" w:rsidRPr="003321FA" w14:paraId="7BC87AD1"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5C8AE7BF" w14:textId="77777777" w:rsidR="003321FA" w:rsidRPr="003321FA" w:rsidRDefault="003321FA">
            <w:pPr>
              <w:keepNext/>
              <w:keepLines/>
              <w:spacing w:before="40" w:after="40"/>
              <w:rPr>
                <w:rFonts w:ascii="Arial" w:hAnsi="Arial" w:cs="Arial"/>
                <w:b w:val="0"/>
                <w:bCs w:val="0"/>
                <w:color w:val="000000"/>
                <w:sz w:val="14"/>
                <w:szCs w:val="14"/>
              </w:rPr>
            </w:pPr>
            <w:r w:rsidRPr="003321FA">
              <w:rPr>
                <w:rFonts w:ascii="Arial" w:hAnsi="Arial" w:cs="Arial"/>
                <w:b w:val="0"/>
                <w:bCs w:val="0"/>
                <w:color w:val="000000"/>
                <w:sz w:val="14"/>
                <w:szCs w:val="14"/>
              </w:rPr>
              <w:t>Despesas de seguros</w:t>
            </w:r>
          </w:p>
        </w:tc>
        <w:tc>
          <w:tcPr>
            <w:tcW w:w="1818" w:type="dxa"/>
            <w:tcBorders>
              <w:top w:val="nil"/>
              <w:left w:val="nil"/>
              <w:bottom w:val="nil"/>
              <w:right w:val="nil"/>
            </w:tcBorders>
            <w:shd w:val="clear" w:color="auto" w:fill="auto"/>
            <w:vAlign w:val="center"/>
          </w:tcPr>
          <w:p w14:paraId="57E96829"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819" w:type="dxa"/>
            <w:tcBorders>
              <w:top w:val="nil"/>
              <w:left w:val="nil"/>
              <w:bottom w:val="nil"/>
              <w:right w:val="nil"/>
            </w:tcBorders>
            <w:shd w:val="clear" w:color="auto" w:fill="auto"/>
            <w:vAlign w:val="center"/>
          </w:tcPr>
          <w:p w14:paraId="304DBFEB"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819" w:type="dxa"/>
            <w:tcBorders>
              <w:top w:val="nil"/>
              <w:left w:val="nil"/>
              <w:bottom w:val="nil"/>
              <w:right w:val="nil"/>
            </w:tcBorders>
            <w:shd w:val="clear" w:color="auto" w:fill="auto"/>
            <w:vAlign w:val="center"/>
          </w:tcPr>
          <w:p w14:paraId="31C857BD"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(637.997)</w:t>
            </w:r>
          </w:p>
        </w:tc>
        <w:tc>
          <w:tcPr>
            <w:tcW w:w="1819" w:type="dxa"/>
            <w:tcBorders>
              <w:top w:val="nil"/>
              <w:left w:val="nil"/>
              <w:bottom w:val="nil"/>
              <w:right w:val="nil"/>
            </w:tcBorders>
            <w:shd w:val="clear" w:color="auto" w:fill="auto"/>
            <w:vAlign w:val="center"/>
          </w:tcPr>
          <w:p w14:paraId="6DDABE6E"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(1.060.730)</w:t>
            </w:r>
          </w:p>
        </w:tc>
      </w:tr>
      <w:tr w:rsidR="003321FA" w:rsidRPr="003321FA" w14:paraId="7511697C"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551CA3AD" w14:textId="77777777" w:rsidR="003321FA" w:rsidRPr="003321FA" w:rsidRDefault="003321FA">
            <w:pPr>
              <w:keepNext/>
              <w:keepLines/>
              <w:rPr>
                <w:rFonts w:ascii="Arial" w:hAnsi="Arial" w:cs="Arial"/>
                <w:color w:val="000000"/>
                <w:sz w:val="14"/>
                <w:szCs w:val="14"/>
              </w:rPr>
            </w:pPr>
            <w:r w:rsidRPr="003321FA">
              <w:rPr>
                <w:rFonts w:ascii="Arial" w:hAnsi="Arial" w:cs="Arial"/>
                <w:color w:val="000000"/>
                <w:sz w:val="14"/>
                <w:szCs w:val="14"/>
              </w:rPr>
              <w:t>Margem de seguros</w:t>
            </w:r>
          </w:p>
        </w:tc>
        <w:tc>
          <w:tcPr>
            <w:tcW w:w="1818" w:type="dxa"/>
            <w:tcBorders>
              <w:top w:val="nil"/>
              <w:left w:val="nil"/>
              <w:bottom w:val="nil"/>
              <w:right w:val="nil"/>
            </w:tcBorders>
            <w:shd w:val="clear" w:color="auto" w:fill="auto"/>
            <w:vAlign w:val="center"/>
          </w:tcPr>
          <w:p w14:paraId="46C01883"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819" w:type="dxa"/>
            <w:tcBorders>
              <w:top w:val="nil"/>
              <w:left w:val="nil"/>
              <w:bottom w:val="nil"/>
              <w:right w:val="nil"/>
            </w:tcBorders>
            <w:shd w:val="clear" w:color="auto" w:fill="auto"/>
            <w:vAlign w:val="center"/>
          </w:tcPr>
          <w:p w14:paraId="52792C4F"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819" w:type="dxa"/>
            <w:tcBorders>
              <w:top w:val="nil"/>
              <w:left w:val="nil"/>
              <w:bottom w:val="nil"/>
              <w:right w:val="nil"/>
            </w:tcBorders>
            <w:shd w:val="clear" w:color="auto" w:fill="auto"/>
            <w:vAlign w:val="center"/>
          </w:tcPr>
          <w:p w14:paraId="0DA5C0EC"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321FA">
              <w:rPr>
                <w:rFonts w:ascii="Arial" w:hAnsi="Arial" w:cs="Arial"/>
                <w:b/>
                <w:bCs/>
                <w:color w:val="000000"/>
                <w:sz w:val="14"/>
                <w:szCs w:val="14"/>
              </w:rPr>
              <w:t>201.473</w:t>
            </w:r>
          </w:p>
        </w:tc>
        <w:tc>
          <w:tcPr>
            <w:tcW w:w="1819" w:type="dxa"/>
            <w:tcBorders>
              <w:top w:val="nil"/>
              <w:left w:val="nil"/>
              <w:bottom w:val="nil"/>
              <w:right w:val="nil"/>
            </w:tcBorders>
            <w:shd w:val="clear" w:color="auto" w:fill="auto"/>
            <w:vAlign w:val="center"/>
          </w:tcPr>
          <w:p w14:paraId="2AE6D8A1"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321FA">
              <w:rPr>
                <w:rFonts w:ascii="Arial" w:hAnsi="Arial" w:cs="Arial"/>
                <w:b/>
                <w:bCs/>
                <w:color w:val="000000"/>
                <w:sz w:val="14"/>
                <w:szCs w:val="14"/>
              </w:rPr>
              <w:t>58.401</w:t>
            </w:r>
          </w:p>
        </w:tc>
      </w:tr>
      <w:tr w:rsidR="003321FA" w:rsidRPr="003321FA" w14:paraId="617EE039"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3808A173" w14:textId="77777777" w:rsidR="003321FA" w:rsidRPr="003321FA" w:rsidRDefault="003321FA">
            <w:pPr>
              <w:keepNext/>
              <w:keepLines/>
              <w:spacing w:before="40" w:after="40"/>
              <w:rPr>
                <w:rFonts w:ascii="Arial" w:hAnsi="Arial" w:cs="Arial"/>
                <w:sz w:val="14"/>
                <w:szCs w:val="14"/>
              </w:rPr>
            </w:pPr>
            <w:r w:rsidRPr="003321FA">
              <w:rPr>
                <w:rFonts w:ascii="Arial" w:hAnsi="Arial" w:cs="Arial"/>
                <w:color w:val="000000"/>
                <w:sz w:val="14"/>
                <w:szCs w:val="14"/>
              </w:rPr>
              <w:t>Resultado Financeiro</w:t>
            </w:r>
          </w:p>
        </w:tc>
        <w:tc>
          <w:tcPr>
            <w:tcW w:w="1818" w:type="dxa"/>
            <w:tcBorders>
              <w:top w:val="nil"/>
              <w:left w:val="nil"/>
              <w:bottom w:val="nil"/>
              <w:right w:val="nil"/>
            </w:tcBorders>
            <w:shd w:val="clear" w:color="auto" w:fill="auto"/>
            <w:vAlign w:val="center"/>
          </w:tcPr>
          <w:p w14:paraId="3E2685BB"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819" w:type="dxa"/>
            <w:tcBorders>
              <w:top w:val="nil"/>
              <w:left w:val="nil"/>
              <w:bottom w:val="nil"/>
              <w:right w:val="nil"/>
            </w:tcBorders>
            <w:shd w:val="clear" w:color="auto" w:fill="auto"/>
            <w:vAlign w:val="center"/>
          </w:tcPr>
          <w:p w14:paraId="66E51F50"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819" w:type="dxa"/>
            <w:tcBorders>
              <w:top w:val="nil"/>
              <w:left w:val="nil"/>
              <w:bottom w:val="nil"/>
              <w:right w:val="nil"/>
            </w:tcBorders>
            <w:shd w:val="clear" w:color="auto" w:fill="auto"/>
            <w:vAlign w:val="center"/>
          </w:tcPr>
          <w:p w14:paraId="7EEF2BBB"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321FA">
              <w:rPr>
                <w:rFonts w:ascii="Arial" w:hAnsi="Arial" w:cs="Arial"/>
                <w:b/>
                <w:bCs/>
                <w:color w:val="000000"/>
                <w:sz w:val="14"/>
                <w:szCs w:val="14"/>
              </w:rPr>
              <w:t>55.808</w:t>
            </w:r>
          </w:p>
        </w:tc>
        <w:tc>
          <w:tcPr>
            <w:tcW w:w="1819" w:type="dxa"/>
            <w:tcBorders>
              <w:top w:val="nil"/>
              <w:left w:val="nil"/>
              <w:bottom w:val="nil"/>
              <w:right w:val="nil"/>
            </w:tcBorders>
            <w:shd w:val="clear" w:color="auto" w:fill="auto"/>
            <w:vAlign w:val="center"/>
          </w:tcPr>
          <w:p w14:paraId="386DA5D0"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321FA">
              <w:rPr>
                <w:rFonts w:ascii="Arial" w:hAnsi="Arial" w:cs="Arial"/>
                <w:b/>
                <w:bCs/>
                <w:color w:val="000000"/>
                <w:sz w:val="14"/>
                <w:szCs w:val="14"/>
              </w:rPr>
              <w:t>64.760</w:t>
            </w:r>
          </w:p>
        </w:tc>
      </w:tr>
      <w:tr w:rsidR="003321FA" w:rsidRPr="003321FA" w14:paraId="20F19A96"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5B6CC55E" w14:textId="77777777" w:rsidR="003321FA" w:rsidRPr="003321FA" w:rsidRDefault="003321FA">
            <w:pPr>
              <w:keepNext/>
              <w:keepLines/>
              <w:spacing w:before="40" w:after="40"/>
              <w:ind w:left="113"/>
              <w:rPr>
                <w:rFonts w:ascii="Arial" w:hAnsi="Arial" w:cs="Arial"/>
                <w:b w:val="0"/>
                <w:bCs w:val="0"/>
                <w:color w:val="000000"/>
                <w:sz w:val="14"/>
                <w:szCs w:val="14"/>
              </w:rPr>
            </w:pPr>
            <w:r w:rsidRPr="003321FA">
              <w:rPr>
                <w:rFonts w:ascii="Arial" w:hAnsi="Arial" w:cs="Arial"/>
                <w:b w:val="0"/>
                <w:bCs w:val="0"/>
                <w:color w:val="000000"/>
                <w:sz w:val="14"/>
                <w:szCs w:val="14"/>
              </w:rPr>
              <w:t>Receitas Financeiras</w:t>
            </w:r>
          </w:p>
        </w:tc>
        <w:tc>
          <w:tcPr>
            <w:tcW w:w="1818" w:type="dxa"/>
            <w:tcBorders>
              <w:top w:val="nil"/>
              <w:left w:val="nil"/>
              <w:bottom w:val="nil"/>
              <w:right w:val="nil"/>
            </w:tcBorders>
            <w:shd w:val="clear" w:color="auto" w:fill="auto"/>
            <w:vAlign w:val="center"/>
          </w:tcPr>
          <w:p w14:paraId="76DC9F1B"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819" w:type="dxa"/>
            <w:tcBorders>
              <w:top w:val="nil"/>
              <w:left w:val="nil"/>
              <w:bottom w:val="nil"/>
              <w:right w:val="nil"/>
            </w:tcBorders>
            <w:shd w:val="clear" w:color="auto" w:fill="auto"/>
            <w:vAlign w:val="center"/>
          </w:tcPr>
          <w:p w14:paraId="08D0C799"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819" w:type="dxa"/>
            <w:tcBorders>
              <w:top w:val="nil"/>
              <w:left w:val="nil"/>
              <w:bottom w:val="nil"/>
              <w:right w:val="nil"/>
            </w:tcBorders>
            <w:shd w:val="clear" w:color="auto" w:fill="auto"/>
            <w:vAlign w:val="center"/>
          </w:tcPr>
          <w:p w14:paraId="4C85E491"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58.136</w:t>
            </w:r>
          </w:p>
        </w:tc>
        <w:tc>
          <w:tcPr>
            <w:tcW w:w="1819" w:type="dxa"/>
            <w:tcBorders>
              <w:top w:val="nil"/>
              <w:left w:val="nil"/>
              <w:bottom w:val="nil"/>
              <w:right w:val="nil"/>
            </w:tcBorders>
            <w:shd w:val="clear" w:color="auto" w:fill="auto"/>
            <w:vAlign w:val="center"/>
          </w:tcPr>
          <w:p w14:paraId="479E5A0E"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56.545</w:t>
            </w:r>
          </w:p>
        </w:tc>
      </w:tr>
      <w:tr w:rsidR="003321FA" w:rsidRPr="003321FA" w14:paraId="6EAA6E5A"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6FC43B9D" w14:textId="77777777" w:rsidR="003321FA" w:rsidRPr="003321FA" w:rsidRDefault="003321FA">
            <w:pPr>
              <w:keepNext/>
              <w:keepLines/>
              <w:spacing w:before="40" w:after="40"/>
              <w:ind w:left="113"/>
              <w:rPr>
                <w:rFonts w:ascii="Arial" w:hAnsi="Arial" w:cs="Arial"/>
                <w:b w:val="0"/>
                <w:bCs w:val="0"/>
                <w:color w:val="000000"/>
                <w:sz w:val="14"/>
                <w:szCs w:val="14"/>
              </w:rPr>
            </w:pPr>
            <w:r w:rsidRPr="003321FA">
              <w:rPr>
                <w:rFonts w:ascii="Arial" w:hAnsi="Arial" w:cs="Arial"/>
                <w:b w:val="0"/>
                <w:bCs w:val="0"/>
                <w:color w:val="000000"/>
                <w:sz w:val="14"/>
                <w:szCs w:val="14"/>
              </w:rPr>
              <w:t>Despesas Financeiras</w:t>
            </w:r>
          </w:p>
        </w:tc>
        <w:tc>
          <w:tcPr>
            <w:tcW w:w="1818" w:type="dxa"/>
            <w:tcBorders>
              <w:top w:val="nil"/>
              <w:left w:val="nil"/>
              <w:bottom w:val="nil"/>
              <w:right w:val="nil"/>
            </w:tcBorders>
            <w:shd w:val="clear" w:color="auto" w:fill="auto"/>
            <w:vAlign w:val="center"/>
          </w:tcPr>
          <w:p w14:paraId="562FEF0B"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819" w:type="dxa"/>
            <w:tcBorders>
              <w:top w:val="nil"/>
              <w:left w:val="nil"/>
              <w:bottom w:val="nil"/>
              <w:right w:val="nil"/>
            </w:tcBorders>
            <w:shd w:val="clear" w:color="auto" w:fill="auto"/>
            <w:vAlign w:val="center"/>
          </w:tcPr>
          <w:p w14:paraId="07F26053"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819" w:type="dxa"/>
            <w:tcBorders>
              <w:top w:val="nil"/>
              <w:left w:val="nil"/>
              <w:bottom w:val="nil"/>
              <w:right w:val="nil"/>
            </w:tcBorders>
            <w:shd w:val="clear" w:color="auto" w:fill="auto"/>
            <w:vAlign w:val="center"/>
          </w:tcPr>
          <w:p w14:paraId="78661622"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(2.328)</w:t>
            </w:r>
          </w:p>
        </w:tc>
        <w:tc>
          <w:tcPr>
            <w:tcW w:w="1819" w:type="dxa"/>
            <w:tcBorders>
              <w:top w:val="nil"/>
              <w:left w:val="nil"/>
              <w:bottom w:val="nil"/>
              <w:right w:val="nil"/>
            </w:tcBorders>
            <w:shd w:val="clear" w:color="auto" w:fill="auto"/>
            <w:vAlign w:val="center"/>
          </w:tcPr>
          <w:p w14:paraId="7F6C0937"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8.215</w:t>
            </w:r>
          </w:p>
        </w:tc>
      </w:tr>
      <w:tr w:rsidR="003321FA" w:rsidRPr="003321FA" w14:paraId="46F9772C"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1B5857C7" w14:textId="77777777" w:rsidR="003321FA" w:rsidRPr="003321FA" w:rsidRDefault="003321FA">
            <w:pPr>
              <w:keepNext/>
              <w:keepLines/>
              <w:spacing w:before="40" w:after="40"/>
              <w:rPr>
                <w:rFonts w:ascii="Arial" w:hAnsi="Arial" w:cs="Arial"/>
                <w:b w:val="0"/>
                <w:bCs w:val="0"/>
                <w:sz w:val="14"/>
                <w:szCs w:val="14"/>
              </w:rPr>
            </w:pPr>
            <w:r w:rsidRPr="003321FA">
              <w:rPr>
                <w:rFonts w:ascii="Arial" w:hAnsi="Arial" w:cs="Arial"/>
                <w:b w:val="0"/>
                <w:bCs w:val="0"/>
                <w:color w:val="000000"/>
                <w:sz w:val="14"/>
                <w:szCs w:val="14"/>
              </w:rPr>
              <w:t>Despesas Não Atribuíveis</w:t>
            </w:r>
          </w:p>
        </w:tc>
        <w:tc>
          <w:tcPr>
            <w:tcW w:w="1818" w:type="dxa"/>
            <w:tcBorders>
              <w:top w:val="nil"/>
              <w:left w:val="nil"/>
              <w:bottom w:val="nil"/>
              <w:right w:val="nil"/>
            </w:tcBorders>
            <w:shd w:val="clear" w:color="auto" w:fill="auto"/>
            <w:vAlign w:val="center"/>
          </w:tcPr>
          <w:p w14:paraId="272C221F"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819" w:type="dxa"/>
            <w:tcBorders>
              <w:top w:val="nil"/>
              <w:left w:val="nil"/>
              <w:bottom w:val="nil"/>
              <w:right w:val="nil"/>
            </w:tcBorders>
            <w:shd w:val="clear" w:color="auto" w:fill="auto"/>
            <w:vAlign w:val="center"/>
          </w:tcPr>
          <w:p w14:paraId="6325B4E9"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819" w:type="dxa"/>
            <w:tcBorders>
              <w:top w:val="nil"/>
              <w:left w:val="nil"/>
              <w:bottom w:val="nil"/>
              <w:right w:val="nil"/>
            </w:tcBorders>
            <w:shd w:val="clear" w:color="auto" w:fill="auto"/>
            <w:vAlign w:val="center"/>
          </w:tcPr>
          <w:p w14:paraId="389A2A95"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(91.935)</w:t>
            </w:r>
          </w:p>
        </w:tc>
        <w:tc>
          <w:tcPr>
            <w:tcW w:w="1819" w:type="dxa"/>
            <w:tcBorders>
              <w:top w:val="nil"/>
              <w:left w:val="nil"/>
              <w:bottom w:val="nil"/>
              <w:right w:val="nil"/>
            </w:tcBorders>
            <w:shd w:val="clear" w:color="auto" w:fill="auto"/>
            <w:vAlign w:val="center"/>
          </w:tcPr>
          <w:p w14:paraId="0D606B1A"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(95.799)</w:t>
            </w:r>
          </w:p>
        </w:tc>
      </w:tr>
      <w:tr w:rsidR="003321FA" w:rsidRPr="003321FA" w14:paraId="5DB84CF3"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6B5DABB2" w14:textId="77777777" w:rsidR="003321FA" w:rsidRPr="003321FA" w:rsidRDefault="003321FA">
            <w:pPr>
              <w:keepNext/>
              <w:keepLines/>
              <w:spacing w:before="40" w:after="40"/>
              <w:rPr>
                <w:rFonts w:ascii="Arial" w:hAnsi="Arial" w:cs="Arial"/>
                <w:color w:val="000000"/>
                <w:sz w:val="14"/>
                <w:szCs w:val="14"/>
              </w:rPr>
            </w:pPr>
            <w:r w:rsidRPr="003321FA">
              <w:rPr>
                <w:rFonts w:ascii="Arial" w:hAnsi="Arial" w:cs="Arial"/>
                <w:color w:val="000000"/>
                <w:sz w:val="14"/>
                <w:szCs w:val="14"/>
              </w:rPr>
              <w:t>Outras receitas e despesas</w:t>
            </w:r>
          </w:p>
        </w:tc>
        <w:tc>
          <w:tcPr>
            <w:tcW w:w="1818" w:type="dxa"/>
            <w:tcBorders>
              <w:top w:val="nil"/>
              <w:left w:val="nil"/>
              <w:bottom w:val="nil"/>
              <w:right w:val="nil"/>
            </w:tcBorders>
            <w:shd w:val="clear" w:color="auto" w:fill="auto"/>
            <w:vAlign w:val="center"/>
          </w:tcPr>
          <w:p w14:paraId="0390CE45"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819" w:type="dxa"/>
            <w:tcBorders>
              <w:top w:val="nil"/>
              <w:left w:val="nil"/>
              <w:bottom w:val="nil"/>
              <w:right w:val="nil"/>
            </w:tcBorders>
            <w:shd w:val="clear" w:color="auto" w:fill="auto"/>
            <w:vAlign w:val="center"/>
          </w:tcPr>
          <w:p w14:paraId="6545D141"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819" w:type="dxa"/>
            <w:tcBorders>
              <w:top w:val="nil"/>
              <w:left w:val="nil"/>
              <w:bottom w:val="nil"/>
              <w:right w:val="nil"/>
            </w:tcBorders>
            <w:shd w:val="clear" w:color="auto" w:fill="auto"/>
            <w:vAlign w:val="center"/>
          </w:tcPr>
          <w:p w14:paraId="4279A08D"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321FA">
              <w:rPr>
                <w:rFonts w:ascii="Arial" w:hAnsi="Arial" w:cs="Arial"/>
                <w:b/>
                <w:bCs/>
                <w:color w:val="000000"/>
                <w:sz w:val="14"/>
                <w:szCs w:val="14"/>
              </w:rPr>
              <w:t>(63)</w:t>
            </w:r>
          </w:p>
        </w:tc>
        <w:tc>
          <w:tcPr>
            <w:tcW w:w="1819" w:type="dxa"/>
            <w:tcBorders>
              <w:top w:val="nil"/>
              <w:left w:val="nil"/>
              <w:bottom w:val="nil"/>
              <w:right w:val="nil"/>
            </w:tcBorders>
            <w:shd w:val="clear" w:color="auto" w:fill="auto"/>
            <w:vAlign w:val="center"/>
          </w:tcPr>
          <w:p w14:paraId="4F111751"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321FA">
              <w:rPr>
                <w:rFonts w:ascii="Arial" w:hAnsi="Arial" w:cs="Arial"/>
                <w:b/>
                <w:bCs/>
                <w:color w:val="000000"/>
                <w:sz w:val="14"/>
                <w:szCs w:val="14"/>
              </w:rPr>
              <w:t>3</w:t>
            </w:r>
          </w:p>
        </w:tc>
      </w:tr>
      <w:tr w:rsidR="003321FA" w:rsidRPr="003321FA" w14:paraId="4B128C25"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026CEDE8" w14:textId="77777777" w:rsidR="003321FA" w:rsidRPr="003321FA" w:rsidRDefault="003321FA">
            <w:pPr>
              <w:keepNext/>
              <w:keepLines/>
              <w:spacing w:before="40" w:after="40"/>
              <w:rPr>
                <w:rFonts w:ascii="Arial" w:hAnsi="Arial" w:cs="Arial"/>
                <w:sz w:val="14"/>
                <w:szCs w:val="14"/>
              </w:rPr>
            </w:pPr>
            <w:r w:rsidRPr="003321FA">
              <w:rPr>
                <w:rFonts w:ascii="Arial" w:hAnsi="Arial" w:cs="Arial"/>
                <w:color w:val="000000"/>
                <w:sz w:val="14"/>
                <w:szCs w:val="14"/>
              </w:rPr>
              <w:t>Lucro antes do IRPJ e CSLL</w:t>
            </w:r>
          </w:p>
        </w:tc>
        <w:tc>
          <w:tcPr>
            <w:tcW w:w="1818" w:type="dxa"/>
            <w:tcBorders>
              <w:top w:val="nil"/>
              <w:left w:val="nil"/>
              <w:bottom w:val="nil"/>
              <w:right w:val="nil"/>
            </w:tcBorders>
            <w:shd w:val="clear" w:color="auto" w:fill="auto"/>
            <w:vAlign w:val="center"/>
          </w:tcPr>
          <w:p w14:paraId="27EF98C7"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819" w:type="dxa"/>
            <w:tcBorders>
              <w:top w:val="nil"/>
              <w:left w:val="nil"/>
              <w:bottom w:val="nil"/>
              <w:right w:val="nil"/>
            </w:tcBorders>
            <w:shd w:val="clear" w:color="auto" w:fill="auto"/>
            <w:vAlign w:val="center"/>
          </w:tcPr>
          <w:p w14:paraId="2DC4C650"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819" w:type="dxa"/>
            <w:tcBorders>
              <w:top w:val="nil"/>
              <w:left w:val="nil"/>
              <w:bottom w:val="nil"/>
              <w:right w:val="nil"/>
            </w:tcBorders>
            <w:shd w:val="clear" w:color="auto" w:fill="auto"/>
            <w:vAlign w:val="center"/>
          </w:tcPr>
          <w:p w14:paraId="70F8C87F"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321FA">
              <w:rPr>
                <w:rFonts w:ascii="Arial" w:hAnsi="Arial" w:cs="Arial"/>
                <w:b/>
                <w:bCs/>
                <w:color w:val="000000"/>
                <w:sz w:val="14"/>
                <w:szCs w:val="14"/>
              </w:rPr>
              <w:t>165.283</w:t>
            </w:r>
          </w:p>
        </w:tc>
        <w:tc>
          <w:tcPr>
            <w:tcW w:w="1819" w:type="dxa"/>
            <w:tcBorders>
              <w:top w:val="nil"/>
              <w:left w:val="nil"/>
              <w:bottom w:val="nil"/>
              <w:right w:val="nil"/>
            </w:tcBorders>
            <w:shd w:val="clear" w:color="auto" w:fill="auto"/>
            <w:vAlign w:val="center"/>
          </w:tcPr>
          <w:p w14:paraId="13309D63"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321FA">
              <w:rPr>
                <w:rFonts w:ascii="Arial" w:hAnsi="Arial" w:cs="Arial"/>
                <w:b/>
                <w:bCs/>
                <w:color w:val="000000"/>
                <w:sz w:val="14"/>
                <w:szCs w:val="14"/>
              </w:rPr>
              <w:t>27.365</w:t>
            </w:r>
          </w:p>
        </w:tc>
      </w:tr>
      <w:tr w:rsidR="003321FA" w:rsidRPr="003321FA" w14:paraId="5585184E"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21975597" w14:textId="77777777" w:rsidR="003321FA" w:rsidRPr="003321FA" w:rsidRDefault="003321FA">
            <w:pPr>
              <w:keepNext/>
              <w:keepLines/>
              <w:spacing w:before="40" w:after="40"/>
              <w:ind w:left="113"/>
              <w:rPr>
                <w:rFonts w:ascii="Arial" w:hAnsi="Arial" w:cs="Arial"/>
                <w:b w:val="0"/>
                <w:bCs w:val="0"/>
                <w:sz w:val="14"/>
                <w:szCs w:val="14"/>
              </w:rPr>
            </w:pPr>
            <w:r w:rsidRPr="003321FA">
              <w:rPr>
                <w:rFonts w:ascii="Arial" w:hAnsi="Arial" w:cs="Arial"/>
                <w:b w:val="0"/>
                <w:bCs w:val="0"/>
                <w:sz w:val="14"/>
                <w:szCs w:val="14"/>
              </w:rPr>
              <w:t>IRPJ e CSLL</w:t>
            </w:r>
          </w:p>
        </w:tc>
        <w:tc>
          <w:tcPr>
            <w:tcW w:w="1818" w:type="dxa"/>
            <w:tcBorders>
              <w:top w:val="nil"/>
              <w:left w:val="nil"/>
              <w:bottom w:val="nil"/>
              <w:right w:val="nil"/>
            </w:tcBorders>
            <w:shd w:val="clear" w:color="auto" w:fill="auto"/>
            <w:vAlign w:val="center"/>
          </w:tcPr>
          <w:p w14:paraId="45BB35C8"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819" w:type="dxa"/>
            <w:tcBorders>
              <w:top w:val="nil"/>
              <w:left w:val="nil"/>
              <w:bottom w:val="nil"/>
              <w:right w:val="nil"/>
            </w:tcBorders>
            <w:shd w:val="clear" w:color="auto" w:fill="auto"/>
            <w:vAlign w:val="center"/>
          </w:tcPr>
          <w:p w14:paraId="3A0B0EC7"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819" w:type="dxa"/>
            <w:tcBorders>
              <w:top w:val="nil"/>
              <w:left w:val="nil"/>
              <w:bottom w:val="nil"/>
              <w:right w:val="nil"/>
            </w:tcBorders>
            <w:shd w:val="clear" w:color="auto" w:fill="auto"/>
            <w:vAlign w:val="center"/>
          </w:tcPr>
          <w:p w14:paraId="5542A8F5"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(63.377)</w:t>
            </w:r>
          </w:p>
        </w:tc>
        <w:tc>
          <w:tcPr>
            <w:tcW w:w="1819" w:type="dxa"/>
            <w:tcBorders>
              <w:top w:val="nil"/>
              <w:left w:val="nil"/>
              <w:bottom w:val="nil"/>
              <w:right w:val="nil"/>
            </w:tcBorders>
            <w:shd w:val="clear" w:color="auto" w:fill="auto"/>
            <w:vAlign w:val="center"/>
          </w:tcPr>
          <w:p w14:paraId="79588F79"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(10.760)</w:t>
            </w:r>
          </w:p>
        </w:tc>
      </w:tr>
      <w:tr w:rsidR="003321FA" w:rsidRPr="003321FA" w14:paraId="4B1E32A5"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6E025235" w14:textId="77777777" w:rsidR="003321FA" w:rsidRPr="003321FA" w:rsidRDefault="003321FA">
            <w:pPr>
              <w:keepNext/>
              <w:keepLines/>
              <w:spacing w:before="40" w:after="40"/>
              <w:ind w:left="113"/>
              <w:rPr>
                <w:rFonts w:ascii="Arial" w:hAnsi="Arial" w:cs="Arial"/>
                <w:b w:val="0"/>
                <w:bCs w:val="0"/>
                <w:sz w:val="14"/>
                <w:szCs w:val="14"/>
              </w:rPr>
            </w:pPr>
            <w:r w:rsidRPr="003321FA">
              <w:rPr>
                <w:rFonts w:ascii="Arial" w:hAnsi="Arial" w:cs="Arial"/>
                <w:b w:val="0"/>
                <w:bCs w:val="0"/>
                <w:color w:val="000000"/>
                <w:sz w:val="14"/>
                <w:szCs w:val="14"/>
              </w:rPr>
              <w:t>Participações sobre o resultado</w:t>
            </w:r>
          </w:p>
        </w:tc>
        <w:tc>
          <w:tcPr>
            <w:tcW w:w="1818" w:type="dxa"/>
            <w:tcBorders>
              <w:top w:val="nil"/>
              <w:left w:val="nil"/>
              <w:bottom w:val="nil"/>
              <w:right w:val="nil"/>
            </w:tcBorders>
            <w:shd w:val="clear" w:color="auto" w:fill="auto"/>
            <w:vAlign w:val="center"/>
          </w:tcPr>
          <w:p w14:paraId="6A18AE57"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819" w:type="dxa"/>
            <w:tcBorders>
              <w:top w:val="nil"/>
              <w:left w:val="nil"/>
              <w:bottom w:val="nil"/>
              <w:right w:val="nil"/>
            </w:tcBorders>
            <w:shd w:val="clear" w:color="auto" w:fill="auto"/>
            <w:vAlign w:val="center"/>
          </w:tcPr>
          <w:p w14:paraId="4FE53FCF"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819" w:type="dxa"/>
            <w:tcBorders>
              <w:top w:val="nil"/>
              <w:left w:val="nil"/>
              <w:bottom w:val="nil"/>
              <w:right w:val="nil"/>
            </w:tcBorders>
            <w:shd w:val="clear" w:color="auto" w:fill="auto"/>
            <w:vAlign w:val="center"/>
          </w:tcPr>
          <w:p w14:paraId="28CDB9DF"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(1.423)</w:t>
            </w:r>
          </w:p>
        </w:tc>
        <w:tc>
          <w:tcPr>
            <w:tcW w:w="1819" w:type="dxa"/>
            <w:tcBorders>
              <w:top w:val="nil"/>
              <w:left w:val="nil"/>
              <w:bottom w:val="nil"/>
              <w:right w:val="nil"/>
            </w:tcBorders>
            <w:shd w:val="clear" w:color="auto" w:fill="auto"/>
            <w:vAlign w:val="center"/>
          </w:tcPr>
          <w:p w14:paraId="77607966"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(397)</w:t>
            </w:r>
          </w:p>
        </w:tc>
      </w:tr>
      <w:tr w:rsidR="003321FA" w:rsidRPr="003321FA" w14:paraId="7F1664BF"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6089AFB1" w14:textId="77777777" w:rsidR="003321FA" w:rsidRPr="003321FA" w:rsidRDefault="003321FA">
            <w:pPr>
              <w:keepNext/>
              <w:keepLines/>
              <w:spacing w:before="40" w:after="40"/>
              <w:rPr>
                <w:rFonts w:ascii="Arial" w:hAnsi="Arial" w:cs="Arial"/>
                <w:sz w:val="14"/>
                <w:szCs w:val="14"/>
              </w:rPr>
            </w:pPr>
            <w:r w:rsidRPr="003321FA">
              <w:rPr>
                <w:rFonts w:ascii="Arial" w:hAnsi="Arial" w:cs="Arial"/>
                <w:color w:val="000000"/>
                <w:sz w:val="14"/>
                <w:szCs w:val="14"/>
              </w:rPr>
              <w:t>Resultado líquido</w:t>
            </w:r>
          </w:p>
        </w:tc>
        <w:tc>
          <w:tcPr>
            <w:tcW w:w="1818" w:type="dxa"/>
            <w:tcBorders>
              <w:top w:val="nil"/>
              <w:left w:val="nil"/>
              <w:bottom w:val="nil"/>
              <w:right w:val="nil"/>
            </w:tcBorders>
            <w:shd w:val="clear" w:color="auto" w:fill="auto"/>
            <w:vAlign w:val="center"/>
          </w:tcPr>
          <w:p w14:paraId="1D260BA5"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819" w:type="dxa"/>
            <w:tcBorders>
              <w:top w:val="nil"/>
              <w:left w:val="nil"/>
              <w:bottom w:val="nil"/>
              <w:right w:val="nil"/>
            </w:tcBorders>
            <w:shd w:val="clear" w:color="auto" w:fill="auto"/>
            <w:vAlign w:val="center"/>
          </w:tcPr>
          <w:p w14:paraId="57997376"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819" w:type="dxa"/>
            <w:tcBorders>
              <w:top w:val="nil"/>
              <w:left w:val="nil"/>
              <w:bottom w:val="nil"/>
              <w:right w:val="nil"/>
            </w:tcBorders>
            <w:shd w:val="clear" w:color="auto" w:fill="auto"/>
            <w:vAlign w:val="center"/>
          </w:tcPr>
          <w:p w14:paraId="34EF4A63"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321FA">
              <w:rPr>
                <w:rFonts w:ascii="Arial" w:hAnsi="Arial" w:cs="Arial"/>
                <w:b/>
                <w:bCs/>
                <w:color w:val="000000"/>
                <w:sz w:val="14"/>
                <w:szCs w:val="14"/>
              </w:rPr>
              <w:t>100.483</w:t>
            </w:r>
          </w:p>
        </w:tc>
        <w:tc>
          <w:tcPr>
            <w:tcW w:w="1819" w:type="dxa"/>
            <w:tcBorders>
              <w:top w:val="nil"/>
              <w:left w:val="nil"/>
              <w:bottom w:val="nil"/>
              <w:right w:val="nil"/>
            </w:tcBorders>
            <w:shd w:val="clear" w:color="auto" w:fill="auto"/>
            <w:vAlign w:val="center"/>
          </w:tcPr>
          <w:p w14:paraId="5B058D9B"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321FA">
              <w:rPr>
                <w:rFonts w:ascii="Arial" w:hAnsi="Arial" w:cs="Arial"/>
                <w:b/>
                <w:bCs/>
                <w:color w:val="000000"/>
                <w:sz w:val="14"/>
                <w:szCs w:val="14"/>
              </w:rPr>
              <w:t>16.208</w:t>
            </w:r>
          </w:p>
        </w:tc>
      </w:tr>
      <w:tr w:rsidR="003321FA" w:rsidRPr="003321FA" w14:paraId="0996B8FC"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1923F3BE" w14:textId="77777777" w:rsidR="003321FA" w:rsidRPr="003321FA" w:rsidRDefault="003321FA">
            <w:pPr>
              <w:keepNext/>
              <w:keepLines/>
              <w:spacing w:before="40" w:after="40"/>
              <w:ind w:left="113"/>
              <w:rPr>
                <w:rFonts w:ascii="Arial" w:hAnsi="Arial" w:cs="Arial"/>
                <w:b w:val="0"/>
                <w:bCs w:val="0"/>
                <w:sz w:val="14"/>
                <w:szCs w:val="14"/>
              </w:rPr>
            </w:pPr>
            <w:r w:rsidRPr="003321FA">
              <w:rPr>
                <w:rFonts w:ascii="Arial" w:hAnsi="Arial" w:cs="Arial"/>
                <w:b w:val="0"/>
                <w:bCs w:val="0"/>
                <w:color w:val="000000"/>
                <w:sz w:val="14"/>
                <w:szCs w:val="14"/>
              </w:rPr>
              <w:t>Outros resultados abrangentes</w:t>
            </w:r>
          </w:p>
        </w:tc>
        <w:tc>
          <w:tcPr>
            <w:tcW w:w="1818" w:type="dxa"/>
            <w:tcBorders>
              <w:top w:val="nil"/>
              <w:left w:val="nil"/>
              <w:bottom w:val="nil"/>
              <w:right w:val="nil"/>
            </w:tcBorders>
            <w:shd w:val="clear" w:color="auto" w:fill="auto"/>
            <w:vAlign w:val="center"/>
          </w:tcPr>
          <w:p w14:paraId="134A7959"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819" w:type="dxa"/>
            <w:tcBorders>
              <w:top w:val="nil"/>
              <w:left w:val="nil"/>
              <w:bottom w:val="nil"/>
              <w:right w:val="nil"/>
            </w:tcBorders>
            <w:shd w:val="clear" w:color="auto" w:fill="auto"/>
            <w:vAlign w:val="center"/>
          </w:tcPr>
          <w:p w14:paraId="2B1DFD16"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819" w:type="dxa"/>
            <w:tcBorders>
              <w:top w:val="nil"/>
              <w:left w:val="nil"/>
              <w:bottom w:val="nil"/>
              <w:right w:val="nil"/>
            </w:tcBorders>
            <w:shd w:val="clear" w:color="auto" w:fill="auto"/>
            <w:vAlign w:val="center"/>
          </w:tcPr>
          <w:p w14:paraId="3882FFD9"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(57)</w:t>
            </w:r>
          </w:p>
        </w:tc>
        <w:tc>
          <w:tcPr>
            <w:tcW w:w="1819" w:type="dxa"/>
            <w:tcBorders>
              <w:top w:val="nil"/>
              <w:left w:val="nil"/>
              <w:bottom w:val="nil"/>
              <w:right w:val="nil"/>
            </w:tcBorders>
            <w:shd w:val="clear" w:color="auto" w:fill="auto"/>
            <w:vAlign w:val="center"/>
          </w:tcPr>
          <w:p w14:paraId="149DECEB"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(54)</w:t>
            </w:r>
          </w:p>
        </w:tc>
      </w:tr>
      <w:tr w:rsidR="003321FA" w:rsidRPr="003321FA" w14:paraId="7AC09917"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single" w:sz="2" w:space="0" w:color="1F3864" w:themeColor="accent1" w:themeShade="80"/>
              <w:right w:val="nil"/>
            </w:tcBorders>
            <w:shd w:val="clear" w:color="auto" w:fill="auto"/>
            <w:vAlign w:val="center"/>
          </w:tcPr>
          <w:p w14:paraId="76434534" w14:textId="77777777" w:rsidR="003321FA" w:rsidRPr="003321FA" w:rsidRDefault="003321FA">
            <w:pPr>
              <w:keepNext/>
              <w:keepLines/>
              <w:spacing w:before="40" w:after="40"/>
              <w:rPr>
                <w:rFonts w:ascii="Arial" w:hAnsi="Arial" w:cs="Arial"/>
                <w:sz w:val="14"/>
                <w:szCs w:val="14"/>
              </w:rPr>
            </w:pPr>
            <w:r w:rsidRPr="003321FA">
              <w:rPr>
                <w:rFonts w:ascii="Arial" w:hAnsi="Arial" w:cs="Arial"/>
                <w:color w:val="000000"/>
                <w:sz w:val="14"/>
                <w:szCs w:val="14"/>
              </w:rPr>
              <w:t>Resultado abrangente</w:t>
            </w:r>
          </w:p>
        </w:tc>
        <w:tc>
          <w:tcPr>
            <w:tcW w:w="1818" w:type="dxa"/>
            <w:tcBorders>
              <w:top w:val="nil"/>
              <w:left w:val="nil"/>
              <w:bottom w:val="single" w:sz="2" w:space="0" w:color="1F3864" w:themeColor="accent1" w:themeShade="80"/>
              <w:right w:val="nil"/>
            </w:tcBorders>
            <w:shd w:val="clear" w:color="auto" w:fill="auto"/>
            <w:vAlign w:val="center"/>
          </w:tcPr>
          <w:p w14:paraId="0DC2DBCC"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819" w:type="dxa"/>
            <w:tcBorders>
              <w:top w:val="nil"/>
              <w:left w:val="nil"/>
              <w:bottom w:val="single" w:sz="2" w:space="0" w:color="1F3864" w:themeColor="accent1" w:themeShade="80"/>
              <w:right w:val="nil"/>
            </w:tcBorders>
            <w:shd w:val="clear" w:color="auto" w:fill="auto"/>
            <w:vAlign w:val="center"/>
          </w:tcPr>
          <w:p w14:paraId="0776D6FD"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819" w:type="dxa"/>
            <w:tcBorders>
              <w:top w:val="nil"/>
              <w:left w:val="nil"/>
              <w:bottom w:val="single" w:sz="2" w:space="0" w:color="1F3864" w:themeColor="accent1" w:themeShade="80"/>
              <w:right w:val="nil"/>
            </w:tcBorders>
            <w:shd w:val="clear" w:color="auto" w:fill="auto"/>
            <w:vAlign w:val="center"/>
          </w:tcPr>
          <w:p w14:paraId="75224C06"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321FA">
              <w:rPr>
                <w:rFonts w:ascii="Arial" w:hAnsi="Arial" w:cs="Arial"/>
                <w:b/>
                <w:bCs/>
                <w:color w:val="000000"/>
                <w:sz w:val="14"/>
                <w:szCs w:val="14"/>
              </w:rPr>
              <w:t>100.426</w:t>
            </w:r>
          </w:p>
        </w:tc>
        <w:tc>
          <w:tcPr>
            <w:tcW w:w="1819" w:type="dxa"/>
            <w:tcBorders>
              <w:top w:val="nil"/>
              <w:left w:val="nil"/>
              <w:bottom w:val="single" w:sz="2" w:space="0" w:color="1F3864" w:themeColor="accent1" w:themeShade="80"/>
              <w:right w:val="nil"/>
            </w:tcBorders>
            <w:shd w:val="clear" w:color="auto" w:fill="auto"/>
            <w:vAlign w:val="center"/>
          </w:tcPr>
          <w:p w14:paraId="3FCB7126"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321FA">
              <w:rPr>
                <w:rFonts w:ascii="Arial" w:hAnsi="Arial" w:cs="Arial"/>
                <w:b/>
                <w:bCs/>
                <w:color w:val="000000"/>
                <w:sz w:val="14"/>
                <w:szCs w:val="14"/>
              </w:rPr>
              <w:t>16.154</w:t>
            </w:r>
          </w:p>
        </w:tc>
      </w:tr>
    </w:tbl>
    <w:p w14:paraId="49BE02D6" w14:textId="77777777" w:rsidR="003321FA" w:rsidRPr="003321FA" w:rsidRDefault="003321FA" w:rsidP="002C3B56">
      <w:pPr>
        <w:pStyle w:val="PargrafodaLista"/>
        <w:numPr>
          <w:ilvl w:val="0"/>
          <w:numId w:val="23"/>
        </w:numPr>
        <w:spacing w:after="0" w:line="240" w:lineRule="auto"/>
        <w:ind w:left="284" w:hanging="284"/>
        <w:rPr>
          <w:rFonts w:ascii="Arial" w:eastAsia="Times New Roman" w:hAnsi="Arial" w:cs="Times New Roman"/>
          <w:bCs/>
          <w:spacing w:val="-2"/>
          <w:sz w:val="14"/>
          <w:szCs w:val="16"/>
          <w:lang w:eastAsia="pt-BR"/>
        </w:rPr>
      </w:pPr>
      <w:r w:rsidRPr="003321FA">
        <w:rPr>
          <w:rFonts w:ascii="Arial" w:eastAsia="Times New Roman" w:hAnsi="Arial" w:cs="Arial"/>
          <w:kern w:val="20"/>
          <w:sz w:val="14"/>
          <w:szCs w:val="16"/>
          <w:lang w:eastAsia="pt-BR"/>
        </w:rPr>
        <w:t xml:space="preserve">PAA - </w:t>
      </w:r>
      <w:r w:rsidRPr="003321FA">
        <w:rPr>
          <w:rFonts w:ascii="Arial" w:eastAsia="Times New Roman" w:hAnsi="Arial" w:cs="Arial"/>
          <w:i/>
          <w:iCs/>
          <w:kern w:val="20"/>
          <w:sz w:val="14"/>
          <w:szCs w:val="16"/>
          <w:lang w:eastAsia="pt-BR"/>
        </w:rPr>
        <w:t xml:space="preserve">Premium </w:t>
      </w:r>
      <w:proofErr w:type="spellStart"/>
      <w:r w:rsidRPr="003321FA">
        <w:rPr>
          <w:rFonts w:ascii="Arial" w:eastAsia="Times New Roman" w:hAnsi="Arial" w:cs="Arial"/>
          <w:i/>
          <w:iCs/>
          <w:kern w:val="20"/>
          <w:sz w:val="14"/>
          <w:szCs w:val="16"/>
          <w:lang w:eastAsia="pt-BR"/>
        </w:rPr>
        <w:t>Allocation</w:t>
      </w:r>
      <w:proofErr w:type="spellEnd"/>
      <w:r w:rsidRPr="003321FA">
        <w:rPr>
          <w:rFonts w:ascii="Arial" w:eastAsia="Times New Roman" w:hAnsi="Arial" w:cs="Arial"/>
          <w:i/>
          <w:iCs/>
          <w:kern w:val="20"/>
          <w:sz w:val="14"/>
          <w:szCs w:val="16"/>
          <w:lang w:eastAsia="pt-BR"/>
        </w:rPr>
        <w:t xml:space="preserve"> Approach</w:t>
      </w:r>
      <w:r w:rsidRPr="003321FA">
        <w:rPr>
          <w:rFonts w:ascii="Arial" w:eastAsia="Times New Roman" w:hAnsi="Arial" w:cs="Arial"/>
          <w:kern w:val="20"/>
          <w:sz w:val="14"/>
          <w:szCs w:val="16"/>
          <w:lang w:eastAsia="pt-BR"/>
        </w:rPr>
        <w:t xml:space="preserve"> (Abordagem de Alocação de Prêmio).</w:t>
      </w:r>
    </w:p>
    <w:p w14:paraId="197FB2C5" w14:textId="77777777" w:rsidR="003321FA" w:rsidRPr="003321FA" w:rsidRDefault="003321FA" w:rsidP="003321FA">
      <w:pPr>
        <w:pStyle w:val="05-Textonormal"/>
        <w:spacing w:line="240" w:lineRule="auto"/>
        <w:rPr>
          <w:rFonts w:cs="Arial"/>
        </w:rPr>
      </w:pPr>
    </w:p>
    <w:p w14:paraId="52FA000A" w14:textId="77777777" w:rsidR="003321FA" w:rsidRPr="003321FA" w:rsidRDefault="003321FA" w:rsidP="003321FA">
      <w:pPr>
        <w:pStyle w:val="05-Textonormal"/>
        <w:spacing w:line="240" w:lineRule="auto"/>
        <w:rPr>
          <w:rFonts w:cs="Arial"/>
        </w:rPr>
      </w:pPr>
      <w:r w:rsidRPr="003321FA">
        <w:rPr>
          <w:rFonts w:cs="Arial"/>
        </w:rPr>
        <w:t>Os impactos do CPC 50 [IFRS 17], em 2024 e 2023, e do CPC 48 [IFRS 9], em 2023, no Resultado líquido e no Resultado Abrangente, para fins de comparabilidade, estão indicados no quadro a seguir:</w:t>
      </w:r>
    </w:p>
    <w:p w14:paraId="5BE05C9E" w14:textId="77777777" w:rsidR="003321FA" w:rsidRPr="003321FA" w:rsidRDefault="003321FA" w:rsidP="003321FA">
      <w:pPr>
        <w:spacing w:after="0" w:line="240" w:lineRule="auto"/>
        <w:jc w:val="right"/>
        <w:rPr>
          <w:rFonts w:ascii="Arial" w:hAnsi="Arial" w:cs="Arial"/>
          <w:b/>
          <w:sz w:val="14"/>
          <w:lang w:eastAsia="pt-BR"/>
        </w:rPr>
      </w:pPr>
      <w:r w:rsidRPr="003321FA">
        <w:rPr>
          <w:rFonts w:ascii="Arial" w:hAnsi="Arial" w:cs="Arial"/>
          <w:b/>
          <w:sz w:val="14"/>
          <w:lang w:eastAsia="pt-BR"/>
        </w:rPr>
        <w:t>R$ mil</w:t>
      </w:r>
    </w:p>
    <w:tbl>
      <w:tblPr>
        <w:tblStyle w:val="TabeladeLista6Colorida-nfase512"/>
        <w:tblW w:w="9639" w:type="dxa"/>
        <w:jc w:val="center"/>
        <w:tblLayout w:type="fixed"/>
        <w:tblLook w:val="04A0" w:firstRow="1" w:lastRow="0" w:firstColumn="1" w:lastColumn="0" w:noHBand="0" w:noVBand="1"/>
      </w:tblPr>
      <w:tblGrid>
        <w:gridCol w:w="2803"/>
        <w:gridCol w:w="1709"/>
        <w:gridCol w:w="1709"/>
        <w:gridCol w:w="1709"/>
        <w:gridCol w:w="1709"/>
      </w:tblGrid>
      <w:tr w:rsidR="003321FA" w:rsidRPr="003321FA" w14:paraId="06B29B8E"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94E0332" w14:textId="77777777" w:rsidR="003321FA" w:rsidRPr="003321FA" w:rsidRDefault="003321FA">
            <w:pPr>
              <w:jc w:val="center"/>
              <w:rPr>
                <w:rFonts w:ascii="Arial" w:hAnsi="Arial" w:cs="Arial"/>
                <w:sz w:val="14"/>
                <w:szCs w:val="14"/>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0DD8149" w14:textId="77777777" w:rsidR="003321FA" w:rsidRPr="003321FA" w:rsidRDefault="003321F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CB5AB7A" w14:textId="77777777" w:rsidR="003321FA" w:rsidRPr="003321FA" w:rsidRDefault="003321F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0805EFB" w14:textId="77777777" w:rsidR="003321FA" w:rsidRPr="003321FA" w:rsidRDefault="003321FA">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r w:rsidRPr="003321FA">
              <w:rPr>
                <w:rFonts w:ascii="Arial" w:hAnsi="Arial" w:cs="Arial"/>
                <w:bCs w:val="0"/>
                <w:sz w:val="14"/>
                <w:szCs w:val="14"/>
              </w:rPr>
              <w:t>Exercício 2024</w:t>
            </w: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7C8A019" w14:textId="77777777" w:rsidR="003321FA" w:rsidRPr="003321FA" w:rsidRDefault="003321F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sz w:val="14"/>
                <w:szCs w:val="14"/>
              </w:rPr>
              <w:t>Exercício 2023</w:t>
            </w:r>
          </w:p>
        </w:tc>
      </w:tr>
      <w:tr w:rsidR="003321FA" w:rsidRPr="003321FA" w14:paraId="345C9ABF"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3864" w:themeColor="accent1" w:themeShade="80"/>
              <w:left w:val="nil"/>
              <w:bottom w:val="nil"/>
              <w:right w:val="nil"/>
            </w:tcBorders>
            <w:shd w:val="clear" w:color="auto" w:fill="auto"/>
            <w:vAlign w:val="center"/>
          </w:tcPr>
          <w:p w14:paraId="0D063A1B" w14:textId="77777777" w:rsidR="003321FA" w:rsidRPr="003321FA" w:rsidRDefault="003321FA">
            <w:pPr>
              <w:keepNext/>
              <w:keepLines/>
              <w:rPr>
                <w:rFonts w:ascii="Arial" w:eastAsia="Times New Roman" w:hAnsi="Arial" w:cs="Arial"/>
                <w:b w:val="0"/>
                <w:bCs w:val="0"/>
                <w:spacing w:val="-2"/>
                <w:sz w:val="14"/>
                <w:szCs w:val="14"/>
              </w:rPr>
            </w:pPr>
            <w:r w:rsidRPr="003321FA">
              <w:rPr>
                <w:rFonts w:ascii="Arial" w:hAnsi="Arial" w:cs="Arial"/>
                <w:b w:val="0"/>
                <w:bCs w:val="0"/>
                <w:sz w:val="14"/>
                <w:szCs w:val="14"/>
              </w:rPr>
              <w:t>Resultado Líquido - BRGAAP e IFRS</w:t>
            </w:r>
          </w:p>
        </w:tc>
        <w:tc>
          <w:tcPr>
            <w:tcW w:w="1709" w:type="dxa"/>
            <w:tcBorders>
              <w:top w:val="single" w:sz="2" w:space="0" w:color="1F3864" w:themeColor="accent1" w:themeShade="80"/>
              <w:left w:val="nil"/>
              <w:bottom w:val="nil"/>
              <w:right w:val="nil"/>
            </w:tcBorders>
            <w:shd w:val="clear" w:color="auto" w:fill="auto"/>
            <w:vAlign w:val="center"/>
          </w:tcPr>
          <w:p w14:paraId="42EFD508"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09" w:type="dxa"/>
            <w:tcBorders>
              <w:top w:val="single" w:sz="2" w:space="0" w:color="1F3864" w:themeColor="accent1" w:themeShade="80"/>
              <w:left w:val="nil"/>
              <w:bottom w:val="nil"/>
              <w:right w:val="nil"/>
            </w:tcBorders>
            <w:shd w:val="clear" w:color="auto" w:fill="auto"/>
            <w:vAlign w:val="center"/>
          </w:tcPr>
          <w:p w14:paraId="05CC68BB"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09" w:type="dxa"/>
            <w:tcBorders>
              <w:top w:val="single" w:sz="2" w:space="0" w:color="1F3864" w:themeColor="accent1" w:themeShade="80"/>
              <w:left w:val="nil"/>
              <w:bottom w:val="nil"/>
              <w:right w:val="nil"/>
            </w:tcBorders>
            <w:shd w:val="clear" w:color="auto" w:fill="auto"/>
            <w:vAlign w:val="center"/>
          </w:tcPr>
          <w:p w14:paraId="0DDA72BA"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 xml:space="preserve">100.483 </w:t>
            </w:r>
          </w:p>
        </w:tc>
        <w:tc>
          <w:tcPr>
            <w:tcW w:w="1709" w:type="dxa"/>
            <w:tcBorders>
              <w:top w:val="single" w:sz="2" w:space="0" w:color="1F3864" w:themeColor="accent1" w:themeShade="80"/>
              <w:left w:val="nil"/>
              <w:bottom w:val="nil"/>
              <w:right w:val="nil"/>
            </w:tcBorders>
            <w:shd w:val="clear" w:color="auto" w:fill="auto"/>
            <w:vAlign w:val="center"/>
          </w:tcPr>
          <w:p w14:paraId="1070042B"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 xml:space="preserve">16.208 </w:t>
            </w:r>
          </w:p>
        </w:tc>
      </w:tr>
      <w:tr w:rsidR="003321FA" w:rsidRPr="003321FA" w14:paraId="112FB642"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5FA962E8" w14:textId="77777777" w:rsidR="003321FA" w:rsidRPr="003321FA" w:rsidRDefault="003321FA">
            <w:pPr>
              <w:keepNext/>
              <w:keepLines/>
              <w:rPr>
                <w:rFonts w:ascii="Arial" w:hAnsi="Arial" w:cs="Arial"/>
                <w:b w:val="0"/>
                <w:bCs w:val="0"/>
                <w:sz w:val="14"/>
                <w:szCs w:val="14"/>
              </w:rPr>
            </w:pPr>
            <w:r w:rsidRPr="003321FA">
              <w:rPr>
                <w:rFonts w:ascii="Arial" w:hAnsi="Arial" w:cs="Arial"/>
                <w:b w:val="0"/>
                <w:bCs w:val="0"/>
                <w:sz w:val="14"/>
                <w:szCs w:val="14"/>
              </w:rPr>
              <w:t>Resultado Líquido – SUSEPGAAP</w:t>
            </w:r>
          </w:p>
        </w:tc>
        <w:tc>
          <w:tcPr>
            <w:tcW w:w="1709" w:type="dxa"/>
            <w:tcBorders>
              <w:top w:val="nil"/>
              <w:left w:val="nil"/>
              <w:bottom w:val="nil"/>
              <w:right w:val="nil"/>
            </w:tcBorders>
            <w:shd w:val="clear" w:color="auto" w:fill="auto"/>
            <w:vAlign w:val="center"/>
          </w:tcPr>
          <w:p w14:paraId="0044501A"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709" w:type="dxa"/>
            <w:tcBorders>
              <w:top w:val="nil"/>
              <w:left w:val="nil"/>
              <w:bottom w:val="nil"/>
              <w:right w:val="nil"/>
            </w:tcBorders>
            <w:shd w:val="clear" w:color="auto" w:fill="auto"/>
            <w:vAlign w:val="center"/>
          </w:tcPr>
          <w:p w14:paraId="57C1A58C"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709" w:type="dxa"/>
            <w:tcBorders>
              <w:top w:val="nil"/>
              <w:left w:val="nil"/>
              <w:bottom w:val="nil"/>
              <w:right w:val="nil"/>
            </w:tcBorders>
            <w:shd w:val="clear" w:color="auto" w:fill="auto"/>
            <w:vAlign w:val="center"/>
          </w:tcPr>
          <w:p w14:paraId="3AF8DD3A"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 xml:space="preserve">95.563 </w:t>
            </w:r>
          </w:p>
        </w:tc>
        <w:tc>
          <w:tcPr>
            <w:tcW w:w="1709" w:type="dxa"/>
            <w:tcBorders>
              <w:top w:val="nil"/>
              <w:left w:val="nil"/>
              <w:bottom w:val="nil"/>
              <w:right w:val="nil"/>
            </w:tcBorders>
            <w:shd w:val="clear" w:color="auto" w:fill="auto"/>
            <w:vAlign w:val="center"/>
          </w:tcPr>
          <w:p w14:paraId="784BDB79"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 xml:space="preserve">19.482 </w:t>
            </w:r>
          </w:p>
        </w:tc>
      </w:tr>
      <w:tr w:rsidR="003321FA" w:rsidRPr="003321FA" w14:paraId="503B9310"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6E6FBAD8" w14:textId="77777777" w:rsidR="003321FA" w:rsidRPr="003321FA" w:rsidRDefault="003321FA">
            <w:pPr>
              <w:keepNext/>
              <w:keepLines/>
              <w:rPr>
                <w:rFonts w:ascii="Arial" w:hAnsi="Arial" w:cs="Arial"/>
                <w:b w:val="0"/>
                <w:bCs w:val="0"/>
                <w:sz w:val="14"/>
                <w:szCs w:val="14"/>
              </w:rPr>
            </w:pPr>
          </w:p>
        </w:tc>
        <w:tc>
          <w:tcPr>
            <w:tcW w:w="1709" w:type="dxa"/>
            <w:tcBorders>
              <w:top w:val="nil"/>
              <w:left w:val="nil"/>
              <w:bottom w:val="nil"/>
              <w:right w:val="nil"/>
            </w:tcBorders>
            <w:shd w:val="clear" w:color="auto" w:fill="auto"/>
            <w:vAlign w:val="center"/>
          </w:tcPr>
          <w:p w14:paraId="4F5FEB80"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09" w:type="dxa"/>
            <w:tcBorders>
              <w:top w:val="nil"/>
              <w:left w:val="nil"/>
              <w:bottom w:val="nil"/>
              <w:right w:val="nil"/>
            </w:tcBorders>
            <w:shd w:val="clear" w:color="auto" w:fill="auto"/>
            <w:vAlign w:val="center"/>
          </w:tcPr>
          <w:p w14:paraId="2DDA713B"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09" w:type="dxa"/>
            <w:tcBorders>
              <w:top w:val="nil"/>
              <w:left w:val="nil"/>
              <w:bottom w:val="nil"/>
              <w:right w:val="nil"/>
            </w:tcBorders>
            <w:shd w:val="clear" w:color="auto" w:fill="auto"/>
            <w:vAlign w:val="center"/>
          </w:tcPr>
          <w:p w14:paraId="3036B535"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auto"/>
            <w:vAlign w:val="center"/>
          </w:tcPr>
          <w:p w14:paraId="3DD284C0"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r>
      <w:tr w:rsidR="003321FA" w:rsidRPr="003321FA" w14:paraId="0D70E0EA"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1885BA6F" w14:textId="77777777" w:rsidR="003321FA" w:rsidRPr="003321FA" w:rsidRDefault="003321FA">
            <w:pPr>
              <w:keepNext/>
              <w:keepLines/>
              <w:spacing w:before="40" w:after="40"/>
              <w:rPr>
                <w:rFonts w:ascii="Arial" w:hAnsi="Arial" w:cs="Arial"/>
                <w:b w:val="0"/>
                <w:bCs w:val="0"/>
                <w:sz w:val="14"/>
                <w:szCs w:val="14"/>
              </w:rPr>
            </w:pPr>
            <w:r w:rsidRPr="003321FA">
              <w:rPr>
                <w:rFonts w:ascii="Arial" w:hAnsi="Arial" w:cs="Arial"/>
                <w:b w:val="0"/>
                <w:bCs w:val="0"/>
                <w:sz w:val="14"/>
                <w:szCs w:val="14"/>
              </w:rPr>
              <w:t>Resultado Abrangente - BRGAAP e IFRS</w:t>
            </w:r>
          </w:p>
        </w:tc>
        <w:tc>
          <w:tcPr>
            <w:tcW w:w="1709" w:type="dxa"/>
            <w:tcBorders>
              <w:top w:val="nil"/>
              <w:left w:val="nil"/>
              <w:bottom w:val="nil"/>
              <w:right w:val="nil"/>
            </w:tcBorders>
            <w:shd w:val="clear" w:color="auto" w:fill="auto"/>
            <w:vAlign w:val="center"/>
          </w:tcPr>
          <w:p w14:paraId="5D4E0432"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709" w:type="dxa"/>
            <w:tcBorders>
              <w:top w:val="nil"/>
              <w:left w:val="nil"/>
              <w:bottom w:val="nil"/>
              <w:right w:val="nil"/>
            </w:tcBorders>
            <w:shd w:val="clear" w:color="auto" w:fill="auto"/>
            <w:vAlign w:val="center"/>
          </w:tcPr>
          <w:p w14:paraId="1503E422"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709" w:type="dxa"/>
            <w:tcBorders>
              <w:top w:val="nil"/>
              <w:left w:val="nil"/>
              <w:bottom w:val="nil"/>
              <w:right w:val="nil"/>
            </w:tcBorders>
            <w:shd w:val="clear" w:color="auto" w:fill="auto"/>
            <w:vAlign w:val="center"/>
          </w:tcPr>
          <w:p w14:paraId="5153AA64"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 xml:space="preserve">100.426 </w:t>
            </w:r>
          </w:p>
        </w:tc>
        <w:tc>
          <w:tcPr>
            <w:tcW w:w="1709" w:type="dxa"/>
            <w:tcBorders>
              <w:top w:val="nil"/>
              <w:left w:val="nil"/>
              <w:bottom w:val="nil"/>
              <w:right w:val="nil"/>
            </w:tcBorders>
            <w:shd w:val="clear" w:color="auto" w:fill="auto"/>
            <w:vAlign w:val="center"/>
          </w:tcPr>
          <w:p w14:paraId="11BCA775"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 xml:space="preserve">16.154 </w:t>
            </w:r>
          </w:p>
        </w:tc>
      </w:tr>
      <w:tr w:rsidR="003321FA" w:rsidRPr="003321FA" w14:paraId="4A5BBA3F"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single" w:sz="2" w:space="0" w:color="1F3864" w:themeColor="accent1" w:themeShade="80"/>
              <w:right w:val="nil"/>
            </w:tcBorders>
            <w:shd w:val="clear" w:color="auto" w:fill="auto"/>
            <w:vAlign w:val="center"/>
          </w:tcPr>
          <w:p w14:paraId="3E712755" w14:textId="77777777" w:rsidR="003321FA" w:rsidRPr="003321FA" w:rsidRDefault="003321FA">
            <w:pPr>
              <w:keepNext/>
              <w:keepLines/>
              <w:spacing w:before="40" w:after="40"/>
              <w:rPr>
                <w:rFonts w:ascii="Arial" w:hAnsi="Arial" w:cs="Arial"/>
                <w:b w:val="0"/>
                <w:bCs w:val="0"/>
                <w:sz w:val="14"/>
                <w:szCs w:val="14"/>
              </w:rPr>
            </w:pPr>
            <w:r w:rsidRPr="003321FA">
              <w:rPr>
                <w:rFonts w:ascii="Arial" w:hAnsi="Arial" w:cs="Arial"/>
                <w:b w:val="0"/>
                <w:bCs w:val="0"/>
                <w:sz w:val="14"/>
                <w:szCs w:val="14"/>
              </w:rPr>
              <w:t>Resultado Abrangente – SUSEPGAAP</w:t>
            </w:r>
          </w:p>
        </w:tc>
        <w:tc>
          <w:tcPr>
            <w:tcW w:w="1709" w:type="dxa"/>
            <w:tcBorders>
              <w:top w:val="nil"/>
              <w:left w:val="nil"/>
              <w:bottom w:val="single" w:sz="2" w:space="0" w:color="1F3864" w:themeColor="accent1" w:themeShade="80"/>
              <w:right w:val="nil"/>
            </w:tcBorders>
            <w:shd w:val="clear" w:color="auto" w:fill="auto"/>
            <w:vAlign w:val="center"/>
          </w:tcPr>
          <w:p w14:paraId="15FEB5CF"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09" w:type="dxa"/>
            <w:tcBorders>
              <w:top w:val="nil"/>
              <w:left w:val="nil"/>
              <w:bottom w:val="single" w:sz="2" w:space="0" w:color="1F3864" w:themeColor="accent1" w:themeShade="80"/>
              <w:right w:val="nil"/>
            </w:tcBorders>
            <w:shd w:val="clear" w:color="auto" w:fill="auto"/>
            <w:vAlign w:val="center"/>
          </w:tcPr>
          <w:p w14:paraId="67917614"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09" w:type="dxa"/>
            <w:tcBorders>
              <w:top w:val="nil"/>
              <w:left w:val="nil"/>
              <w:bottom w:val="single" w:sz="2" w:space="0" w:color="1F3864" w:themeColor="accent1" w:themeShade="80"/>
              <w:right w:val="nil"/>
            </w:tcBorders>
            <w:shd w:val="clear" w:color="auto" w:fill="auto"/>
            <w:vAlign w:val="center"/>
          </w:tcPr>
          <w:p w14:paraId="526BB9BA"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 xml:space="preserve">95.506 </w:t>
            </w:r>
          </w:p>
        </w:tc>
        <w:tc>
          <w:tcPr>
            <w:tcW w:w="1709" w:type="dxa"/>
            <w:tcBorders>
              <w:top w:val="nil"/>
              <w:left w:val="nil"/>
              <w:bottom w:val="single" w:sz="2" w:space="0" w:color="1F3864" w:themeColor="accent1" w:themeShade="80"/>
              <w:right w:val="nil"/>
            </w:tcBorders>
            <w:shd w:val="clear" w:color="auto" w:fill="auto"/>
            <w:vAlign w:val="center"/>
          </w:tcPr>
          <w:p w14:paraId="09C0F3F5"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 xml:space="preserve">19.429 </w:t>
            </w:r>
          </w:p>
        </w:tc>
      </w:tr>
    </w:tbl>
    <w:p w14:paraId="3C04DE3A" w14:textId="77777777" w:rsidR="003321FA" w:rsidRPr="003321FA" w:rsidRDefault="003321FA" w:rsidP="003321FA">
      <w:pPr>
        <w:pageBreakBefore/>
        <w:spacing w:after="0" w:line="240" w:lineRule="auto"/>
        <w:rPr>
          <w:rFonts w:ascii="Arial" w:eastAsia="Times New Roman" w:hAnsi="Arial" w:cs="Times New Roman"/>
          <w:b/>
          <w:color w:val="1F3864" w:themeColor="accent1" w:themeShade="80"/>
          <w:spacing w:val="-2"/>
          <w:sz w:val="18"/>
          <w:szCs w:val="20"/>
          <w:lang w:eastAsia="pt-BR"/>
        </w:rPr>
      </w:pPr>
      <w:r w:rsidRPr="003321FA">
        <w:rPr>
          <w:rFonts w:ascii="Arial" w:eastAsia="Times New Roman" w:hAnsi="Arial" w:cs="Times New Roman"/>
          <w:b/>
          <w:color w:val="1F3864" w:themeColor="accent1" w:themeShade="80"/>
          <w:spacing w:val="-2"/>
          <w:sz w:val="18"/>
          <w:szCs w:val="20"/>
          <w:lang w:eastAsia="pt-BR"/>
        </w:rPr>
        <w:lastRenderedPageBreak/>
        <w:t>Informações Patrimoniais</w:t>
      </w:r>
    </w:p>
    <w:p w14:paraId="21CE1AA8" w14:textId="77777777" w:rsidR="003321FA" w:rsidRPr="003321FA" w:rsidRDefault="003321FA" w:rsidP="003321FA">
      <w:pPr>
        <w:spacing w:after="0" w:line="240" w:lineRule="auto"/>
        <w:jc w:val="right"/>
        <w:rPr>
          <w:rFonts w:ascii="Arial" w:hAnsi="Arial" w:cs="Arial"/>
          <w:b/>
          <w:sz w:val="14"/>
          <w:lang w:eastAsia="pt-BR"/>
        </w:rPr>
      </w:pPr>
      <w:r w:rsidRPr="003321FA">
        <w:rPr>
          <w:rFonts w:ascii="Arial" w:hAnsi="Arial" w:cs="Arial"/>
          <w:b/>
          <w:sz w:val="14"/>
          <w:lang w:eastAsia="pt-BR"/>
        </w:rPr>
        <w:t>R$ mil</w:t>
      </w:r>
    </w:p>
    <w:tbl>
      <w:tblPr>
        <w:tblStyle w:val="TabeladeLista6Colorida-nfase512"/>
        <w:tblW w:w="9640" w:type="dxa"/>
        <w:jc w:val="center"/>
        <w:tblLayout w:type="fixed"/>
        <w:tblLook w:val="04A0" w:firstRow="1" w:lastRow="0" w:firstColumn="1" w:lastColumn="0" w:noHBand="0" w:noVBand="1"/>
      </w:tblPr>
      <w:tblGrid>
        <w:gridCol w:w="3120"/>
        <w:gridCol w:w="3260"/>
        <w:gridCol w:w="3260"/>
      </w:tblGrid>
      <w:tr w:rsidR="003321FA" w:rsidRPr="003321FA" w14:paraId="685E1F54"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AE172B9" w14:textId="77777777" w:rsidR="003321FA" w:rsidRPr="003321FA" w:rsidRDefault="003321FA">
            <w:pPr>
              <w:rPr>
                <w:rFonts w:ascii="Arial" w:hAnsi="Arial" w:cs="Arial"/>
                <w:sz w:val="14"/>
                <w:szCs w:val="14"/>
              </w:rPr>
            </w:pPr>
          </w:p>
        </w:tc>
        <w:tc>
          <w:tcPr>
            <w:tcW w:w="326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5FB1F4A" w14:textId="77777777" w:rsidR="003321FA" w:rsidRPr="003321FA" w:rsidRDefault="003321F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sz w:val="14"/>
                <w:szCs w:val="14"/>
              </w:rPr>
              <w:t>31.12.2024</w:t>
            </w:r>
          </w:p>
        </w:tc>
        <w:tc>
          <w:tcPr>
            <w:tcW w:w="326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DEC2BED" w14:textId="77777777" w:rsidR="003321FA" w:rsidRPr="003321FA" w:rsidRDefault="003321F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sz w:val="14"/>
                <w:szCs w:val="14"/>
              </w:rPr>
              <w:t>31.12.2023</w:t>
            </w:r>
          </w:p>
        </w:tc>
      </w:tr>
      <w:tr w:rsidR="003321FA" w:rsidRPr="003321FA" w14:paraId="24D4E527"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nil"/>
              <w:right w:val="nil"/>
            </w:tcBorders>
            <w:shd w:val="clear" w:color="auto" w:fill="auto"/>
            <w:vAlign w:val="center"/>
          </w:tcPr>
          <w:p w14:paraId="7DE4B9A5" w14:textId="77777777" w:rsidR="003321FA" w:rsidRPr="003321FA" w:rsidRDefault="003321FA">
            <w:pPr>
              <w:keepNext/>
              <w:keepLines/>
              <w:rPr>
                <w:rFonts w:ascii="Arial" w:eastAsia="Times New Roman" w:hAnsi="Arial" w:cs="Arial"/>
                <w:spacing w:val="-2"/>
                <w:sz w:val="14"/>
                <w:szCs w:val="14"/>
              </w:rPr>
            </w:pPr>
            <w:r w:rsidRPr="003321FA">
              <w:rPr>
                <w:rFonts w:ascii="Arial" w:hAnsi="Arial" w:cs="Arial"/>
                <w:color w:val="000000"/>
                <w:sz w:val="14"/>
                <w:szCs w:val="14"/>
              </w:rPr>
              <w:t>Ativo Circulante</w:t>
            </w:r>
          </w:p>
        </w:tc>
        <w:tc>
          <w:tcPr>
            <w:tcW w:w="3260" w:type="dxa"/>
            <w:tcBorders>
              <w:top w:val="single" w:sz="2" w:space="0" w:color="1F3864" w:themeColor="accent1" w:themeShade="80"/>
              <w:left w:val="nil"/>
              <w:bottom w:val="nil"/>
              <w:right w:val="nil"/>
            </w:tcBorders>
            <w:shd w:val="clear" w:color="auto" w:fill="auto"/>
            <w:vAlign w:val="center"/>
          </w:tcPr>
          <w:p w14:paraId="4AB2F0DE"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321FA">
              <w:rPr>
                <w:rFonts w:ascii="Arial" w:hAnsi="Arial" w:cs="Arial"/>
                <w:b/>
                <w:bCs/>
                <w:color w:val="000000"/>
                <w:sz w:val="14"/>
                <w:szCs w:val="14"/>
              </w:rPr>
              <w:t>548.546</w:t>
            </w:r>
          </w:p>
        </w:tc>
        <w:tc>
          <w:tcPr>
            <w:tcW w:w="3260" w:type="dxa"/>
            <w:tcBorders>
              <w:top w:val="single" w:sz="2" w:space="0" w:color="1F3864" w:themeColor="accent1" w:themeShade="80"/>
              <w:left w:val="nil"/>
              <w:bottom w:val="nil"/>
              <w:right w:val="nil"/>
            </w:tcBorders>
            <w:shd w:val="clear" w:color="auto" w:fill="auto"/>
            <w:vAlign w:val="center"/>
          </w:tcPr>
          <w:p w14:paraId="4DCF4D4A"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321FA">
              <w:rPr>
                <w:rFonts w:ascii="Arial" w:hAnsi="Arial" w:cs="Arial"/>
                <w:b/>
                <w:bCs/>
                <w:sz w:val="14"/>
                <w:szCs w:val="14"/>
              </w:rPr>
              <w:t>658.619</w:t>
            </w:r>
          </w:p>
        </w:tc>
      </w:tr>
      <w:tr w:rsidR="003321FA" w:rsidRPr="003321FA" w14:paraId="337D3C3A"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667D7C5" w14:textId="77777777" w:rsidR="003321FA" w:rsidRPr="003321FA" w:rsidRDefault="003321FA">
            <w:pPr>
              <w:keepNext/>
              <w:keepLines/>
              <w:ind w:left="113"/>
              <w:rPr>
                <w:rFonts w:ascii="Arial" w:eastAsia="Times New Roman" w:hAnsi="Arial" w:cs="Arial"/>
                <w:b w:val="0"/>
                <w:bCs w:val="0"/>
                <w:spacing w:val="-2"/>
                <w:sz w:val="14"/>
                <w:szCs w:val="14"/>
              </w:rPr>
            </w:pPr>
            <w:r w:rsidRPr="003321FA">
              <w:rPr>
                <w:rFonts w:ascii="Arial" w:hAnsi="Arial" w:cs="Arial"/>
                <w:b w:val="0"/>
                <w:bCs w:val="0"/>
                <w:color w:val="000000"/>
                <w:sz w:val="14"/>
                <w:szCs w:val="14"/>
              </w:rPr>
              <w:t>Caixa e equivalente de caixa</w:t>
            </w:r>
          </w:p>
        </w:tc>
        <w:tc>
          <w:tcPr>
            <w:tcW w:w="3260" w:type="dxa"/>
            <w:tcBorders>
              <w:top w:val="nil"/>
              <w:left w:val="nil"/>
              <w:bottom w:val="nil"/>
              <w:right w:val="nil"/>
            </w:tcBorders>
            <w:shd w:val="clear" w:color="auto" w:fill="auto"/>
            <w:vAlign w:val="center"/>
          </w:tcPr>
          <w:p w14:paraId="28CD68CD"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8.796</w:t>
            </w:r>
          </w:p>
        </w:tc>
        <w:tc>
          <w:tcPr>
            <w:tcW w:w="3260" w:type="dxa"/>
            <w:tcBorders>
              <w:top w:val="nil"/>
              <w:left w:val="nil"/>
              <w:bottom w:val="nil"/>
              <w:right w:val="nil"/>
            </w:tcBorders>
            <w:shd w:val="clear" w:color="auto" w:fill="auto"/>
            <w:vAlign w:val="center"/>
          </w:tcPr>
          <w:p w14:paraId="6B3A37D8"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sz w:val="14"/>
                <w:szCs w:val="14"/>
              </w:rPr>
              <w:t>4.043</w:t>
            </w:r>
          </w:p>
        </w:tc>
      </w:tr>
      <w:tr w:rsidR="003321FA" w:rsidRPr="003321FA" w14:paraId="1DECB883"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67C4021" w14:textId="77777777" w:rsidR="003321FA" w:rsidRPr="003321FA" w:rsidRDefault="003321FA">
            <w:pPr>
              <w:keepNext/>
              <w:keepLines/>
              <w:ind w:left="113"/>
              <w:rPr>
                <w:rFonts w:ascii="Arial" w:eastAsia="Times New Roman" w:hAnsi="Arial" w:cs="Arial"/>
                <w:b w:val="0"/>
                <w:bCs w:val="0"/>
                <w:spacing w:val="-2"/>
                <w:sz w:val="14"/>
                <w:szCs w:val="14"/>
              </w:rPr>
            </w:pPr>
            <w:r w:rsidRPr="003321FA">
              <w:rPr>
                <w:rFonts w:ascii="Arial" w:hAnsi="Arial" w:cs="Arial"/>
                <w:b w:val="0"/>
                <w:bCs w:val="0"/>
                <w:color w:val="000000"/>
                <w:sz w:val="14"/>
                <w:szCs w:val="14"/>
              </w:rPr>
              <w:t>Contas a receber</w:t>
            </w:r>
          </w:p>
        </w:tc>
        <w:tc>
          <w:tcPr>
            <w:tcW w:w="3260" w:type="dxa"/>
            <w:tcBorders>
              <w:top w:val="nil"/>
              <w:left w:val="nil"/>
              <w:bottom w:val="nil"/>
              <w:right w:val="nil"/>
            </w:tcBorders>
            <w:shd w:val="clear" w:color="auto" w:fill="auto"/>
            <w:vAlign w:val="center"/>
          </w:tcPr>
          <w:p w14:paraId="47B521A2"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4.943</w:t>
            </w:r>
          </w:p>
        </w:tc>
        <w:tc>
          <w:tcPr>
            <w:tcW w:w="3260" w:type="dxa"/>
            <w:tcBorders>
              <w:top w:val="nil"/>
              <w:left w:val="nil"/>
              <w:bottom w:val="nil"/>
              <w:right w:val="nil"/>
            </w:tcBorders>
            <w:shd w:val="clear" w:color="auto" w:fill="auto"/>
            <w:vAlign w:val="center"/>
          </w:tcPr>
          <w:p w14:paraId="0AD8100F"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sz w:val="14"/>
                <w:szCs w:val="14"/>
              </w:rPr>
              <w:t>13.566</w:t>
            </w:r>
          </w:p>
        </w:tc>
      </w:tr>
      <w:tr w:rsidR="003321FA" w:rsidRPr="003321FA" w14:paraId="43D7DCE5"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D6F41C0" w14:textId="77777777" w:rsidR="003321FA" w:rsidRPr="003321FA" w:rsidRDefault="003321FA">
            <w:pPr>
              <w:keepNext/>
              <w:keepLines/>
              <w:ind w:left="113"/>
              <w:rPr>
                <w:rFonts w:ascii="Arial" w:eastAsia="Times New Roman" w:hAnsi="Arial" w:cs="Arial"/>
                <w:b w:val="0"/>
                <w:bCs w:val="0"/>
                <w:spacing w:val="-2"/>
                <w:sz w:val="14"/>
                <w:szCs w:val="14"/>
              </w:rPr>
            </w:pPr>
            <w:r w:rsidRPr="003321FA">
              <w:rPr>
                <w:rFonts w:ascii="Arial" w:hAnsi="Arial" w:cs="Arial"/>
                <w:b w:val="0"/>
                <w:bCs w:val="0"/>
                <w:color w:val="000000"/>
                <w:sz w:val="14"/>
                <w:szCs w:val="14"/>
              </w:rPr>
              <w:t>Instrumentos Financeiros</w:t>
            </w:r>
          </w:p>
        </w:tc>
        <w:tc>
          <w:tcPr>
            <w:tcW w:w="3260" w:type="dxa"/>
            <w:tcBorders>
              <w:top w:val="nil"/>
              <w:left w:val="nil"/>
              <w:bottom w:val="nil"/>
              <w:right w:val="nil"/>
            </w:tcBorders>
            <w:shd w:val="clear" w:color="auto" w:fill="auto"/>
            <w:vAlign w:val="center"/>
          </w:tcPr>
          <w:p w14:paraId="503A1327"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470.133</w:t>
            </w:r>
          </w:p>
        </w:tc>
        <w:tc>
          <w:tcPr>
            <w:tcW w:w="3260" w:type="dxa"/>
            <w:tcBorders>
              <w:top w:val="nil"/>
              <w:left w:val="nil"/>
              <w:bottom w:val="nil"/>
              <w:right w:val="nil"/>
            </w:tcBorders>
            <w:shd w:val="clear" w:color="auto" w:fill="auto"/>
            <w:vAlign w:val="center"/>
          </w:tcPr>
          <w:p w14:paraId="5EFDA60B"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sz w:val="14"/>
                <w:szCs w:val="14"/>
              </w:rPr>
              <w:t>513.218</w:t>
            </w:r>
          </w:p>
        </w:tc>
      </w:tr>
      <w:tr w:rsidR="003321FA" w:rsidRPr="003321FA" w14:paraId="415D8D94"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B42226B" w14:textId="77777777" w:rsidR="003321FA" w:rsidRPr="003321FA" w:rsidRDefault="003321FA">
            <w:pPr>
              <w:keepNext/>
              <w:keepLines/>
              <w:ind w:left="113"/>
              <w:rPr>
                <w:rFonts w:ascii="Arial" w:eastAsia="Times New Roman" w:hAnsi="Arial" w:cs="Arial"/>
                <w:b w:val="0"/>
                <w:bCs w:val="0"/>
                <w:spacing w:val="-2"/>
                <w:sz w:val="14"/>
                <w:szCs w:val="14"/>
              </w:rPr>
            </w:pPr>
            <w:r w:rsidRPr="003321FA">
              <w:rPr>
                <w:rFonts w:ascii="Arial" w:hAnsi="Arial" w:cs="Arial"/>
                <w:b w:val="0"/>
                <w:bCs w:val="0"/>
                <w:color w:val="000000"/>
                <w:sz w:val="14"/>
                <w:szCs w:val="14"/>
              </w:rPr>
              <w:t xml:space="preserve">Contratos de seguros e resseguros </w:t>
            </w:r>
            <w:r w:rsidRPr="003321FA">
              <w:rPr>
                <w:rFonts w:ascii="Arial" w:hAnsi="Arial" w:cs="Arial"/>
                <w:b w:val="0"/>
                <w:bCs w:val="0"/>
                <w:color w:val="000000"/>
                <w:sz w:val="14"/>
                <w:szCs w:val="14"/>
                <w:vertAlign w:val="superscript"/>
              </w:rPr>
              <w:t>(1)</w:t>
            </w:r>
          </w:p>
        </w:tc>
        <w:tc>
          <w:tcPr>
            <w:tcW w:w="3260" w:type="dxa"/>
            <w:tcBorders>
              <w:top w:val="nil"/>
              <w:left w:val="nil"/>
              <w:bottom w:val="nil"/>
              <w:right w:val="nil"/>
            </w:tcBorders>
            <w:shd w:val="clear" w:color="auto" w:fill="auto"/>
            <w:vAlign w:val="center"/>
          </w:tcPr>
          <w:p w14:paraId="432F4BEC"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55.828</w:t>
            </w:r>
          </w:p>
        </w:tc>
        <w:tc>
          <w:tcPr>
            <w:tcW w:w="3260" w:type="dxa"/>
            <w:tcBorders>
              <w:top w:val="nil"/>
              <w:left w:val="nil"/>
              <w:bottom w:val="nil"/>
              <w:right w:val="nil"/>
            </w:tcBorders>
            <w:shd w:val="clear" w:color="auto" w:fill="auto"/>
            <w:vAlign w:val="center"/>
          </w:tcPr>
          <w:p w14:paraId="0880698A"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sz w:val="14"/>
                <w:szCs w:val="14"/>
              </w:rPr>
              <w:t>116.875</w:t>
            </w:r>
          </w:p>
        </w:tc>
      </w:tr>
      <w:tr w:rsidR="003321FA" w:rsidRPr="003321FA" w14:paraId="48C63560"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D0D3451" w14:textId="77777777" w:rsidR="003321FA" w:rsidRPr="003321FA" w:rsidRDefault="003321FA">
            <w:pPr>
              <w:keepNext/>
              <w:keepLines/>
              <w:ind w:left="113"/>
              <w:rPr>
                <w:rFonts w:ascii="Arial" w:eastAsia="Times New Roman" w:hAnsi="Arial" w:cs="Arial"/>
                <w:b w:val="0"/>
                <w:bCs w:val="0"/>
                <w:spacing w:val="-2"/>
                <w:sz w:val="14"/>
                <w:szCs w:val="14"/>
              </w:rPr>
            </w:pPr>
            <w:r w:rsidRPr="003321FA">
              <w:rPr>
                <w:rFonts w:ascii="Arial" w:hAnsi="Arial" w:cs="Arial"/>
                <w:b w:val="0"/>
                <w:bCs w:val="0"/>
                <w:color w:val="000000"/>
                <w:sz w:val="14"/>
                <w:szCs w:val="14"/>
              </w:rPr>
              <w:t>Ativo fiscal Corrente</w:t>
            </w:r>
          </w:p>
        </w:tc>
        <w:tc>
          <w:tcPr>
            <w:tcW w:w="3260" w:type="dxa"/>
            <w:tcBorders>
              <w:top w:val="nil"/>
              <w:left w:val="nil"/>
              <w:bottom w:val="nil"/>
              <w:right w:val="nil"/>
            </w:tcBorders>
            <w:shd w:val="clear" w:color="auto" w:fill="auto"/>
            <w:vAlign w:val="center"/>
          </w:tcPr>
          <w:p w14:paraId="3E9CE131"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8.660</w:t>
            </w:r>
          </w:p>
        </w:tc>
        <w:tc>
          <w:tcPr>
            <w:tcW w:w="3260" w:type="dxa"/>
            <w:tcBorders>
              <w:top w:val="nil"/>
              <w:left w:val="nil"/>
              <w:bottom w:val="nil"/>
              <w:right w:val="nil"/>
            </w:tcBorders>
            <w:shd w:val="clear" w:color="auto" w:fill="auto"/>
            <w:vAlign w:val="center"/>
          </w:tcPr>
          <w:p w14:paraId="2377DF82"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sz w:val="14"/>
                <w:szCs w:val="14"/>
              </w:rPr>
              <w:t>10.790</w:t>
            </w:r>
          </w:p>
        </w:tc>
      </w:tr>
      <w:tr w:rsidR="003321FA" w:rsidRPr="003321FA" w14:paraId="7D714779"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6FA71B9" w14:textId="77777777" w:rsidR="003321FA" w:rsidRPr="003321FA" w:rsidRDefault="003321FA">
            <w:pPr>
              <w:keepNext/>
              <w:keepLines/>
              <w:ind w:left="113"/>
              <w:rPr>
                <w:rFonts w:ascii="Arial" w:eastAsia="Times New Roman" w:hAnsi="Arial" w:cs="Arial"/>
                <w:b w:val="0"/>
                <w:bCs w:val="0"/>
                <w:spacing w:val="-2"/>
                <w:sz w:val="14"/>
                <w:szCs w:val="14"/>
              </w:rPr>
            </w:pPr>
            <w:r w:rsidRPr="003321FA">
              <w:rPr>
                <w:rFonts w:ascii="Arial" w:hAnsi="Arial" w:cs="Arial"/>
                <w:b w:val="0"/>
                <w:bCs w:val="0"/>
                <w:color w:val="000000"/>
                <w:sz w:val="14"/>
                <w:szCs w:val="14"/>
              </w:rPr>
              <w:t>Outros Ativos</w:t>
            </w:r>
          </w:p>
        </w:tc>
        <w:tc>
          <w:tcPr>
            <w:tcW w:w="3260" w:type="dxa"/>
            <w:tcBorders>
              <w:top w:val="nil"/>
              <w:left w:val="nil"/>
              <w:bottom w:val="nil"/>
              <w:right w:val="nil"/>
            </w:tcBorders>
            <w:shd w:val="clear" w:color="auto" w:fill="auto"/>
            <w:vAlign w:val="center"/>
          </w:tcPr>
          <w:p w14:paraId="00E9BBD9"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186</w:t>
            </w:r>
          </w:p>
        </w:tc>
        <w:tc>
          <w:tcPr>
            <w:tcW w:w="3260" w:type="dxa"/>
            <w:tcBorders>
              <w:top w:val="nil"/>
              <w:left w:val="nil"/>
              <w:bottom w:val="nil"/>
              <w:right w:val="nil"/>
            </w:tcBorders>
            <w:shd w:val="clear" w:color="auto" w:fill="auto"/>
            <w:vAlign w:val="center"/>
          </w:tcPr>
          <w:p w14:paraId="21D82E34"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sz w:val="14"/>
                <w:szCs w:val="14"/>
              </w:rPr>
              <w:t>127</w:t>
            </w:r>
          </w:p>
        </w:tc>
      </w:tr>
      <w:tr w:rsidR="003321FA" w:rsidRPr="003321FA" w14:paraId="1A76FE5E"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DCFD657" w14:textId="77777777" w:rsidR="003321FA" w:rsidRPr="003321FA" w:rsidRDefault="003321FA">
            <w:pPr>
              <w:keepNext/>
              <w:keepLines/>
              <w:rPr>
                <w:rFonts w:ascii="Arial" w:eastAsia="Times New Roman" w:hAnsi="Arial" w:cs="Arial"/>
                <w:spacing w:val="-2"/>
                <w:sz w:val="14"/>
                <w:szCs w:val="14"/>
              </w:rPr>
            </w:pPr>
            <w:r w:rsidRPr="003321FA">
              <w:rPr>
                <w:rFonts w:ascii="Arial" w:hAnsi="Arial" w:cs="Arial"/>
                <w:color w:val="000000"/>
                <w:sz w:val="14"/>
                <w:szCs w:val="14"/>
              </w:rPr>
              <w:t>Ativos Não Circulante</w:t>
            </w:r>
          </w:p>
        </w:tc>
        <w:tc>
          <w:tcPr>
            <w:tcW w:w="3260" w:type="dxa"/>
            <w:tcBorders>
              <w:top w:val="nil"/>
              <w:left w:val="nil"/>
              <w:bottom w:val="nil"/>
              <w:right w:val="nil"/>
            </w:tcBorders>
            <w:shd w:val="clear" w:color="auto" w:fill="auto"/>
            <w:vAlign w:val="center"/>
          </w:tcPr>
          <w:p w14:paraId="295EC70F"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321FA">
              <w:rPr>
                <w:rFonts w:ascii="Arial" w:hAnsi="Arial" w:cs="Arial"/>
                <w:b/>
                <w:bCs/>
                <w:color w:val="000000"/>
                <w:sz w:val="14"/>
                <w:szCs w:val="14"/>
              </w:rPr>
              <w:t>103.348</w:t>
            </w:r>
          </w:p>
        </w:tc>
        <w:tc>
          <w:tcPr>
            <w:tcW w:w="3260" w:type="dxa"/>
            <w:tcBorders>
              <w:top w:val="nil"/>
              <w:left w:val="nil"/>
              <w:bottom w:val="nil"/>
              <w:right w:val="nil"/>
            </w:tcBorders>
            <w:shd w:val="clear" w:color="auto" w:fill="auto"/>
            <w:vAlign w:val="center"/>
          </w:tcPr>
          <w:p w14:paraId="3407633E"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321FA">
              <w:rPr>
                <w:rFonts w:ascii="Arial" w:hAnsi="Arial" w:cs="Arial"/>
                <w:b/>
                <w:bCs/>
                <w:sz w:val="14"/>
                <w:szCs w:val="14"/>
              </w:rPr>
              <w:t>101.705</w:t>
            </w:r>
          </w:p>
        </w:tc>
      </w:tr>
      <w:tr w:rsidR="003321FA" w:rsidRPr="003321FA" w14:paraId="748E7CD2"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2092281" w14:textId="77777777" w:rsidR="003321FA" w:rsidRPr="003321FA" w:rsidRDefault="003321FA">
            <w:pPr>
              <w:keepNext/>
              <w:keepLines/>
              <w:ind w:left="113"/>
              <w:rPr>
                <w:rFonts w:ascii="Arial" w:hAnsi="Arial" w:cs="Arial"/>
                <w:color w:val="000000"/>
                <w:sz w:val="14"/>
                <w:szCs w:val="14"/>
              </w:rPr>
            </w:pPr>
            <w:r w:rsidRPr="003321FA">
              <w:rPr>
                <w:rFonts w:ascii="Arial" w:hAnsi="Arial" w:cs="Arial"/>
                <w:b w:val="0"/>
                <w:bCs w:val="0"/>
                <w:color w:val="000000"/>
                <w:sz w:val="14"/>
                <w:szCs w:val="14"/>
              </w:rPr>
              <w:t>Instrumentos Financeiros</w:t>
            </w:r>
          </w:p>
        </w:tc>
        <w:tc>
          <w:tcPr>
            <w:tcW w:w="3260" w:type="dxa"/>
            <w:tcBorders>
              <w:top w:val="nil"/>
              <w:left w:val="nil"/>
              <w:bottom w:val="nil"/>
              <w:right w:val="nil"/>
            </w:tcBorders>
            <w:shd w:val="clear" w:color="auto" w:fill="auto"/>
            <w:vAlign w:val="center"/>
          </w:tcPr>
          <w:p w14:paraId="137D9E36"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sz w:val="14"/>
                <w:szCs w:val="14"/>
              </w:rPr>
              <w:t>--</w:t>
            </w:r>
          </w:p>
        </w:tc>
        <w:tc>
          <w:tcPr>
            <w:tcW w:w="3260" w:type="dxa"/>
            <w:tcBorders>
              <w:top w:val="nil"/>
              <w:left w:val="nil"/>
              <w:bottom w:val="nil"/>
              <w:right w:val="nil"/>
            </w:tcBorders>
            <w:shd w:val="clear" w:color="auto" w:fill="auto"/>
            <w:vAlign w:val="center"/>
          </w:tcPr>
          <w:p w14:paraId="552B2DF2"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sz w:val="14"/>
                <w:szCs w:val="14"/>
              </w:rPr>
              <w:t>8.479</w:t>
            </w:r>
          </w:p>
        </w:tc>
      </w:tr>
      <w:tr w:rsidR="003321FA" w:rsidRPr="003321FA" w14:paraId="7235780A"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9577150" w14:textId="77777777" w:rsidR="003321FA" w:rsidRPr="003321FA" w:rsidRDefault="003321FA">
            <w:pPr>
              <w:keepNext/>
              <w:keepLines/>
              <w:ind w:left="113"/>
              <w:rPr>
                <w:rFonts w:ascii="Arial" w:hAnsi="Arial" w:cs="Arial"/>
                <w:color w:val="000000"/>
                <w:sz w:val="14"/>
                <w:szCs w:val="14"/>
              </w:rPr>
            </w:pPr>
            <w:r w:rsidRPr="003321FA">
              <w:rPr>
                <w:rFonts w:ascii="Arial" w:hAnsi="Arial" w:cs="Arial"/>
                <w:b w:val="0"/>
                <w:bCs w:val="0"/>
                <w:color w:val="000000"/>
                <w:sz w:val="14"/>
                <w:szCs w:val="14"/>
              </w:rPr>
              <w:t xml:space="preserve">Contratos de seguros e resseguros </w:t>
            </w:r>
            <w:r w:rsidRPr="003321FA">
              <w:rPr>
                <w:rFonts w:ascii="Arial" w:hAnsi="Arial" w:cs="Arial"/>
                <w:b w:val="0"/>
                <w:bCs w:val="0"/>
                <w:color w:val="000000"/>
                <w:sz w:val="14"/>
                <w:szCs w:val="14"/>
                <w:vertAlign w:val="superscript"/>
              </w:rPr>
              <w:t>(1)</w:t>
            </w:r>
          </w:p>
        </w:tc>
        <w:tc>
          <w:tcPr>
            <w:tcW w:w="3260" w:type="dxa"/>
            <w:tcBorders>
              <w:top w:val="nil"/>
              <w:left w:val="nil"/>
              <w:bottom w:val="nil"/>
              <w:right w:val="nil"/>
            </w:tcBorders>
            <w:shd w:val="clear" w:color="auto" w:fill="auto"/>
            <w:vAlign w:val="center"/>
          </w:tcPr>
          <w:p w14:paraId="4AA2C8A1"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24.545</w:t>
            </w:r>
          </w:p>
        </w:tc>
        <w:tc>
          <w:tcPr>
            <w:tcW w:w="3260" w:type="dxa"/>
            <w:tcBorders>
              <w:top w:val="nil"/>
              <w:left w:val="nil"/>
              <w:bottom w:val="nil"/>
              <w:right w:val="nil"/>
            </w:tcBorders>
            <w:shd w:val="clear" w:color="auto" w:fill="auto"/>
            <w:vAlign w:val="center"/>
          </w:tcPr>
          <w:p w14:paraId="61F795AA"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sz w:val="14"/>
                <w:szCs w:val="14"/>
              </w:rPr>
              <w:t>--</w:t>
            </w:r>
          </w:p>
        </w:tc>
      </w:tr>
      <w:tr w:rsidR="003321FA" w:rsidRPr="003321FA" w14:paraId="4868C195"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84B1D4F" w14:textId="77777777" w:rsidR="003321FA" w:rsidRPr="003321FA" w:rsidRDefault="003321FA">
            <w:pPr>
              <w:keepNext/>
              <w:keepLines/>
              <w:ind w:left="113"/>
              <w:rPr>
                <w:rFonts w:ascii="Arial" w:eastAsia="Times New Roman" w:hAnsi="Arial" w:cs="Arial"/>
                <w:b w:val="0"/>
                <w:bCs w:val="0"/>
                <w:spacing w:val="-2"/>
                <w:sz w:val="14"/>
                <w:szCs w:val="14"/>
              </w:rPr>
            </w:pPr>
            <w:r w:rsidRPr="003321FA">
              <w:rPr>
                <w:rFonts w:ascii="Arial" w:hAnsi="Arial" w:cs="Arial"/>
                <w:b w:val="0"/>
                <w:bCs w:val="0"/>
                <w:color w:val="000000"/>
                <w:sz w:val="14"/>
                <w:szCs w:val="14"/>
              </w:rPr>
              <w:t>Ativo fiscal diferido</w:t>
            </w:r>
          </w:p>
        </w:tc>
        <w:tc>
          <w:tcPr>
            <w:tcW w:w="3260" w:type="dxa"/>
            <w:tcBorders>
              <w:top w:val="nil"/>
              <w:left w:val="nil"/>
              <w:bottom w:val="nil"/>
              <w:right w:val="nil"/>
            </w:tcBorders>
            <w:shd w:val="clear" w:color="auto" w:fill="auto"/>
            <w:vAlign w:val="center"/>
          </w:tcPr>
          <w:p w14:paraId="44B014F9"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14.533</w:t>
            </w:r>
          </w:p>
        </w:tc>
        <w:tc>
          <w:tcPr>
            <w:tcW w:w="3260" w:type="dxa"/>
            <w:tcBorders>
              <w:top w:val="nil"/>
              <w:left w:val="nil"/>
              <w:bottom w:val="nil"/>
              <w:right w:val="nil"/>
            </w:tcBorders>
            <w:shd w:val="clear" w:color="auto" w:fill="auto"/>
            <w:vAlign w:val="center"/>
          </w:tcPr>
          <w:p w14:paraId="322173EB"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sz w:val="14"/>
                <w:szCs w:val="14"/>
              </w:rPr>
              <w:t>19.334</w:t>
            </w:r>
          </w:p>
        </w:tc>
      </w:tr>
      <w:tr w:rsidR="003321FA" w:rsidRPr="003321FA" w14:paraId="4CEF5B38"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5D74858" w14:textId="77777777" w:rsidR="003321FA" w:rsidRPr="003321FA" w:rsidRDefault="003321FA">
            <w:pPr>
              <w:keepNext/>
              <w:keepLines/>
              <w:ind w:left="113"/>
              <w:rPr>
                <w:rFonts w:ascii="Arial" w:eastAsia="Times New Roman" w:hAnsi="Arial" w:cs="Arial"/>
                <w:b w:val="0"/>
                <w:bCs w:val="0"/>
                <w:spacing w:val="-2"/>
                <w:sz w:val="14"/>
                <w:szCs w:val="14"/>
              </w:rPr>
            </w:pPr>
            <w:r w:rsidRPr="003321FA">
              <w:rPr>
                <w:rFonts w:ascii="Arial" w:hAnsi="Arial" w:cs="Arial"/>
                <w:b w:val="0"/>
                <w:bCs w:val="0"/>
                <w:color w:val="000000"/>
                <w:sz w:val="14"/>
                <w:szCs w:val="14"/>
              </w:rPr>
              <w:t>Imobilizado e intangível</w:t>
            </w:r>
          </w:p>
        </w:tc>
        <w:tc>
          <w:tcPr>
            <w:tcW w:w="3260" w:type="dxa"/>
            <w:tcBorders>
              <w:top w:val="nil"/>
              <w:left w:val="nil"/>
              <w:bottom w:val="nil"/>
              <w:right w:val="nil"/>
            </w:tcBorders>
            <w:shd w:val="clear" w:color="auto" w:fill="auto"/>
            <w:vAlign w:val="center"/>
          </w:tcPr>
          <w:p w14:paraId="5EFF424A"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13.520</w:t>
            </w:r>
          </w:p>
        </w:tc>
        <w:tc>
          <w:tcPr>
            <w:tcW w:w="3260" w:type="dxa"/>
            <w:tcBorders>
              <w:top w:val="nil"/>
              <w:left w:val="nil"/>
              <w:bottom w:val="nil"/>
              <w:right w:val="nil"/>
            </w:tcBorders>
            <w:shd w:val="clear" w:color="auto" w:fill="auto"/>
            <w:vAlign w:val="center"/>
          </w:tcPr>
          <w:p w14:paraId="019F0780"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sz w:val="14"/>
                <w:szCs w:val="14"/>
              </w:rPr>
              <w:t>15.058</w:t>
            </w:r>
          </w:p>
        </w:tc>
      </w:tr>
      <w:tr w:rsidR="003321FA" w:rsidRPr="003321FA" w14:paraId="1612C39F"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58B4325" w14:textId="77777777" w:rsidR="003321FA" w:rsidRPr="003321FA" w:rsidRDefault="003321FA">
            <w:pPr>
              <w:keepNext/>
              <w:keepLines/>
              <w:ind w:left="113"/>
              <w:rPr>
                <w:rFonts w:ascii="Arial" w:eastAsia="Times New Roman" w:hAnsi="Arial" w:cs="Arial"/>
                <w:b w:val="0"/>
                <w:bCs w:val="0"/>
                <w:spacing w:val="-2"/>
                <w:sz w:val="14"/>
                <w:szCs w:val="14"/>
              </w:rPr>
            </w:pPr>
            <w:r w:rsidRPr="003321FA">
              <w:rPr>
                <w:rFonts w:ascii="Arial" w:hAnsi="Arial" w:cs="Arial"/>
                <w:b w:val="0"/>
                <w:bCs w:val="0"/>
                <w:color w:val="000000"/>
                <w:sz w:val="14"/>
                <w:szCs w:val="14"/>
              </w:rPr>
              <w:t>Investimentos em participações</w:t>
            </w:r>
          </w:p>
        </w:tc>
        <w:tc>
          <w:tcPr>
            <w:tcW w:w="3260" w:type="dxa"/>
            <w:tcBorders>
              <w:top w:val="nil"/>
              <w:left w:val="nil"/>
              <w:bottom w:val="nil"/>
              <w:right w:val="nil"/>
            </w:tcBorders>
            <w:shd w:val="clear" w:color="auto" w:fill="auto"/>
            <w:vAlign w:val="center"/>
          </w:tcPr>
          <w:p w14:paraId="1A9BB28B"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343</w:t>
            </w:r>
          </w:p>
        </w:tc>
        <w:tc>
          <w:tcPr>
            <w:tcW w:w="3260" w:type="dxa"/>
            <w:tcBorders>
              <w:top w:val="nil"/>
              <w:left w:val="nil"/>
              <w:bottom w:val="nil"/>
              <w:right w:val="nil"/>
            </w:tcBorders>
            <w:shd w:val="clear" w:color="auto" w:fill="auto"/>
            <w:vAlign w:val="center"/>
          </w:tcPr>
          <w:p w14:paraId="621D38A4"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sz w:val="14"/>
                <w:szCs w:val="14"/>
              </w:rPr>
              <w:t>343</w:t>
            </w:r>
          </w:p>
        </w:tc>
      </w:tr>
      <w:tr w:rsidR="003321FA" w:rsidRPr="003321FA" w14:paraId="7EE15732"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8E76EA5" w14:textId="77777777" w:rsidR="003321FA" w:rsidRPr="003321FA" w:rsidRDefault="003321FA">
            <w:pPr>
              <w:keepNext/>
              <w:keepLines/>
              <w:ind w:left="113"/>
              <w:rPr>
                <w:rFonts w:ascii="Arial" w:eastAsia="Times New Roman" w:hAnsi="Arial" w:cs="Arial"/>
                <w:b w:val="0"/>
                <w:bCs w:val="0"/>
                <w:spacing w:val="-2"/>
                <w:sz w:val="14"/>
                <w:szCs w:val="14"/>
              </w:rPr>
            </w:pPr>
            <w:r w:rsidRPr="003321FA">
              <w:rPr>
                <w:rFonts w:ascii="Arial" w:hAnsi="Arial" w:cs="Arial"/>
                <w:b w:val="0"/>
                <w:bCs w:val="0"/>
                <w:color w:val="000000"/>
                <w:sz w:val="14"/>
                <w:szCs w:val="14"/>
              </w:rPr>
              <w:t>Outros Ativos</w:t>
            </w:r>
          </w:p>
        </w:tc>
        <w:tc>
          <w:tcPr>
            <w:tcW w:w="3260" w:type="dxa"/>
            <w:tcBorders>
              <w:top w:val="nil"/>
              <w:left w:val="nil"/>
              <w:bottom w:val="nil"/>
              <w:right w:val="nil"/>
            </w:tcBorders>
            <w:shd w:val="clear" w:color="auto" w:fill="auto"/>
            <w:vAlign w:val="center"/>
          </w:tcPr>
          <w:p w14:paraId="118C9F83"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50.407</w:t>
            </w:r>
          </w:p>
        </w:tc>
        <w:tc>
          <w:tcPr>
            <w:tcW w:w="3260" w:type="dxa"/>
            <w:tcBorders>
              <w:top w:val="nil"/>
              <w:left w:val="nil"/>
              <w:bottom w:val="nil"/>
              <w:right w:val="nil"/>
            </w:tcBorders>
            <w:shd w:val="clear" w:color="auto" w:fill="auto"/>
            <w:vAlign w:val="center"/>
          </w:tcPr>
          <w:p w14:paraId="5AD029D3"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sz w:val="14"/>
                <w:szCs w:val="14"/>
              </w:rPr>
              <w:t>58.491</w:t>
            </w:r>
          </w:p>
        </w:tc>
      </w:tr>
      <w:tr w:rsidR="003321FA" w:rsidRPr="003321FA" w14:paraId="51757D5A"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5DB0750" w14:textId="77777777" w:rsidR="003321FA" w:rsidRPr="003321FA" w:rsidRDefault="003321FA">
            <w:pPr>
              <w:keepNext/>
              <w:keepLines/>
              <w:rPr>
                <w:rFonts w:ascii="Arial" w:eastAsia="Times New Roman" w:hAnsi="Arial" w:cs="Arial"/>
                <w:spacing w:val="-2"/>
                <w:sz w:val="14"/>
                <w:szCs w:val="14"/>
              </w:rPr>
            </w:pPr>
            <w:r w:rsidRPr="003321FA">
              <w:rPr>
                <w:rFonts w:ascii="Arial" w:hAnsi="Arial" w:cs="Arial"/>
                <w:color w:val="000000"/>
                <w:sz w:val="14"/>
                <w:szCs w:val="14"/>
              </w:rPr>
              <w:t>Ativo Total</w:t>
            </w:r>
          </w:p>
        </w:tc>
        <w:tc>
          <w:tcPr>
            <w:tcW w:w="3260" w:type="dxa"/>
            <w:tcBorders>
              <w:top w:val="nil"/>
              <w:left w:val="nil"/>
              <w:bottom w:val="nil"/>
              <w:right w:val="nil"/>
            </w:tcBorders>
            <w:shd w:val="clear" w:color="auto" w:fill="auto"/>
            <w:vAlign w:val="center"/>
          </w:tcPr>
          <w:p w14:paraId="5EB43C23"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321FA">
              <w:rPr>
                <w:rFonts w:ascii="Arial" w:hAnsi="Arial" w:cs="Arial"/>
                <w:b/>
                <w:bCs/>
                <w:color w:val="000000"/>
                <w:sz w:val="14"/>
                <w:szCs w:val="14"/>
              </w:rPr>
              <w:t>651.894</w:t>
            </w:r>
          </w:p>
        </w:tc>
        <w:tc>
          <w:tcPr>
            <w:tcW w:w="3260" w:type="dxa"/>
            <w:tcBorders>
              <w:top w:val="nil"/>
              <w:left w:val="nil"/>
              <w:bottom w:val="nil"/>
              <w:right w:val="nil"/>
            </w:tcBorders>
            <w:shd w:val="clear" w:color="auto" w:fill="auto"/>
            <w:vAlign w:val="center"/>
          </w:tcPr>
          <w:p w14:paraId="4373EDC5"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321FA">
              <w:rPr>
                <w:rFonts w:ascii="Arial" w:hAnsi="Arial" w:cs="Arial"/>
                <w:b/>
                <w:bCs/>
                <w:sz w:val="14"/>
                <w:szCs w:val="14"/>
              </w:rPr>
              <w:t>760.324</w:t>
            </w:r>
          </w:p>
        </w:tc>
      </w:tr>
      <w:tr w:rsidR="003321FA" w:rsidRPr="003321FA" w14:paraId="1B24F9F6"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356B6EB" w14:textId="77777777" w:rsidR="003321FA" w:rsidRPr="003321FA" w:rsidRDefault="003321FA">
            <w:pPr>
              <w:keepNext/>
              <w:keepLines/>
              <w:ind w:left="113"/>
              <w:rPr>
                <w:rFonts w:ascii="Arial" w:eastAsia="Times New Roman" w:hAnsi="Arial" w:cs="Arial"/>
                <w:b w:val="0"/>
                <w:bCs w:val="0"/>
                <w:spacing w:val="-2"/>
                <w:sz w:val="14"/>
                <w:szCs w:val="14"/>
              </w:rPr>
            </w:pPr>
          </w:p>
        </w:tc>
        <w:tc>
          <w:tcPr>
            <w:tcW w:w="3260" w:type="dxa"/>
            <w:tcBorders>
              <w:top w:val="nil"/>
              <w:left w:val="nil"/>
              <w:bottom w:val="nil"/>
              <w:right w:val="nil"/>
            </w:tcBorders>
            <w:shd w:val="clear" w:color="auto" w:fill="auto"/>
            <w:vAlign w:val="center"/>
          </w:tcPr>
          <w:p w14:paraId="50B42B50"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3260" w:type="dxa"/>
            <w:tcBorders>
              <w:top w:val="nil"/>
              <w:left w:val="nil"/>
              <w:bottom w:val="nil"/>
              <w:right w:val="nil"/>
            </w:tcBorders>
            <w:shd w:val="clear" w:color="auto" w:fill="auto"/>
            <w:vAlign w:val="center"/>
          </w:tcPr>
          <w:p w14:paraId="2AEE8304"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r>
      <w:tr w:rsidR="003321FA" w:rsidRPr="003321FA" w14:paraId="02A15C5D"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4960D1C" w14:textId="77777777" w:rsidR="003321FA" w:rsidRPr="003321FA" w:rsidRDefault="003321FA">
            <w:pPr>
              <w:keepNext/>
              <w:keepLines/>
              <w:rPr>
                <w:rFonts w:ascii="Arial" w:eastAsia="Times New Roman" w:hAnsi="Arial" w:cs="Arial"/>
                <w:spacing w:val="-2"/>
                <w:sz w:val="14"/>
                <w:szCs w:val="14"/>
              </w:rPr>
            </w:pPr>
            <w:r w:rsidRPr="003321FA">
              <w:rPr>
                <w:rFonts w:ascii="Arial" w:hAnsi="Arial" w:cs="Arial"/>
                <w:color w:val="000000"/>
                <w:sz w:val="14"/>
                <w:szCs w:val="14"/>
              </w:rPr>
              <w:t>Passivo Circulante</w:t>
            </w:r>
          </w:p>
        </w:tc>
        <w:tc>
          <w:tcPr>
            <w:tcW w:w="3260" w:type="dxa"/>
            <w:tcBorders>
              <w:top w:val="nil"/>
              <w:left w:val="nil"/>
              <w:bottom w:val="nil"/>
              <w:right w:val="nil"/>
            </w:tcBorders>
            <w:shd w:val="clear" w:color="auto" w:fill="auto"/>
            <w:vAlign w:val="center"/>
          </w:tcPr>
          <w:p w14:paraId="3B81D499"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321FA">
              <w:rPr>
                <w:rFonts w:ascii="Arial" w:hAnsi="Arial" w:cs="Arial"/>
                <w:b/>
                <w:bCs/>
                <w:color w:val="000000"/>
                <w:sz w:val="14"/>
                <w:szCs w:val="14"/>
              </w:rPr>
              <w:t>312.487</w:t>
            </w:r>
          </w:p>
        </w:tc>
        <w:tc>
          <w:tcPr>
            <w:tcW w:w="3260" w:type="dxa"/>
            <w:tcBorders>
              <w:top w:val="nil"/>
              <w:left w:val="nil"/>
              <w:bottom w:val="nil"/>
              <w:right w:val="nil"/>
            </w:tcBorders>
            <w:shd w:val="clear" w:color="auto" w:fill="auto"/>
            <w:vAlign w:val="center"/>
          </w:tcPr>
          <w:p w14:paraId="7EC5BAEF"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321FA">
              <w:rPr>
                <w:rFonts w:ascii="Arial" w:hAnsi="Arial" w:cs="Arial"/>
                <w:b/>
                <w:bCs/>
                <w:sz w:val="14"/>
                <w:szCs w:val="14"/>
              </w:rPr>
              <w:t>448.605</w:t>
            </w:r>
          </w:p>
        </w:tc>
      </w:tr>
      <w:tr w:rsidR="003321FA" w:rsidRPr="003321FA" w14:paraId="7D6DD542"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36100E1" w14:textId="77777777" w:rsidR="003321FA" w:rsidRPr="003321FA" w:rsidRDefault="003321FA">
            <w:pPr>
              <w:keepNext/>
              <w:keepLines/>
              <w:ind w:left="113"/>
              <w:rPr>
                <w:rFonts w:ascii="Arial" w:eastAsia="Times New Roman" w:hAnsi="Arial" w:cs="Arial"/>
                <w:b w:val="0"/>
                <w:bCs w:val="0"/>
                <w:spacing w:val="-2"/>
                <w:sz w:val="14"/>
                <w:szCs w:val="14"/>
              </w:rPr>
            </w:pPr>
            <w:r w:rsidRPr="003321FA">
              <w:rPr>
                <w:rFonts w:ascii="Arial" w:hAnsi="Arial" w:cs="Arial"/>
                <w:b w:val="0"/>
                <w:bCs w:val="0"/>
                <w:color w:val="000000"/>
                <w:sz w:val="14"/>
                <w:szCs w:val="14"/>
              </w:rPr>
              <w:t>Contas a pagar</w:t>
            </w:r>
          </w:p>
        </w:tc>
        <w:tc>
          <w:tcPr>
            <w:tcW w:w="3260" w:type="dxa"/>
            <w:tcBorders>
              <w:top w:val="nil"/>
              <w:left w:val="nil"/>
              <w:bottom w:val="nil"/>
              <w:right w:val="nil"/>
            </w:tcBorders>
            <w:shd w:val="clear" w:color="auto" w:fill="auto"/>
            <w:vAlign w:val="center"/>
          </w:tcPr>
          <w:p w14:paraId="3B6B67D8"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16.443</w:t>
            </w:r>
          </w:p>
        </w:tc>
        <w:tc>
          <w:tcPr>
            <w:tcW w:w="3260" w:type="dxa"/>
            <w:tcBorders>
              <w:top w:val="nil"/>
              <w:left w:val="nil"/>
              <w:bottom w:val="nil"/>
              <w:right w:val="nil"/>
            </w:tcBorders>
            <w:shd w:val="clear" w:color="auto" w:fill="auto"/>
            <w:vAlign w:val="center"/>
          </w:tcPr>
          <w:p w14:paraId="227BAB78"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sz w:val="14"/>
                <w:szCs w:val="14"/>
              </w:rPr>
              <w:t>23.288</w:t>
            </w:r>
          </w:p>
        </w:tc>
      </w:tr>
      <w:tr w:rsidR="003321FA" w:rsidRPr="003321FA" w14:paraId="09034079"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99B4DCB" w14:textId="77777777" w:rsidR="003321FA" w:rsidRPr="003321FA" w:rsidRDefault="003321FA">
            <w:pPr>
              <w:keepNext/>
              <w:keepLines/>
              <w:ind w:left="113"/>
              <w:rPr>
                <w:rFonts w:ascii="Arial" w:eastAsia="Times New Roman" w:hAnsi="Arial" w:cs="Arial"/>
                <w:b w:val="0"/>
                <w:bCs w:val="0"/>
                <w:spacing w:val="-2"/>
                <w:sz w:val="14"/>
                <w:szCs w:val="14"/>
              </w:rPr>
            </w:pPr>
            <w:r w:rsidRPr="003321FA">
              <w:rPr>
                <w:rFonts w:ascii="Arial" w:hAnsi="Arial" w:cs="Arial"/>
                <w:b w:val="0"/>
                <w:bCs w:val="0"/>
                <w:color w:val="000000"/>
                <w:sz w:val="14"/>
                <w:szCs w:val="14"/>
              </w:rPr>
              <w:t>Passivo fiscal corrente</w:t>
            </w:r>
          </w:p>
        </w:tc>
        <w:tc>
          <w:tcPr>
            <w:tcW w:w="3260" w:type="dxa"/>
            <w:tcBorders>
              <w:top w:val="nil"/>
              <w:left w:val="nil"/>
              <w:bottom w:val="nil"/>
              <w:right w:val="nil"/>
            </w:tcBorders>
            <w:shd w:val="clear" w:color="auto" w:fill="auto"/>
            <w:vAlign w:val="center"/>
          </w:tcPr>
          <w:p w14:paraId="560458A9"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29.741</w:t>
            </w:r>
          </w:p>
        </w:tc>
        <w:tc>
          <w:tcPr>
            <w:tcW w:w="3260" w:type="dxa"/>
            <w:tcBorders>
              <w:top w:val="nil"/>
              <w:left w:val="nil"/>
              <w:bottom w:val="nil"/>
              <w:right w:val="nil"/>
            </w:tcBorders>
            <w:shd w:val="clear" w:color="auto" w:fill="auto"/>
            <w:vAlign w:val="center"/>
          </w:tcPr>
          <w:p w14:paraId="7FCA253B"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sz w:val="14"/>
                <w:szCs w:val="14"/>
              </w:rPr>
              <w:t>984</w:t>
            </w:r>
          </w:p>
        </w:tc>
      </w:tr>
      <w:tr w:rsidR="003321FA" w:rsidRPr="003321FA" w14:paraId="30391DF5"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CCD1522" w14:textId="77777777" w:rsidR="003321FA" w:rsidRPr="003321FA" w:rsidRDefault="003321FA">
            <w:pPr>
              <w:keepNext/>
              <w:keepLines/>
              <w:ind w:left="113"/>
              <w:rPr>
                <w:rFonts w:ascii="Arial" w:eastAsia="Times New Roman" w:hAnsi="Arial" w:cs="Arial"/>
                <w:b w:val="0"/>
                <w:bCs w:val="0"/>
                <w:spacing w:val="-2"/>
                <w:sz w:val="14"/>
                <w:szCs w:val="14"/>
              </w:rPr>
            </w:pPr>
            <w:r w:rsidRPr="003321FA">
              <w:rPr>
                <w:rFonts w:ascii="Arial" w:hAnsi="Arial" w:cs="Arial"/>
                <w:b w:val="0"/>
                <w:bCs w:val="0"/>
                <w:color w:val="000000"/>
                <w:sz w:val="14"/>
                <w:szCs w:val="14"/>
              </w:rPr>
              <w:t xml:space="preserve">Contrato de Seguros e Resseguros </w:t>
            </w:r>
            <w:r w:rsidRPr="003321FA">
              <w:rPr>
                <w:rFonts w:ascii="Arial" w:hAnsi="Arial" w:cs="Arial"/>
                <w:b w:val="0"/>
                <w:bCs w:val="0"/>
                <w:color w:val="000000"/>
                <w:sz w:val="14"/>
                <w:szCs w:val="14"/>
                <w:vertAlign w:val="superscript"/>
              </w:rPr>
              <w:t>(1)</w:t>
            </w:r>
          </w:p>
        </w:tc>
        <w:tc>
          <w:tcPr>
            <w:tcW w:w="3260" w:type="dxa"/>
            <w:tcBorders>
              <w:top w:val="nil"/>
              <w:left w:val="nil"/>
              <w:bottom w:val="nil"/>
              <w:right w:val="nil"/>
            </w:tcBorders>
            <w:shd w:val="clear" w:color="auto" w:fill="auto"/>
            <w:vAlign w:val="center"/>
          </w:tcPr>
          <w:p w14:paraId="42B09583"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265.970</w:t>
            </w:r>
          </w:p>
        </w:tc>
        <w:tc>
          <w:tcPr>
            <w:tcW w:w="3260" w:type="dxa"/>
            <w:tcBorders>
              <w:top w:val="nil"/>
              <w:left w:val="nil"/>
              <w:bottom w:val="nil"/>
              <w:right w:val="nil"/>
            </w:tcBorders>
            <w:shd w:val="clear" w:color="auto" w:fill="auto"/>
            <w:vAlign w:val="center"/>
          </w:tcPr>
          <w:p w14:paraId="0B64AC78"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sz w:val="14"/>
                <w:szCs w:val="14"/>
              </w:rPr>
              <w:t>422.206</w:t>
            </w:r>
          </w:p>
        </w:tc>
      </w:tr>
      <w:tr w:rsidR="003321FA" w:rsidRPr="003321FA" w14:paraId="12A17CD3"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A3F19D8" w14:textId="77777777" w:rsidR="003321FA" w:rsidRPr="003321FA" w:rsidRDefault="003321FA">
            <w:pPr>
              <w:keepNext/>
              <w:keepLines/>
              <w:ind w:left="113"/>
              <w:rPr>
                <w:rFonts w:ascii="Arial" w:eastAsia="Times New Roman" w:hAnsi="Arial" w:cs="Arial"/>
                <w:b w:val="0"/>
                <w:bCs w:val="0"/>
                <w:spacing w:val="-2"/>
                <w:sz w:val="14"/>
                <w:szCs w:val="14"/>
              </w:rPr>
            </w:pPr>
            <w:r w:rsidRPr="003321FA">
              <w:rPr>
                <w:rFonts w:ascii="Arial" w:hAnsi="Arial" w:cs="Arial"/>
                <w:b w:val="0"/>
                <w:bCs w:val="0"/>
                <w:color w:val="000000"/>
                <w:sz w:val="14"/>
                <w:szCs w:val="14"/>
              </w:rPr>
              <w:t>Outros Passivos</w:t>
            </w:r>
          </w:p>
        </w:tc>
        <w:tc>
          <w:tcPr>
            <w:tcW w:w="3260" w:type="dxa"/>
            <w:tcBorders>
              <w:top w:val="nil"/>
              <w:left w:val="nil"/>
              <w:bottom w:val="nil"/>
              <w:right w:val="nil"/>
            </w:tcBorders>
            <w:shd w:val="clear" w:color="auto" w:fill="auto"/>
            <w:vAlign w:val="center"/>
          </w:tcPr>
          <w:p w14:paraId="01CF4525"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333</w:t>
            </w:r>
          </w:p>
        </w:tc>
        <w:tc>
          <w:tcPr>
            <w:tcW w:w="3260" w:type="dxa"/>
            <w:tcBorders>
              <w:top w:val="nil"/>
              <w:left w:val="nil"/>
              <w:bottom w:val="nil"/>
              <w:right w:val="nil"/>
            </w:tcBorders>
            <w:shd w:val="clear" w:color="auto" w:fill="auto"/>
            <w:vAlign w:val="center"/>
          </w:tcPr>
          <w:p w14:paraId="079C4F79"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sz w:val="14"/>
                <w:szCs w:val="14"/>
              </w:rPr>
              <w:t>2.127</w:t>
            </w:r>
          </w:p>
        </w:tc>
      </w:tr>
      <w:tr w:rsidR="003321FA" w:rsidRPr="003321FA" w14:paraId="2FF8F5CD"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83E6709" w14:textId="77777777" w:rsidR="003321FA" w:rsidRPr="003321FA" w:rsidRDefault="003321FA">
            <w:pPr>
              <w:keepNext/>
              <w:keepLines/>
              <w:rPr>
                <w:rFonts w:ascii="Arial" w:eastAsia="Times New Roman" w:hAnsi="Arial" w:cs="Arial"/>
                <w:spacing w:val="-2"/>
                <w:sz w:val="14"/>
                <w:szCs w:val="14"/>
              </w:rPr>
            </w:pPr>
            <w:r w:rsidRPr="003321FA">
              <w:rPr>
                <w:rFonts w:ascii="Arial" w:hAnsi="Arial" w:cs="Arial"/>
                <w:color w:val="000000"/>
                <w:sz w:val="14"/>
                <w:szCs w:val="14"/>
              </w:rPr>
              <w:t>Passivo Não Circulante</w:t>
            </w:r>
          </w:p>
        </w:tc>
        <w:tc>
          <w:tcPr>
            <w:tcW w:w="3260" w:type="dxa"/>
            <w:tcBorders>
              <w:top w:val="nil"/>
              <w:left w:val="nil"/>
              <w:bottom w:val="nil"/>
              <w:right w:val="nil"/>
            </w:tcBorders>
            <w:shd w:val="clear" w:color="auto" w:fill="auto"/>
            <w:vAlign w:val="center"/>
          </w:tcPr>
          <w:p w14:paraId="6D039E4B"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321FA">
              <w:rPr>
                <w:rFonts w:ascii="Arial" w:hAnsi="Arial" w:cs="Arial"/>
                <w:b/>
                <w:bCs/>
                <w:color w:val="000000"/>
                <w:sz w:val="14"/>
                <w:szCs w:val="14"/>
              </w:rPr>
              <w:t>183.141</w:t>
            </w:r>
          </w:p>
        </w:tc>
        <w:tc>
          <w:tcPr>
            <w:tcW w:w="3260" w:type="dxa"/>
            <w:tcBorders>
              <w:top w:val="nil"/>
              <w:left w:val="nil"/>
              <w:bottom w:val="nil"/>
              <w:right w:val="nil"/>
            </w:tcBorders>
            <w:shd w:val="clear" w:color="auto" w:fill="auto"/>
            <w:vAlign w:val="center"/>
          </w:tcPr>
          <w:p w14:paraId="3EDC997C"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321FA">
              <w:rPr>
                <w:rFonts w:ascii="Arial" w:hAnsi="Arial" w:cs="Arial"/>
                <w:b/>
                <w:bCs/>
                <w:sz w:val="14"/>
                <w:szCs w:val="14"/>
              </w:rPr>
              <w:t>46.879</w:t>
            </w:r>
          </w:p>
        </w:tc>
      </w:tr>
      <w:tr w:rsidR="003321FA" w:rsidRPr="003321FA" w14:paraId="52F58685"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CFA8572" w14:textId="77777777" w:rsidR="003321FA" w:rsidRPr="003321FA" w:rsidRDefault="003321FA">
            <w:pPr>
              <w:keepNext/>
              <w:keepLines/>
              <w:ind w:left="113"/>
              <w:rPr>
                <w:rFonts w:ascii="Arial" w:hAnsi="Arial" w:cs="Arial"/>
                <w:b w:val="0"/>
                <w:bCs w:val="0"/>
                <w:color w:val="000000"/>
                <w:sz w:val="14"/>
                <w:szCs w:val="14"/>
              </w:rPr>
            </w:pPr>
            <w:r w:rsidRPr="003321FA">
              <w:rPr>
                <w:rFonts w:ascii="Arial" w:hAnsi="Arial" w:cs="Arial"/>
                <w:b w:val="0"/>
                <w:bCs w:val="0"/>
                <w:color w:val="000000"/>
                <w:sz w:val="14"/>
                <w:szCs w:val="14"/>
              </w:rPr>
              <w:t>Passivo fiscal diferido</w:t>
            </w:r>
          </w:p>
        </w:tc>
        <w:tc>
          <w:tcPr>
            <w:tcW w:w="3260" w:type="dxa"/>
            <w:tcBorders>
              <w:top w:val="nil"/>
              <w:left w:val="nil"/>
              <w:bottom w:val="nil"/>
              <w:right w:val="nil"/>
            </w:tcBorders>
            <w:shd w:val="clear" w:color="auto" w:fill="auto"/>
            <w:vAlign w:val="center"/>
          </w:tcPr>
          <w:p w14:paraId="31DE6DA9"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sz w:val="14"/>
                <w:szCs w:val="14"/>
              </w:rPr>
              <w:t>--</w:t>
            </w:r>
          </w:p>
        </w:tc>
        <w:tc>
          <w:tcPr>
            <w:tcW w:w="3260" w:type="dxa"/>
            <w:tcBorders>
              <w:top w:val="nil"/>
              <w:left w:val="nil"/>
              <w:bottom w:val="nil"/>
              <w:right w:val="nil"/>
            </w:tcBorders>
            <w:shd w:val="clear" w:color="auto" w:fill="auto"/>
            <w:vAlign w:val="center"/>
          </w:tcPr>
          <w:p w14:paraId="3D21C0FD"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sz w:val="14"/>
                <w:szCs w:val="14"/>
              </w:rPr>
              <w:t>56</w:t>
            </w:r>
          </w:p>
        </w:tc>
      </w:tr>
      <w:tr w:rsidR="003321FA" w:rsidRPr="003321FA" w14:paraId="70063F19"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03689A3" w14:textId="77777777" w:rsidR="003321FA" w:rsidRPr="003321FA" w:rsidRDefault="003321FA">
            <w:pPr>
              <w:keepNext/>
              <w:keepLines/>
              <w:ind w:left="113"/>
              <w:rPr>
                <w:rFonts w:ascii="Arial" w:hAnsi="Arial" w:cs="Arial"/>
                <w:b w:val="0"/>
                <w:bCs w:val="0"/>
                <w:color w:val="000000"/>
                <w:sz w:val="14"/>
                <w:szCs w:val="14"/>
              </w:rPr>
            </w:pPr>
            <w:r w:rsidRPr="003321FA">
              <w:rPr>
                <w:rFonts w:ascii="Arial" w:hAnsi="Arial" w:cs="Arial"/>
                <w:b w:val="0"/>
                <w:bCs w:val="0"/>
                <w:color w:val="000000"/>
                <w:sz w:val="14"/>
                <w:szCs w:val="14"/>
              </w:rPr>
              <w:t xml:space="preserve">Contratos de Seguros e Resseguros </w:t>
            </w:r>
            <w:r w:rsidRPr="003321FA">
              <w:rPr>
                <w:rFonts w:ascii="Arial" w:hAnsi="Arial" w:cs="Arial"/>
                <w:b w:val="0"/>
                <w:bCs w:val="0"/>
                <w:color w:val="000000"/>
                <w:sz w:val="14"/>
                <w:szCs w:val="14"/>
                <w:vertAlign w:val="superscript"/>
              </w:rPr>
              <w:t>(1)</w:t>
            </w:r>
          </w:p>
        </w:tc>
        <w:tc>
          <w:tcPr>
            <w:tcW w:w="3260" w:type="dxa"/>
            <w:tcBorders>
              <w:top w:val="nil"/>
              <w:left w:val="nil"/>
              <w:bottom w:val="nil"/>
              <w:right w:val="nil"/>
            </w:tcBorders>
            <w:shd w:val="clear" w:color="auto" w:fill="auto"/>
            <w:vAlign w:val="center"/>
          </w:tcPr>
          <w:p w14:paraId="374B0C94"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137.499</w:t>
            </w:r>
          </w:p>
        </w:tc>
        <w:tc>
          <w:tcPr>
            <w:tcW w:w="3260" w:type="dxa"/>
            <w:tcBorders>
              <w:top w:val="nil"/>
              <w:left w:val="nil"/>
              <w:bottom w:val="nil"/>
              <w:right w:val="nil"/>
            </w:tcBorders>
            <w:shd w:val="clear" w:color="auto" w:fill="auto"/>
            <w:vAlign w:val="center"/>
          </w:tcPr>
          <w:p w14:paraId="552E65DA"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sz w:val="14"/>
                <w:szCs w:val="14"/>
              </w:rPr>
              <w:t>--</w:t>
            </w:r>
          </w:p>
        </w:tc>
      </w:tr>
      <w:tr w:rsidR="003321FA" w:rsidRPr="003321FA" w14:paraId="431040BC"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AAF994B" w14:textId="77777777" w:rsidR="003321FA" w:rsidRPr="003321FA" w:rsidRDefault="003321FA">
            <w:pPr>
              <w:keepNext/>
              <w:keepLines/>
              <w:ind w:left="113"/>
              <w:rPr>
                <w:rFonts w:ascii="Arial" w:eastAsia="Times New Roman" w:hAnsi="Arial" w:cs="Arial"/>
                <w:b w:val="0"/>
                <w:bCs w:val="0"/>
                <w:spacing w:val="-2"/>
                <w:sz w:val="14"/>
                <w:szCs w:val="14"/>
              </w:rPr>
            </w:pPr>
            <w:r w:rsidRPr="003321FA">
              <w:rPr>
                <w:rFonts w:ascii="Arial" w:hAnsi="Arial" w:cs="Arial"/>
                <w:b w:val="0"/>
                <w:bCs w:val="0"/>
                <w:color w:val="000000"/>
                <w:sz w:val="14"/>
                <w:szCs w:val="14"/>
              </w:rPr>
              <w:t>Outros Passivos</w:t>
            </w:r>
          </w:p>
        </w:tc>
        <w:tc>
          <w:tcPr>
            <w:tcW w:w="3260" w:type="dxa"/>
            <w:tcBorders>
              <w:top w:val="nil"/>
              <w:left w:val="nil"/>
              <w:bottom w:val="nil"/>
              <w:right w:val="nil"/>
            </w:tcBorders>
            <w:shd w:val="clear" w:color="auto" w:fill="auto"/>
            <w:vAlign w:val="center"/>
          </w:tcPr>
          <w:p w14:paraId="7D98ABC8"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45.642</w:t>
            </w:r>
          </w:p>
        </w:tc>
        <w:tc>
          <w:tcPr>
            <w:tcW w:w="3260" w:type="dxa"/>
            <w:tcBorders>
              <w:top w:val="nil"/>
              <w:left w:val="nil"/>
              <w:bottom w:val="nil"/>
              <w:right w:val="nil"/>
            </w:tcBorders>
            <w:shd w:val="clear" w:color="auto" w:fill="auto"/>
            <w:vAlign w:val="center"/>
          </w:tcPr>
          <w:p w14:paraId="65031A2E"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sz w:val="14"/>
                <w:szCs w:val="14"/>
              </w:rPr>
              <w:t>46.823</w:t>
            </w:r>
          </w:p>
        </w:tc>
      </w:tr>
      <w:tr w:rsidR="003321FA" w:rsidRPr="003321FA" w14:paraId="0BEA6485"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19046F5" w14:textId="77777777" w:rsidR="003321FA" w:rsidRPr="003321FA" w:rsidRDefault="003321FA">
            <w:pPr>
              <w:keepNext/>
              <w:keepLines/>
              <w:rPr>
                <w:rFonts w:ascii="Arial" w:eastAsia="Times New Roman" w:hAnsi="Arial" w:cs="Arial"/>
                <w:spacing w:val="-2"/>
                <w:sz w:val="14"/>
                <w:szCs w:val="14"/>
              </w:rPr>
            </w:pPr>
            <w:r w:rsidRPr="003321FA">
              <w:rPr>
                <w:rFonts w:ascii="Arial" w:hAnsi="Arial" w:cs="Arial"/>
                <w:color w:val="000000"/>
                <w:sz w:val="14"/>
                <w:szCs w:val="14"/>
              </w:rPr>
              <w:t>Patrimônio Líquido</w:t>
            </w:r>
          </w:p>
        </w:tc>
        <w:tc>
          <w:tcPr>
            <w:tcW w:w="3260" w:type="dxa"/>
            <w:tcBorders>
              <w:top w:val="nil"/>
              <w:left w:val="nil"/>
              <w:bottom w:val="nil"/>
              <w:right w:val="nil"/>
            </w:tcBorders>
            <w:shd w:val="clear" w:color="auto" w:fill="auto"/>
            <w:vAlign w:val="center"/>
          </w:tcPr>
          <w:p w14:paraId="76FF1CF6"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321FA">
              <w:rPr>
                <w:rFonts w:ascii="Arial" w:hAnsi="Arial" w:cs="Arial"/>
                <w:b/>
                <w:bCs/>
                <w:color w:val="000000"/>
                <w:sz w:val="14"/>
                <w:szCs w:val="14"/>
              </w:rPr>
              <w:t>156.266</w:t>
            </w:r>
          </w:p>
        </w:tc>
        <w:tc>
          <w:tcPr>
            <w:tcW w:w="3260" w:type="dxa"/>
            <w:tcBorders>
              <w:top w:val="nil"/>
              <w:left w:val="nil"/>
              <w:bottom w:val="nil"/>
              <w:right w:val="nil"/>
            </w:tcBorders>
            <w:shd w:val="clear" w:color="auto" w:fill="auto"/>
            <w:vAlign w:val="center"/>
          </w:tcPr>
          <w:p w14:paraId="34070227"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321FA">
              <w:rPr>
                <w:rFonts w:ascii="Arial" w:hAnsi="Arial" w:cs="Arial"/>
                <w:b/>
                <w:bCs/>
                <w:sz w:val="14"/>
                <w:szCs w:val="14"/>
              </w:rPr>
              <w:t>264.840</w:t>
            </w:r>
          </w:p>
        </w:tc>
      </w:tr>
      <w:tr w:rsidR="003321FA" w:rsidRPr="003321FA" w14:paraId="4697296E"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A1EE755" w14:textId="77777777" w:rsidR="003321FA" w:rsidRPr="003321FA" w:rsidRDefault="003321FA">
            <w:pPr>
              <w:keepNext/>
              <w:keepLines/>
              <w:ind w:left="113"/>
              <w:rPr>
                <w:rFonts w:ascii="Arial" w:eastAsia="Times New Roman" w:hAnsi="Arial" w:cs="Arial"/>
                <w:b w:val="0"/>
                <w:bCs w:val="0"/>
                <w:spacing w:val="-2"/>
                <w:sz w:val="14"/>
                <w:szCs w:val="14"/>
              </w:rPr>
            </w:pPr>
            <w:r w:rsidRPr="003321FA">
              <w:rPr>
                <w:rFonts w:ascii="Arial" w:hAnsi="Arial" w:cs="Arial"/>
                <w:b w:val="0"/>
                <w:bCs w:val="0"/>
                <w:color w:val="000000"/>
                <w:sz w:val="14"/>
                <w:szCs w:val="14"/>
              </w:rPr>
              <w:t>Capital e reservas</w:t>
            </w:r>
          </w:p>
        </w:tc>
        <w:tc>
          <w:tcPr>
            <w:tcW w:w="3260" w:type="dxa"/>
            <w:tcBorders>
              <w:top w:val="nil"/>
              <w:left w:val="nil"/>
              <w:bottom w:val="nil"/>
              <w:right w:val="nil"/>
            </w:tcBorders>
            <w:shd w:val="clear" w:color="auto" w:fill="auto"/>
            <w:vAlign w:val="center"/>
          </w:tcPr>
          <w:p w14:paraId="4E9D7761"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156.239</w:t>
            </w:r>
          </w:p>
        </w:tc>
        <w:tc>
          <w:tcPr>
            <w:tcW w:w="3260" w:type="dxa"/>
            <w:tcBorders>
              <w:top w:val="nil"/>
              <w:left w:val="nil"/>
              <w:bottom w:val="nil"/>
              <w:right w:val="nil"/>
            </w:tcBorders>
            <w:shd w:val="clear" w:color="auto" w:fill="auto"/>
            <w:vAlign w:val="center"/>
          </w:tcPr>
          <w:p w14:paraId="09F9935E"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sz w:val="14"/>
                <w:szCs w:val="14"/>
              </w:rPr>
              <w:t>264.756</w:t>
            </w:r>
          </w:p>
        </w:tc>
      </w:tr>
      <w:tr w:rsidR="003321FA" w:rsidRPr="003321FA" w14:paraId="7E029DE5"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01D4837" w14:textId="77777777" w:rsidR="003321FA" w:rsidRPr="003321FA" w:rsidRDefault="003321FA">
            <w:pPr>
              <w:keepNext/>
              <w:keepLines/>
              <w:ind w:left="113"/>
              <w:rPr>
                <w:rFonts w:ascii="Arial" w:eastAsia="Times New Roman" w:hAnsi="Arial" w:cs="Arial"/>
                <w:b w:val="0"/>
                <w:bCs w:val="0"/>
                <w:spacing w:val="-2"/>
                <w:sz w:val="14"/>
                <w:szCs w:val="14"/>
              </w:rPr>
            </w:pPr>
            <w:r w:rsidRPr="003321FA">
              <w:rPr>
                <w:rFonts w:ascii="Arial" w:hAnsi="Arial" w:cs="Arial"/>
                <w:b w:val="0"/>
                <w:bCs w:val="0"/>
                <w:color w:val="000000"/>
                <w:sz w:val="14"/>
                <w:szCs w:val="14"/>
              </w:rPr>
              <w:t>Outros resultados abrangentes</w:t>
            </w:r>
          </w:p>
        </w:tc>
        <w:tc>
          <w:tcPr>
            <w:tcW w:w="3260" w:type="dxa"/>
            <w:tcBorders>
              <w:top w:val="nil"/>
              <w:left w:val="nil"/>
              <w:bottom w:val="nil"/>
              <w:right w:val="nil"/>
            </w:tcBorders>
            <w:shd w:val="clear" w:color="auto" w:fill="auto"/>
            <w:vAlign w:val="center"/>
          </w:tcPr>
          <w:p w14:paraId="6E6824FE"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27</w:t>
            </w:r>
          </w:p>
        </w:tc>
        <w:tc>
          <w:tcPr>
            <w:tcW w:w="3260" w:type="dxa"/>
            <w:tcBorders>
              <w:top w:val="nil"/>
              <w:left w:val="nil"/>
              <w:bottom w:val="nil"/>
              <w:right w:val="nil"/>
            </w:tcBorders>
            <w:shd w:val="clear" w:color="auto" w:fill="auto"/>
            <w:vAlign w:val="center"/>
          </w:tcPr>
          <w:p w14:paraId="2C601B43"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sz w:val="14"/>
                <w:szCs w:val="14"/>
              </w:rPr>
              <w:t>84</w:t>
            </w:r>
          </w:p>
        </w:tc>
      </w:tr>
      <w:tr w:rsidR="003321FA" w:rsidRPr="003321FA" w14:paraId="657E003D"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single" w:sz="2" w:space="0" w:color="1F3864" w:themeColor="accent1" w:themeShade="80"/>
              <w:right w:val="nil"/>
            </w:tcBorders>
            <w:shd w:val="clear" w:color="auto" w:fill="auto"/>
            <w:vAlign w:val="center"/>
          </w:tcPr>
          <w:p w14:paraId="4570621D" w14:textId="77777777" w:rsidR="003321FA" w:rsidRPr="003321FA" w:rsidRDefault="003321FA">
            <w:pPr>
              <w:keepNext/>
              <w:keepLines/>
              <w:rPr>
                <w:rFonts w:ascii="Arial" w:hAnsi="Arial" w:cs="Arial"/>
                <w:color w:val="000000"/>
                <w:sz w:val="14"/>
                <w:szCs w:val="14"/>
              </w:rPr>
            </w:pPr>
            <w:r w:rsidRPr="003321FA">
              <w:rPr>
                <w:rFonts w:ascii="Arial" w:hAnsi="Arial" w:cs="Arial"/>
                <w:color w:val="000000"/>
                <w:sz w:val="14"/>
                <w:szCs w:val="14"/>
              </w:rPr>
              <w:t>Passivo e Patrimônio Líquido</w:t>
            </w:r>
          </w:p>
        </w:tc>
        <w:tc>
          <w:tcPr>
            <w:tcW w:w="3260" w:type="dxa"/>
            <w:tcBorders>
              <w:top w:val="nil"/>
              <w:left w:val="nil"/>
              <w:bottom w:val="single" w:sz="2" w:space="0" w:color="1F3864" w:themeColor="accent1" w:themeShade="80"/>
              <w:right w:val="nil"/>
            </w:tcBorders>
            <w:shd w:val="clear" w:color="auto" w:fill="auto"/>
            <w:vAlign w:val="center"/>
          </w:tcPr>
          <w:p w14:paraId="0370B932"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321FA">
              <w:rPr>
                <w:rFonts w:ascii="Arial" w:hAnsi="Arial" w:cs="Arial"/>
                <w:b/>
                <w:bCs/>
                <w:color w:val="000000"/>
                <w:sz w:val="14"/>
                <w:szCs w:val="14"/>
              </w:rPr>
              <w:t>651.894</w:t>
            </w:r>
          </w:p>
        </w:tc>
        <w:tc>
          <w:tcPr>
            <w:tcW w:w="3260" w:type="dxa"/>
            <w:tcBorders>
              <w:top w:val="nil"/>
              <w:left w:val="nil"/>
              <w:bottom w:val="single" w:sz="2" w:space="0" w:color="1F3864" w:themeColor="accent1" w:themeShade="80"/>
              <w:right w:val="nil"/>
            </w:tcBorders>
            <w:shd w:val="clear" w:color="auto" w:fill="auto"/>
            <w:vAlign w:val="center"/>
          </w:tcPr>
          <w:p w14:paraId="167D71A8"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321FA">
              <w:rPr>
                <w:rFonts w:ascii="Arial" w:hAnsi="Arial" w:cs="Arial"/>
                <w:b/>
                <w:bCs/>
                <w:sz w:val="14"/>
                <w:szCs w:val="14"/>
              </w:rPr>
              <w:t>760.324</w:t>
            </w:r>
          </w:p>
        </w:tc>
      </w:tr>
    </w:tbl>
    <w:p w14:paraId="2DDC0592" w14:textId="77777777" w:rsidR="003321FA" w:rsidRPr="003321FA" w:rsidRDefault="003321FA" w:rsidP="002C3B56">
      <w:pPr>
        <w:pStyle w:val="05-Textonormal"/>
        <w:numPr>
          <w:ilvl w:val="0"/>
          <w:numId w:val="44"/>
        </w:numPr>
        <w:spacing w:before="0" w:after="0"/>
        <w:ind w:left="284" w:hanging="284"/>
        <w:rPr>
          <w:bCs/>
          <w:sz w:val="14"/>
          <w:szCs w:val="16"/>
        </w:rPr>
      </w:pPr>
      <w:r w:rsidRPr="003321FA">
        <w:rPr>
          <w:rFonts w:cs="Arial"/>
          <w:spacing w:val="0"/>
          <w:kern w:val="20"/>
          <w:sz w:val="14"/>
          <w:szCs w:val="16"/>
        </w:rPr>
        <w:t>A partir de 2024, houve a segregação dos Contratos de Seguros e Resseguros, anteriormente classificados como Ativo Circulante e Passivo Circulante,</w:t>
      </w:r>
      <w:r w:rsidRPr="003321FA">
        <w:rPr>
          <w:bCs/>
          <w:sz w:val="14"/>
          <w:szCs w:val="16"/>
        </w:rPr>
        <w:t xml:space="preserve"> entre Ativos e Passivos Circulantes e Não Circulantes.</w:t>
      </w:r>
    </w:p>
    <w:p w14:paraId="6CCE6A9C" w14:textId="77777777" w:rsidR="003321FA" w:rsidRPr="003321FA" w:rsidRDefault="003321FA" w:rsidP="003321FA">
      <w:pPr>
        <w:pStyle w:val="05-Textonormal"/>
        <w:spacing w:line="240" w:lineRule="auto"/>
        <w:rPr>
          <w:rFonts w:cs="Arial"/>
        </w:rPr>
      </w:pPr>
    </w:p>
    <w:p w14:paraId="45DCC1D5" w14:textId="77777777" w:rsidR="003321FA" w:rsidRPr="003321FA" w:rsidRDefault="003321FA" w:rsidP="003321FA">
      <w:pPr>
        <w:pStyle w:val="05-Textonormal"/>
        <w:spacing w:line="240" w:lineRule="auto"/>
        <w:rPr>
          <w:rFonts w:cs="Arial"/>
        </w:rPr>
      </w:pPr>
      <w:r w:rsidRPr="003321FA">
        <w:rPr>
          <w:rFonts w:cs="Arial"/>
        </w:rPr>
        <w:t>Os impactos do CPC 50 [IFRS 17], em 2024 e 2023, e do CPC 48 [IFRS 9], em 2023, no Patrimônio Líquido, para fins de comparabilidade, estão indicados no quadro a seguir:</w:t>
      </w:r>
    </w:p>
    <w:p w14:paraId="4104D63B" w14:textId="77777777" w:rsidR="003321FA" w:rsidRPr="003321FA" w:rsidRDefault="003321FA" w:rsidP="003321FA">
      <w:pPr>
        <w:spacing w:after="0" w:line="240" w:lineRule="auto"/>
        <w:jc w:val="right"/>
        <w:rPr>
          <w:rFonts w:ascii="Arial" w:hAnsi="Arial" w:cs="Arial"/>
          <w:b/>
          <w:sz w:val="14"/>
          <w:lang w:eastAsia="pt-BR"/>
        </w:rPr>
      </w:pPr>
      <w:r w:rsidRPr="003321FA">
        <w:rPr>
          <w:rFonts w:ascii="Arial" w:hAnsi="Arial" w:cs="Arial"/>
          <w:b/>
          <w:sz w:val="14"/>
          <w:lang w:eastAsia="pt-BR"/>
        </w:rPr>
        <w:t>R$ mil</w:t>
      </w:r>
    </w:p>
    <w:tbl>
      <w:tblPr>
        <w:tblStyle w:val="TabeladeLista6Colorida-nfase512"/>
        <w:tblW w:w="9639" w:type="dxa"/>
        <w:jc w:val="center"/>
        <w:tblLayout w:type="fixed"/>
        <w:tblLook w:val="04A0" w:firstRow="1" w:lastRow="0" w:firstColumn="1" w:lastColumn="0" w:noHBand="0" w:noVBand="1"/>
      </w:tblPr>
      <w:tblGrid>
        <w:gridCol w:w="5387"/>
        <w:gridCol w:w="2126"/>
        <w:gridCol w:w="2126"/>
      </w:tblGrid>
      <w:tr w:rsidR="003321FA" w:rsidRPr="003321FA" w14:paraId="2AD1CB53"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19B64B4" w14:textId="77777777" w:rsidR="003321FA" w:rsidRPr="003321FA" w:rsidRDefault="003321FA">
            <w:pPr>
              <w:jc w:val="center"/>
              <w:rPr>
                <w:rFonts w:ascii="Arial" w:hAnsi="Arial" w:cs="Arial"/>
                <w:sz w:val="14"/>
                <w:szCs w:val="14"/>
              </w:rPr>
            </w:pPr>
          </w:p>
        </w:tc>
        <w:tc>
          <w:tcPr>
            <w:tcW w:w="21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1735455" w14:textId="77777777" w:rsidR="003321FA" w:rsidRPr="003321FA" w:rsidRDefault="003321F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sz w:val="14"/>
                <w:szCs w:val="14"/>
              </w:rPr>
              <w:t>31.12.2024</w:t>
            </w:r>
          </w:p>
        </w:tc>
        <w:tc>
          <w:tcPr>
            <w:tcW w:w="21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0774653" w14:textId="77777777" w:rsidR="003321FA" w:rsidRPr="003321FA" w:rsidRDefault="003321F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sz w:val="14"/>
                <w:szCs w:val="14"/>
              </w:rPr>
              <w:t>31.12.2023</w:t>
            </w:r>
          </w:p>
        </w:tc>
      </w:tr>
      <w:tr w:rsidR="003321FA" w:rsidRPr="003321FA" w14:paraId="76B81477"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nil"/>
              <w:right w:val="nil"/>
            </w:tcBorders>
            <w:shd w:val="clear" w:color="auto" w:fill="auto"/>
            <w:vAlign w:val="center"/>
          </w:tcPr>
          <w:p w14:paraId="4D71FBA7" w14:textId="77777777" w:rsidR="003321FA" w:rsidRPr="003321FA" w:rsidRDefault="003321FA">
            <w:pPr>
              <w:keepNext/>
              <w:keepLines/>
              <w:rPr>
                <w:rFonts w:ascii="Arial" w:eastAsia="Times New Roman" w:hAnsi="Arial" w:cs="Arial"/>
                <w:b w:val="0"/>
                <w:bCs w:val="0"/>
                <w:spacing w:val="-2"/>
                <w:sz w:val="14"/>
                <w:szCs w:val="14"/>
              </w:rPr>
            </w:pPr>
            <w:r w:rsidRPr="003321FA">
              <w:rPr>
                <w:rFonts w:ascii="Arial" w:hAnsi="Arial" w:cs="Arial"/>
                <w:b w:val="0"/>
                <w:bCs w:val="0"/>
                <w:sz w:val="14"/>
                <w:szCs w:val="14"/>
              </w:rPr>
              <w:t>Patrimônio Líquido - BRGAAP e IFRS</w:t>
            </w:r>
          </w:p>
        </w:tc>
        <w:tc>
          <w:tcPr>
            <w:tcW w:w="2126" w:type="dxa"/>
            <w:tcBorders>
              <w:top w:val="single" w:sz="2" w:space="0" w:color="1F3864" w:themeColor="accent1" w:themeShade="80"/>
              <w:left w:val="nil"/>
              <w:bottom w:val="nil"/>
              <w:right w:val="nil"/>
            </w:tcBorders>
            <w:shd w:val="clear" w:color="auto" w:fill="auto"/>
            <w:vAlign w:val="center"/>
          </w:tcPr>
          <w:p w14:paraId="28D020F8"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 xml:space="preserve">                                 156.266 </w:t>
            </w:r>
          </w:p>
        </w:tc>
        <w:tc>
          <w:tcPr>
            <w:tcW w:w="2126" w:type="dxa"/>
            <w:tcBorders>
              <w:top w:val="single" w:sz="2" w:space="0" w:color="1F3864" w:themeColor="accent1" w:themeShade="80"/>
              <w:left w:val="nil"/>
              <w:bottom w:val="nil"/>
              <w:right w:val="nil"/>
            </w:tcBorders>
            <w:shd w:val="clear" w:color="auto" w:fill="auto"/>
            <w:vAlign w:val="center"/>
          </w:tcPr>
          <w:p w14:paraId="538D81C4"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 xml:space="preserve">                                 264.840 </w:t>
            </w:r>
          </w:p>
        </w:tc>
      </w:tr>
      <w:tr w:rsidR="003321FA" w:rsidRPr="003321FA" w14:paraId="4F7179D2"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nil"/>
              <w:left w:val="nil"/>
              <w:bottom w:val="single" w:sz="2" w:space="0" w:color="1F3864" w:themeColor="accent1" w:themeShade="80"/>
              <w:right w:val="nil"/>
            </w:tcBorders>
            <w:shd w:val="clear" w:color="auto" w:fill="auto"/>
            <w:vAlign w:val="center"/>
          </w:tcPr>
          <w:p w14:paraId="0EF61863" w14:textId="77777777" w:rsidR="003321FA" w:rsidRPr="003321FA" w:rsidRDefault="003321FA">
            <w:pPr>
              <w:keepNext/>
              <w:keepLines/>
              <w:spacing w:before="40" w:after="40"/>
              <w:rPr>
                <w:rFonts w:ascii="Arial" w:hAnsi="Arial" w:cs="Arial"/>
                <w:b w:val="0"/>
                <w:bCs w:val="0"/>
                <w:sz w:val="14"/>
                <w:szCs w:val="14"/>
              </w:rPr>
            </w:pPr>
            <w:r w:rsidRPr="003321FA">
              <w:rPr>
                <w:rFonts w:ascii="Arial" w:hAnsi="Arial" w:cs="Arial"/>
                <w:b w:val="0"/>
                <w:bCs w:val="0"/>
                <w:sz w:val="14"/>
                <w:szCs w:val="14"/>
              </w:rPr>
              <w:t>Patrimônio Líquido - SUSEPGAAP</w:t>
            </w:r>
          </w:p>
        </w:tc>
        <w:tc>
          <w:tcPr>
            <w:tcW w:w="2126" w:type="dxa"/>
            <w:tcBorders>
              <w:top w:val="nil"/>
              <w:left w:val="nil"/>
              <w:bottom w:val="single" w:sz="2" w:space="0" w:color="1F3864" w:themeColor="accent1" w:themeShade="80"/>
              <w:right w:val="nil"/>
            </w:tcBorders>
            <w:shd w:val="clear" w:color="auto" w:fill="auto"/>
            <w:vAlign w:val="center"/>
          </w:tcPr>
          <w:p w14:paraId="12124AE2"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 xml:space="preserve">                                 160.028 </w:t>
            </w:r>
          </w:p>
        </w:tc>
        <w:tc>
          <w:tcPr>
            <w:tcW w:w="2126" w:type="dxa"/>
            <w:tcBorders>
              <w:top w:val="nil"/>
              <w:left w:val="nil"/>
              <w:bottom w:val="single" w:sz="2" w:space="0" w:color="1F3864" w:themeColor="accent1" w:themeShade="80"/>
              <w:right w:val="nil"/>
            </w:tcBorders>
            <w:shd w:val="clear" w:color="auto" w:fill="auto"/>
            <w:vAlign w:val="center"/>
          </w:tcPr>
          <w:p w14:paraId="62CF8D6D"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 xml:space="preserve">                                 273.522 </w:t>
            </w:r>
          </w:p>
        </w:tc>
      </w:tr>
    </w:tbl>
    <w:bookmarkEnd w:id="60"/>
    <w:bookmarkEnd w:id="61"/>
    <w:bookmarkEnd w:id="63"/>
    <w:bookmarkEnd w:id="64"/>
    <w:bookmarkEnd w:id="65"/>
    <w:bookmarkEnd w:id="66"/>
    <w:p w14:paraId="4F5B445B" w14:textId="77777777" w:rsidR="003321FA" w:rsidRPr="003321FA" w:rsidRDefault="003321FA" w:rsidP="003321FA">
      <w:pPr>
        <w:keepNext/>
        <w:keepLines/>
        <w:pageBreakBefore/>
        <w:spacing w:before="120" w:after="120" w:line="240" w:lineRule="auto"/>
        <w:rPr>
          <w:rFonts w:ascii="Arial" w:eastAsia="Times New Roman" w:hAnsi="Arial" w:cs="Times New Roman"/>
          <w:b/>
          <w:color w:val="1F3864" w:themeColor="accent1" w:themeShade="80"/>
          <w:spacing w:val="-2"/>
          <w:sz w:val="18"/>
          <w:szCs w:val="20"/>
          <w:lang w:eastAsia="pt-BR"/>
        </w:rPr>
      </w:pPr>
      <w:r w:rsidRPr="003321FA">
        <w:rPr>
          <w:rFonts w:ascii="Arial" w:eastAsia="Times New Roman" w:hAnsi="Arial" w:cs="Times New Roman"/>
          <w:b/>
          <w:color w:val="1F3864" w:themeColor="accent1" w:themeShade="80"/>
          <w:spacing w:val="-2"/>
          <w:sz w:val="18"/>
          <w:szCs w:val="20"/>
          <w:lang w:eastAsia="pt-BR"/>
        </w:rPr>
        <w:lastRenderedPageBreak/>
        <w:t>c.2) Brasilprev Seguros e Previdência S.A. (Brasilprev)</w:t>
      </w:r>
    </w:p>
    <w:p w14:paraId="7B5A3371" w14:textId="77777777" w:rsidR="003321FA" w:rsidRPr="003321FA" w:rsidRDefault="003321FA" w:rsidP="003321FA">
      <w:pPr>
        <w:spacing w:before="120" w:after="120" w:line="240" w:lineRule="auto"/>
        <w:rPr>
          <w:rFonts w:ascii="Arial" w:eastAsia="Times New Roman" w:hAnsi="Arial" w:cs="Arial"/>
          <w:spacing w:val="-2"/>
          <w:sz w:val="18"/>
          <w:szCs w:val="20"/>
          <w:lang w:eastAsia="zh-CN"/>
        </w:rPr>
      </w:pPr>
      <w:r w:rsidRPr="003321FA">
        <w:rPr>
          <w:rFonts w:ascii="Arial" w:eastAsia="Times New Roman" w:hAnsi="Arial" w:cs="Times New Roman"/>
          <w:b/>
          <w:color w:val="1F3864" w:themeColor="accent1" w:themeShade="80"/>
          <w:spacing w:val="-2"/>
          <w:sz w:val="18"/>
          <w:szCs w:val="20"/>
          <w:lang w:eastAsia="pt-BR"/>
        </w:rPr>
        <w:t>Informações de Resultado</w:t>
      </w:r>
    </w:p>
    <w:p w14:paraId="4E7474D4" w14:textId="77777777" w:rsidR="003321FA" w:rsidRPr="003321FA" w:rsidRDefault="003321FA" w:rsidP="003321FA">
      <w:pPr>
        <w:spacing w:after="0" w:line="240" w:lineRule="auto"/>
        <w:jc w:val="right"/>
        <w:rPr>
          <w:rFonts w:ascii="Arial" w:hAnsi="Arial" w:cs="Arial"/>
          <w:b/>
          <w:sz w:val="14"/>
          <w:lang w:eastAsia="pt-BR"/>
        </w:rPr>
      </w:pPr>
      <w:bookmarkStart w:id="67" w:name="_Hlk149650343"/>
      <w:r w:rsidRPr="003321FA">
        <w:rPr>
          <w:rFonts w:ascii="Arial" w:hAnsi="Arial" w:cs="Arial"/>
          <w:b/>
          <w:sz w:val="14"/>
          <w:lang w:eastAsia="pt-BR"/>
        </w:rPr>
        <w:t>R$ mil</w:t>
      </w:r>
    </w:p>
    <w:tbl>
      <w:tblPr>
        <w:tblStyle w:val="TabeladeLista6Colorida-nfase512"/>
        <w:tblW w:w="9639" w:type="dxa"/>
        <w:jc w:val="center"/>
        <w:tblLayout w:type="fixed"/>
        <w:tblLook w:val="04A0" w:firstRow="1" w:lastRow="0" w:firstColumn="1" w:lastColumn="0" w:noHBand="0" w:noVBand="1"/>
      </w:tblPr>
      <w:tblGrid>
        <w:gridCol w:w="2494"/>
        <w:gridCol w:w="333"/>
        <w:gridCol w:w="1445"/>
        <w:gridCol w:w="333"/>
        <w:gridCol w:w="1447"/>
        <w:gridCol w:w="27"/>
        <w:gridCol w:w="1753"/>
        <w:gridCol w:w="27"/>
        <w:gridCol w:w="1753"/>
        <w:gridCol w:w="27"/>
      </w:tblGrid>
      <w:tr w:rsidR="003321FA" w:rsidRPr="003321FA" w14:paraId="0E8221A9" w14:textId="77777777">
        <w:trPr>
          <w:gridAfter w:val="1"/>
          <w:cnfStyle w:val="100000000000" w:firstRow="1" w:lastRow="0" w:firstColumn="0" w:lastColumn="0" w:oddVBand="0" w:evenVBand="0" w:oddHBand="0" w:evenHBand="0" w:firstRowFirstColumn="0" w:firstRowLastColumn="0" w:lastRowFirstColumn="0" w:lastRowLastColumn="0"/>
          <w:wAfter w:w="27" w:type="dxa"/>
          <w:trHeight w:val="238"/>
          <w:jc w:val="center"/>
        </w:trPr>
        <w:tc>
          <w:tcPr>
            <w:cnfStyle w:val="001000000000" w:firstRow="0" w:lastRow="0" w:firstColumn="1" w:lastColumn="0" w:oddVBand="0" w:evenVBand="0" w:oddHBand="0" w:evenHBand="0" w:firstRowFirstColumn="0" w:firstRowLastColumn="0" w:lastRowFirstColumn="0" w:lastRowLastColumn="0"/>
            <w:tcW w:w="2494"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4B2CFBE" w14:textId="77777777" w:rsidR="003321FA" w:rsidRPr="003321FA" w:rsidRDefault="003321FA">
            <w:pPr>
              <w:jc w:val="center"/>
              <w:rPr>
                <w:rFonts w:ascii="Arial" w:hAnsi="Arial" w:cs="Arial"/>
                <w:sz w:val="14"/>
                <w:szCs w:val="14"/>
              </w:rPr>
            </w:pPr>
          </w:p>
        </w:tc>
        <w:tc>
          <w:tcPr>
            <w:tcW w:w="1778" w:type="dxa"/>
            <w:gridSpan w:val="2"/>
            <w:tcBorders>
              <w:top w:val="single" w:sz="2" w:space="0" w:color="1F3864" w:themeColor="accent1" w:themeShade="80"/>
              <w:left w:val="nil"/>
              <w:bottom w:val="single" w:sz="2" w:space="0" w:color="1F3864" w:themeColor="accent1" w:themeShade="80"/>
              <w:right w:val="nil"/>
            </w:tcBorders>
            <w:shd w:val="clear" w:color="auto" w:fill="auto"/>
            <w:vAlign w:val="center"/>
          </w:tcPr>
          <w:p w14:paraId="3AD886FD" w14:textId="77777777" w:rsidR="003321FA" w:rsidRPr="003321FA" w:rsidRDefault="003321F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780" w:type="dxa"/>
            <w:gridSpan w:val="2"/>
            <w:tcBorders>
              <w:top w:val="single" w:sz="2" w:space="0" w:color="1F3864" w:themeColor="accent1" w:themeShade="80"/>
              <w:left w:val="nil"/>
              <w:bottom w:val="single" w:sz="2" w:space="0" w:color="1F3864" w:themeColor="accent1" w:themeShade="80"/>
              <w:right w:val="nil"/>
            </w:tcBorders>
            <w:shd w:val="clear" w:color="auto" w:fill="auto"/>
            <w:vAlign w:val="center"/>
          </w:tcPr>
          <w:p w14:paraId="1FBF5F05" w14:textId="77777777" w:rsidR="003321FA" w:rsidRPr="003321FA" w:rsidRDefault="003321F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780" w:type="dxa"/>
            <w:gridSpan w:val="2"/>
            <w:tcBorders>
              <w:top w:val="single" w:sz="2" w:space="0" w:color="1F3864" w:themeColor="accent1" w:themeShade="80"/>
              <w:left w:val="nil"/>
              <w:bottom w:val="single" w:sz="2" w:space="0" w:color="1F3864" w:themeColor="accent1" w:themeShade="80"/>
              <w:right w:val="nil"/>
            </w:tcBorders>
            <w:shd w:val="clear" w:color="auto" w:fill="auto"/>
            <w:vAlign w:val="center"/>
          </w:tcPr>
          <w:p w14:paraId="0BAD04C2" w14:textId="77777777" w:rsidR="003321FA" w:rsidRPr="003321FA" w:rsidRDefault="003321F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bCs w:val="0"/>
                <w:sz w:val="14"/>
                <w:szCs w:val="14"/>
              </w:rPr>
              <w:t>Exercício 2024</w:t>
            </w:r>
          </w:p>
        </w:tc>
        <w:tc>
          <w:tcPr>
            <w:tcW w:w="1780" w:type="dxa"/>
            <w:gridSpan w:val="2"/>
            <w:tcBorders>
              <w:top w:val="single" w:sz="2" w:space="0" w:color="1F3864" w:themeColor="accent1" w:themeShade="80"/>
              <w:left w:val="nil"/>
              <w:bottom w:val="single" w:sz="2" w:space="0" w:color="1F3864" w:themeColor="accent1" w:themeShade="80"/>
              <w:right w:val="nil"/>
            </w:tcBorders>
            <w:shd w:val="clear" w:color="auto" w:fill="auto"/>
            <w:vAlign w:val="center"/>
          </w:tcPr>
          <w:p w14:paraId="079C33F6" w14:textId="77777777" w:rsidR="003321FA" w:rsidRPr="003321FA" w:rsidRDefault="003321F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sz w:val="14"/>
                <w:szCs w:val="14"/>
              </w:rPr>
              <w:t>Exercício 2023</w:t>
            </w:r>
          </w:p>
        </w:tc>
      </w:tr>
      <w:tr w:rsidR="003321FA" w:rsidRPr="003321FA" w14:paraId="48BD3093"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single" w:sz="2" w:space="0" w:color="1F3864" w:themeColor="accent1" w:themeShade="80"/>
              <w:left w:val="nil"/>
              <w:bottom w:val="nil"/>
              <w:right w:val="nil"/>
            </w:tcBorders>
            <w:shd w:val="clear" w:color="auto" w:fill="auto"/>
            <w:vAlign w:val="center"/>
          </w:tcPr>
          <w:p w14:paraId="31521A33" w14:textId="77777777" w:rsidR="003321FA" w:rsidRPr="003321FA" w:rsidRDefault="003321FA">
            <w:pPr>
              <w:keepNext/>
              <w:keepLines/>
              <w:rPr>
                <w:rFonts w:ascii="Arial" w:eastAsia="Times New Roman" w:hAnsi="Arial" w:cs="Arial"/>
                <w:spacing w:val="-2"/>
                <w:sz w:val="14"/>
                <w:szCs w:val="14"/>
              </w:rPr>
            </w:pPr>
            <w:r w:rsidRPr="003321FA">
              <w:rPr>
                <w:rFonts w:ascii="Arial" w:hAnsi="Arial" w:cs="Arial"/>
                <w:sz w:val="14"/>
                <w:szCs w:val="14"/>
              </w:rPr>
              <w:t>Resultado de contratos de seguros</w:t>
            </w:r>
          </w:p>
        </w:tc>
        <w:tc>
          <w:tcPr>
            <w:tcW w:w="1778" w:type="dxa"/>
            <w:gridSpan w:val="2"/>
            <w:tcBorders>
              <w:top w:val="single" w:sz="2" w:space="0" w:color="1F3864" w:themeColor="accent1" w:themeShade="80"/>
              <w:left w:val="nil"/>
              <w:bottom w:val="nil"/>
              <w:right w:val="nil"/>
            </w:tcBorders>
            <w:shd w:val="clear" w:color="auto" w:fill="auto"/>
            <w:vAlign w:val="center"/>
          </w:tcPr>
          <w:p w14:paraId="35C3ED25"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474" w:type="dxa"/>
            <w:gridSpan w:val="2"/>
            <w:tcBorders>
              <w:top w:val="single" w:sz="2" w:space="0" w:color="1F3864" w:themeColor="accent1" w:themeShade="80"/>
              <w:left w:val="nil"/>
              <w:bottom w:val="nil"/>
              <w:right w:val="nil"/>
            </w:tcBorders>
            <w:shd w:val="clear" w:color="auto" w:fill="auto"/>
            <w:vAlign w:val="center"/>
          </w:tcPr>
          <w:p w14:paraId="386D7D62"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780" w:type="dxa"/>
            <w:gridSpan w:val="2"/>
            <w:tcBorders>
              <w:top w:val="single" w:sz="2" w:space="0" w:color="1F3864" w:themeColor="accent1" w:themeShade="80"/>
              <w:left w:val="nil"/>
              <w:bottom w:val="nil"/>
              <w:right w:val="nil"/>
            </w:tcBorders>
            <w:shd w:val="clear" w:color="auto" w:fill="auto"/>
            <w:vAlign w:val="center"/>
          </w:tcPr>
          <w:p w14:paraId="5B6FE361"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DengXian Light" w:hAnsi="Arial" w:cs="Arial"/>
                <w:b/>
                <w:bCs/>
                <w:sz w:val="14"/>
                <w:szCs w:val="14"/>
              </w:rPr>
            </w:pPr>
            <w:r w:rsidRPr="003321FA">
              <w:rPr>
                <w:rFonts w:ascii="Arial" w:eastAsia="DengXian Light" w:hAnsi="Arial" w:cs="Arial"/>
                <w:b/>
                <w:bCs/>
                <w:color w:val="000000"/>
                <w:sz w:val="14"/>
                <w:szCs w:val="14"/>
              </w:rPr>
              <w:t>4.348.393</w:t>
            </w:r>
          </w:p>
        </w:tc>
        <w:tc>
          <w:tcPr>
            <w:tcW w:w="1780" w:type="dxa"/>
            <w:gridSpan w:val="2"/>
            <w:tcBorders>
              <w:top w:val="single" w:sz="2" w:space="0" w:color="1F3864" w:themeColor="accent1" w:themeShade="80"/>
              <w:left w:val="nil"/>
              <w:bottom w:val="nil"/>
              <w:right w:val="nil"/>
            </w:tcBorders>
            <w:shd w:val="clear" w:color="auto" w:fill="auto"/>
            <w:vAlign w:val="center"/>
          </w:tcPr>
          <w:p w14:paraId="6E72E4B7"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321FA">
              <w:rPr>
                <w:rFonts w:ascii="Arial" w:hAnsi="Arial" w:cs="Arial"/>
                <w:b/>
                <w:bCs/>
                <w:color w:val="000000"/>
                <w:sz w:val="14"/>
                <w:szCs w:val="14"/>
              </w:rPr>
              <w:t>3.849.302</w:t>
            </w:r>
          </w:p>
        </w:tc>
      </w:tr>
      <w:tr w:rsidR="003321FA" w:rsidRPr="003321FA" w14:paraId="3B5A2834"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auto"/>
            <w:vAlign w:val="center"/>
          </w:tcPr>
          <w:p w14:paraId="1CFD470E" w14:textId="77777777" w:rsidR="003321FA" w:rsidRPr="003321FA" w:rsidRDefault="003321FA">
            <w:pPr>
              <w:keepNext/>
              <w:keepLines/>
              <w:ind w:left="113"/>
              <w:rPr>
                <w:rFonts w:ascii="Arial" w:hAnsi="Arial" w:cs="Arial"/>
                <w:b w:val="0"/>
                <w:bCs w:val="0"/>
                <w:sz w:val="14"/>
                <w:szCs w:val="14"/>
              </w:rPr>
            </w:pPr>
            <w:r w:rsidRPr="003321FA">
              <w:rPr>
                <w:rFonts w:ascii="Arial" w:hAnsi="Arial" w:cs="Arial"/>
                <w:b w:val="0"/>
                <w:bCs w:val="0"/>
                <w:sz w:val="14"/>
                <w:szCs w:val="14"/>
              </w:rPr>
              <w:t xml:space="preserve">Resultado dos contratos BBA </w:t>
            </w:r>
            <w:r w:rsidRPr="003321FA">
              <w:rPr>
                <w:rFonts w:ascii="Arial" w:hAnsi="Arial" w:cs="Arial"/>
                <w:b w:val="0"/>
                <w:bCs w:val="0"/>
                <w:sz w:val="14"/>
                <w:szCs w:val="14"/>
                <w:vertAlign w:val="superscript"/>
              </w:rPr>
              <w:t>(1)</w:t>
            </w:r>
          </w:p>
        </w:tc>
        <w:tc>
          <w:tcPr>
            <w:tcW w:w="1778" w:type="dxa"/>
            <w:gridSpan w:val="2"/>
            <w:tcBorders>
              <w:top w:val="nil"/>
              <w:left w:val="nil"/>
              <w:bottom w:val="nil"/>
              <w:right w:val="nil"/>
            </w:tcBorders>
            <w:shd w:val="clear" w:color="auto" w:fill="auto"/>
            <w:vAlign w:val="center"/>
          </w:tcPr>
          <w:p w14:paraId="3B9B9AC9"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474" w:type="dxa"/>
            <w:gridSpan w:val="2"/>
            <w:tcBorders>
              <w:top w:val="nil"/>
              <w:left w:val="nil"/>
              <w:bottom w:val="nil"/>
              <w:right w:val="nil"/>
            </w:tcBorders>
            <w:shd w:val="clear" w:color="auto" w:fill="auto"/>
            <w:vAlign w:val="center"/>
          </w:tcPr>
          <w:p w14:paraId="5B8DDB6C"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780" w:type="dxa"/>
            <w:gridSpan w:val="2"/>
            <w:tcBorders>
              <w:top w:val="nil"/>
              <w:left w:val="nil"/>
              <w:bottom w:val="nil"/>
              <w:right w:val="nil"/>
            </w:tcBorders>
            <w:shd w:val="clear" w:color="auto" w:fill="auto"/>
            <w:vAlign w:val="center"/>
          </w:tcPr>
          <w:p w14:paraId="6C27A63C"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DengXian Light" w:hAnsi="Arial" w:cs="Arial"/>
                <w:sz w:val="14"/>
                <w:szCs w:val="14"/>
              </w:rPr>
            </w:pPr>
            <w:r w:rsidRPr="003321FA">
              <w:rPr>
                <w:rFonts w:ascii="Arial" w:eastAsia="DengXian Light" w:hAnsi="Arial" w:cs="Arial"/>
                <w:color w:val="000000"/>
                <w:sz w:val="14"/>
                <w:szCs w:val="14"/>
              </w:rPr>
              <w:t>777.163</w:t>
            </w:r>
          </w:p>
        </w:tc>
        <w:tc>
          <w:tcPr>
            <w:tcW w:w="1780" w:type="dxa"/>
            <w:gridSpan w:val="2"/>
            <w:tcBorders>
              <w:top w:val="nil"/>
              <w:left w:val="nil"/>
              <w:bottom w:val="nil"/>
              <w:right w:val="nil"/>
            </w:tcBorders>
            <w:shd w:val="clear" w:color="auto" w:fill="auto"/>
            <w:vAlign w:val="center"/>
          </w:tcPr>
          <w:p w14:paraId="48212A22"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654.326</w:t>
            </w:r>
          </w:p>
        </w:tc>
      </w:tr>
      <w:tr w:rsidR="003321FA" w:rsidRPr="003321FA" w14:paraId="01F950B2"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auto"/>
            <w:vAlign w:val="center"/>
          </w:tcPr>
          <w:p w14:paraId="0CC5222B" w14:textId="77777777" w:rsidR="003321FA" w:rsidRPr="003321FA" w:rsidRDefault="003321FA">
            <w:pPr>
              <w:keepNext/>
              <w:keepLines/>
              <w:spacing w:before="40" w:after="40"/>
              <w:ind w:left="113"/>
              <w:rPr>
                <w:rFonts w:ascii="Arial" w:hAnsi="Arial" w:cs="Arial"/>
                <w:b w:val="0"/>
                <w:bCs w:val="0"/>
                <w:sz w:val="14"/>
                <w:szCs w:val="14"/>
              </w:rPr>
            </w:pPr>
            <w:r w:rsidRPr="003321FA">
              <w:rPr>
                <w:rFonts w:ascii="Arial" w:hAnsi="Arial" w:cs="Arial"/>
                <w:b w:val="0"/>
                <w:bCs w:val="0"/>
                <w:sz w:val="14"/>
                <w:szCs w:val="14"/>
              </w:rPr>
              <w:t xml:space="preserve">Resultado dos contratos VFA </w:t>
            </w:r>
            <w:r w:rsidRPr="003321FA">
              <w:rPr>
                <w:rFonts w:ascii="Arial" w:hAnsi="Arial" w:cs="Arial"/>
                <w:b w:val="0"/>
                <w:bCs w:val="0"/>
                <w:sz w:val="14"/>
                <w:szCs w:val="14"/>
                <w:vertAlign w:val="superscript"/>
              </w:rPr>
              <w:t>(1)</w:t>
            </w:r>
          </w:p>
        </w:tc>
        <w:tc>
          <w:tcPr>
            <w:tcW w:w="1778" w:type="dxa"/>
            <w:gridSpan w:val="2"/>
            <w:tcBorders>
              <w:top w:val="nil"/>
              <w:left w:val="nil"/>
              <w:bottom w:val="nil"/>
              <w:right w:val="nil"/>
            </w:tcBorders>
            <w:shd w:val="clear" w:color="auto" w:fill="auto"/>
            <w:vAlign w:val="center"/>
          </w:tcPr>
          <w:p w14:paraId="01BC85D8"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474" w:type="dxa"/>
            <w:gridSpan w:val="2"/>
            <w:tcBorders>
              <w:top w:val="nil"/>
              <w:left w:val="nil"/>
              <w:bottom w:val="nil"/>
              <w:right w:val="nil"/>
            </w:tcBorders>
            <w:shd w:val="clear" w:color="auto" w:fill="auto"/>
            <w:vAlign w:val="center"/>
          </w:tcPr>
          <w:p w14:paraId="3867681E"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80" w:type="dxa"/>
            <w:gridSpan w:val="2"/>
            <w:tcBorders>
              <w:top w:val="nil"/>
              <w:left w:val="nil"/>
              <w:bottom w:val="nil"/>
              <w:right w:val="nil"/>
            </w:tcBorders>
            <w:shd w:val="clear" w:color="auto" w:fill="auto"/>
            <w:vAlign w:val="center"/>
          </w:tcPr>
          <w:p w14:paraId="721206A9"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DengXian Light" w:hAnsi="Arial" w:cs="Arial"/>
                <w:sz w:val="14"/>
                <w:szCs w:val="14"/>
              </w:rPr>
            </w:pPr>
            <w:r w:rsidRPr="003321FA">
              <w:rPr>
                <w:rFonts w:ascii="Arial" w:eastAsia="DengXian Light" w:hAnsi="Arial" w:cs="Arial"/>
                <w:color w:val="000000"/>
                <w:sz w:val="14"/>
                <w:szCs w:val="14"/>
              </w:rPr>
              <w:t>3.571.230</w:t>
            </w:r>
          </w:p>
        </w:tc>
        <w:tc>
          <w:tcPr>
            <w:tcW w:w="1780" w:type="dxa"/>
            <w:gridSpan w:val="2"/>
            <w:tcBorders>
              <w:top w:val="nil"/>
              <w:left w:val="nil"/>
              <w:bottom w:val="nil"/>
              <w:right w:val="nil"/>
            </w:tcBorders>
            <w:shd w:val="clear" w:color="auto" w:fill="auto"/>
            <w:vAlign w:val="center"/>
          </w:tcPr>
          <w:p w14:paraId="38968857"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3.194.976</w:t>
            </w:r>
          </w:p>
        </w:tc>
      </w:tr>
      <w:tr w:rsidR="003321FA" w:rsidRPr="003321FA" w14:paraId="10E2BF71"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auto"/>
            <w:vAlign w:val="center"/>
          </w:tcPr>
          <w:p w14:paraId="54995D08" w14:textId="77777777" w:rsidR="003321FA" w:rsidRPr="003321FA" w:rsidRDefault="003321FA">
            <w:pPr>
              <w:keepNext/>
              <w:keepLines/>
              <w:rPr>
                <w:rFonts w:ascii="Arial" w:hAnsi="Arial" w:cs="Arial"/>
                <w:b w:val="0"/>
                <w:bCs w:val="0"/>
                <w:sz w:val="14"/>
                <w:szCs w:val="14"/>
              </w:rPr>
            </w:pPr>
            <w:r w:rsidRPr="003321FA">
              <w:rPr>
                <w:rFonts w:ascii="Arial" w:hAnsi="Arial" w:cs="Arial"/>
                <w:b w:val="0"/>
                <w:bCs w:val="0"/>
                <w:sz w:val="14"/>
                <w:szCs w:val="14"/>
              </w:rPr>
              <w:t>Despesas de seguros</w:t>
            </w:r>
          </w:p>
        </w:tc>
        <w:tc>
          <w:tcPr>
            <w:tcW w:w="1778" w:type="dxa"/>
            <w:gridSpan w:val="2"/>
            <w:tcBorders>
              <w:top w:val="nil"/>
              <w:left w:val="nil"/>
              <w:bottom w:val="nil"/>
              <w:right w:val="nil"/>
            </w:tcBorders>
            <w:shd w:val="clear" w:color="auto" w:fill="auto"/>
            <w:vAlign w:val="center"/>
          </w:tcPr>
          <w:p w14:paraId="1A92E7BC"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474" w:type="dxa"/>
            <w:gridSpan w:val="2"/>
            <w:tcBorders>
              <w:top w:val="nil"/>
              <w:left w:val="nil"/>
              <w:bottom w:val="nil"/>
              <w:right w:val="nil"/>
            </w:tcBorders>
            <w:shd w:val="clear" w:color="auto" w:fill="auto"/>
            <w:vAlign w:val="center"/>
          </w:tcPr>
          <w:p w14:paraId="10D0CA07"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780" w:type="dxa"/>
            <w:gridSpan w:val="2"/>
            <w:tcBorders>
              <w:top w:val="nil"/>
              <w:left w:val="nil"/>
              <w:bottom w:val="nil"/>
              <w:right w:val="nil"/>
            </w:tcBorders>
            <w:shd w:val="clear" w:color="auto" w:fill="auto"/>
            <w:vAlign w:val="center"/>
          </w:tcPr>
          <w:p w14:paraId="34E320E5"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DengXian Light" w:hAnsi="Arial" w:cs="Arial"/>
                <w:sz w:val="14"/>
                <w:szCs w:val="14"/>
              </w:rPr>
            </w:pPr>
            <w:r w:rsidRPr="003321FA">
              <w:rPr>
                <w:rFonts w:ascii="Arial" w:eastAsia="DengXian Light" w:hAnsi="Arial" w:cs="Arial"/>
                <w:color w:val="000000"/>
                <w:sz w:val="14"/>
                <w:szCs w:val="14"/>
              </w:rPr>
              <w:t>(823.194)</w:t>
            </w:r>
          </w:p>
        </w:tc>
        <w:tc>
          <w:tcPr>
            <w:tcW w:w="1780" w:type="dxa"/>
            <w:gridSpan w:val="2"/>
            <w:tcBorders>
              <w:top w:val="nil"/>
              <w:left w:val="nil"/>
              <w:bottom w:val="nil"/>
              <w:right w:val="nil"/>
            </w:tcBorders>
            <w:shd w:val="clear" w:color="auto" w:fill="auto"/>
            <w:vAlign w:val="center"/>
          </w:tcPr>
          <w:p w14:paraId="0871CD6F"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(784.917)</w:t>
            </w:r>
          </w:p>
        </w:tc>
      </w:tr>
      <w:tr w:rsidR="003321FA" w:rsidRPr="003321FA" w14:paraId="56E2EA9A"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auto"/>
            <w:vAlign w:val="center"/>
          </w:tcPr>
          <w:p w14:paraId="65D71AA8" w14:textId="77777777" w:rsidR="003321FA" w:rsidRPr="003321FA" w:rsidRDefault="003321FA">
            <w:pPr>
              <w:keepNext/>
              <w:keepLines/>
              <w:rPr>
                <w:rFonts w:ascii="Arial" w:hAnsi="Arial" w:cs="Arial"/>
                <w:sz w:val="14"/>
                <w:szCs w:val="14"/>
              </w:rPr>
            </w:pPr>
            <w:r w:rsidRPr="003321FA">
              <w:rPr>
                <w:rFonts w:ascii="Arial" w:hAnsi="Arial" w:cs="Arial"/>
                <w:sz w:val="14"/>
                <w:szCs w:val="14"/>
              </w:rPr>
              <w:t>Resultado de Resseguros</w:t>
            </w:r>
          </w:p>
        </w:tc>
        <w:tc>
          <w:tcPr>
            <w:tcW w:w="1778" w:type="dxa"/>
            <w:gridSpan w:val="2"/>
            <w:tcBorders>
              <w:top w:val="nil"/>
              <w:left w:val="nil"/>
              <w:bottom w:val="nil"/>
              <w:right w:val="nil"/>
            </w:tcBorders>
            <w:shd w:val="clear" w:color="auto" w:fill="auto"/>
            <w:vAlign w:val="center"/>
          </w:tcPr>
          <w:p w14:paraId="08267940"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474" w:type="dxa"/>
            <w:gridSpan w:val="2"/>
            <w:tcBorders>
              <w:top w:val="nil"/>
              <w:left w:val="nil"/>
              <w:bottom w:val="nil"/>
              <w:right w:val="nil"/>
            </w:tcBorders>
            <w:shd w:val="clear" w:color="auto" w:fill="auto"/>
            <w:vAlign w:val="center"/>
          </w:tcPr>
          <w:p w14:paraId="47063409"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780" w:type="dxa"/>
            <w:gridSpan w:val="2"/>
            <w:tcBorders>
              <w:top w:val="nil"/>
              <w:left w:val="nil"/>
              <w:bottom w:val="nil"/>
              <w:right w:val="nil"/>
            </w:tcBorders>
            <w:shd w:val="clear" w:color="auto" w:fill="auto"/>
            <w:vAlign w:val="center"/>
          </w:tcPr>
          <w:p w14:paraId="5407286B"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DengXian Light" w:hAnsi="Arial" w:cs="Arial"/>
                <w:b/>
                <w:bCs/>
                <w:sz w:val="14"/>
                <w:szCs w:val="14"/>
              </w:rPr>
            </w:pPr>
            <w:r w:rsidRPr="003321FA">
              <w:rPr>
                <w:rFonts w:ascii="Arial" w:eastAsia="DengXian Light" w:hAnsi="Arial" w:cs="Arial"/>
                <w:b/>
                <w:bCs/>
                <w:color w:val="000000"/>
                <w:sz w:val="14"/>
                <w:szCs w:val="14"/>
              </w:rPr>
              <w:t>(396)</w:t>
            </w:r>
          </w:p>
        </w:tc>
        <w:tc>
          <w:tcPr>
            <w:tcW w:w="1780" w:type="dxa"/>
            <w:gridSpan w:val="2"/>
            <w:tcBorders>
              <w:top w:val="nil"/>
              <w:left w:val="nil"/>
              <w:bottom w:val="nil"/>
              <w:right w:val="nil"/>
            </w:tcBorders>
            <w:shd w:val="clear" w:color="auto" w:fill="auto"/>
            <w:vAlign w:val="center"/>
          </w:tcPr>
          <w:p w14:paraId="31A660F8"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321FA">
              <w:rPr>
                <w:rFonts w:ascii="Arial" w:hAnsi="Arial" w:cs="Arial"/>
                <w:b/>
                <w:bCs/>
                <w:color w:val="000000"/>
                <w:sz w:val="14"/>
                <w:szCs w:val="14"/>
              </w:rPr>
              <w:t>663</w:t>
            </w:r>
          </w:p>
        </w:tc>
      </w:tr>
      <w:tr w:rsidR="003321FA" w:rsidRPr="003321FA" w14:paraId="2A8F5F54"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auto"/>
            <w:vAlign w:val="center"/>
          </w:tcPr>
          <w:p w14:paraId="5A4EEDFC" w14:textId="77777777" w:rsidR="003321FA" w:rsidRPr="003321FA" w:rsidRDefault="003321FA">
            <w:pPr>
              <w:keepNext/>
              <w:keepLines/>
              <w:ind w:left="113"/>
              <w:rPr>
                <w:rFonts w:ascii="Arial" w:hAnsi="Arial" w:cs="Arial"/>
                <w:sz w:val="14"/>
                <w:szCs w:val="14"/>
              </w:rPr>
            </w:pPr>
            <w:r w:rsidRPr="003321FA">
              <w:rPr>
                <w:rFonts w:ascii="Arial" w:hAnsi="Arial" w:cs="Arial"/>
                <w:b w:val="0"/>
                <w:bCs w:val="0"/>
                <w:sz w:val="14"/>
                <w:szCs w:val="14"/>
              </w:rPr>
              <w:t>Receitas de contratos de Resseguros</w:t>
            </w:r>
          </w:p>
        </w:tc>
        <w:tc>
          <w:tcPr>
            <w:tcW w:w="1778" w:type="dxa"/>
            <w:gridSpan w:val="2"/>
            <w:tcBorders>
              <w:top w:val="nil"/>
              <w:left w:val="nil"/>
              <w:bottom w:val="nil"/>
              <w:right w:val="nil"/>
            </w:tcBorders>
            <w:shd w:val="clear" w:color="auto" w:fill="FFFFFF" w:themeFill="background1"/>
            <w:vAlign w:val="center"/>
          </w:tcPr>
          <w:p w14:paraId="210CC6CC"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474" w:type="dxa"/>
            <w:gridSpan w:val="2"/>
            <w:tcBorders>
              <w:top w:val="nil"/>
              <w:left w:val="nil"/>
              <w:bottom w:val="nil"/>
              <w:right w:val="nil"/>
            </w:tcBorders>
            <w:shd w:val="clear" w:color="auto" w:fill="FFFFFF" w:themeFill="background1"/>
            <w:vAlign w:val="center"/>
          </w:tcPr>
          <w:p w14:paraId="02334952"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780" w:type="dxa"/>
            <w:gridSpan w:val="2"/>
            <w:tcBorders>
              <w:top w:val="nil"/>
              <w:left w:val="nil"/>
              <w:bottom w:val="nil"/>
              <w:right w:val="nil"/>
            </w:tcBorders>
            <w:shd w:val="clear" w:color="auto" w:fill="FFFFFF" w:themeFill="background1"/>
            <w:vAlign w:val="center"/>
          </w:tcPr>
          <w:p w14:paraId="04906DAA"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DengXian Light" w:hAnsi="Arial" w:cs="Arial"/>
                <w:sz w:val="14"/>
                <w:szCs w:val="14"/>
              </w:rPr>
            </w:pPr>
            <w:r w:rsidRPr="003321FA">
              <w:rPr>
                <w:rFonts w:ascii="Arial" w:eastAsia="DengXian Light" w:hAnsi="Arial" w:cs="Arial"/>
                <w:color w:val="000000"/>
                <w:sz w:val="14"/>
                <w:szCs w:val="14"/>
              </w:rPr>
              <w:t>170</w:t>
            </w:r>
          </w:p>
        </w:tc>
        <w:tc>
          <w:tcPr>
            <w:tcW w:w="1780" w:type="dxa"/>
            <w:gridSpan w:val="2"/>
            <w:tcBorders>
              <w:top w:val="nil"/>
              <w:left w:val="nil"/>
              <w:bottom w:val="nil"/>
              <w:right w:val="nil"/>
            </w:tcBorders>
            <w:shd w:val="clear" w:color="auto" w:fill="FFFFFF" w:themeFill="background1"/>
            <w:vAlign w:val="center"/>
          </w:tcPr>
          <w:p w14:paraId="33CBBFF1"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sz w:val="14"/>
                <w:szCs w:val="14"/>
              </w:rPr>
              <w:t>146</w:t>
            </w:r>
          </w:p>
        </w:tc>
      </w:tr>
      <w:tr w:rsidR="003321FA" w:rsidRPr="003321FA" w14:paraId="46988E52"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auto"/>
            <w:vAlign w:val="center"/>
          </w:tcPr>
          <w:p w14:paraId="5948DB7D" w14:textId="77777777" w:rsidR="003321FA" w:rsidRPr="003321FA" w:rsidRDefault="003321FA">
            <w:pPr>
              <w:keepNext/>
              <w:keepLines/>
              <w:ind w:left="113"/>
              <w:rPr>
                <w:rFonts w:ascii="Arial" w:hAnsi="Arial" w:cs="Arial"/>
                <w:sz w:val="14"/>
                <w:szCs w:val="14"/>
              </w:rPr>
            </w:pPr>
            <w:r w:rsidRPr="003321FA">
              <w:rPr>
                <w:rFonts w:ascii="Arial" w:hAnsi="Arial" w:cs="Arial"/>
                <w:b w:val="0"/>
                <w:bCs w:val="0"/>
                <w:sz w:val="14"/>
                <w:szCs w:val="14"/>
              </w:rPr>
              <w:t>Despesas de Contratos de Resseguros</w:t>
            </w:r>
          </w:p>
        </w:tc>
        <w:tc>
          <w:tcPr>
            <w:tcW w:w="1778" w:type="dxa"/>
            <w:gridSpan w:val="2"/>
            <w:tcBorders>
              <w:top w:val="nil"/>
              <w:left w:val="nil"/>
              <w:bottom w:val="nil"/>
              <w:right w:val="nil"/>
            </w:tcBorders>
            <w:vAlign w:val="center"/>
          </w:tcPr>
          <w:p w14:paraId="5B1934EB"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474" w:type="dxa"/>
            <w:gridSpan w:val="2"/>
            <w:tcBorders>
              <w:top w:val="nil"/>
              <w:left w:val="nil"/>
              <w:bottom w:val="nil"/>
              <w:right w:val="nil"/>
            </w:tcBorders>
            <w:vAlign w:val="center"/>
          </w:tcPr>
          <w:p w14:paraId="7110101B"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80" w:type="dxa"/>
            <w:gridSpan w:val="2"/>
            <w:tcBorders>
              <w:top w:val="nil"/>
              <w:left w:val="nil"/>
              <w:bottom w:val="nil"/>
              <w:right w:val="nil"/>
            </w:tcBorders>
            <w:vAlign w:val="center"/>
          </w:tcPr>
          <w:p w14:paraId="1046DBDD"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DengXian Light" w:hAnsi="Arial" w:cs="Arial"/>
                <w:sz w:val="14"/>
                <w:szCs w:val="14"/>
              </w:rPr>
            </w:pPr>
            <w:r w:rsidRPr="003321FA">
              <w:rPr>
                <w:rFonts w:ascii="Arial" w:eastAsia="DengXian Light" w:hAnsi="Arial" w:cs="Arial"/>
                <w:color w:val="000000"/>
                <w:sz w:val="14"/>
                <w:szCs w:val="14"/>
              </w:rPr>
              <w:t>(566)</w:t>
            </w:r>
          </w:p>
        </w:tc>
        <w:tc>
          <w:tcPr>
            <w:tcW w:w="1780" w:type="dxa"/>
            <w:gridSpan w:val="2"/>
            <w:tcBorders>
              <w:top w:val="nil"/>
              <w:left w:val="nil"/>
              <w:bottom w:val="nil"/>
              <w:right w:val="nil"/>
            </w:tcBorders>
            <w:vAlign w:val="center"/>
          </w:tcPr>
          <w:p w14:paraId="096D7119"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sz w:val="14"/>
                <w:szCs w:val="14"/>
              </w:rPr>
              <w:t>517</w:t>
            </w:r>
          </w:p>
        </w:tc>
      </w:tr>
      <w:tr w:rsidR="003321FA" w:rsidRPr="003321FA" w14:paraId="689E8BA3"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auto"/>
            <w:vAlign w:val="center"/>
          </w:tcPr>
          <w:p w14:paraId="6598A924" w14:textId="77777777" w:rsidR="003321FA" w:rsidRPr="003321FA" w:rsidRDefault="003321FA">
            <w:pPr>
              <w:keepNext/>
              <w:keepLines/>
              <w:rPr>
                <w:rFonts w:ascii="Arial" w:hAnsi="Arial" w:cs="Arial"/>
                <w:sz w:val="14"/>
                <w:szCs w:val="14"/>
              </w:rPr>
            </w:pPr>
            <w:r w:rsidRPr="003321FA">
              <w:rPr>
                <w:rFonts w:ascii="Arial" w:hAnsi="Arial" w:cs="Arial"/>
                <w:sz w:val="14"/>
                <w:szCs w:val="14"/>
              </w:rPr>
              <w:t>Margem de seguros e resseguros</w:t>
            </w:r>
          </w:p>
        </w:tc>
        <w:tc>
          <w:tcPr>
            <w:tcW w:w="1778" w:type="dxa"/>
            <w:gridSpan w:val="2"/>
            <w:tcBorders>
              <w:top w:val="nil"/>
              <w:left w:val="nil"/>
              <w:bottom w:val="nil"/>
              <w:right w:val="nil"/>
            </w:tcBorders>
            <w:shd w:val="clear" w:color="auto" w:fill="auto"/>
            <w:vAlign w:val="center"/>
          </w:tcPr>
          <w:p w14:paraId="2C9DC39D"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474" w:type="dxa"/>
            <w:gridSpan w:val="2"/>
            <w:tcBorders>
              <w:top w:val="nil"/>
              <w:left w:val="nil"/>
              <w:bottom w:val="nil"/>
              <w:right w:val="nil"/>
            </w:tcBorders>
            <w:shd w:val="clear" w:color="auto" w:fill="auto"/>
            <w:vAlign w:val="center"/>
          </w:tcPr>
          <w:p w14:paraId="3B662957"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780" w:type="dxa"/>
            <w:gridSpan w:val="2"/>
            <w:tcBorders>
              <w:top w:val="nil"/>
              <w:left w:val="nil"/>
              <w:bottom w:val="nil"/>
              <w:right w:val="nil"/>
            </w:tcBorders>
            <w:shd w:val="clear" w:color="auto" w:fill="auto"/>
            <w:vAlign w:val="center"/>
          </w:tcPr>
          <w:p w14:paraId="594CB723"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DengXian Light" w:hAnsi="Arial" w:cs="Arial"/>
                <w:b/>
                <w:bCs/>
                <w:sz w:val="14"/>
                <w:szCs w:val="14"/>
              </w:rPr>
            </w:pPr>
            <w:r w:rsidRPr="003321FA">
              <w:rPr>
                <w:rFonts w:ascii="Arial" w:eastAsia="DengXian Light" w:hAnsi="Arial" w:cs="Arial"/>
                <w:b/>
                <w:bCs/>
                <w:color w:val="000000"/>
                <w:sz w:val="14"/>
                <w:szCs w:val="14"/>
              </w:rPr>
              <w:t>3.524.803</w:t>
            </w:r>
          </w:p>
        </w:tc>
        <w:tc>
          <w:tcPr>
            <w:tcW w:w="1780" w:type="dxa"/>
            <w:gridSpan w:val="2"/>
            <w:tcBorders>
              <w:top w:val="nil"/>
              <w:left w:val="nil"/>
              <w:bottom w:val="nil"/>
              <w:right w:val="nil"/>
            </w:tcBorders>
            <w:shd w:val="clear" w:color="auto" w:fill="auto"/>
            <w:vAlign w:val="center"/>
          </w:tcPr>
          <w:p w14:paraId="6F1A8CF5"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321FA">
              <w:rPr>
                <w:rFonts w:ascii="Arial" w:hAnsi="Arial" w:cs="Arial"/>
                <w:b/>
                <w:bCs/>
                <w:color w:val="000000"/>
                <w:sz w:val="14"/>
                <w:szCs w:val="14"/>
              </w:rPr>
              <w:t>3.065.048</w:t>
            </w:r>
          </w:p>
        </w:tc>
      </w:tr>
      <w:tr w:rsidR="003321FA" w:rsidRPr="003321FA" w14:paraId="73102EA2"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auto"/>
            <w:vAlign w:val="center"/>
          </w:tcPr>
          <w:p w14:paraId="255FD724" w14:textId="77777777" w:rsidR="003321FA" w:rsidRPr="003321FA" w:rsidRDefault="003321FA">
            <w:pPr>
              <w:keepNext/>
              <w:keepLines/>
              <w:rPr>
                <w:rFonts w:ascii="Arial" w:hAnsi="Arial" w:cs="Arial"/>
                <w:sz w:val="14"/>
                <w:szCs w:val="14"/>
              </w:rPr>
            </w:pPr>
            <w:r w:rsidRPr="003321FA">
              <w:rPr>
                <w:rFonts w:ascii="Arial" w:hAnsi="Arial" w:cs="Arial"/>
                <w:sz w:val="14"/>
                <w:szCs w:val="14"/>
              </w:rPr>
              <w:t>Resultado Financeiro</w:t>
            </w:r>
          </w:p>
        </w:tc>
        <w:tc>
          <w:tcPr>
            <w:tcW w:w="1778" w:type="dxa"/>
            <w:gridSpan w:val="2"/>
            <w:tcBorders>
              <w:top w:val="nil"/>
              <w:left w:val="nil"/>
              <w:bottom w:val="nil"/>
              <w:right w:val="nil"/>
            </w:tcBorders>
            <w:shd w:val="clear" w:color="auto" w:fill="auto"/>
            <w:vAlign w:val="center"/>
          </w:tcPr>
          <w:p w14:paraId="68CD3B45"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474" w:type="dxa"/>
            <w:gridSpan w:val="2"/>
            <w:tcBorders>
              <w:top w:val="nil"/>
              <w:left w:val="nil"/>
              <w:bottom w:val="nil"/>
              <w:right w:val="nil"/>
            </w:tcBorders>
            <w:shd w:val="clear" w:color="auto" w:fill="auto"/>
            <w:vAlign w:val="center"/>
          </w:tcPr>
          <w:p w14:paraId="2467B2F0"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780" w:type="dxa"/>
            <w:gridSpan w:val="2"/>
            <w:tcBorders>
              <w:top w:val="nil"/>
              <w:left w:val="nil"/>
              <w:bottom w:val="nil"/>
              <w:right w:val="nil"/>
            </w:tcBorders>
            <w:shd w:val="clear" w:color="auto" w:fill="auto"/>
            <w:vAlign w:val="center"/>
          </w:tcPr>
          <w:p w14:paraId="3948781B"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DengXian Light" w:hAnsi="Arial" w:cs="Arial"/>
                <w:b/>
                <w:bCs/>
                <w:sz w:val="14"/>
                <w:szCs w:val="14"/>
              </w:rPr>
            </w:pPr>
            <w:r w:rsidRPr="003321FA">
              <w:rPr>
                <w:rFonts w:ascii="Arial" w:eastAsia="DengXian Light" w:hAnsi="Arial" w:cs="Arial"/>
                <w:b/>
                <w:bCs/>
                <w:color w:val="000000"/>
                <w:sz w:val="14"/>
                <w:szCs w:val="14"/>
              </w:rPr>
              <w:t>531.461</w:t>
            </w:r>
          </w:p>
        </w:tc>
        <w:tc>
          <w:tcPr>
            <w:tcW w:w="1780" w:type="dxa"/>
            <w:gridSpan w:val="2"/>
            <w:tcBorders>
              <w:top w:val="nil"/>
              <w:left w:val="nil"/>
              <w:bottom w:val="nil"/>
              <w:right w:val="nil"/>
            </w:tcBorders>
            <w:shd w:val="clear" w:color="auto" w:fill="auto"/>
            <w:vAlign w:val="center"/>
          </w:tcPr>
          <w:p w14:paraId="2C347243"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321FA">
              <w:rPr>
                <w:rFonts w:ascii="Arial" w:hAnsi="Arial" w:cs="Arial"/>
                <w:b/>
                <w:bCs/>
                <w:color w:val="000000"/>
                <w:sz w:val="14"/>
                <w:szCs w:val="14"/>
              </w:rPr>
              <w:t>935.893</w:t>
            </w:r>
          </w:p>
        </w:tc>
      </w:tr>
      <w:tr w:rsidR="003321FA" w:rsidRPr="003321FA" w14:paraId="0B59C0F4"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auto"/>
            <w:vAlign w:val="center"/>
          </w:tcPr>
          <w:p w14:paraId="4ED9E2D4" w14:textId="77777777" w:rsidR="003321FA" w:rsidRPr="003321FA" w:rsidRDefault="003321FA">
            <w:pPr>
              <w:keepNext/>
              <w:keepLines/>
              <w:ind w:left="113"/>
              <w:rPr>
                <w:rFonts w:ascii="Arial" w:hAnsi="Arial" w:cs="Arial"/>
                <w:b w:val="0"/>
                <w:bCs w:val="0"/>
                <w:sz w:val="14"/>
                <w:szCs w:val="14"/>
              </w:rPr>
            </w:pPr>
            <w:r w:rsidRPr="003321FA">
              <w:rPr>
                <w:rFonts w:ascii="Arial" w:hAnsi="Arial" w:cs="Arial"/>
                <w:b w:val="0"/>
                <w:bCs w:val="0"/>
                <w:sz w:val="14"/>
                <w:szCs w:val="14"/>
              </w:rPr>
              <w:t>Receitas Financeiras</w:t>
            </w:r>
          </w:p>
        </w:tc>
        <w:tc>
          <w:tcPr>
            <w:tcW w:w="1778" w:type="dxa"/>
            <w:gridSpan w:val="2"/>
            <w:tcBorders>
              <w:top w:val="nil"/>
              <w:left w:val="nil"/>
              <w:bottom w:val="nil"/>
              <w:right w:val="nil"/>
            </w:tcBorders>
            <w:shd w:val="clear" w:color="auto" w:fill="auto"/>
            <w:vAlign w:val="center"/>
          </w:tcPr>
          <w:p w14:paraId="17DFC119"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474" w:type="dxa"/>
            <w:gridSpan w:val="2"/>
            <w:tcBorders>
              <w:top w:val="nil"/>
              <w:left w:val="nil"/>
              <w:bottom w:val="nil"/>
              <w:right w:val="nil"/>
            </w:tcBorders>
            <w:shd w:val="clear" w:color="auto" w:fill="auto"/>
            <w:vAlign w:val="center"/>
          </w:tcPr>
          <w:p w14:paraId="7DFFAD00"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780" w:type="dxa"/>
            <w:gridSpan w:val="2"/>
            <w:tcBorders>
              <w:top w:val="nil"/>
              <w:left w:val="nil"/>
              <w:bottom w:val="nil"/>
              <w:right w:val="nil"/>
            </w:tcBorders>
            <w:shd w:val="clear" w:color="auto" w:fill="auto"/>
            <w:vAlign w:val="center"/>
          </w:tcPr>
          <w:p w14:paraId="549CDFCC"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DengXian Light" w:hAnsi="Arial" w:cs="Arial"/>
                <w:sz w:val="14"/>
                <w:szCs w:val="14"/>
              </w:rPr>
            </w:pPr>
            <w:r w:rsidRPr="003321FA">
              <w:rPr>
                <w:rFonts w:ascii="Arial" w:eastAsia="DengXian Light" w:hAnsi="Arial" w:cs="Arial"/>
                <w:color w:val="000000"/>
                <w:sz w:val="14"/>
                <w:szCs w:val="14"/>
              </w:rPr>
              <w:t>36.856.189</w:t>
            </w:r>
          </w:p>
        </w:tc>
        <w:tc>
          <w:tcPr>
            <w:tcW w:w="1780" w:type="dxa"/>
            <w:gridSpan w:val="2"/>
            <w:tcBorders>
              <w:top w:val="nil"/>
              <w:left w:val="nil"/>
              <w:bottom w:val="nil"/>
              <w:right w:val="nil"/>
            </w:tcBorders>
            <w:shd w:val="clear" w:color="auto" w:fill="auto"/>
            <w:vAlign w:val="center"/>
          </w:tcPr>
          <w:p w14:paraId="21426642"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45.665.730</w:t>
            </w:r>
          </w:p>
        </w:tc>
      </w:tr>
      <w:tr w:rsidR="003321FA" w:rsidRPr="003321FA" w14:paraId="7605E942"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auto"/>
            <w:vAlign w:val="center"/>
          </w:tcPr>
          <w:p w14:paraId="0D4C155A" w14:textId="77777777" w:rsidR="003321FA" w:rsidRPr="003321FA" w:rsidRDefault="003321FA">
            <w:pPr>
              <w:keepNext/>
              <w:keepLines/>
              <w:ind w:left="113"/>
              <w:rPr>
                <w:rFonts w:ascii="Arial" w:hAnsi="Arial" w:cs="Arial"/>
                <w:b w:val="0"/>
                <w:bCs w:val="0"/>
                <w:sz w:val="14"/>
                <w:szCs w:val="14"/>
              </w:rPr>
            </w:pPr>
            <w:r w:rsidRPr="003321FA">
              <w:rPr>
                <w:rFonts w:ascii="Arial" w:hAnsi="Arial" w:cs="Arial"/>
                <w:b w:val="0"/>
                <w:bCs w:val="0"/>
                <w:sz w:val="14"/>
                <w:szCs w:val="14"/>
              </w:rPr>
              <w:t>Despesas Financeiras</w:t>
            </w:r>
          </w:p>
        </w:tc>
        <w:tc>
          <w:tcPr>
            <w:tcW w:w="1778" w:type="dxa"/>
            <w:gridSpan w:val="2"/>
            <w:tcBorders>
              <w:top w:val="nil"/>
              <w:left w:val="nil"/>
              <w:bottom w:val="nil"/>
              <w:right w:val="nil"/>
            </w:tcBorders>
            <w:shd w:val="clear" w:color="auto" w:fill="auto"/>
            <w:vAlign w:val="center"/>
          </w:tcPr>
          <w:p w14:paraId="3ADBE6D3"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474" w:type="dxa"/>
            <w:gridSpan w:val="2"/>
            <w:tcBorders>
              <w:top w:val="nil"/>
              <w:left w:val="nil"/>
              <w:bottom w:val="nil"/>
              <w:right w:val="nil"/>
            </w:tcBorders>
            <w:shd w:val="clear" w:color="auto" w:fill="auto"/>
            <w:vAlign w:val="center"/>
          </w:tcPr>
          <w:p w14:paraId="21331149"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80" w:type="dxa"/>
            <w:gridSpan w:val="2"/>
            <w:tcBorders>
              <w:top w:val="nil"/>
              <w:left w:val="nil"/>
              <w:bottom w:val="nil"/>
              <w:right w:val="nil"/>
            </w:tcBorders>
            <w:shd w:val="clear" w:color="auto" w:fill="auto"/>
            <w:vAlign w:val="center"/>
          </w:tcPr>
          <w:p w14:paraId="3F2ACED3"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DengXian Light" w:hAnsi="Arial" w:cs="Arial"/>
                <w:sz w:val="14"/>
                <w:szCs w:val="14"/>
              </w:rPr>
            </w:pPr>
            <w:r w:rsidRPr="003321FA">
              <w:rPr>
                <w:rFonts w:ascii="Arial" w:eastAsia="DengXian Light" w:hAnsi="Arial" w:cs="Arial"/>
                <w:color w:val="000000"/>
                <w:sz w:val="14"/>
                <w:szCs w:val="14"/>
              </w:rPr>
              <w:t>(36.324.728)</w:t>
            </w:r>
          </w:p>
        </w:tc>
        <w:tc>
          <w:tcPr>
            <w:tcW w:w="1780" w:type="dxa"/>
            <w:gridSpan w:val="2"/>
            <w:tcBorders>
              <w:top w:val="nil"/>
              <w:left w:val="nil"/>
              <w:bottom w:val="nil"/>
              <w:right w:val="nil"/>
            </w:tcBorders>
            <w:shd w:val="clear" w:color="auto" w:fill="auto"/>
            <w:vAlign w:val="center"/>
          </w:tcPr>
          <w:p w14:paraId="684D3C0F"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(44.729.837)</w:t>
            </w:r>
          </w:p>
        </w:tc>
      </w:tr>
      <w:tr w:rsidR="003321FA" w:rsidRPr="003321FA" w14:paraId="16112C08"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auto"/>
            <w:vAlign w:val="center"/>
          </w:tcPr>
          <w:p w14:paraId="5BD272B3" w14:textId="77777777" w:rsidR="003321FA" w:rsidRPr="003321FA" w:rsidRDefault="003321FA">
            <w:pPr>
              <w:keepNext/>
              <w:keepLines/>
              <w:rPr>
                <w:rFonts w:ascii="Arial" w:hAnsi="Arial" w:cs="Arial"/>
                <w:b w:val="0"/>
                <w:bCs w:val="0"/>
                <w:sz w:val="14"/>
                <w:szCs w:val="14"/>
              </w:rPr>
            </w:pPr>
            <w:r w:rsidRPr="003321FA">
              <w:rPr>
                <w:rFonts w:ascii="Arial" w:hAnsi="Arial" w:cs="Arial"/>
                <w:b w:val="0"/>
                <w:bCs w:val="0"/>
                <w:sz w:val="14"/>
                <w:szCs w:val="14"/>
              </w:rPr>
              <w:t>Despesas Não Atribuíveis</w:t>
            </w:r>
          </w:p>
        </w:tc>
        <w:tc>
          <w:tcPr>
            <w:tcW w:w="1778" w:type="dxa"/>
            <w:gridSpan w:val="2"/>
            <w:tcBorders>
              <w:top w:val="nil"/>
              <w:left w:val="nil"/>
              <w:bottom w:val="nil"/>
              <w:right w:val="nil"/>
            </w:tcBorders>
            <w:shd w:val="clear" w:color="auto" w:fill="auto"/>
            <w:vAlign w:val="center"/>
          </w:tcPr>
          <w:p w14:paraId="33872242"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474" w:type="dxa"/>
            <w:gridSpan w:val="2"/>
            <w:tcBorders>
              <w:top w:val="nil"/>
              <w:left w:val="nil"/>
              <w:bottom w:val="nil"/>
              <w:right w:val="nil"/>
            </w:tcBorders>
            <w:shd w:val="clear" w:color="auto" w:fill="auto"/>
            <w:vAlign w:val="center"/>
          </w:tcPr>
          <w:p w14:paraId="623A00A9"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780" w:type="dxa"/>
            <w:gridSpan w:val="2"/>
            <w:tcBorders>
              <w:top w:val="nil"/>
              <w:left w:val="nil"/>
              <w:bottom w:val="nil"/>
              <w:right w:val="nil"/>
            </w:tcBorders>
            <w:shd w:val="clear" w:color="auto" w:fill="auto"/>
            <w:vAlign w:val="center"/>
          </w:tcPr>
          <w:p w14:paraId="6638468F" w14:textId="06616EF8"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DengXian Light" w:hAnsi="Arial" w:cs="Arial"/>
                <w:sz w:val="14"/>
                <w:szCs w:val="14"/>
              </w:rPr>
            </w:pPr>
            <w:r w:rsidRPr="003321FA">
              <w:rPr>
                <w:rFonts w:ascii="Arial" w:eastAsia="DengXian Light" w:hAnsi="Arial" w:cs="Arial"/>
                <w:color w:val="000000"/>
                <w:sz w:val="14"/>
                <w:szCs w:val="14"/>
              </w:rPr>
              <w:t>(84.65</w:t>
            </w:r>
            <w:r w:rsidR="00C17780">
              <w:rPr>
                <w:rFonts w:ascii="Arial" w:eastAsia="DengXian Light" w:hAnsi="Arial" w:cs="Arial"/>
                <w:color w:val="000000"/>
                <w:sz w:val="14"/>
                <w:szCs w:val="14"/>
              </w:rPr>
              <w:t>7</w:t>
            </w:r>
            <w:r w:rsidRPr="003321FA">
              <w:rPr>
                <w:rFonts w:ascii="Arial" w:eastAsia="DengXian Light" w:hAnsi="Arial" w:cs="Arial"/>
                <w:color w:val="000000"/>
                <w:sz w:val="14"/>
                <w:szCs w:val="14"/>
              </w:rPr>
              <w:t>)</w:t>
            </w:r>
          </w:p>
        </w:tc>
        <w:tc>
          <w:tcPr>
            <w:tcW w:w="1780" w:type="dxa"/>
            <w:gridSpan w:val="2"/>
            <w:tcBorders>
              <w:top w:val="nil"/>
              <w:left w:val="nil"/>
              <w:bottom w:val="nil"/>
              <w:right w:val="nil"/>
            </w:tcBorders>
            <w:shd w:val="clear" w:color="auto" w:fill="auto"/>
            <w:vAlign w:val="center"/>
          </w:tcPr>
          <w:p w14:paraId="17F7BCC2"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(75.121)</w:t>
            </w:r>
          </w:p>
        </w:tc>
      </w:tr>
      <w:tr w:rsidR="003321FA" w:rsidRPr="003321FA" w14:paraId="460D3ED3"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auto"/>
            <w:vAlign w:val="center"/>
          </w:tcPr>
          <w:p w14:paraId="2BD2E24F" w14:textId="77777777" w:rsidR="003321FA" w:rsidRPr="003321FA" w:rsidRDefault="003321FA">
            <w:pPr>
              <w:keepNext/>
              <w:keepLines/>
              <w:rPr>
                <w:rFonts w:ascii="Arial" w:hAnsi="Arial" w:cs="Arial"/>
                <w:b w:val="0"/>
                <w:bCs w:val="0"/>
                <w:sz w:val="14"/>
                <w:szCs w:val="14"/>
              </w:rPr>
            </w:pPr>
            <w:r w:rsidRPr="003321FA">
              <w:rPr>
                <w:rFonts w:ascii="Arial" w:hAnsi="Arial" w:cs="Arial"/>
                <w:b w:val="0"/>
                <w:bCs w:val="0"/>
                <w:sz w:val="14"/>
                <w:szCs w:val="14"/>
              </w:rPr>
              <w:t>Outras receitas e despesas</w:t>
            </w:r>
          </w:p>
        </w:tc>
        <w:tc>
          <w:tcPr>
            <w:tcW w:w="1778" w:type="dxa"/>
            <w:gridSpan w:val="2"/>
            <w:tcBorders>
              <w:top w:val="nil"/>
              <w:left w:val="nil"/>
              <w:bottom w:val="nil"/>
              <w:right w:val="nil"/>
            </w:tcBorders>
            <w:shd w:val="clear" w:color="auto" w:fill="auto"/>
            <w:vAlign w:val="center"/>
          </w:tcPr>
          <w:p w14:paraId="5440BB67"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474" w:type="dxa"/>
            <w:gridSpan w:val="2"/>
            <w:tcBorders>
              <w:top w:val="nil"/>
              <w:left w:val="nil"/>
              <w:bottom w:val="nil"/>
              <w:right w:val="nil"/>
            </w:tcBorders>
            <w:shd w:val="clear" w:color="auto" w:fill="auto"/>
            <w:vAlign w:val="center"/>
          </w:tcPr>
          <w:p w14:paraId="52623BED"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80" w:type="dxa"/>
            <w:gridSpan w:val="2"/>
            <w:tcBorders>
              <w:top w:val="nil"/>
              <w:left w:val="nil"/>
              <w:bottom w:val="nil"/>
              <w:right w:val="nil"/>
            </w:tcBorders>
            <w:shd w:val="clear" w:color="auto" w:fill="auto"/>
            <w:vAlign w:val="center"/>
          </w:tcPr>
          <w:p w14:paraId="1DA1E750"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DengXian Light" w:hAnsi="Arial" w:cs="Arial"/>
                <w:sz w:val="14"/>
                <w:szCs w:val="14"/>
              </w:rPr>
            </w:pPr>
            <w:r w:rsidRPr="003321FA">
              <w:rPr>
                <w:rFonts w:ascii="Arial" w:eastAsia="DengXian Light" w:hAnsi="Arial" w:cs="Arial"/>
                <w:color w:val="000000"/>
                <w:sz w:val="14"/>
                <w:szCs w:val="14"/>
              </w:rPr>
              <w:t>(22)</w:t>
            </w:r>
          </w:p>
        </w:tc>
        <w:tc>
          <w:tcPr>
            <w:tcW w:w="1780" w:type="dxa"/>
            <w:gridSpan w:val="2"/>
            <w:tcBorders>
              <w:top w:val="nil"/>
              <w:left w:val="nil"/>
              <w:bottom w:val="nil"/>
              <w:right w:val="nil"/>
            </w:tcBorders>
            <w:shd w:val="clear" w:color="auto" w:fill="auto"/>
            <w:vAlign w:val="center"/>
          </w:tcPr>
          <w:p w14:paraId="6733B756"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17</w:t>
            </w:r>
          </w:p>
        </w:tc>
      </w:tr>
      <w:tr w:rsidR="003321FA" w:rsidRPr="003321FA" w14:paraId="64E32032"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auto"/>
            <w:vAlign w:val="center"/>
          </w:tcPr>
          <w:p w14:paraId="053003AA" w14:textId="77777777" w:rsidR="003321FA" w:rsidRPr="003321FA" w:rsidRDefault="003321FA">
            <w:pPr>
              <w:keepNext/>
              <w:keepLines/>
              <w:rPr>
                <w:rFonts w:ascii="Arial" w:hAnsi="Arial" w:cs="Arial"/>
                <w:sz w:val="14"/>
                <w:szCs w:val="14"/>
              </w:rPr>
            </w:pPr>
            <w:r w:rsidRPr="003321FA">
              <w:rPr>
                <w:rFonts w:ascii="Arial" w:hAnsi="Arial" w:cs="Arial"/>
                <w:sz w:val="14"/>
                <w:szCs w:val="14"/>
              </w:rPr>
              <w:t>Lucro antes do IRPJ e CSLL</w:t>
            </w:r>
          </w:p>
        </w:tc>
        <w:tc>
          <w:tcPr>
            <w:tcW w:w="1778" w:type="dxa"/>
            <w:gridSpan w:val="2"/>
            <w:tcBorders>
              <w:top w:val="nil"/>
              <w:left w:val="nil"/>
              <w:bottom w:val="nil"/>
              <w:right w:val="nil"/>
            </w:tcBorders>
            <w:shd w:val="clear" w:color="auto" w:fill="auto"/>
            <w:vAlign w:val="center"/>
          </w:tcPr>
          <w:p w14:paraId="1E095086"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474" w:type="dxa"/>
            <w:gridSpan w:val="2"/>
            <w:tcBorders>
              <w:top w:val="nil"/>
              <w:left w:val="nil"/>
              <w:bottom w:val="nil"/>
              <w:right w:val="nil"/>
            </w:tcBorders>
            <w:shd w:val="clear" w:color="auto" w:fill="auto"/>
            <w:vAlign w:val="center"/>
          </w:tcPr>
          <w:p w14:paraId="6662EE42"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780" w:type="dxa"/>
            <w:gridSpan w:val="2"/>
            <w:tcBorders>
              <w:top w:val="nil"/>
              <w:left w:val="nil"/>
              <w:bottom w:val="nil"/>
              <w:right w:val="nil"/>
            </w:tcBorders>
            <w:shd w:val="clear" w:color="auto" w:fill="auto"/>
            <w:vAlign w:val="center"/>
          </w:tcPr>
          <w:p w14:paraId="7C5B420C"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DengXian Light" w:hAnsi="Arial" w:cs="Arial"/>
                <w:b/>
                <w:bCs/>
                <w:sz w:val="14"/>
                <w:szCs w:val="14"/>
              </w:rPr>
            </w:pPr>
            <w:r w:rsidRPr="003321FA">
              <w:rPr>
                <w:rFonts w:ascii="Arial" w:eastAsia="DengXian Light" w:hAnsi="Arial" w:cs="Arial"/>
                <w:b/>
                <w:bCs/>
                <w:color w:val="000000"/>
                <w:sz w:val="14"/>
                <w:szCs w:val="14"/>
              </w:rPr>
              <w:t>3.971.585</w:t>
            </w:r>
          </w:p>
        </w:tc>
        <w:tc>
          <w:tcPr>
            <w:tcW w:w="1780" w:type="dxa"/>
            <w:gridSpan w:val="2"/>
            <w:tcBorders>
              <w:top w:val="nil"/>
              <w:left w:val="nil"/>
              <w:bottom w:val="nil"/>
              <w:right w:val="nil"/>
            </w:tcBorders>
            <w:shd w:val="clear" w:color="auto" w:fill="auto"/>
            <w:vAlign w:val="center"/>
          </w:tcPr>
          <w:p w14:paraId="5401D206"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321FA">
              <w:rPr>
                <w:rFonts w:ascii="Arial" w:hAnsi="Arial" w:cs="Arial"/>
                <w:b/>
                <w:bCs/>
                <w:color w:val="000000"/>
                <w:sz w:val="14"/>
                <w:szCs w:val="14"/>
              </w:rPr>
              <w:t>3.925.836</w:t>
            </w:r>
          </w:p>
        </w:tc>
      </w:tr>
      <w:tr w:rsidR="003321FA" w:rsidRPr="003321FA" w14:paraId="020690A9"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auto"/>
            <w:vAlign w:val="center"/>
          </w:tcPr>
          <w:p w14:paraId="78570D34" w14:textId="77777777" w:rsidR="003321FA" w:rsidRPr="003321FA" w:rsidRDefault="003321FA">
            <w:pPr>
              <w:keepNext/>
              <w:keepLines/>
              <w:ind w:left="113"/>
              <w:rPr>
                <w:rFonts w:ascii="Arial" w:hAnsi="Arial" w:cs="Arial"/>
                <w:b w:val="0"/>
                <w:bCs w:val="0"/>
                <w:color w:val="000000"/>
                <w:sz w:val="14"/>
                <w:szCs w:val="14"/>
              </w:rPr>
            </w:pPr>
            <w:r w:rsidRPr="003321FA">
              <w:rPr>
                <w:rFonts w:ascii="Arial" w:hAnsi="Arial" w:cs="Arial"/>
                <w:b w:val="0"/>
                <w:bCs w:val="0"/>
                <w:sz w:val="14"/>
                <w:szCs w:val="14"/>
              </w:rPr>
              <w:t>IRPJ e CSLL</w:t>
            </w:r>
          </w:p>
        </w:tc>
        <w:tc>
          <w:tcPr>
            <w:tcW w:w="1778" w:type="dxa"/>
            <w:gridSpan w:val="2"/>
            <w:tcBorders>
              <w:top w:val="nil"/>
              <w:left w:val="nil"/>
              <w:bottom w:val="nil"/>
              <w:right w:val="nil"/>
            </w:tcBorders>
            <w:shd w:val="clear" w:color="auto" w:fill="auto"/>
            <w:vAlign w:val="center"/>
          </w:tcPr>
          <w:p w14:paraId="3EA28B70"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474" w:type="dxa"/>
            <w:gridSpan w:val="2"/>
            <w:tcBorders>
              <w:top w:val="nil"/>
              <w:left w:val="nil"/>
              <w:bottom w:val="nil"/>
              <w:right w:val="nil"/>
            </w:tcBorders>
            <w:shd w:val="clear" w:color="auto" w:fill="auto"/>
            <w:vAlign w:val="center"/>
          </w:tcPr>
          <w:p w14:paraId="7CCC11CA"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80" w:type="dxa"/>
            <w:gridSpan w:val="2"/>
            <w:tcBorders>
              <w:top w:val="nil"/>
              <w:left w:val="nil"/>
              <w:bottom w:val="nil"/>
              <w:right w:val="nil"/>
            </w:tcBorders>
            <w:shd w:val="clear" w:color="auto" w:fill="auto"/>
            <w:vAlign w:val="center"/>
          </w:tcPr>
          <w:p w14:paraId="3BD364E0" w14:textId="4BB5DC61"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DengXian Light" w:hAnsi="Arial" w:cs="Arial"/>
                <w:sz w:val="14"/>
                <w:szCs w:val="14"/>
              </w:rPr>
            </w:pPr>
            <w:r w:rsidRPr="003321FA">
              <w:rPr>
                <w:rFonts w:ascii="Arial" w:eastAsia="DengXian Light" w:hAnsi="Arial" w:cs="Arial"/>
                <w:color w:val="000000"/>
                <w:sz w:val="14"/>
                <w:szCs w:val="14"/>
              </w:rPr>
              <w:t>(1.550.57</w:t>
            </w:r>
            <w:r w:rsidR="00423790">
              <w:rPr>
                <w:rFonts w:ascii="Arial" w:eastAsia="DengXian Light" w:hAnsi="Arial" w:cs="Arial"/>
                <w:color w:val="000000"/>
                <w:sz w:val="14"/>
                <w:szCs w:val="14"/>
              </w:rPr>
              <w:t>8</w:t>
            </w:r>
            <w:r w:rsidRPr="003321FA">
              <w:rPr>
                <w:rFonts w:ascii="Arial" w:eastAsia="DengXian Light" w:hAnsi="Arial" w:cs="Arial"/>
                <w:color w:val="000000"/>
                <w:sz w:val="14"/>
                <w:szCs w:val="14"/>
              </w:rPr>
              <w:t>)</w:t>
            </w:r>
          </w:p>
        </w:tc>
        <w:tc>
          <w:tcPr>
            <w:tcW w:w="1780" w:type="dxa"/>
            <w:gridSpan w:val="2"/>
            <w:tcBorders>
              <w:top w:val="nil"/>
              <w:left w:val="nil"/>
              <w:bottom w:val="nil"/>
              <w:right w:val="nil"/>
            </w:tcBorders>
            <w:shd w:val="clear" w:color="auto" w:fill="auto"/>
            <w:vAlign w:val="center"/>
          </w:tcPr>
          <w:p w14:paraId="37D1ADD5"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(1.535.846)</w:t>
            </w:r>
          </w:p>
        </w:tc>
      </w:tr>
      <w:tr w:rsidR="003321FA" w:rsidRPr="003321FA" w14:paraId="5D8321C9"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auto"/>
            <w:vAlign w:val="center"/>
          </w:tcPr>
          <w:p w14:paraId="50E8536C" w14:textId="77777777" w:rsidR="003321FA" w:rsidRPr="003321FA" w:rsidRDefault="003321FA">
            <w:pPr>
              <w:keepNext/>
              <w:keepLines/>
              <w:spacing w:before="40" w:after="40"/>
              <w:ind w:left="113"/>
              <w:rPr>
                <w:rFonts w:ascii="Arial" w:hAnsi="Arial" w:cs="Arial"/>
                <w:b w:val="0"/>
                <w:bCs w:val="0"/>
                <w:sz w:val="14"/>
                <w:szCs w:val="14"/>
              </w:rPr>
            </w:pPr>
            <w:r w:rsidRPr="003321FA">
              <w:rPr>
                <w:rFonts w:ascii="Arial" w:hAnsi="Arial" w:cs="Arial"/>
                <w:b w:val="0"/>
                <w:bCs w:val="0"/>
                <w:sz w:val="14"/>
                <w:szCs w:val="14"/>
              </w:rPr>
              <w:t>Participações sobre o resultado</w:t>
            </w:r>
          </w:p>
        </w:tc>
        <w:tc>
          <w:tcPr>
            <w:tcW w:w="1778" w:type="dxa"/>
            <w:gridSpan w:val="2"/>
            <w:tcBorders>
              <w:top w:val="nil"/>
              <w:left w:val="nil"/>
              <w:bottom w:val="nil"/>
              <w:right w:val="nil"/>
            </w:tcBorders>
            <w:shd w:val="clear" w:color="auto" w:fill="auto"/>
            <w:vAlign w:val="center"/>
          </w:tcPr>
          <w:p w14:paraId="7BD540A2"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474" w:type="dxa"/>
            <w:gridSpan w:val="2"/>
            <w:tcBorders>
              <w:top w:val="nil"/>
              <w:left w:val="nil"/>
              <w:bottom w:val="nil"/>
              <w:right w:val="nil"/>
            </w:tcBorders>
            <w:shd w:val="clear" w:color="auto" w:fill="auto"/>
            <w:vAlign w:val="center"/>
          </w:tcPr>
          <w:p w14:paraId="3F1D74FF"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780" w:type="dxa"/>
            <w:gridSpan w:val="2"/>
            <w:tcBorders>
              <w:top w:val="nil"/>
              <w:left w:val="nil"/>
              <w:bottom w:val="nil"/>
              <w:right w:val="nil"/>
            </w:tcBorders>
            <w:shd w:val="clear" w:color="auto" w:fill="auto"/>
            <w:vAlign w:val="center"/>
          </w:tcPr>
          <w:p w14:paraId="681E3513"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DengXian Light" w:hAnsi="Arial" w:cs="Arial"/>
                <w:sz w:val="14"/>
                <w:szCs w:val="14"/>
              </w:rPr>
            </w:pPr>
            <w:r w:rsidRPr="003321FA">
              <w:rPr>
                <w:rFonts w:ascii="Arial" w:eastAsia="DengXian Light" w:hAnsi="Arial" w:cs="Arial"/>
                <w:color w:val="000000"/>
                <w:sz w:val="14"/>
                <w:szCs w:val="14"/>
              </w:rPr>
              <w:t>(20.284)</w:t>
            </w:r>
          </w:p>
        </w:tc>
        <w:tc>
          <w:tcPr>
            <w:tcW w:w="1780" w:type="dxa"/>
            <w:gridSpan w:val="2"/>
            <w:tcBorders>
              <w:top w:val="nil"/>
              <w:left w:val="nil"/>
              <w:bottom w:val="nil"/>
              <w:right w:val="nil"/>
            </w:tcBorders>
            <w:shd w:val="clear" w:color="auto" w:fill="auto"/>
            <w:vAlign w:val="center"/>
          </w:tcPr>
          <w:p w14:paraId="69E6FCF5"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(15.732)</w:t>
            </w:r>
          </w:p>
        </w:tc>
      </w:tr>
      <w:tr w:rsidR="003321FA" w:rsidRPr="003321FA" w14:paraId="2CA1E389"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auto"/>
            <w:vAlign w:val="center"/>
          </w:tcPr>
          <w:p w14:paraId="0AB4139C" w14:textId="77777777" w:rsidR="003321FA" w:rsidRPr="003321FA" w:rsidRDefault="003321FA">
            <w:pPr>
              <w:keepNext/>
              <w:keepLines/>
              <w:spacing w:before="40" w:after="40"/>
              <w:rPr>
                <w:rFonts w:ascii="Arial" w:hAnsi="Arial" w:cs="Arial"/>
                <w:color w:val="000000"/>
                <w:sz w:val="14"/>
                <w:szCs w:val="14"/>
              </w:rPr>
            </w:pPr>
            <w:r w:rsidRPr="003321FA">
              <w:rPr>
                <w:rFonts w:ascii="Arial" w:hAnsi="Arial" w:cs="Arial"/>
                <w:sz w:val="14"/>
                <w:szCs w:val="14"/>
              </w:rPr>
              <w:t>Resultado líquido</w:t>
            </w:r>
          </w:p>
        </w:tc>
        <w:tc>
          <w:tcPr>
            <w:tcW w:w="1778" w:type="dxa"/>
            <w:gridSpan w:val="2"/>
            <w:tcBorders>
              <w:top w:val="nil"/>
              <w:left w:val="nil"/>
              <w:bottom w:val="nil"/>
              <w:right w:val="nil"/>
            </w:tcBorders>
            <w:shd w:val="clear" w:color="auto" w:fill="auto"/>
            <w:vAlign w:val="center"/>
          </w:tcPr>
          <w:p w14:paraId="3960F741"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474" w:type="dxa"/>
            <w:gridSpan w:val="2"/>
            <w:tcBorders>
              <w:top w:val="nil"/>
              <w:left w:val="nil"/>
              <w:bottom w:val="nil"/>
              <w:right w:val="nil"/>
            </w:tcBorders>
            <w:shd w:val="clear" w:color="auto" w:fill="auto"/>
            <w:vAlign w:val="center"/>
          </w:tcPr>
          <w:p w14:paraId="57FA3933"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780" w:type="dxa"/>
            <w:gridSpan w:val="2"/>
            <w:tcBorders>
              <w:top w:val="nil"/>
              <w:left w:val="nil"/>
              <w:bottom w:val="nil"/>
              <w:right w:val="nil"/>
            </w:tcBorders>
            <w:shd w:val="clear" w:color="auto" w:fill="auto"/>
            <w:vAlign w:val="center"/>
          </w:tcPr>
          <w:p w14:paraId="35714965"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DengXian Light" w:hAnsi="Arial" w:cs="Arial"/>
                <w:b/>
                <w:bCs/>
                <w:sz w:val="14"/>
                <w:szCs w:val="14"/>
              </w:rPr>
            </w:pPr>
            <w:r w:rsidRPr="003321FA">
              <w:rPr>
                <w:rFonts w:ascii="Arial" w:eastAsia="DengXian Light" w:hAnsi="Arial" w:cs="Arial"/>
                <w:b/>
                <w:bCs/>
                <w:color w:val="000000"/>
                <w:sz w:val="14"/>
                <w:szCs w:val="14"/>
              </w:rPr>
              <w:t>2.400.723</w:t>
            </w:r>
          </w:p>
        </w:tc>
        <w:tc>
          <w:tcPr>
            <w:tcW w:w="1780" w:type="dxa"/>
            <w:gridSpan w:val="2"/>
            <w:tcBorders>
              <w:top w:val="nil"/>
              <w:left w:val="nil"/>
              <w:bottom w:val="nil"/>
              <w:right w:val="nil"/>
            </w:tcBorders>
            <w:shd w:val="clear" w:color="auto" w:fill="auto"/>
            <w:vAlign w:val="center"/>
          </w:tcPr>
          <w:p w14:paraId="561988CC"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321FA">
              <w:rPr>
                <w:rFonts w:ascii="Arial" w:hAnsi="Arial" w:cs="Arial"/>
                <w:b/>
                <w:bCs/>
                <w:color w:val="000000"/>
                <w:sz w:val="14"/>
                <w:szCs w:val="14"/>
              </w:rPr>
              <w:t>2.374.258</w:t>
            </w:r>
          </w:p>
        </w:tc>
      </w:tr>
      <w:tr w:rsidR="003321FA" w:rsidRPr="003321FA" w14:paraId="45F14B1A"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auto"/>
            <w:vAlign w:val="center"/>
          </w:tcPr>
          <w:p w14:paraId="59A2C80C" w14:textId="77777777" w:rsidR="003321FA" w:rsidRPr="003321FA" w:rsidRDefault="003321FA">
            <w:pPr>
              <w:keepNext/>
              <w:keepLines/>
              <w:ind w:left="113"/>
              <w:rPr>
                <w:rFonts w:ascii="Arial" w:hAnsi="Arial" w:cs="Arial"/>
                <w:b w:val="0"/>
                <w:bCs w:val="0"/>
                <w:color w:val="000000"/>
                <w:sz w:val="14"/>
                <w:szCs w:val="14"/>
              </w:rPr>
            </w:pPr>
            <w:r w:rsidRPr="003321FA">
              <w:rPr>
                <w:rFonts w:ascii="Arial" w:hAnsi="Arial" w:cs="Arial"/>
                <w:b w:val="0"/>
                <w:bCs w:val="0"/>
                <w:sz w:val="14"/>
                <w:szCs w:val="14"/>
              </w:rPr>
              <w:t>Outros resultados abrangentes</w:t>
            </w:r>
          </w:p>
        </w:tc>
        <w:tc>
          <w:tcPr>
            <w:tcW w:w="1778" w:type="dxa"/>
            <w:gridSpan w:val="2"/>
            <w:tcBorders>
              <w:top w:val="nil"/>
              <w:left w:val="nil"/>
              <w:bottom w:val="nil"/>
              <w:right w:val="nil"/>
            </w:tcBorders>
            <w:shd w:val="clear" w:color="auto" w:fill="auto"/>
            <w:vAlign w:val="center"/>
          </w:tcPr>
          <w:p w14:paraId="54E166EC"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474" w:type="dxa"/>
            <w:gridSpan w:val="2"/>
            <w:tcBorders>
              <w:top w:val="nil"/>
              <w:left w:val="nil"/>
              <w:bottom w:val="nil"/>
              <w:right w:val="nil"/>
            </w:tcBorders>
            <w:shd w:val="clear" w:color="auto" w:fill="auto"/>
            <w:vAlign w:val="center"/>
          </w:tcPr>
          <w:p w14:paraId="66366185"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780" w:type="dxa"/>
            <w:gridSpan w:val="2"/>
            <w:tcBorders>
              <w:top w:val="nil"/>
              <w:left w:val="nil"/>
              <w:bottom w:val="nil"/>
              <w:right w:val="nil"/>
            </w:tcBorders>
            <w:shd w:val="clear" w:color="auto" w:fill="auto"/>
            <w:vAlign w:val="center"/>
          </w:tcPr>
          <w:p w14:paraId="4F4819D6" w14:textId="749B84FF"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DengXian Light" w:hAnsi="Arial" w:cs="Arial"/>
                <w:sz w:val="14"/>
                <w:szCs w:val="14"/>
              </w:rPr>
            </w:pPr>
            <w:r w:rsidRPr="003321FA">
              <w:rPr>
                <w:rFonts w:ascii="Arial" w:eastAsia="DengXian Light" w:hAnsi="Arial" w:cs="Arial"/>
                <w:color w:val="000000"/>
                <w:sz w:val="14"/>
                <w:szCs w:val="14"/>
              </w:rPr>
              <w:t>(668.81</w:t>
            </w:r>
            <w:r w:rsidR="00351A24">
              <w:rPr>
                <w:rFonts w:ascii="Arial" w:eastAsia="DengXian Light" w:hAnsi="Arial" w:cs="Arial"/>
                <w:color w:val="000000"/>
                <w:sz w:val="14"/>
                <w:szCs w:val="14"/>
              </w:rPr>
              <w:t>7</w:t>
            </w:r>
            <w:r w:rsidRPr="003321FA">
              <w:rPr>
                <w:rFonts w:ascii="Arial" w:eastAsia="DengXian Light" w:hAnsi="Arial" w:cs="Arial"/>
                <w:color w:val="000000"/>
                <w:sz w:val="14"/>
                <w:szCs w:val="14"/>
              </w:rPr>
              <w:t>)</w:t>
            </w:r>
          </w:p>
        </w:tc>
        <w:tc>
          <w:tcPr>
            <w:tcW w:w="1780" w:type="dxa"/>
            <w:gridSpan w:val="2"/>
            <w:tcBorders>
              <w:top w:val="nil"/>
              <w:left w:val="nil"/>
              <w:bottom w:val="nil"/>
              <w:right w:val="nil"/>
            </w:tcBorders>
            <w:shd w:val="clear" w:color="auto" w:fill="auto"/>
            <w:vAlign w:val="center"/>
          </w:tcPr>
          <w:p w14:paraId="1C13FD83"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852</w:t>
            </w:r>
          </w:p>
        </w:tc>
      </w:tr>
      <w:tr w:rsidR="003321FA" w:rsidRPr="003321FA" w14:paraId="524C5690"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auto"/>
            <w:vAlign w:val="center"/>
          </w:tcPr>
          <w:p w14:paraId="54DB0D58" w14:textId="77777777" w:rsidR="003321FA" w:rsidRPr="003321FA" w:rsidRDefault="003321FA">
            <w:pPr>
              <w:keepNext/>
              <w:keepLines/>
              <w:rPr>
                <w:rFonts w:ascii="Arial" w:hAnsi="Arial" w:cs="Arial"/>
                <w:color w:val="000000"/>
                <w:sz w:val="14"/>
                <w:szCs w:val="14"/>
              </w:rPr>
            </w:pPr>
            <w:r w:rsidRPr="003321FA">
              <w:rPr>
                <w:rFonts w:ascii="Arial" w:hAnsi="Arial" w:cs="Arial"/>
                <w:sz w:val="14"/>
                <w:szCs w:val="14"/>
              </w:rPr>
              <w:t>Resultado abrangente</w:t>
            </w:r>
          </w:p>
        </w:tc>
        <w:tc>
          <w:tcPr>
            <w:tcW w:w="1778" w:type="dxa"/>
            <w:gridSpan w:val="2"/>
            <w:tcBorders>
              <w:top w:val="nil"/>
              <w:left w:val="nil"/>
              <w:bottom w:val="nil"/>
              <w:right w:val="nil"/>
            </w:tcBorders>
            <w:shd w:val="clear" w:color="auto" w:fill="auto"/>
            <w:vAlign w:val="center"/>
          </w:tcPr>
          <w:p w14:paraId="729BCE32"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474" w:type="dxa"/>
            <w:gridSpan w:val="2"/>
            <w:tcBorders>
              <w:top w:val="nil"/>
              <w:left w:val="nil"/>
              <w:bottom w:val="nil"/>
              <w:right w:val="nil"/>
            </w:tcBorders>
            <w:shd w:val="clear" w:color="auto" w:fill="auto"/>
            <w:vAlign w:val="center"/>
          </w:tcPr>
          <w:p w14:paraId="5E423D36"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780" w:type="dxa"/>
            <w:gridSpan w:val="2"/>
            <w:tcBorders>
              <w:top w:val="nil"/>
              <w:left w:val="nil"/>
              <w:bottom w:val="nil"/>
              <w:right w:val="nil"/>
            </w:tcBorders>
            <w:shd w:val="clear" w:color="auto" w:fill="auto"/>
            <w:vAlign w:val="center"/>
          </w:tcPr>
          <w:p w14:paraId="2E3333EF"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eastAsia="DengXian Light" w:hAnsi="Arial" w:cs="Arial"/>
                <w:b/>
                <w:bCs/>
                <w:sz w:val="14"/>
                <w:szCs w:val="14"/>
              </w:rPr>
            </w:pPr>
            <w:r w:rsidRPr="003321FA">
              <w:rPr>
                <w:rFonts w:ascii="Arial" w:eastAsia="DengXian Light" w:hAnsi="Arial" w:cs="Arial"/>
                <w:b/>
                <w:bCs/>
                <w:color w:val="000000"/>
                <w:sz w:val="14"/>
                <w:szCs w:val="14"/>
              </w:rPr>
              <w:t>1.731.906</w:t>
            </w:r>
          </w:p>
        </w:tc>
        <w:tc>
          <w:tcPr>
            <w:tcW w:w="1780" w:type="dxa"/>
            <w:gridSpan w:val="2"/>
            <w:tcBorders>
              <w:top w:val="nil"/>
              <w:left w:val="nil"/>
              <w:bottom w:val="nil"/>
              <w:right w:val="nil"/>
            </w:tcBorders>
            <w:shd w:val="clear" w:color="auto" w:fill="auto"/>
            <w:vAlign w:val="center"/>
          </w:tcPr>
          <w:p w14:paraId="7D5C2034"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321FA">
              <w:rPr>
                <w:rFonts w:ascii="Arial" w:hAnsi="Arial" w:cs="Arial"/>
                <w:b/>
                <w:bCs/>
                <w:color w:val="000000"/>
                <w:sz w:val="14"/>
                <w:szCs w:val="14"/>
              </w:rPr>
              <w:t>2.375.110</w:t>
            </w:r>
          </w:p>
        </w:tc>
      </w:tr>
      <w:tr w:rsidR="003321FA" w:rsidRPr="003321FA" w14:paraId="1BFB55EB"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auto"/>
            <w:vAlign w:val="center"/>
          </w:tcPr>
          <w:p w14:paraId="55A1ACE6" w14:textId="77777777" w:rsidR="003321FA" w:rsidRPr="003321FA" w:rsidRDefault="003321FA">
            <w:pPr>
              <w:keepNext/>
              <w:keepLines/>
              <w:rPr>
                <w:rFonts w:ascii="Arial" w:hAnsi="Arial" w:cs="Arial"/>
                <w:color w:val="000000"/>
                <w:sz w:val="14"/>
                <w:szCs w:val="14"/>
              </w:rPr>
            </w:pPr>
            <w:r w:rsidRPr="003321FA">
              <w:rPr>
                <w:rFonts w:ascii="Arial" w:eastAsia="Times New Roman" w:hAnsi="Arial" w:cs="Arial"/>
                <w:color w:val="000000"/>
                <w:spacing w:val="-2"/>
                <w:sz w:val="14"/>
                <w:szCs w:val="14"/>
                <w:lang w:eastAsia="pt-BR"/>
              </w:rPr>
              <w:t>Atribuível à BB Seguridade</w:t>
            </w:r>
          </w:p>
        </w:tc>
        <w:tc>
          <w:tcPr>
            <w:tcW w:w="1778" w:type="dxa"/>
            <w:gridSpan w:val="2"/>
            <w:tcBorders>
              <w:top w:val="nil"/>
              <w:left w:val="nil"/>
              <w:bottom w:val="nil"/>
              <w:right w:val="nil"/>
            </w:tcBorders>
            <w:shd w:val="clear" w:color="auto" w:fill="auto"/>
            <w:vAlign w:val="center"/>
          </w:tcPr>
          <w:p w14:paraId="3672E48C"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474" w:type="dxa"/>
            <w:gridSpan w:val="2"/>
            <w:tcBorders>
              <w:top w:val="nil"/>
              <w:left w:val="nil"/>
              <w:bottom w:val="nil"/>
              <w:right w:val="nil"/>
            </w:tcBorders>
            <w:shd w:val="clear" w:color="auto" w:fill="auto"/>
            <w:vAlign w:val="center"/>
          </w:tcPr>
          <w:p w14:paraId="70B6A566"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780" w:type="dxa"/>
            <w:gridSpan w:val="2"/>
            <w:tcBorders>
              <w:top w:val="nil"/>
              <w:left w:val="nil"/>
              <w:bottom w:val="nil"/>
              <w:right w:val="nil"/>
            </w:tcBorders>
            <w:shd w:val="clear" w:color="auto" w:fill="auto"/>
            <w:vAlign w:val="center"/>
          </w:tcPr>
          <w:p w14:paraId="29F43264"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321FA">
              <w:rPr>
                <w:rFonts w:ascii="Arial" w:hAnsi="Arial" w:cs="Arial"/>
                <w:b/>
                <w:bCs/>
                <w:color w:val="000000"/>
                <w:sz w:val="14"/>
                <w:szCs w:val="14"/>
              </w:rPr>
              <w:t>1.800.422</w:t>
            </w:r>
          </w:p>
        </w:tc>
        <w:tc>
          <w:tcPr>
            <w:tcW w:w="1780" w:type="dxa"/>
            <w:gridSpan w:val="2"/>
            <w:tcBorders>
              <w:top w:val="nil"/>
              <w:left w:val="nil"/>
              <w:bottom w:val="nil"/>
              <w:right w:val="nil"/>
            </w:tcBorders>
            <w:shd w:val="clear" w:color="auto" w:fill="auto"/>
            <w:vAlign w:val="center"/>
          </w:tcPr>
          <w:p w14:paraId="183DF561"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321FA">
              <w:rPr>
                <w:rFonts w:ascii="Arial" w:hAnsi="Arial" w:cs="Arial"/>
                <w:b/>
                <w:bCs/>
                <w:color w:val="000000"/>
                <w:sz w:val="14"/>
                <w:szCs w:val="14"/>
              </w:rPr>
              <w:t>1.780.575</w:t>
            </w:r>
          </w:p>
        </w:tc>
      </w:tr>
      <w:tr w:rsidR="003321FA" w:rsidRPr="003321FA" w14:paraId="38C23102"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auto"/>
            <w:vAlign w:val="center"/>
          </w:tcPr>
          <w:p w14:paraId="141BDD62" w14:textId="77777777" w:rsidR="003321FA" w:rsidRPr="003321FA" w:rsidRDefault="003321FA">
            <w:pPr>
              <w:keepNext/>
              <w:keepLines/>
              <w:rPr>
                <w:rFonts w:ascii="Arial" w:eastAsia="Times New Roman" w:hAnsi="Arial" w:cs="Arial"/>
                <w:b w:val="0"/>
                <w:bCs w:val="0"/>
                <w:color w:val="000000"/>
                <w:spacing w:val="-2"/>
                <w:sz w:val="14"/>
                <w:szCs w:val="14"/>
                <w:lang w:eastAsia="pt-BR"/>
              </w:rPr>
            </w:pPr>
            <w:r w:rsidRPr="003321FA">
              <w:rPr>
                <w:rFonts w:ascii="Arial" w:eastAsia="Times New Roman" w:hAnsi="Arial" w:cs="Arial"/>
                <w:b w:val="0"/>
                <w:bCs w:val="0"/>
                <w:color w:val="000000"/>
                <w:spacing w:val="-2"/>
                <w:sz w:val="14"/>
                <w:szCs w:val="14"/>
                <w:lang w:eastAsia="pt-BR"/>
              </w:rPr>
              <w:t xml:space="preserve">Ajuste </w:t>
            </w:r>
            <w:r w:rsidRPr="003321FA">
              <w:rPr>
                <w:rFonts w:ascii="Arial" w:eastAsia="Times New Roman" w:hAnsi="Arial" w:cs="Arial"/>
                <w:b w:val="0"/>
                <w:bCs w:val="0"/>
                <w:color w:val="000000"/>
                <w:spacing w:val="-2"/>
                <w:sz w:val="14"/>
                <w:szCs w:val="14"/>
                <w:vertAlign w:val="superscript"/>
                <w:lang w:eastAsia="pt-BR"/>
              </w:rPr>
              <w:t>(2)</w:t>
            </w:r>
          </w:p>
        </w:tc>
        <w:tc>
          <w:tcPr>
            <w:tcW w:w="1778" w:type="dxa"/>
            <w:gridSpan w:val="2"/>
            <w:tcBorders>
              <w:top w:val="nil"/>
              <w:left w:val="nil"/>
              <w:bottom w:val="nil"/>
              <w:right w:val="nil"/>
            </w:tcBorders>
            <w:shd w:val="clear" w:color="auto" w:fill="auto"/>
            <w:vAlign w:val="center"/>
          </w:tcPr>
          <w:p w14:paraId="0C08B73F"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474" w:type="dxa"/>
            <w:gridSpan w:val="2"/>
            <w:tcBorders>
              <w:top w:val="nil"/>
              <w:left w:val="nil"/>
              <w:bottom w:val="nil"/>
              <w:right w:val="nil"/>
            </w:tcBorders>
            <w:shd w:val="clear" w:color="auto" w:fill="auto"/>
            <w:vAlign w:val="center"/>
          </w:tcPr>
          <w:p w14:paraId="456A99AB"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80" w:type="dxa"/>
            <w:gridSpan w:val="2"/>
            <w:tcBorders>
              <w:top w:val="nil"/>
              <w:left w:val="nil"/>
              <w:bottom w:val="nil"/>
              <w:right w:val="nil"/>
            </w:tcBorders>
            <w:shd w:val="clear" w:color="auto" w:fill="auto"/>
            <w:vAlign w:val="center"/>
          </w:tcPr>
          <w:p w14:paraId="25960E4A"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1.485</w:t>
            </w:r>
          </w:p>
        </w:tc>
        <w:tc>
          <w:tcPr>
            <w:tcW w:w="1780" w:type="dxa"/>
            <w:gridSpan w:val="2"/>
            <w:tcBorders>
              <w:top w:val="nil"/>
              <w:left w:val="nil"/>
              <w:bottom w:val="nil"/>
              <w:right w:val="nil"/>
            </w:tcBorders>
            <w:shd w:val="clear" w:color="auto" w:fill="auto"/>
            <w:vAlign w:val="center"/>
          </w:tcPr>
          <w:p w14:paraId="08AEE635"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9.219</w:t>
            </w:r>
          </w:p>
        </w:tc>
      </w:tr>
      <w:tr w:rsidR="003321FA" w:rsidRPr="003321FA" w14:paraId="504BA8F4"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single" w:sz="2" w:space="0" w:color="1F3864" w:themeColor="accent1" w:themeShade="80"/>
              <w:right w:val="nil"/>
            </w:tcBorders>
            <w:shd w:val="clear" w:color="auto" w:fill="auto"/>
            <w:vAlign w:val="center"/>
          </w:tcPr>
          <w:p w14:paraId="0CDEE495" w14:textId="77777777" w:rsidR="003321FA" w:rsidRPr="003321FA" w:rsidRDefault="003321FA">
            <w:pPr>
              <w:keepNext/>
              <w:keepLines/>
              <w:rPr>
                <w:rFonts w:ascii="Arial" w:hAnsi="Arial" w:cs="Arial"/>
                <w:sz w:val="14"/>
                <w:szCs w:val="14"/>
              </w:rPr>
            </w:pPr>
            <w:r w:rsidRPr="003321FA">
              <w:rPr>
                <w:rFonts w:ascii="Arial" w:eastAsia="Times New Roman" w:hAnsi="Arial" w:cs="Arial"/>
                <w:color w:val="000000"/>
                <w:spacing w:val="-2"/>
                <w:sz w:val="14"/>
                <w:szCs w:val="14"/>
                <w:lang w:eastAsia="pt-BR"/>
              </w:rPr>
              <w:t>Resultado de equivalência</w:t>
            </w:r>
          </w:p>
        </w:tc>
        <w:tc>
          <w:tcPr>
            <w:tcW w:w="1778" w:type="dxa"/>
            <w:gridSpan w:val="2"/>
            <w:tcBorders>
              <w:top w:val="nil"/>
              <w:left w:val="nil"/>
              <w:bottom w:val="single" w:sz="2" w:space="0" w:color="1F3864" w:themeColor="accent1" w:themeShade="80"/>
              <w:right w:val="nil"/>
            </w:tcBorders>
            <w:shd w:val="clear" w:color="auto" w:fill="auto"/>
            <w:vAlign w:val="center"/>
          </w:tcPr>
          <w:p w14:paraId="5DF3ED36"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474" w:type="dxa"/>
            <w:gridSpan w:val="2"/>
            <w:tcBorders>
              <w:top w:val="nil"/>
              <w:left w:val="nil"/>
              <w:bottom w:val="single" w:sz="2" w:space="0" w:color="1F3864" w:themeColor="accent1" w:themeShade="80"/>
              <w:right w:val="nil"/>
            </w:tcBorders>
            <w:shd w:val="clear" w:color="auto" w:fill="auto"/>
            <w:vAlign w:val="center"/>
          </w:tcPr>
          <w:p w14:paraId="71E01C96"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780" w:type="dxa"/>
            <w:gridSpan w:val="2"/>
            <w:tcBorders>
              <w:top w:val="nil"/>
              <w:left w:val="nil"/>
              <w:bottom w:val="single" w:sz="2" w:space="0" w:color="1F3864" w:themeColor="accent1" w:themeShade="80"/>
              <w:right w:val="nil"/>
            </w:tcBorders>
            <w:shd w:val="clear" w:color="auto" w:fill="auto"/>
            <w:vAlign w:val="center"/>
          </w:tcPr>
          <w:p w14:paraId="3DB59CE1"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321FA">
              <w:rPr>
                <w:rFonts w:ascii="Arial" w:hAnsi="Arial" w:cs="Arial"/>
                <w:b/>
                <w:bCs/>
                <w:color w:val="000000"/>
                <w:sz w:val="14"/>
                <w:szCs w:val="14"/>
              </w:rPr>
              <w:t>1.801.907</w:t>
            </w:r>
          </w:p>
        </w:tc>
        <w:tc>
          <w:tcPr>
            <w:tcW w:w="1780" w:type="dxa"/>
            <w:gridSpan w:val="2"/>
            <w:tcBorders>
              <w:top w:val="nil"/>
              <w:left w:val="nil"/>
              <w:bottom w:val="single" w:sz="2" w:space="0" w:color="1F3864" w:themeColor="accent1" w:themeShade="80"/>
              <w:right w:val="nil"/>
            </w:tcBorders>
            <w:shd w:val="clear" w:color="auto" w:fill="auto"/>
            <w:vAlign w:val="center"/>
          </w:tcPr>
          <w:p w14:paraId="7B503D46"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321FA">
              <w:rPr>
                <w:rFonts w:ascii="Arial" w:hAnsi="Arial" w:cs="Arial"/>
                <w:b/>
                <w:bCs/>
                <w:color w:val="000000"/>
                <w:sz w:val="14"/>
                <w:szCs w:val="14"/>
              </w:rPr>
              <w:t>1.789.794</w:t>
            </w:r>
          </w:p>
        </w:tc>
      </w:tr>
    </w:tbl>
    <w:p w14:paraId="019D82AB" w14:textId="77777777" w:rsidR="003321FA" w:rsidRPr="003321FA" w:rsidRDefault="003321FA" w:rsidP="002C3B56">
      <w:pPr>
        <w:pStyle w:val="PargrafodaLista"/>
        <w:numPr>
          <w:ilvl w:val="0"/>
          <w:numId w:val="20"/>
        </w:numPr>
        <w:spacing w:after="0" w:line="276" w:lineRule="auto"/>
        <w:ind w:left="284" w:hanging="284"/>
        <w:rPr>
          <w:rFonts w:ascii="Arial" w:eastAsia="Times New Roman" w:hAnsi="Arial" w:cs="Times New Roman"/>
          <w:bCs/>
          <w:spacing w:val="-2"/>
          <w:sz w:val="14"/>
          <w:szCs w:val="16"/>
          <w:lang w:eastAsia="pt-BR"/>
        </w:rPr>
      </w:pPr>
      <w:r w:rsidRPr="003321FA">
        <w:rPr>
          <w:rFonts w:ascii="Arial" w:eastAsia="Times New Roman" w:hAnsi="Arial" w:cs="Times New Roman"/>
          <w:bCs/>
          <w:spacing w:val="-2"/>
          <w:sz w:val="14"/>
          <w:szCs w:val="16"/>
          <w:lang w:eastAsia="pt-BR"/>
        </w:rPr>
        <w:t xml:space="preserve">BBA - </w:t>
      </w:r>
      <w:r w:rsidRPr="003321FA">
        <w:rPr>
          <w:rFonts w:ascii="Arial" w:eastAsia="Times New Roman" w:hAnsi="Arial" w:cs="Times New Roman"/>
          <w:bCs/>
          <w:i/>
          <w:iCs/>
          <w:spacing w:val="-2"/>
          <w:sz w:val="14"/>
          <w:szCs w:val="16"/>
          <w:lang w:eastAsia="pt-BR"/>
        </w:rPr>
        <w:t>Building Block Approach</w:t>
      </w:r>
      <w:r w:rsidRPr="003321FA">
        <w:rPr>
          <w:rFonts w:ascii="Arial" w:eastAsia="Times New Roman" w:hAnsi="Arial" w:cs="Times New Roman"/>
          <w:bCs/>
          <w:spacing w:val="-2"/>
          <w:sz w:val="14"/>
          <w:szCs w:val="16"/>
          <w:lang w:eastAsia="pt-BR"/>
        </w:rPr>
        <w:t xml:space="preserve"> (Modelo Geral de Mensuração) e VFA - </w:t>
      </w:r>
      <w:r w:rsidRPr="003321FA">
        <w:rPr>
          <w:rFonts w:ascii="Arial" w:eastAsia="Times New Roman" w:hAnsi="Arial" w:cs="Times New Roman"/>
          <w:bCs/>
          <w:i/>
          <w:iCs/>
          <w:spacing w:val="-2"/>
          <w:sz w:val="14"/>
          <w:szCs w:val="16"/>
          <w:lang w:eastAsia="pt-BR"/>
        </w:rPr>
        <w:t xml:space="preserve">Variable </w:t>
      </w:r>
      <w:proofErr w:type="spellStart"/>
      <w:r w:rsidRPr="003321FA">
        <w:rPr>
          <w:rFonts w:ascii="Arial" w:eastAsia="Times New Roman" w:hAnsi="Arial" w:cs="Times New Roman"/>
          <w:bCs/>
          <w:i/>
          <w:iCs/>
          <w:spacing w:val="-2"/>
          <w:sz w:val="14"/>
          <w:szCs w:val="16"/>
          <w:lang w:eastAsia="pt-BR"/>
        </w:rPr>
        <w:t>Fee</w:t>
      </w:r>
      <w:proofErr w:type="spellEnd"/>
      <w:r w:rsidRPr="003321FA">
        <w:rPr>
          <w:rFonts w:ascii="Arial" w:eastAsia="Times New Roman" w:hAnsi="Arial" w:cs="Times New Roman"/>
          <w:bCs/>
          <w:i/>
          <w:iCs/>
          <w:spacing w:val="-2"/>
          <w:sz w:val="14"/>
          <w:szCs w:val="16"/>
          <w:lang w:eastAsia="pt-BR"/>
        </w:rPr>
        <w:t xml:space="preserve"> Approach</w:t>
      </w:r>
      <w:r w:rsidRPr="003321FA">
        <w:rPr>
          <w:rFonts w:ascii="Arial" w:eastAsia="Times New Roman" w:hAnsi="Arial" w:cs="Times New Roman"/>
          <w:bCs/>
          <w:spacing w:val="-2"/>
          <w:sz w:val="14"/>
          <w:szCs w:val="16"/>
          <w:lang w:eastAsia="pt-BR"/>
        </w:rPr>
        <w:t xml:space="preserve"> (Modelo de Taxa Variável).</w:t>
      </w:r>
    </w:p>
    <w:p w14:paraId="12AA8E6D" w14:textId="6F53DDF0" w:rsidR="003321FA" w:rsidRPr="003321FA" w:rsidRDefault="003321FA" w:rsidP="002C3B56">
      <w:pPr>
        <w:pStyle w:val="PargrafodaLista"/>
        <w:numPr>
          <w:ilvl w:val="0"/>
          <w:numId w:val="20"/>
        </w:numPr>
        <w:spacing w:after="0" w:line="276" w:lineRule="auto"/>
        <w:ind w:left="284" w:hanging="284"/>
        <w:rPr>
          <w:rFonts w:ascii="Arial" w:eastAsia="Times New Roman" w:hAnsi="Arial" w:cs="Times New Roman"/>
          <w:bCs/>
          <w:spacing w:val="-2"/>
          <w:sz w:val="14"/>
          <w:szCs w:val="16"/>
          <w:lang w:eastAsia="pt-BR"/>
        </w:rPr>
      </w:pPr>
      <w:r w:rsidRPr="003321FA">
        <w:rPr>
          <w:rFonts w:ascii="Arial" w:eastAsia="Times New Roman" w:hAnsi="Arial" w:cs="Times New Roman"/>
          <w:bCs/>
          <w:spacing w:val="-2"/>
          <w:sz w:val="14"/>
          <w:szCs w:val="16"/>
          <w:lang w:eastAsia="pt-BR"/>
        </w:rPr>
        <w:t xml:space="preserve">Reconhecimento de resultado não realizado da </w:t>
      </w:r>
      <w:r w:rsidR="009D4669" w:rsidRPr="003321FA">
        <w:rPr>
          <w:rFonts w:ascii="Arial" w:eastAsia="Times New Roman" w:hAnsi="Arial" w:cs="Arial"/>
          <w:spacing w:val="-2"/>
          <w:sz w:val="14"/>
          <w:szCs w:val="16"/>
          <w:lang w:eastAsia="zh-CN"/>
        </w:rPr>
        <w:t>MAPFRE</w:t>
      </w:r>
      <w:r w:rsidRPr="003321FA">
        <w:rPr>
          <w:rFonts w:ascii="Arial" w:eastAsia="Times New Roman" w:hAnsi="Arial" w:cs="Times New Roman"/>
          <w:bCs/>
          <w:spacing w:val="-2"/>
          <w:sz w:val="14"/>
          <w:szCs w:val="16"/>
          <w:lang w:eastAsia="pt-BR"/>
        </w:rPr>
        <w:t xml:space="preserve"> Nossa Caixa Vida e Previdência (MNCVP).</w:t>
      </w:r>
    </w:p>
    <w:p w14:paraId="342696D5" w14:textId="77777777" w:rsidR="003321FA" w:rsidRPr="003321FA" w:rsidRDefault="003321FA" w:rsidP="003321FA">
      <w:pPr>
        <w:pStyle w:val="05-Textonormal"/>
        <w:spacing w:line="240" w:lineRule="auto"/>
        <w:rPr>
          <w:rFonts w:cs="Arial"/>
        </w:rPr>
      </w:pPr>
    </w:p>
    <w:p w14:paraId="4775474D" w14:textId="77777777" w:rsidR="003321FA" w:rsidRPr="003321FA" w:rsidRDefault="003321FA" w:rsidP="003321FA">
      <w:pPr>
        <w:pStyle w:val="05-Textonormal"/>
        <w:spacing w:line="240" w:lineRule="auto"/>
        <w:rPr>
          <w:rFonts w:cs="Arial"/>
        </w:rPr>
      </w:pPr>
      <w:r w:rsidRPr="003321FA">
        <w:rPr>
          <w:rFonts w:cs="Arial"/>
        </w:rPr>
        <w:t>Os impactos do CPC 50 [IFRS 17], em 2024 e 2023, e do CPC 48 [IFRS 9], em 2023, no Resultado líquido e no Resultado Abrangente, para fins de comparabilidade, estão indicados no quadro a seguir:</w:t>
      </w:r>
    </w:p>
    <w:p w14:paraId="793D35F7" w14:textId="77777777" w:rsidR="003321FA" w:rsidRPr="003321FA" w:rsidRDefault="003321FA" w:rsidP="003321FA">
      <w:pPr>
        <w:spacing w:after="0" w:line="240" w:lineRule="auto"/>
        <w:jc w:val="right"/>
        <w:rPr>
          <w:rFonts w:ascii="Arial" w:hAnsi="Arial" w:cs="Arial"/>
          <w:b/>
          <w:sz w:val="14"/>
          <w:lang w:eastAsia="pt-BR"/>
        </w:rPr>
      </w:pPr>
      <w:r w:rsidRPr="003321FA">
        <w:rPr>
          <w:rFonts w:ascii="Arial" w:hAnsi="Arial" w:cs="Arial"/>
          <w:b/>
          <w:sz w:val="14"/>
          <w:lang w:eastAsia="pt-BR"/>
        </w:rPr>
        <w:t>R$ mil</w:t>
      </w:r>
    </w:p>
    <w:tbl>
      <w:tblPr>
        <w:tblStyle w:val="TabeladeLista6Colorida-nfase512"/>
        <w:tblW w:w="9639" w:type="dxa"/>
        <w:jc w:val="center"/>
        <w:tblLayout w:type="fixed"/>
        <w:tblLook w:val="04A0" w:firstRow="1" w:lastRow="0" w:firstColumn="1" w:lastColumn="0" w:noHBand="0" w:noVBand="1"/>
      </w:tblPr>
      <w:tblGrid>
        <w:gridCol w:w="2803"/>
        <w:gridCol w:w="1709"/>
        <w:gridCol w:w="1709"/>
        <w:gridCol w:w="1709"/>
        <w:gridCol w:w="1709"/>
      </w:tblGrid>
      <w:tr w:rsidR="003321FA" w:rsidRPr="003321FA" w14:paraId="59566AC3"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C4C36EC" w14:textId="77777777" w:rsidR="003321FA" w:rsidRPr="003321FA" w:rsidRDefault="003321FA">
            <w:pPr>
              <w:jc w:val="center"/>
              <w:rPr>
                <w:rFonts w:ascii="Arial" w:hAnsi="Arial" w:cs="Arial"/>
                <w:sz w:val="14"/>
                <w:szCs w:val="14"/>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2E3CEAE" w14:textId="77777777" w:rsidR="003321FA" w:rsidRPr="003321FA" w:rsidRDefault="003321F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87CC5FA" w14:textId="77777777" w:rsidR="003321FA" w:rsidRPr="003321FA" w:rsidRDefault="003321F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5C3B65A" w14:textId="77777777" w:rsidR="003321FA" w:rsidRPr="003321FA" w:rsidRDefault="003321FA">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r w:rsidRPr="003321FA">
              <w:rPr>
                <w:rFonts w:ascii="Arial" w:hAnsi="Arial" w:cs="Arial"/>
                <w:bCs w:val="0"/>
                <w:sz w:val="14"/>
                <w:szCs w:val="14"/>
              </w:rPr>
              <w:t>Exercício 2024</w:t>
            </w: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0376CD1" w14:textId="77777777" w:rsidR="003321FA" w:rsidRPr="003321FA" w:rsidRDefault="003321F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sz w:val="14"/>
                <w:szCs w:val="14"/>
              </w:rPr>
              <w:t>Exercício 2023</w:t>
            </w:r>
          </w:p>
        </w:tc>
      </w:tr>
      <w:tr w:rsidR="003321FA" w:rsidRPr="003321FA" w14:paraId="6DA47090"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3864" w:themeColor="accent1" w:themeShade="80"/>
              <w:left w:val="nil"/>
              <w:bottom w:val="nil"/>
              <w:right w:val="nil"/>
            </w:tcBorders>
            <w:shd w:val="clear" w:color="auto" w:fill="auto"/>
            <w:vAlign w:val="center"/>
          </w:tcPr>
          <w:p w14:paraId="634A96B3" w14:textId="77777777" w:rsidR="003321FA" w:rsidRPr="003321FA" w:rsidRDefault="003321FA">
            <w:pPr>
              <w:keepNext/>
              <w:keepLines/>
              <w:rPr>
                <w:rFonts w:ascii="Arial" w:eastAsia="Times New Roman" w:hAnsi="Arial" w:cs="Arial"/>
                <w:b w:val="0"/>
                <w:bCs w:val="0"/>
                <w:spacing w:val="-2"/>
                <w:sz w:val="14"/>
                <w:szCs w:val="14"/>
              </w:rPr>
            </w:pPr>
            <w:r w:rsidRPr="003321FA">
              <w:rPr>
                <w:rFonts w:ascii="Arial" w:hAnsi="Arial" w:cs="Arial"/>
                <w:b w:val="0"/>
                <w:bCs w:val="0"/>
                <w:sz w:val="14"/>
                <w:szCs w:val="14"/>
              </w:rPr>
              <w:t>Resultado Líquido - BRGAAP e IFRS</w:t>
            </w:r>
          </w:p>
        </w:tc>
        <w:tc>
          <w:tcPr>
            <w:tcW w:w="1709" w:type="dxa"/>
            <w:tcBorders>
              <w:top w:val="single" w:sz="2" w:space="0" w:color="1F3864" w:themeColor="accent1" w:themeShade="80"/>
              <w:left w:val="nil"/>
              <w:bottom w:val="nil"/>
              <w:right w:val="nil"/>
            </w:tcBorders>
            <w:shd w:val="clear" w:color="auto" w:fill="auto"/>
            <w:vAlign w:val="center"/>
          </w:tcPr>
          <w:p w14:paraId="3F844564" w14:textId="77777777" w:rsidR="003321FA" w:rsidRPr="003321FA" w:rsidRDefault="003321FA">
            <w:pPr>
              <w:jc w:val="right"/>
              <w:outlineLvl w:val="0"/>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4"/>
                <w:szCs w:val="14"/>
              </w:rPr>
            </w:pPr>
          </w:p>
        </w:tc>
        <w:tc>
          <w:tcPr>
            <w:tcW w:w="1709" w:type="dxa"/>
            <w:tcBorders>
              <w:top w:val="single" w:sz="2" w:space="0" w:color="1F3864" w:themeColor="accent1" w:themeShade="80"/>
              <w:left w:val="nil"/>
              <w:bottom w:val="nil"/>
              <w:right w:val="nil"/>
            </w:tcBorders>
            <w:shd w:val="clear" w:color="auto" w:fill="auto"/>
            <w:vAlign w:val="center"/>
          </w:tcPr>
          <w:p w14:paraId="5066EA8A" w14:textId="77777777" w:rsidR="003321FA" w:rsidRPr="003321FA" w:rsidRDefault="003321FA">
            <w:pPr>
              <w:jc w:val="right"/>
              <w:outlineLvl w:val="0"/>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4"/>
                <w:szCs w:val="14"/>
              </w:rPr>
            </w:pPr>
          </w:p>
        </w:tc>
        <w:tc>
          <w:tcPr>
            <w:tcW w:w="1709" w:type="dxa"/>
            <w:tcBorders>
              <w:top w:val="single" w:sz="2" w:space="0" w:color="1F3864" w:themeColor="accent1" w:themeShade="80"/>
              <w:left w:val="nil"/>
              <w:bottom w:val="nil"/>
              <w:right w:val="nil"/>
            </w:tcBorders>
            <w:shd w:val="clear" w:color="auto" w:fill="auto"/>
            <w:vAlign w:val="center"/>
          </w:tcPr>
          <w:p w14:paraId="1740887A" w14:textId="77777777" w:rsidR="003321FA" w:rsidRPr="003321FA" w:rsidRDefault="003321FA">
            <w:pPr>
              <w:jc w:val="right"/>
              <w:outlineLvl w:val="0"/>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bookmarkStart w:id="68" w:name="_Toc189757072"/>
            <w:r w:rsidRPr="003321FA">
              <w:rPr>
                <w:rFonts w:ascii="Arial" w:hAnsi="Arial" w:cs="Arial"/>
                <w:color w:val="000000"/>
                <w:sz w:val="14"/>
                <w:szCs w:val="14"/>
              </w:rPr>
              <w:t>2.400.723</w:t>
            </w:r>
            <w:bookmarkEnd w:id="68"/>
            <w:r w:rsidRPr="003321FA">
              <w:rPr>
                <w:rFonts w:ascii="Arial" w:hAnsi="Arial" w:cs="Arial"/>
                <w:color w:val="000000"/>
                <w:sz w:val="14"/>
                <w:szCs w:val="14"/>
              </w:rPr>
              <w:t xml:space="preserve"> </w:t>
            </w:r>
          </w:p>
        </w:tc>
        <w:tc>
          <w:tcPr>
            <w:tcW w:w="1709" w:type="dxa"/>
            <w:tcBorders>
              <w:top w:val="single" w:sz="2" w:space="0" w:color="1F3864" w:themeColor="accent1" w:themeShade="80"/>
              <w:left w:val="nil"/>
              <w:bottom w:val="nil"/>
              <w:right w:val="nil"/>
            </w:tcBorders>
            <w:shd w:val="clear" w:color="auto" w:fill="auto"/>
            <w:vAlign w:val="center"/>
          </w:tcPr>
          <w:p w14:paraId="21C069B8" w14:textId="77777777" w:rsidR="003321FA" w:rsidRPr="003321FA" w:rsidRDefault="003321FA">
            <w:pPr>
              <w:jc w:val="right"/>
              <w:outlineLvl w:val="0"/>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bookmarkStart w:id="69" w:name="_Toc157532032"/>
            <w:bookmarkStart w:id="70" w:name="_Toc157702404"/>
            <w:bookmarkStart w:id="71" w:name="_Toc189757073"/>
            <w:r w:rsidRPr="003321FA">
              <w:rPr>
                <w:rFonts w:ascii="Arial" w:hAnsi="Arial" w:cs="Arial"/>
                <w:color w:val="000000"/>
                <w:sz w:val="14"/>
                <w:szCs w:val="14"/>
              </w:rPr>
              <w:t>2.374.258</w:t>
            </w:r>
            <w:bookmarkEnd w:id="69"/>
            <w:bookmarkEnd w:id="70"/>
            <w:bookmarkEnd w:id="71"/>
          </w:p>
        </w:tc>
      </w:tr>
      <w:tr w:rsidR="003321FA" w:rsidRPr="003321FA" w14:paraId="395AAE11"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587F3168" w14:textId="77777777" w:rsidR="003321FA" w:rsidRPr="003321FA" w:rsidRDefault="003321FA">
            <w:pPr>
              <w:keepNext/>
              <w:keepLines/>
              <w:rPr>
                <w:rFonts w:ascii="Arial" w:hAnsi="Arial" w:cs="Arial"/>
                <w:b w:val="0"/>
                <w:bCs w:val="0"/>
                <w:sz w:val="14"/>
                <w:szCs w:val="14"/>
              </w:rPr>
            </w:pPr>
            <w:r w:rsidRPr="003321FA">
              <w:rPr>
                <w:rFonts w:ascii="Arial" w:hAnsi="Arial" w:cs="Arial"/>
                <w:b w:val="0"/>
                <w:bCs w:val="0"/>
                <w:sz w:val="14"/>
                <w:szCs w:val="14"/>
              </w:rPr>
              <w:t>Resultado Líquido - SUSEPGAAP</w:t>
            </w:r>
          </w:p>
        </w:tc>
        <w:tc>
          <w:tcPr>
            <w:tcW w:w="1709" w:type="dxa"/>
            <w:tcBorders>
              <w:top w:val="nil"/>
              <w:left w:val="nil"/>
              <w:bottom w:val="nil"/>
              <w:right w:val="nil"/>
            </w:tcBorders>
            <w:shd w:val="clear" w:color="auto" w:fill="auto"/>
            <w:vAlign w:val="center"/>
          </w:tcPr>
          <w:p w14:paraId="22974E9B" w14:textId="77777777" w:rsidR="003321FA" w:rsidRPr="003321FA" w:rsidRDefault="003321FA">
            <w:pPr>
              <w:jc w:val="right"/>
              <w:outlineLvl w:val="0"/>
              <w:cnfStyle w:val="000000010000" w:firstRow="0" w:lastRow="0" w:firstColumn="0" w:lastColumn="0" w:oddVBand="0" w:evenVBand="0" w:oddHBand="0" w:evenHBand="1" w:firstRowFirstColumn="0" w:firstRowLastColumn="0" w:lastRowFirstColumn="0" w:lastRowLastColumn="0"/>
              <w:rPr>
                <w:rFonts w:ascii="Arial" w:hAnsi="Arial" w:cs="Arial"/>
                <w:bCs/>
                <w:color w:val="000000"/>
                <w:sz w:val="14"/>
                <w:szCs w:val="14"/>
              </w:rPr>
            </w:pPr>
          </w:p>
        </w:tc>
        <w:tc>
          <w:tcPr>
            <w:tcW w:w="1709" w:type="dxa"/>
            <w:tcBorders>
              <w:top w:val="nil"/>
              <w:left w:val="nil"/>
              <w:bottom w:val="nil"/>
              <w:right w:val="nil"/>
            </w:tcBorders>
            <w:shd w:val="clear" w:color="auto" w:fill="auto"/>
            <w:vAlign w:val="center"/>
          </w:tcPr>
          <w:p w14:paraId="21AF5266" w14:textId="77777777" w:rsidR="003321FA" w:rsidRPr="003321FA" w:rsidRDefault="003321FA">
            <w:pPr>
              <w:jc w:val="right"/>
              <w:outlineLvl w:val="0"/>
              <w:cnfStyle w:val="000000010000" w:firstRow="0" w:lastRow="0" w:firstColumn="0" w:lastColumn="0" w:oddVBand="0" w:evenVBand="0" w:oddHBand="0" w:evenHBand="1" w:firstRowFirstColumn="0" w:firstRowLastColumn="0" w:lastRowFirstColumn="0" w:lastRowLastColumn="0"/>
              <w:rPr>
                <w:rFonts w:ascii="Arial" w:hAnsi="Arial" w:cs="Arial"/>
                <w:bCs/>
                <w:color w:val="000000"/>
                <w:sz w:val="14"/>
                <w:szCs w:val="14"/>
              </w:rPr>
            </w:pPr>
          </w:p>
        </w:tc>
        <w:tc>
          <w:tcPr>
            <w:tcW w:w="1709" w:type="dxa"/>
            <w:tcBorders>
              <w:top w:val="nil"/>
              <w:left w:val="nil"/>
              <w:bottom w:val="nil"/>
              <w:right w:val="nil"/>
            </w:tcBorders>
            <w:shd w:val="clear" w:color="auto" w:fill="auto"/>
            <w:vAlign w:val="center"/>
          </w:tcPr>
          <w:p w14:paraId="5DF8CE79"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 xml:space="preserve">1.484.981 </w:t>
            </w:r>
          </w:p>
        </w:tc>
        <w:tc>
          <w:tcPr>
            <w:tcW w:w="1709" w:type="dxa"/>
            <w:tcBorders>
              <w:top w:val="nil"/>
              <w:left w:val="nil"/>
              <w:bottom w:val="nil"/>
              <w:right w:val="nil"/>
            </w:tcBorders>
            <w:shd w:val="clear" w:color="auto" w:fill="auto"/>
            <w:vAlign w:val="center"/>
          </w:tcPr>
          <w:p w14:paraId="2D15D35F"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bookmarkStart w:id="72" w:name="_Toc157532034"/>
            <w:bookmarkStart w:id="73" w:name="_Toc157702406"/>
            <w:r w:rsidRPr="003321FA">
              <w:rPr>
                <w:rFonts w:ascii="Arial" w:hAnsi="Arial" w:cs="Arial"/>
                <w:color w:val="000000"/>
                <w:sz w:val="14"/>
                <w:szCs w:val="14"/>
              </w:rPr>
              <w:t>1.907.043</w:t>
            </w:r>
            <w:bookmarkEnd w:id="72"/>
            <w:bookmarkEnd w:id="73"/>
          </w:p>
        </w:tc>
      </w:tr>
      <w:tr w:rsidR="003321FA" w:rsidRPr="003321FA" w14:paraId="02C19212"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66D491BF" w14:textId="77777777" w:rsidR="003321FA" w:rsidRPr="003321FA" w:rsidRDefault="003321FA">
            <w:pPr>
              <w:keepNext/>
              <w:keepLines/>
              <w:rPr>
                <w:rFonts w:ascii="Arial" w:hAnsi="Arial" w:cs="Arial"/>
                <w:b w:val="0"/>
                <w:bCs w:val="0"/>
                <w:sz w:val="14"/>
                <w:szCs w:val="14"/>
              </w:rPr>
            </w:pPr>
          </w:p>
        </w:tc>
        <w:tc>
          <w:tcPr>
            <w:tcW w:w="1709" w:type="dxa"/>
            <w:tcBorders>
              <w:top w:val="nil"/>
              <w:left w:val="nil"/>
              <w:bottom w:val="nil"/>
              <w:right w:val="nil"/>
            </w:tcBorders>
            <w:shd w:val="clear" w:color="auto" w:fill="auto"/>
            <w:vAlign w:val="center"/>
          </w:tcPr>
          <w:p w14:paraId="03E848D9" w14:textId="77777777" w:rsidR="003321FA" w:rsidRPr="003321FA" w:rsidRDefault="003321FA">
            <w:pPr>
              <w:jc w:val="right"/>
              <w:outlineLvl w:val="0"/>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4"/>
                <w:szCs w:val="14"/>
              </w:rPr>
            </w:pPr>
          </w:p>
        </w:tc>
        <w:tc>
          <w:tcPr>
            <w:tcW w:w="1709" w:type="dxa"/>
            <w:tcBorders>
              <w:top w:val="nil"/>
              <w:left w:val="nil"/>
              <w:bottom w:val="nil"/>
              <w:right w:val="nil"/>
            </w:tcBorders>
            <w:shd w:val="clear" w:color="auto" w:fill="auto"/>
            <w:vAlign w:val="center"/>
          </w:tcPr>
          <w:p w14:paraId="013F54FF" w14:textId="77777777" w:rsidR="003321FA" w:rsidRPr="003321FA" w:rsidRDefault="003321FA">
            <w:pPr>
              <w:jc w:val="right"/>
              <w:outlineLvl w:val="0"/>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4"/>
                <w:szCs w:val="14"/>
              </w:rPr>
            </w:pPr>
          </w:p>
        </w:tc>
        <w:tc>
          <w:tcPr>
            <w:tcW w:w="1709" w:type="dxa"/>
            <w:tcBorders>
              <w:top w:val="nil"/>
              <w:left w:val="nil"/>
              <w:bottom w:val="nil"/>
              <w:right w:val="nil"/>
            </w:tcBorders>
            <w:shd w:val="clear" w:color="auto" w:fill="auto"/>
            <w:vAlign w:val="center"/>
          </w:tcPr>
          <w:p w14:paraId="75AC7BE5" w14:textId="77777777" w:rsidR="003321FA" w:rsidRPr="003321FA" w:rsidRDefault="003321FA">
            <w:pPr>
              <w:jc w:val="right"/>
              <w:outlineLvl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auto"/>
            <w:vAlign w:val="center"/>
          </w:tcPr>
          <w:p w14:paraId="751A0869"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r>
      <w:tr w:rsidR="003321FA" w:rsidRPr="003321FA" w14:paraId="01A4B069"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570D5BA2" w14:textId="77777777" w:rsidR="003321FA" w:rsidRPr="003321FA" w:rsidRDefault="003321FA">
            <w:pPr>
              <w:keepNext/>
              <w:keepLines/>
              <w:spacing w:before="40" w:after="40"/>
              <w:rPr>
                <w:rFonts w:ascii="Arial" w:hAnsi="Arial" w:cs="Arial"/>
                <w:b w:val="0"/>
                <w:bCs w:val="0"/>
                <w:sz w:val="14"/>
                <w:szCs w:val="14"/>
              </w:rPr>
            </w:pPr>
            <w:r w:rsidRPr="003321FA">
              <w:rPr>
                <w:rFonts w:ascii="Arial" w:hAnsi="Arial" w:cs="Arial"/>
                <w:b w:val="0"/>
                <w:bCs w:val="0"/>
                <w:sz w:val="14"/>
                <w:szCs w:val="14"/>
              </w:rPr>
              <w:t>Resultado Abrangente - BRGAAP e IFRS</w:t>
            </w:r>
          </w:p>
        </w:tc>
        <w:tc>
          <w:tcPr>
            <w:tcW w:w="1709" w:type="dxa"/>
            <w:tcBorders>
              <w:top w:val="nil"/>
              <w:left w:val="nil"/>
              <w:bottom w:val="nil"/>
              <w:right w:val="nil"/>
            </w:tcBorders>
            <w:shd w:val="clear" w:color="auto" w:fill="auto"/>
            <w:vAlign w:val="center"/>
          </w:tcPr>
          <w:p w14:paraId="36813E4E" w14:textId="77777777" w:rsidR="003321FA" w:rsidRPr="003321FA" w:rsidRDefault="003321FA">
            <w:pPr>
              <w:jc w:val="right"/>
              <w:outlineLvl w:val="0"/>
              <w:cnfStyle w:val="000000010000" w:firstRow="0" w:lastRow="0" w:firstColumn="0" w:lastColumn="0" w:oddVBand="0" w:evenVBand="0" w:oddHBand="0" w:evenHBand="1" w:firstRowFirstColumn="0" w:firstRowLastColumn="0" w:lastRowFirstColumn="0" w:lastRowLastColumn="0"/>
              <w:rPr>
                <w:rFonts w:ascii="Arial" w:hAnsi="Arial" w:cs="Arial"/>
                <w:bCs/>
                <w:color w:val="000000"/>
                <w:sz w:val="14"/>
                <w:szCs w:val="14"/>
              </w:rPr>
            </w:pPr>
          </w:p>
        </w:tc>
        <w:tc>
          <w:tcPr>
            <w:tcW w:w="1709" w:type="dxa"/>
            <w:tcBorders>
              <w:top w:val="nil"/>
              <w:left w:val="nil"/>
              <w:bottom w:val="nil"/>
              <w:right w:val="nil"/>
            </w:tcBorders>
            <w:shd w:val="clear" w:color="auto" w:fill="auto"/>
            <w:vAlign w:val="center"/>
          </w:tcPr>
          <w:p w14:paraId="174008C3" w14:textId="77777777" w:rsidR="003321FA" w:rsidRPr="003321FA" w:rsidRDefault="003321FA">
            <w:pPr>
              <w:jc w:val="right"/>
              <w:outlineLvl w:val="0"/>
              <w:cnfStyle w:val="000000010000" w:firstRow="0" w:lastRow="0" w:firstColumn="0" w:lastColumn="0" w:oddVBand="0" w:evenVBand="0" w:oddHBand="0" w:evenHBand="1" w:firstRowFirstColumn="0" w:firstRowLastColumn="0" w:lastRowFirstColumn="0" w:lastRowLastColumn="0"/>
              <w:rPr>
                <w:rFonts w:ascii="Arial" w:hAnsi="Arial" w:cs="Arial"/>
                <w:bCs/>
                <w:color w:val="000000"/>
                <w:sz w:val="14"/>
                <w:szCs w:val="14"/>
              </w:rPr>
            </w:pPr>
          </w:p>
        </w:tc>
        <w:tc>
          <w:tcPr>
            <w:tcW w:w="1709" w:type="dxa"/>
            <w:tcBorders>
              <w:top w:val="nil"/>
              <w:left w:val="nil"/>
              <w:bottom w:val="nil"/>
              <w:right w:val="nil"/>
            </w:tcBorders>
            <w:shd w:val="clear" w:color="auto" w:fill="auto"/>
            <w:vAlign w:val="center"/>
          </w:tcPr>
          <w:p w14:paraId="0E9CCCD3"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 xml:space="preserve">1.731.906 </w:t>
            </w:r>
          </w:p>
        </w:tc>
        <w:tc>
          <w:tcPr>
            <w:tcW w:w="1709" w:type="dxa"/>
            <w:tcBorders>
              <w:top w:val="nil"/>
              <w:left w:val="nil"/>
              <w:bottom w:val="nil"/>
              <w:right w:val="nil"/>
            </w:tcBorders>
            <w:shd w:val="clear" w:color="auto" w:fill="auto"/>
            <w:vAlign w:val="center"/>
          </w:tcPr>
          <w:p w14:paraId="306A8608"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bookmarkStart w:id="74" w:name="_Toc157532035"/>
            <w:bookmarkStart w:id="75" w:name="_Toc157702407"/>
            <w:r w:rsidRPr="003321FA">
              <w:rPr>
                <w:rFonts w:ascii="Arial" w:hAnsi="Arial" w:cs="Arial"/>
                <w:color w:val="000000"/>
                <w:sz w:val="14"/>
                <w:szCs w:val="14"/>
              </w:rPr>
              <w:t>2.375.110</w:t>
            </w:r>
            <w:bookmarkEnd w:id="74"/>
            <w:bookmarkEnd w:id="75"/>
          </w:p>
        </w:tc>
      </w:tr>
      <w:tr w:rsidR="003321FA" w:rsidRPr="003321FA" w14:paraId="0FCEC1C4"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single" w:sz="2" w:space="0" w:color="1F3864" w:themeColor="accent1" w:themeShade="80"/>
              <w:right w:val="nil"/>
            </w:tcBorders>
            <w:shd w:val="clear" w:color="auto" w:fill="auto"/>
            <w:vAlign w:val="center"/>
          </w:tcPr>
          <w:p w14:paraId="261054E8" w14:textId="77777777" w:rsidR="003321FA" w:rsidRPr="003321FA" w:rsidRDefault="003321FA">
            <w:pPr>
              <w:keepNext/>
              <w:keepLines/>
              <w:spacing w:before="40" w:after="40"/>
              <w:rPr>
                <w:rFonts w:ascii="Arial" w:hAnsi="Arial" w:cs="Arial"/>
                <w:b w:val="0"/>
                <w:bCs w:val="0"/>
                <w:sz w:val="14"/>
                <w:szCs w:val="14"/>
              </w:rPr>
            </w:pPr>
            <w:r w:rsidRPr="003321FA">
              <w:rPr>
                <w:rFonts w:ascii="Arial" w:hAnsi="Arial" w:cs="Arial"/>
                <w:b w:val="0"/>
                <w:bCs w:val="0"/>
                <w:sz w:val="14"/>
                <w:szCs w:val="14"/>
              </w:rPr>
              <w:t>Resultado Abrangente - SUSEPGAAP</w:t>
            </w:r>
          </w:p>
        </w:tc>
        <w:tc>
          <w:tcPr>
            <w:tcW w:w="1709" w:type="dxa"/>
            <w:tcBorders>
              <w:top w:val="nil"/>
              <w:left w:val="nil"/>
              <w:bottom w:val="single" w:sz="2" w:space="0" w:color="1F3864" w:themeColor="accent1" w:themeShade="80"/>
              <w:right w:val="nil"/>
            </w:tcBorders>
            <w:shd w:val="clear" w:color="auto" w:fill="auto"/>
            <w:vAlign w:val="center"/>
          </w:tcPr>
          <w:p w14:paraId="5B961AED" w14:textId="77777777" w:rsidR="003321FA" w:rsidRPr="003321FA" w:rsidRDefault="003321FA">
            <w:pPr>
              <w:jc w:val="right"/>
              <w:outlineLvl w:val="0"/>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4"/>
                <w:szCs w:val="14"/>
              </w:rPr>
            </w:pPr>
          </w:p>
        </w:tc>
        <w:tc>
          <w:tcPr>
            <w:tcW w:w="1709" w:type="dxa"/>
            <w:tcBorders>
              <w:top w:val="nil"/>
              <w:left w:val="nil"/>
              <w:bottom w:val="single" w:sz="2" w:space="0" w:color="1F3864" w:themeColor="accent1" w:themeShade="80"/>
              <w:right w:val="nil"/>
            </w:tcBorders>
            <w:shd w:val="clear" w:color="auto" w:fill="auto"/>
            <w:vAlign w:val="center"/>
          </w:tcPr>
          <w:p w14:paraId="2893E8DA" w14:textId="77777777" w:rsidR="003321FA" w:rsidRPr="003321FA" w:rsidRDefault="003321FA">
            <w:pPr>
              <w:jc w:val="right"/>
              <w:outlineLvl w:val="0"/>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4"/>
                <w:szCs w:val="14"/>
              </w:rPr>
            </w:pPr>
          </w:p>
        </w:tc>
        <w:tc>
          <w:tcPr>
            <w:tcW w:w="1709" w:type="dxa"/>
            <w:tcBorders>
              <w:top w:val="nil"/>
              <w:left w:val="nil"/>
              <w:bottom w:val="single" w:sz="2" w:space="0" w:color="1F3864" w:themeColor="accent1" w:themeShade="80"/>
              <w:right w:val="nil"/>
            </w:tcBorders>
            <w:shd w:val="clear" w:color="auto" w:fill="auto"/>
            <w:vAlign w:val="center"/>
          </w:tcPr>
          <w:p w14:paraId="4D58C0D2"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 xml:space="preserve">1.649.589 </w:t>
            </w:r>
          </w:p>
        </w:tc>
        <w:tc>
          <w:tcPr>
            <w:tcW w:w="1709" w:type="dxa"/>
            <w:tcBorders>
              <w:top w:val="nil"/>
              <w:left w:val="nil"/>
              <w:bottom w:val="single" w:sz="2" w:space="0" w:color="1F3864" w:themeColor="accent1" w:themeShade="80"/>
              <w:right w:val="nil"/>
            </w:tcBorders>
            <w:shd w:val="clear" w:color="auto" w:fill="auto"/>
            <w:vAlign w:val="center"/>
          </w:tcPr>
          <w:p w14:paraId="60EA1905"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bookmarkStart w:id="76" w:name="_Toc157532036"/>
            <w:bookmarkStart w:id="77" w:name="_Toc157702408"/>
            <w:r w:rsidRPr="003321FA">
              <w:rPr>
                <w:rFonts w:ascii="Arial" w:hAnsi="Arial" w:cs="Arial"/>
                <w:color w:val="000000"/>
                <w:sz w:val="14"/>
                <w:szCs w:val="14"/>
              </w:rPr>
              <w:t>1.901.920</w:t>
            </w:r>
            <w:bookmarkEnd w:id="76"/>
            <w:bookmarkEnd w:id="77"/>
          </w:p>
        </w:tc>
      </w:tr>
    </w:tbl>
    <w:bookmarkEnd w:id="67"/>
    <w:p w14:paraId="09EC33BB" w14:textId="77777777" w:rsidR="003321FA" w:rsidRPr="003321FA" w:rsidRDefault="003321FA" w:rsidP="003321FA">
      <w:pPr>
        <w:pageBreakBefore/>
        <w:spacing w:after="0" w:line="240" w:lineRule="auto"/>
        <w:rPr>
          <w:rFonts w:ascii="Arial" w:eastAsia="Times New Roman" w:hAnsi="Arial" w:cs="Times New Roman"/>
          <w:b/>
          <w:color w:val="1F3864" w:themeColor="accent1" w:themeShade="80"/>
          <w:spacing w:val="-2"/>
          <w:sz w:val="18"/>
          <w:szCs w:val="20"/>
          <w:lang w:eastAsia="pt-BR"/>
        </w:rPr>
      </w:pPr>
      <w:r w:rsidRPr="003321FA">
        <w:rPr>
          <w:rFonts w:ascii="Arial" w:eastAsia="Times New Roman" w:hAnsi="Arial" w:cs="Times New Roman"/>
          <w:b/>
          <w:color w:val="1F3864" w:themeColor="accent1" w:themeShade="80"/>
          <w:spacing w:val="-2"/>
          <w:sz w:val="18"/>
          <w:szCs w:val="20"/>
          <w:lang w:eastAsia="pt-BR"/>
        </w:rPr>
        <w:lastRenderedPageBreak/>
        <w:t>Informações Patrimoniais</w:t>
      </w:r>
    </w:p>
    <w:p w14:paraId="458930E6" w14:textId="77777777" w:rsidR="003321FA" w:rsidRPr="003321FA" w:rsidRDefault="003321FA" w:rsidP="003321FA">
      <w:pPr>
        <w:spacing w:after="0" w:line="240" w:lineRule="auto"/>
        <w:jc w:val="right"/>
        <w:rPr>
          <w:rFonts w:ascii="Arial" w:hAnsi="Arial" w:cs="Arial"/>
          <w:b/>
          <w:sz w:val="14"/>
          <w:lang w:eastAsia="pt-BR"/>
        </w:rPr>
      </w:pPr>
      <w:r w:rsidRPr="003321FA">
        <w:rPr>
          <w:rFonts w:ascii="Arial" w:hAnsi="Arial" w:cs="Arial"/>
          <w:b/>
          <w:sz w:val="14"/>
          <w:lang w:eastAsia="pt-BR"/>
        </w:rPr>
        <w:t>R$ mil</w:t>
      </w:r>
    </w:p>
    <w:tbl>
      <w:tblPr>
        <w:tblStyle w:val="TabeladeLista6Colorida-nfase512"/>
        <w:tblW w:w="9640" w:type="dxa"/>
        <w:jc w:val="center"/>
        <w:tblLayout w:type="fixed"/>
        <w:tblLook w:val="04A0" w:firstRow="1" w:lastRow="0" w:firstColumn="1" w:lastColumn="0" w:noHBand="0" w:noVBand="1"/>
      </w:tblPr>
      <w:tblGrid>
        <w:gridCol w:w="3120"/>
        <w:gridCol w:w="3260"/>
        <w:gridCol w:w="3260"/>
      </w:tblGrid>
      <w:tr w:rsidR="003321FA" w:rsidRPr="003321FA" w14:paraId="5BDDFE09"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B25C896" w14:textId="77777777" w:rsidR="003321FA" w:rsidRPr="003321FA" w:rsidRDefault="003321FA">
            <w:pPr>
              <w:jc w:val="center"/>
              <w:rPr>
                <w:rFonts w:ascii="Arial" w:hAnsi="Arial" w:cs="Arial"/>
                <w:sz w:val="14"/>
                <w:szCs w:val="14"/>
              </w:rPr>
            </w:pPr>
          </w:p>
        </w:tc>
        <w:tc>
          <w:tcPr>
            <w:tcW w:w="326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38D04F3" w14:textId="77777777" w:rsidR="003321FA" w:rsidRPr="003321FA" w:rsidRDefault="003321F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sz w:val="14"/>
                <w:szCs w:val="14"/>
              </w:rPr>
              <w:t>31.12.2024</w:t>
            </w:r>
          </w:p>
        </w:tc>
        <w:tc>
          <w:tcPr>
            <w:tcW w:w="326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403ABAE" w14:textId="77777777" w:rsidR="003321FA" w:rsidRPr="003321FA" w:rsidRDefault="003321F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sz w:val="14"/>
                <w:szCs w:val="14"/>
              </w:rPr>
              <w:t>31.12.2023</w:t>
            </w:r>
          </w:p>
        </w:tc>
      </w:tr>
      <w:tr w:rsidR="003321FA" w:rsidRPr="003321FA" w14:paraId="601DCE0C"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nil"/>
              <w:right w:val="nil"/>
            </w:tcBorders>
            <w:shd w:val="clear" w:color="auto" w:fill="auto"/>
            <w:vAlign w:val="center"/>
          </w:tcPr>
          <w:p w14:paraId="6E679893" w14:textId="77777777" w:rsidR="003321FA" w:rsidRPr="003321FA" w:rsidRDefault="003321FA">
            <w:pPr>
              <w:keepNext/>
              <w:keepLines/>
              <w:rPr>
                <w:rFonts w:ascii="Arial" w:eastAsia="Times New Roman" w:hAnsi="Arial" w:cs="Arial"/>
                <w:spacing w:val="-2"/>
                <w:sz w:val="14"/>
                <w:szCs w:val="14"/>
              </w:rPr>
            </w:pPr>
            <w:r w:rsidRPr="003321FA">
              <w:rPr>
                <w:rFonts w:ascii="Arial" w:hAnsi="Arial" w:cs="Arial"/>
                <w:color w:val="000000"/>
                <w:sz w:val="14"/>
                <w:szCs w:val="14"/>
              </w:rPr>
              <w:t>Ativo Circulante</w:t>
            </w:r>
          </w:p>
        </w:tc>
        <w:tc>
          <w:tcPr>
            <w:tcW w:w="3260" w:type="dxa"/>
            <w:tcBorders>
              <w:top w:val="single" w:sz="2" w:space="0" w:color="1F3864" w:themeColor="accent1" w:themeShade="80"/>
              <w:left w:val="nil"/>
              <w:bottom w:val="nil"/>
              <w:right w:val="nil"/>
            </w:tcBorders>
            <w:shd w:val="clear" w:color="auto" w:fill="auto"/>
            <w:vAlign w:val="center"/>
          </w:tcPr>
          <w:p w14:paraId="17554288"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321FA">
              <w:rPr>
                <w:rFonts w:ascii="Arial" w:hAnsi="Arial" w:cs="Arial"/>
                <w:b/>
                <w:bCs/>
                <w:color w:val="000000"/>
                <w:sz w:val="14"/>
                <w:szCs w:val="14"/>
              </w:rPr>
              <w:t>415.394.760</w:t>
            </w:r>
          </w:p>
        </w:tc>
        <w:tc>
          <w:tcPr>
            <w:tcW w:w="3260" w:type="dxa"/>
            <w:tcBorders>
              <w:top w:val="single" w:sz="2" w:space="0" w:color="1F3864" w:themeColor="accent1" w:themeShade="80"/>
              <w:left w:val="nil"/>
              <w:bottom w:val="nil"/>
              <w:right w:val="nil"/>
            </w:tcBorders>
            <w:shd w:val="clear" w:color="auto" w:fill="auto"/>
            <w:vAlign w:val="center"/>
          </w:tcPr>
          <w:p w14:paraId="3CE60A16"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321FA">
              <w:rPr>
                <w:rFonts w:ascii="Arial" w:hAnsi="Arial" w:cs="Arial"/>
                <w:b/>
                <w:bCs/>
                <w:color w:val="000000"/>
                <w:sz w:val="14"/>
                <w:szCs w:val="14"/>
              </w:rPr>
              <w:t>378.684.861</w:t>
            </w:r>
          </w:p>
        </w:tc>
      </w:tr>
      <w:tr w:rsidR="003321FA" w:rsidRPr="003321FA" w14:paraId="1750FA39"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2769D50" w14:textId="77777777" w:rsidR="003321FA" w:rsidRPr="003321FA" w:rsidRDefault="003321FA">
            <w:pPr>
              <w:keepNext/>
              <w:keepLines/>
              <w:ind w:left="113"/>
              <w:rPr>
                <w:rFonts w:ascii="Arial" w:eastAsia="Times New Roman" w:hAnsi="Arial" w:cs="Arial"/>
                <w:b w:val="0"/>
                <w:bCs w:val="0"/>
                <w:spacing w:val="-2"/>
                <w:sz w:val="14"/>
                <w:szCs w:val="14"/>
              </w:rPr>
            </w:pPr>
            <w:r w:rsidRPr="003321FA">
              <w:rPr>
                <w:rFonts w:ascii="Arial" w:hAnsi="Arial" w:cs="Arial"/>
                <w:b w:val="0"/>
                <w:bCs w:val="0"/>
                <w:color w:val="000000"/>
                <w:sz w:val="14"/>
                <w:szCs w:val="14"/>
              </w:rPr>
              <w:t>Caixa e equivalente de caixa</w:t>
            </w:r>
          </w:p>
        </w:tc>
        <w:tc>
          <w:tcPr>
            <w:tcW w:w="3260" w:type="dxa"/>
            <w:tcBorders>
              <w:top w:val="nil"/>
              <w:left w:val="nil"/>
              <w:bottom w:val="nil"/>
              <w:right w:val="nil"/>
            </w:tcBorders>
            <w:shd w:val="clear" w:color="auto" w:fill="auto"/>
            <w:vAlign w:val="center"/>
          </w:tcPr>
          <w:p w14:paraId="4B7E0909"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28.576</w:t>
            </w:r>
          </w:p>
        </w:tc>
        <w:tc>
          <w:tcPr>
            <w:tcW w:w="3260" w:type="dxa"/>
            <w:tcBorders>
              <w:top w:val="nil"/>
              <w:left w:val="nil"/>
              <w:bottom w:val="nil"/>
              <w:right w:val="nil"/>
            </w:tcBorders>
            <w:shd w:val="clear" w:color="auto" w:fill="auto"/>
            <w:vAlign w:val="center"/>
          </w:tcPr>
          <w:p w14:paraId="3D2D8B97"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26.246</w:t>
            </w:r>
          </w:p>
        </w:tc>
      </w:tr>
      <w:tr w:rsidR="003321FA" w:rsidRPr="003321FA" w14:paraId="2B8CAA9A"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89C126F" w14:textId="77777777" w:rsidR="003321FA" w:rsidRPr="003321FA" w:rsidRDefault="003321FA">
            <w:pPr>
              <w:keepNext/>
              <w:keepLines/>
              <w:ind w:left="113"/>
              <w:rPr>
                <w:rFonts w:ascii="Arial" w:eastAsia="Times New Roman" w:hAnsi="Arial" w:cs="Arial"/>
                <w:b w:val="0"/>
                <w:bCs w:val="0"/>
                <w:spacing w:val="-2"/>
                <w:sz w:val="14"/>
                <w:szCs w:val="14"/>
              </w:rPr>
            </w:pPr>
            <w:r w:rsidRPr="003321FA">
              <w:rPr>
                <w:rFonts w:ascii="Arial" w:hAnsi="Arial" w:cs="Arial"/>
                <w:b w:val="0"/>
                <w:bCs w:val="0"/>
                <w:color w:val="000000"/>
                <w:sz w:val="14"/>
                <w:szCs w:val="14"/>
              </w:rPr>
              <w:t>Instrumentos Financeiros</w:t>
            </w:r>
          </w:p>
        </w:tc>
        <w:tc>
          <w:tcPr>
            <w:tcW w:w="3260" w:type="dxa"/>
            <w:tcBorders>
              <w:top w:val="nil"/>
              <w:left w:val="nil"/>
              <w:bottom w:val="nil"/>
              <w:right w:val="nil"/>
            </w:tcBorders>
            <w:shd w:val="clear" w:color="auto" w:fill="auto"/>
            <w:vAlign w:val="center"/>
          </w:tcPr>
          <w:p w14:paraId="367BE8DE"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415.173.160</w:t>
            </w:r>
          </w:p>
        </w:tc>
        <w:tc>
          <w:tcPr>
            <w:tcW w:w="3260" w:type="dxa"/>
            <w:tcBorders>
              <w:top w:val="nil"/>
              <w:left w:val="nil"/>
              <w:bottom w:val="nil"/>
              <w:right w:val="nil"/>
            </w:tcBorders>
            <w:shd w:val="clear" w:color="auto" w:fill="auto"/>
            <w:vAlign w:val="center"/>
          </w:tcPr>
          <w:p w14:paraId="4AA15D7F"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378.504.654</w:t>
            </w:r>
          </w:p>
        </w:tc>
      </w:tr>
      <w:tr w:rsidR="003321FA" w:rsidRPr="003321FA" w14:paraId="721245F4"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E79AB23" w14:textId="77777777" w:rsidR="003321FA" w:rsidRPr="003321FA" w:rsidRDefault="003321FA">
            <w:pPr>
              <w:keepNext/>
              <w:keepLines/>
              <w:ind w:left="113"/>
              <w:rPr>
                <w:rFonts w:ascii="Arial" w:eastAsia="Times New Roman" w:hAnsi="Arial" w:cs="Arial"/>
                <w:b w:val="0"/>
                <w:bCs w:val="0"/>
                <w:spacing w:val="-2"/>
                <w:sz w:val="14"/>
                <w:szCs w:val="14"/>
              </w:rPr>
            </w:pPr>
            <w:r w:rsidRPr="003321FA">
              <w:rPr>
                <w:rFonts w:ascii="Arial" w:hAnsi="Arial" w:cs="Arial"/>
                <w:b w:val="0"/>
                <w:bCs w:val="0"/>
                <w:color w:val="000000"/>
                <w:sz w:val="14"/>
                <w:szCs w:val="14"/>
              </w:rPr>
              <w:t>Crédito de operações</w:t>
            </w:r>
          </w:p>
        </w:tc>
        <w:tc>
          <w:tcPr>
            <w:tcW w:w="3260" w:type="dxa"/>
            <w:tcBorders>
              <w:top w:val="nil"/>
              <w:left w:val="nil"/>
              <w:bottom w:val="nil"/>
              <w:right w:val="nil"/>
            </w:tcBorders>
            <w:shd w:val="clear" w:color="auto" w:fill="auto"/>
            <w:vAlign w:val="center"/>
          </w:tcPr>
          <w:p w14:paraId="2CA74BB6"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14.003</w:t>
            </w:r>
          </w:p>
        </w:tc>
        <w:tc>
          <w:tcPr>
            <w:tcW w:w="3260" w:type="dxa"/>
            <w:tcBorders>
              <w:top w:val="nil"/>
              <w:left w:val="nil"/>
              <w:bottom w:val="nil"/>
              <w:right w:val="nil"/>
            </w:tcBorders>
            <w:shd w:val="clear" w:color="auto" w:fill="auto"/>
            <w:vAlign w:val="center"/>
          </w:tcPr>
          <w:p w14:paraId="29105179"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10.162</w:t>
            </w:r>
          </w:p>
        </w:tc>
      </w:tr>
      <w:tr w:rsidR="003321FA" w:rsidRPr="003321FA" w14:paraId="2D25288E"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21287EB" w14:textId="77777777" w:rsidR="003321FA" w:rsidRPr="003321FA" w:rsidRDefault="003321FA">
            <w:pPr>
              <w:keepNext/>
              <w:keepLines/>
              <w:ind w:left="113"/>
              <w:rPr>
                <w:rFonts w:ascii="Arial" w:eastAsia="Times New Roman" w:hAnsi="Arial" w:cs="Arial"/>
                <w:b w:val="0"/>
                <w:bCs w:val="0"/>
                <w:spacing w:val="-2"/>
                <w:sz w:val="14"/>
                <w:szCs w:val="14"/>
              </w:rPr>
            </w:pPr>
            <w:r w:rsidRPr="003321FA">
              <w:rPr>
                <w:rFonts w:ascii="Arial" w:hAnsi="Arial" w:cs="Arial"/>
                <w:b w:val="0"/>
                <w:bCs w:val="0"/>
                <w:color w:val="000000"/>
                <w:sz w:val="14"/>
                <w:szCs w:val="14"/>
              </w:rPr>
              <w:t>Outros Ativos</w:t>
            </w:r>
          </w:p>
        </w:tc>
        <w:tc>
          <w:tcPr>
            <w:tcW w:w="3260" w:type="dxa"/>
            <w:tcBorders>
              <w:top w:val="nil"/>
              <w:left w:val="nil"/>
              <w:bottom w:val="nil"/>
              <w:right w:val="nil"/>
            </w:tcBorders>
            <w:shd w:val="clear" w:color="auto" w:fill="auto"/>
            <w:vAlign w:val="center"/>
          </w:tcPr>
          <w:p w14:paraId="5BF519F6"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179.021</w:t>
            </w:r>
          </w:p>
        </w:tc>
        <w:tc>
          <w:tcPr>
            <w:tcW w:w="3260" w:type="dxa"/>
            <w:tcBorders>
              <w:top w:val="nil"/>
              <w:left w:val="nil"/>
              <w:bottom w:val="nil"/>
              <w:right w:val="nil"/>
            </w:tcBorders>
            <w:shd w:val="clear" w:color="auto" w:fill="auto"/>
            <w:vAlign w:val="center"/>
          </w:tcPr>
          <w:p w14:paraId="64F1D92B"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143.799</w:t>
            </w:r>
          </w:p>
        </w:tc>
      </w:tr>
      <w:tr w:rsidR="003321FA" w:rsidRPr="003321FA" w14:paraId="114E24E3"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5919293" w14:textId="77777777" w:rsidR="003321FA" w:rsidRPr="003321FA" w:rsidRDefault="003321FA">
            <w:pPr>
              <w:keepNext/>
              <w:keepLines/>
              <w:rPr>
                <w:rFonts w:ascii="Arial" w:eastAsia="Times New Roman" w:hAnsi="Arial" w:cs="Arial"/>
                <w:spacing w:val="-2"/>
                <w:sz w:val="14"/>
                <w:szCs w:val="14"/>
              </w:rPr>
            </w:pPr>
            <w:r w:rsidRPr="003321FA">
              <w:rPr>
                <w:rFonts w:ascii="Arial" w:hAnsi="Arial" w:cs="Arial"/>
                <w:color w:val="000000"/>
                <w:sz w:val="14"/>
                <w:szCs w:val="14"/>
              </w:rPr>
              <w:t>Ativos Não Circulante</w:t>
            </w:r>
          </w:p>
        </w:tc>
        <w:tc>
          <w:tcPr>
            <w:tcW w:w="3260" w:type="dxa"/>
            <w:tcBorders>
              <w:top w:val="nil"/>
              <w:left w:val="nil"/>
              <w:bottom w:val="nil"/>
              <w:right w:val="nil"/>
            </w:tcBorders>
            <w:shd w:val="clear" w:color="auto" w:fill="auto"/>
            <w:vAlign w:val="center"/>
          </w:tcPr>
          <w:p w14:paraId="3CB0D3B7"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321FA">
              <w:rPr>
                <w:rFonts w:ascii="Arial" w:hAnsi="Arial" w:cs="Arial"/>
                <w:b/>
                <w:bCs/>
                <w:color w:val="000000"/>
                <w:sz w:val="14"/>
                <w:szCs w:val="14"/>
              </w:rPr>
              <w:t>18.889.264</w:t>
            </w:r>
          </w:p>
        </w:tc>
        <w:tc>
          <w:tcPr>
            <w:tcW w:w="3260" w:type="dxa"/>
            <w:tcBorders>
              <w:top w:val="nil"/>
              <w:left w:val="nil"/>
              <w:bottom w:val="nil"/>
              <w:right w:val="nil"/>
            </w:tcBorders>
            <w:shd w:val="clear" w:color="auto" w:fill="auto"/>
            <w:vAlign w:val="center"/>
          </w:tcPr>
          <w:p w14:paraId="66B6E3CD"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321FA">
              <w:rPr>
                <w:rFonts w:ascii="Arial" w:hAnsi="Arial" w:cs="Arial"/>
                <w:b/>
                <w:bCs/>
                <w:color w:val="000000"/>
                <w:sz w:val="14"/>
                <w:szCs w:val="14"/>
              </w:rPr>
              <w:t>20.251.955</w:t>
            </w:r>
          </w:p>
        </w:tc>
      </w:tr>
      <w:tr w:rsidR="003321FA" w:rsidRPr="003321FA" w14:paraId="000190AD"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DE9E424" w14:textId="77777777" w:rsidR="003321FA" w:rsidRPr="003321FA" w:rsidRDefault="003321FA">
            <w:pPr>
              <w:keepNext/>
              <w:keepLines/>
              <w:ind w:left="113"/>
              <w:rPr>
                <w:rFonts w:ascii="Arial" w:eastAsia="Times New Roman" w:hAnsi="Arial" w:cs="Arial"/>
                <w:b w:val="0"/>
                <w:bCs w:val="0"/>
                <w:spacing w:val="-2"/>
                <w:sz w:val="14"/>
                <w:szCs w:val="14"/>
              </w:rPr>
            </w:pPr>
            <w:r w:rsidRPr="003321FA">
              <w:rPr>
                <w:rFonts w:ascii="Arial" w:hAnsi="Arial" w:cs="Arial"/>
                <w:b w:val="0"/>
                <w:bCs w:val="0"/>
                <w:color w:val="000000"/>
                <w:sz w:val="14"/>
                <w:szCs w:val="14"/>
              </w:rPr>
              <w:t>Instrumentos Financeiros</w:t>
            </w:r>
          </w:p>
        </w:tc>
        <w:tc>
          <w:tcPr>
            <w:tcW w:w="3260" w:type="dxa"/>
            <w:tcBorders>
              <w:top w:val="nil"/>
              <w:left w:val="nil"/>
              <w:bottom w:val="nil"/>
              <w:right w:val="nil"/>
            </w:tcBorders>
            <w:shd w:val="clear" w:color="auto" w:fill="auto"/>
            <w:vAlign w:val="center"/>
          </w:tcPr>
          <w:p w14:paraId="10E22474"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18.597.565</w:t>
            </w:r>
          </w:p>
        </w:tc>
        <w:tc>
          <w:tcPr>
            <w:tcW w:w="3260" w:type="dxa"/>
            <w:tcBorders>
              <w:top w:val="nil"/>
              <w:left w:val="nil"/>
              <w:bottom w:val="nil"/>
              <w:right w:val="nil"/>
            </w:tcBorders>
            <w:shd w:val="clear" w:color="auto" w:fill="auto"/>
            <w:vAlign w:val="center"/>
          </w:tcPr>
          <w:p w14:paraId="4E9D34DB"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19.939.487</w:t>
            </w:r>
          </w:p>
        </w:tc>
      </w:tr>
      <w:tr w:rsidR="003321FA" w:rsidRPr="003321FA" w14:paraId="64CE8051"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717EB87" w14:textId="77777777" w:rsidR="003321FA" w:rsidRPr="003321FA" w:rsidRDefault="003321FA">
            <w:pPr>
              <w:keepNext/>
              <w:keepLines/>
              <w:ind w:left="113"/>
              <w:rPr>
                <w:rFonts w:ascii="Arial" w:eastAsia="Times New Roman" w:hAnsi="Arial" w:cs="Arial"/>
                <w:b w:val="0"/>
                <w:bCs w:val="0"/>
                <w:spacing w:val="-2"/>
                <w:sz w:val="14"/>
                <w:szCs w:val="14"/>
              </w:rPr>
            </w:pPr>
            <w:r w:rsidRPr="003321FA">
              <w:rPr>
                <w:rFonts w:ascii="Arial" w:hAnsi="Arial" w:cs="Arial"/>
                <w:b w:val="0"/>
                <w:bCs w:val="0"/>
                <w:color w:val="000000"/>
                <w:sz w:val="14"/>
                <w:szCs w:val="14"/>
              </w:rPr>
              <w:t>Crédito de operações</w:t>
            </w:r>
          </w:p>
        </w:tc>
        <w:tc>
          <w:tcPr>
            <w:tcW w:w="3260" w:type="dxa"/>
            <w:tcBorders>
              <w:top w:val="nil"/>
              <w:left w:val="nil"/>
              <w:bottom w:val="nil"/>
              <w:right w:val="nil"/>
            </w:tcBorders>
            <w:shd w:val="clear" w:color="auto" w:fill="auto"/>
            <w:vAlign w:val="center"/>
          </w:tcPr>
          <w:p w14:paraId="4BB37A1A"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40.494</w:t>
            </w:r>
          </w:p>
        </w:tc>
        <w:tc>
          <w:tcPr>
            <w:tcW w:w="3260" w:type="dxa"/>
            <w:tcBorders>
              <w:top w:val="nil"/>
              <w:left w:val="nil"/>
              <w:bottom w:val="nil"/>
              <w:right w:val="nil"/>
            </w:tcBorders>
            <w:shd w:val="clear" w:color="auto" w:fill="auto"/>
            <w:vAlign w:val="center"/>
          </w:tcPr>
          <w:p w14:paraId="3F6019E7"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36.566</w:t>
            </w:r>
          </w:p>
        </w:tc>
      </w:tr>
      <w:tr w:rsidR="003321FA" w:rsidRPr="003321FA" w14:paraId="648B9FD3"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11D959D" w14:textId="77777777" w:rsidR="003321FA" w:rsidRPr="003321FA" w:rsidRDefault="003321FA">
            <w:pPr>
              <w:keepNext/>
              <w:keepLines/>
              <w:ind w:left="113"/>
              <w:rPr>
                <w:rFonts w:ascii="Arial" w:eastAsia="Times New Roman" w:hAnsi="Arial" w:cs="Arial"/>
                <w:b w:val="0"/>
                <w:bCs w:val="0"/>
                <w:spacing w:val="-2"/>
                <w:sz w:val="14"/>
                <w:szCs w:val="14"/>
              </w:rPr>
            </w:pPr>
            <w:r w:rsidRPr="003321FA">
              <w:rPr>
                <w:rFonts w:ascii="Arial" w:hAnsi="Arial" w:cs="Arial"/>
                <w:b w:val="0"/>
                <w:bCs w:val="0"/>
                <w:color w:val="000000"/>
                <w:sz w:val="14"/>
                <w:szCs w:val="14"/>
              </w:rPr>
              <w:t>Outros Ativos</w:t>
            </w:r>
          </w:p>
        </w:tc>
        <w:tc>
          <w:tcPr>
            <w:tcW w:w="3260" w:type="dxa"/>
            <w:tcBorders>
              <w:top w:val="nil"/>
              <w:left w:val="nil"/>
              <w:bottom w:val="nil"/>
              <w:right w:val="nil"/>
            </w:tcBorders>
            <w:shd w:val="clear" w:color="auto" w:fill="auto"/>
            <w:vAlign w:val="center"/>
          </w:tcPr>
          <w:p w14:paraId="4701A158"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251.205</w:t>
            </w:r>
          </w:p>
        </w:tc>
        <w:tc>
          <w:tcPr>
            <w:tcW w:w="3260" w:type="dxa"/>
            <w:tcBorders>
              <w:top w:val="nil"/>
              <w:left w:val="nil"/>
              <w:bottom w:val="nil"/>
              <w:right w:val="nil"/>
            </w:tcBorders>
            <w:shd w:val="clear" w:color="auto" w:fill="auto"/>
            <w:vAlign w:val="center"/>
          </w:tcPr>
          <w:p w14:paraId="249789BB"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275.902</w:t>
            </w:r>
          </w:p>
        </w:tc>
      </w:tr>
      <w:tr w:rsidR="003321FA" w:rsidRPr="003321FA" w14:paraId="3BE9F7FE"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B7F5A23" w14:textId="77777777" w:rsidR="003321FA" w:rsidRPr="003321FA" w:rsidRDefault="003321FA">
            <w:pPr>
              <w:keepNext/>
              <w:keepLines/>
              <w:rPr>
                <w:rFonts w:ascii="Arial" w:eastAsia="Times New Roman" w:hAnsi="Arial" w:cs="Arial"/>
                <w:spacing w:val="-2"/>
                <w:sz w:val="14"/>
                <w:szCs w:val="14"/>
              </w:rPr>
            </w:pPr>
            <w:r w:rsidRPr="003321FA">
              <w:rPr>
                <w:rFonts w:ascii="Arial" w:hAnsi="Arial" w:cs="Arial"/>
                <w:color w:val="000000"/>
                <w:sz w:val="14"/>
                <w:szCs w:val="14"/>
              </w:rPr>
              <w:t>Ativo Total</w:t>
            </w:r>
          </w:p>
        </w:tc>
        <w:tc>
          <w:tcPr>
            <w:tcW w:w="3260" w:type="dxa"/>
            <w:tcBorders>
              <w:top w:val="nil"/>
              <w:left w:val="nil"/>
              <w:bottom w:val="nil"/>
              <w:right w:val="nil"/>
            </w:tcBorders>
            <w:shd w:val="clear" w:color="auto" w:fill="auto"/>
            <w:vAlign w:val="center"/>
          </w:tcPr>
          <w:p w14:paraId="3FB1CD8D"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321FA">
              <w:rPr>
                <w:rFonts w:ascii="Arial" w:hAnsi="Arial" w:cs="Arial"/>
                <w:b/>
                <w:bCs/>
                <w:color w:val="000000"/>
                <w:sz w:val="14"/>
                <w:szCs w:val="14"/>
              </w:rPr>
              <w:t>434.284.024</w:t>
            </w:r>
          </w:p>
        </w:tc>
        <w:tc>
          <w:tcPr>
            <w:tcW w:w="3260" w:type="dxa"/>
            <w:tcBorders>
              <w:top w:val="nil"/>
              <w:left w:val="nil"/>
              <w:bottom w:val="nil"/>
              <w:right w:val="nil"/>
            </w:tcBorders>
            <w:shd w:val="clear" w:color="auto" w:fill="auto"/>
            <w:vAlign w:val="center"/>
          </w:tcPr>
          <w:p w14:paraId="23277616"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321FA">
              <w:rPr>
                <w:rFonts w:ascii="Arial" w:hAnsi="Arial" w:cs="Arial"/>
                <w:b/>
                <w:bCs/>
                <w:color w:val="000000"/>
                <w:sz w:val="14"/>
                <w:szCs w:val="14"/>
              </w:rPr>
              <w:t>398.936.816</w:t>
            </w:r>
          </w:p>
        </w:tc>
      </w:tr>
      <w:tr w:rsidR="003321FA" w:rsidRPr="003321FA" w14:paraId="77C7364A"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9DBA87D" w14:textId="77777777" w:rsidR="003321FA" w:rsidRPr="003321FA" w:rsidRDefault="003321FA">
            <w:pPr>
              <w:keepNext/>
              <w:keepLines/>
              <w:ind w:left="113"/>
              <w:rPr>
                <w:rFonts w:ascii="Arial" w:eastAsia="Times New Roman" w:hAnsi="Arial" w:cs="Arial"/>
                <w:b w:val="0"/>
                <w:bCs w:val="0"/>
                <w:spacing w:val="-2"/>
                <w:sz w:val="14"/>
                <w:szCs w:val="14"/>
              </w:rPr>
            </w:pPr>
          </w:p>
        </w:tc>
        <w:tc>
          <w:tcPr>
            <w:tcW w:w="3260" w:type="dxa"/>
            <w:tcBorders>
              <w:top w:val="nil"/>
              <w:left w:val="nil"/>
              <w:bottom w:val="nil"/>
              <w:right w:val="nil"/>
            </w:tcBorders>
            <w:shd w:val="clear" w:color="auto" w:fill="auto"/>
            <w:vAlign w:val="center"/>
          </w:tcPr>
          <w:p w14:paraId="1ADB7564"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3260" w:type="dxa"/>
            <w:tcBorders>
              <w:top w:val="nil"/>
              <w:left w:val="nil"/>
              <w:bottom w:val="nil"/>
              <w:right w:val="nil"/>
            </w:tcBorders>
            <w:shd w:val="clear" w:color="auto" w:fill="auto"/>
            <w:vAlign w:val="center"/>
          </w:tcPr>
          <w:p w14:paraId="703336B8"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r>
      <w:tr w:rsidR="003321FA" w:rsidRPr="003321FA" w14:paraId="17BCCB6C"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07AA20E" w14:textId="77777777" w:rsidR="003321FA" w:rsidRPr="003321FA" w:rsidRDefault="003321FA">
            <w:pPr>
              <w:keepNext/>
              <w:keepLines/>
              <w:rPr>
                <w:rFonts w:ascii="Arial" w:eastAsia="Times New Roman" w:hAnsi="Arial" w:cs="Arial"/>
                <w:spacing w:val="-2"/>
                <w:sz w:val="14"/>
                <w:szCs w:val="14"/>
              </w:rPr>
            </w:pPr>
            <w:r w:rsidRPr="003321FA">
              <w:rPr>
                <w:rFonts w:ascii="Arial" w:hAnsi="Arial" w:cs="Arial"/>
                <w:color w:val="000000"/>
                <w:sz w:val="14"/>
                <w:szCs w:val="14"/>
              </w:rPr>
              <w:t>Passivo Circulante</w:t>
            </w:r>
          </w:p>
        </w:tc>
        <w:tc>
          <w:tcPr>
            <w:tcW w:w="3260" w:type="dxa"/>
            <w:tcBorders>
              <w:top w:val="nil"/>
              <w:left w:val="nil"/>
              <w:bottom w:val="nil"/>
              <w:right w:val="nil"/>
            </w:tcBorders>
            <w:shd w:val="clear" w:color="auto" w:fill="auto"/>
            <w:vAlign w:val="center"/>
          </w:tcPr>
          <w:p w14:paraId="6BA7BF96"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321FA">
              <w:rPr>
                <w:rFonts w:ascii="Arial" w:hAnsi="Arial" w:cs="Arial"/>
                <w:b/>
                <w:bCs/>
                <w:color w:val="000000"/>
                <w:sz w:val="14"/>
                <w:szCs w:val="14"/>
              </w:rPr>
              <w:t>53.790.732</w:t>
            </w:r>
          </w:p>
        </w:tc>
        <w:tc>
          <w:tcPr>
            <w:tcW w:w="3260" w:type="dxa"/>
            <w:tcBorders>
              <w:top w:val="nil"/>
              <w:left w:val="nil"/>
              <w:bottom w:val="nil"/>
              <w:right w:val="nil"/>
            </w:tcBorders>
            <w:shd w:val="clear" w:color="auto" w:fill="auto"/>
            <w:vAlign w:val="center"/>
          </w:tcPr>
          <w:p w14:paraId="1D6DC8CB"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321FA">
              <w:rPr>
                <w:rFonts w:ascii="Arial" w:hAnsi="Arial" w:cs="Arial"/>
                <w:b/>
                <w:bCs/>
                <w:color w:val="000000"/>
                <w:sz w:val="14"/>
                <w:szCs w:val="14"/>
              </w:rPr>
              <w:t>55.376.466</w:t>
            </w:r>
          </w:p>
        </w:tc>
      </w:tr>
      <w:tr w:rsidR="003321FA" w:rsidRPr="003321FA" w14:paraId="4469FFE6"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0D4A023" w14:textId="77777777" w:rsidR="003321FA" w:rsidRPr="003321FA" w:rsidRDefault="003321FA">
            <w:pPr>
              <w:keepNext/>
              <w:keepLines/>
              <w:ind w:left="113"/>
              <w:rPr>
                <w:rFonts w:ascii="Arial" w:eastAsia="Times New Roman" w:hAnsi="Arial" w:cs="Arial"/>
                <w:b w:val="0"/>
                <w:bCs w:val="0"/>
                <w:spacing w:val="-2"/>
                <w:sz w:val="14"/>
                <w:szCs w:val="14"/>
              </w:rPr>
            </w:pPr>
            <w:r w:rsidRPr="003321FA">
              <w:rPr>
                <w:rFonts w:ascii="Arial" w:hAnsi="Arial" w:cs="Arial"/>
                <w:b w:val="0"/>
                <w:bCs w:val="0"/>
                <w:color w:val="000000"/>
                <w:sz w:val="14"/>
                <w:szCs w:val="14"/>
              </w:rPr>
              <w:t>Contas a pagar</w:t>
            </w:r>
          </w:p>
        </w:tc>
        <w:tc>
          <w:tcPr>
            <w:tcW w:w="3260" w:type="dxa"/>
            <w:tcBorders>
              <w:top w:val="nil"/>
              <w:left w:val="nil"/>
              <w:bottom w:val="nil"/>
              <w:right w:val="nil"/>
            </w:tcBorders>
            <w:shd w:val="clear" w:color="auto" w:fill="auto"/>
            <w:vAlign w:val="center"/>
          </w:tcPr>
          <w:p w14:paraId="38103781"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1.524.892</w:t>
            </w:r>
          </w:p>
        </w:tc>
        <w:tc>
          <w:tcPr>
            <w:tcW w:w="3260" w:type="dxa"/>
            <w:tcBorders>
              <w:top w:val="nil"/>
              <w:left w:val="nil"/>
              <w:bottom w:val="nil"/>
              <w:right w:val="nil"/>
            </w:tcBorders>
            <w:shd w:val="clear" w:color="auto" w:fill="auto"/>
            <w:vAlign w:val="center"/>
          </w:tcPr>
          <w:p w14:paraId="612E3311"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1.532.948</w:t>
            </w:r>
          </w:p>
        </w:tc>
      </w:tr>
      <w:tr w:rsidR="003321FA" w:rsidRPr="003321FA" w14:paraId="21FF6BF4"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18AE389" w14:textId="77777777" w:rsidR="003321FA" w:rsidRPr="003321FA" w:rsidRDefault="003321FA">
            <w:pPr>
              <w:keepNext/>
              <w:keepLines/>
              <w:ind w:left="113"/>
              <w:rPr>
                <w:rFonts w:ascii="Arial" w:eastAsia="Times New Roman" w:hAnsi="Arial" w:cs="Arial"/>
                <w:b w:val="0"/>
                <w:bCs w:val="0"/>
                <w:spacing w:val="-2"/>
                <w:sz w:val="14"/>
                <w:szCs w:val="14"/>
              </w:rPr>
            </w:pPr>
            <w:r w:rsidRPr="003321FA">
              <w:rPr>
                <w:rFonts w:ascii="Arial" w:hAnsi="Arial" w:cs="Arial"/>
                <w:b w:val="0"/>
                <w:bCs w:val="0"/>
                <w:color w:val="000000"/>
                <w:sz w:val="14"/>
                <w:szCs w:val="14"/>
              </w:rPr>
              <w:t>Débito das operações de seguros</w:t>
            </w:r>
          </w:p>
        </w:tc>
        <w:tc>
          <w:tcPr>
            <w:tcW w:w="3260" w:type="dxa"/>
            <w:tcBorders>
              <w:top w:val="nil"/>
              <w:left w:val="nil"/>
              <w:bottom w:val="nil"/>
              <w:right w:val="nil"/>
            </w:tcBorders>
            <w:shd w:val="clear" w:color="auto" w:fill="auto"/>
            <w:vAlign w:val="center"/>
          </w:tcPr>
          <w:p w14:paraId="3847D576"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15.035</w:t>
            </w:r>
          </w:p>
        </w:tc>
        <w:tc>
          <w:tcPr>
            <w:tcW w:w="3260" w:type="dxa"/>
            <w:tcBorders>
              <w:top w:val="nil"/>
              <w:left w:val="nil"/>
              <w:bottom w:val="nil"/>
              <w:right w:val="nil"/>
            </w:tcBorders>
            <w:shd w:val="clear" w:color="auto" w:fill="auto"/>
            <w:vAlign w:val="center"/>
          </w:tcPr>
          <w:p w14:paraId="36D4EFC7"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13.919</w:t>
            </w:r>
          </w:p>
        </w:tc>
      </w:tr>
      <w:tr w:rsidR="003321FA" w:rsidRPr="003321FA" w14:paraId="327A68FE"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EDD2E21" w14:textId="77777777" w:rsidR="003321FA" w:rsidRPr="003321FA" w:rsidRDefault="003321FA">
            <w:pPr>
              <w:keepNext/>
              <w:keepLines/>
              <w:ind w:left="113"/>
              <w:rPr>
                <w:rFonts w:ascii="Arial" w:eastAsia="Times New Roman" w:hAnsi="Arial" w:cs="Arial"/>
                <w:b w:val="0"/>
                <w:bCs w:val="0"/>
                <w:spacing w:val="-2"/>
                <w:sz w:val="14"/>
                <w:szCs w:val="14"/>
              </w:rPr>
            </w:pPr>
            <w:r w:rsidRPr="003321FA">
              <w:rPr>
                <w:rFonts w:ascii="Arial" w:hAnsi="Arial" w:cs="Arial"/>
                <w:b w:val="0"/>
                <w:bCs w:val="0"/>
                <w:color w:val="000000"/>
                <w:sz w:val="14"/>
                <w:szCs w:val="14"/>
              </w:rPr>
              <w:t>Contrato de Seguros e Resseguros</w:t>
            </w:r>
          </w:p>
        </w:tc>
        <w:tc>
          <w:tcPr>
            <w:tcW w:w="3260" w:type="dxa"/>
            <w:tcBorders>
              <w:top w:val="nil"/>
              <w:left w:val="nil"/>
              <w:bottom w:val="nil"/>
              <w:right w:val="nil"/>
            </w:tcBorders>
            <w:shd w:val="clear" w:color="auto" w:fill="auto"/>
            <w:vAlign w:val="center"/>
          </w:tcPr>
          <w:p w14:paraId="663F948F"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52.210.355</w:t>
            </w:r>
          </w:p>
        </w:tc>
        <w:tc>
          <w:tcPr>
            <w:tcW w:w="3260" w:type="dxa"/>
            <w:tcBorders>
              <w:top w:val="nil"/>
              <w:left w:val="nil"/>
              <w:bottom w:val="nil"/>
              <w:right w:val="nil"/>
            </w:tcBorders>
            <w:shd w:val="clear" w:color="auto" w:fill="auto"/>
            <w:vAlign w:val="center"/>
          </w:tcPr>
          <w:p w14:paraId="3033135B"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53.765.585</w:t>
            </w:r>
          </w:p>
        </w:tc>
      </w:tr>
      <w:tr w:rsidR="003321FA" w:rsidRPr="003321FA" w14:paraId="56EA9C90"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D1AB76F" w14:textId="77777777" w:rsidR="003321FA" w:rsidRPr="003321FA" w:rsidRDefault="003321FA">
            <w:pPr>
              <w:keepNext/>
              <w:keepLines/>
              <w:ind w:left="113"/>
              <w:rPr>
                <w:rFonts w:ascii="Arial" w:eastAsia="Times New Roman" w:hAnsi="Arial" w:cs="Arial"/>
                <w:b w:val="0"/>
                <w:bCs w:val="0"/>
                <w:spacing w:val="-2"/>
                <w:sz w:val="14"/>
                <w:szCs w:val="14"/>
              </w:rPr>
            </w:pPr>
            <w:r w:rsidRPr="003321FA">
              <w:rPr>
                <w:rFonts w:ascii="Arial" w:hAnsi="Arial" w:cs="Arial"/>
                <w:b w:val="0"/>
                <w:bCs w:val="0"/>
                <w:color w:val="000000"/>
                <w:sz w:val="14"/>
                <w:szCs w:val="14"/>
              </w:rPr>
              <w:t>Outros Passivos</w:t>
            </w:r>
          </w:p>
        </w:tc>
        <w:tc>
          <w:tcPr>
            <w:tcW w:w="3260" w:type="dxa"/>
            <w:tcBorders>
              <w:top w:val="nil"/>
              <w:left w:val="nil"/>
              <w:bottom w:val="nil"/>
              <w:right w:val="nil"/>
            </w:tcBorders>
            <w:shd w:val="clear" w:color="auto" w:fill="auto"/>
            <w:vAlign w:val="center"/>
          </w:tcPr>
          <w:p w14:paraId="24FBEB07"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40.450</w:t>
            </w:r>
          </w:p>
        </w:tc>
        <w:tc>
          <w:tcPr>
            <w:tcW w:w="3260" w:type="dxa"/>
            <w:tcBorders>
              <w:top w:val="nil"/>
              <w:left w:val="nil"/>
              <w:bottom w:val="nil"/>
              <w:right w:val="nil"/>
            </w:tcBorders>
            <w:shd w:val="clear" w:color="auto" w:fill="auto"/>
            <w:vAlign w:val="center"/>
          </w:tcPr>
          <w:p w14:paraId="6F742CE1"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64.014</w:t>
            </w:r>
          </w:p>
        </w:tc>
      </w:tr>
      <w:tr w:rsidR="003321FA" w:rsidRPr="003321FA" w14:paraId="023D0E25"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1851EA7" w14:textId="77777777" w:rsidR="003321FA" w:rsidRPr="003321FA" w:rsidRDefault="003321FA">
            <w:pPr>
              <w:keepNext/>
              <w:keepLines/>
              <w:rPr>
                <w:rFonts w:ascii="Arial" w:eastAsia="Times New Roman" w:hAnsi="Arial" w:cs="Arial"/>
                <w:spacing w:val="-2"/>
                <w:sz w:val="14"/>
                <w:szCs w:val="14"/>
              </w:rPr>
            </w:pPr>
            <w:r w:rsidRPr="003321FA">
              <w:rPr>
                <w:rFonts w:ascii="Arial" w:hAnsi="Arial" w:cs="Arial"/>
                <w:color w:val="000000"/>
                <w:sz w:val="14"/>
                <w:szCs w:val="14"/>
              </w:rPr>
              <w:t>Passivo Não Circulante</w:t>
            </w:r>
          </w:p>
        </w:tc>
        <w:tc>
          <w:tcPr>
            <w:tcW w:w="3260" w:type="dxa"/>
            <w:tcBorders>
              <w:top w:val="nil"/>
              <w:left w:val="nil"/>
              <w:bottom w:val="nil"/>
              <w:right w:val="nil"/>
            </w:tcBorders>
            <w:shd w:val="clear" w:color="auto" w:fill="auto"/>
            <w:vAlign w:val="center"/>
          </w:tcPr>
          <w:p w14:paraId="6AF59414"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321FA">
              <w:rPr>
                <w:rFonts w:ascii="Arial" w:hAnsi="Arial" w:cs="Arial"/>
                <w:b/>
                <w:bCs/>
                <w:color w:val="000000"/>
                <w:sz w:val="14"/>
                <w:szCs w:val="14"/>
              </w:rPr>
              <w:t>373.538.897</w:t>
            </w:r>
          </w:p>
        </w:tc>
        <w:tc>
          <w:tcPr>
            <w:tcW w:w="3260" w:type="dxa"/>
            <w:tcBorders>
              <w:top w:val="nil"/>
              <w:left w:val="nil"/>
              <w:bottom w:val="nil"/>
              <w:right w:val="nil"/>
            </w:tcBorders>
            <w:shd w:val="clear" w:color="auto" w:fill="auto"/>
            <w:vAlign w:val="center"/>
          </w:tcPr>
          <w:p w14:paraId="6A3EB1EF"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321FA">
              <w:rPr>
                <w:rFonts w:ascii="Arial" w:hAnsi="Arial" w:cs="Arial"/>
                <w:b/>
                <w:bCs/>
                <w:color w:val="000000"/>
                <w:sz w:val="14"/>
                <w:szCs w:val="14"/>
              </w:rPr>
              <w:t>335.947.925</w:t>
            </w:r>
          </w:p>
        </w:tc>
      </w:tr>
      <w:tr w:rsidR="003321FA" w:rsidRPr="003321FA" w14:paraId="7DEEC18E"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B545FA1" w14:textId="77777777" w:rsidR="003321FA" w:rsidRPr="003321FA" w:rsidRDefault="003321FA">
            <w:pPr>
              <w:keepNext/>
              <w:keepLines/>
              <w:ind w:left="113"/>
              <w:rPr>
                <w:rFonts w:ascii="Arial" w:eastAsia="Times New Roman" w:hAnsi="Arial" w:cs="Arial"/>
                <w:b w:val="0"/>
                <w:bCs w:val="0"/>
                <w:spacing w:val="-2"/>
                <w:sz w:val="14"/>
                <w:szCs w:val="14"/>
              </w:rPr>
            </w:pPr>
            <w:r w:rsidRPr="003321FA">
              <w:rPr>
                <w:rFonts w:ascii="Arial" w:hAnsi="Arial" w:cs="Arial"/>
                <w:b w:val="0"/>
                <w:bCs w:val="0"/>
                <w:color w:val="000000"/>
                <w:sz w:val="14"/>
                <w:szCs w:val="14"/>
              </w:rPr>
              <w:t>Contratos de Seguros e Resseguros</w:t>
            </w:r>
          </w:p>
        </w:tc>
        <w:tc>
          <w:tcPr>
            <w:tcW w:w="3260" w:type="dxa"/>
            <w:tcBorders>
              <w:top w:val="nil"/>
              <w:left w:val="nil"/>
              <w:bottom w:val="nil"/>
              <w:right w:val="nil"/>
            </w:tcBorders>
            <w:shd w:val="clear" w:color="auto" w:fill="auto"/>
            <w:vAlign w:val="center"/>
          </w:tcPr>
          <w:p w14:paraId="6EE59A8D"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371.849.947</w:t>
            </w:r>
          </w:p>
        </w:tc>
        <w:tc>
          <w:tcPr>
            <w:tcW w:w="3260" w:type="dxa"/>
            <w:tcBorders>
              <w:top w:val="nil"/>
              <w:left w:val="nil"/>
              <w:bottom w:val="nil"/>
              <w:right w:val="nil"/>
            </w:tcBorders>
            <w:shd w:val="clear" w:color="auto" w:fill="auto"/>
            <w:vAlign w:val="center"/>
          </w:tcPr>
          <w:p w14:paraId="7966F5C0"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334.743.291</w:t>
            </w:r>
          </w:p>
        </w:tc>
      </w:tr>
      <w:tr w:rsidR="003321FA" w:rsidRPr="003321FA" w14:paraId="4F270F6D"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B8459B3" w14:textId="77777777" w:rsidR="003321FA" w:rsidRPr="003321FA" w:rsidRDefault="003321FA">
            <w:pPr>
              <w:keepNext/>
              <w:keepLines/>
              <w:ind w:left="113"/>
              <w:rPr>
                <w:rFonts w:ascii="Arial" w:eastAsia="Times New Roman" w:hAnsi="Arial" w:cs="Arial"/>
                <w:b w:val="0"/>
                <w:bCs w:val="0"/>
                <w:spacing w:val="-2"/>
                <w:sz w:val="14"/>
                <w:szCs w:val="14"/>
              </w:rPr>
            </w:pPr>
            <w:r w:rsidRPr="003321FA">
              <w:rPr>
                <w:rFonts w:ascii="Arial" w:hAnsi="Arial" w:cs="Arial"/>
                <w:b w:val="0"/>
                <w:bCs w:val="0"/>
                <w:color w:val="000000"/>
                <w:sz w:val="14"/>
                <w:szCs w:val="14"/>
              </w:rPr>
              <w:t>Outros Passivos</w:t>
            </w:r>
          </w:p>
        </w:tc>
        <w:tc>
          <w:tcPr>
            <w:tcW w:w="3260" w:type="dxa"/>
            <w:tcBorders>
              <w:top w:val="nil"/>
              <w:left w:val="nil"/>
              <w:bottom w:val="nil"/>
              <w:right w:val="nil"/>
            </w:tcBorders>
            <w:shd w:val="clear" w:color="auto" w:fill="auto"/>
            <w:vAlign w:val="center"/>
          </w:tcPr>
          <w:p w14:paraId="2F71FE45"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1.688.950</w:t>
            </w:r>
          </w:p>
        </w:tc>
        <w:tc>
          <w:tcPr>
            <w:tcW w:w="3260" w:type="dxa"/>
            <w:tcBorders>
              <w:top w:val="nil"/>
              <w:left w:val="nil"/>
              <w:bottom w:val="nil"/>
              <w:right w:val="nil"/>
            </w:tcBorders>
            <w:shd w:val="clear" w:color="auto" w:fill="auto"/>
            <w:vAlign w:val="center"/>
          </w:tcPr>
          <w:p w14:paraId="43347987"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1.204.634</w:t>
            </w:r>
          </w:p>
        </w:tc>
      </w:tr>
      <w:tr w:rsidR="003321FA" w:rsidRPr="003321FA" w14:paraId="3BEB8FA9"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887AB34" w14:textId="77777777" w:rsidR="003321FA" w:rsidRPr="003321FA" w:rsidRDefault="003321FA">
            <w:pPr>
              <w:keepNext/>
              <w:keepLines/>
              <w:rPr>
                <w:rFonts w:ascii="Arial" w:eastAsia="Times New Roman" w:hAnsi="Arial" w:cs="Arial"/>
                <w:spacing w:val="-2"/>
                <w:sz w:val="14"/>
                <w:szCs w:val="14"/>
              </w:rPr>
            </w:pPr>
            <w:r w:rsidRPr="003321FA">
              <w:rPr>
                <w:rFonts w:ascii="Arial" w:hAnsi="Arial" w:cs="Arial"/>
                <w:color w:val="000000"/>
                <w:sz w:val="14"/>
                <w:szCs w:val="14"/>
              </w:rPr>
              <w:t>Patrimônio Líquido</w:t>
            </w:r>
          </w:p>
        </w:tc>
        <w:tc>
          <w:tcPr>
            <w:tcW w:w="3260" w:type="dxa"/>
            <w:tcBorders>
              <w:top w:val="nil"/>
              <w:left w:val="nil"/>
              <w:bottom w:val="nil"/>
              <w:right w:val="nil"/>
            </w:tcBorders>
            <w:shd w:val="clear" w:color="auto" w:fill="auto"/>
            <w:vAlign w:val="center"/>
          </w:tcPr>
          <w:p w14:paraId="77BFC53A"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321FA">
              <w:rPr>
                <w:rFonts w:ascii="Arial" w:hAnsi="Arial" w:cs="Arial"/>
                <w:b/>
                <w:bCs/>
                <w:color w:val="000000"/>
                <w:sz w:val="14"/>
                <w:szCs w:val="14"/>
              </w:rPr>
              <w:t>6.954.395</w:t>
            </w:r>
          </w:p>
        </w:tc>
        <w:tc>
          <w:tcPr>
            <w:tcW w:w="3260" w:type="dxa"/>
            <w:tcBorders>
              <w:top w:val="nil"/>
              <w:left w:val="nil"/>
              <w:bottom w:val="nil"/>
              <w:right w:val="nil"/>
            </w:tcBorders>
            <w:shd w:val="clear" w:color="auto" w:fill="auto"/>
            <w:vAlign w:val="center"/>
          </w:tcPr>
          <w:p w14:paraId="12FE2C06"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321FA">
              <w:rPr>
                <w:rFonts w:ascii="Arial" w:hAnsi="Arial" w:cs="Arial"/>
                <w:b/>
                <w:bCs/>
                <w:color w:val="000000"/>
                <w:sz w:val="14"/>
                <w:szCs w:val="14"/>
              </w:rPr>
              <w:t>7.612.425</w:t>
            </w:r>
          </w:p>
        </w:tc>
      </w:tr>
      <w:tr w:rsidR="003321FA" w:rsidRPr="003321FA" w14:paraId="0B9CC757"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6F32A0C" w14:textId="77777777" w:rsidR="003321FA" w:rsidRPr="003321FA" w:rsidRDefault="003321FA">
            <w:pPr>
              <w:keepNext/>
              <w:keepLines/>
              <w:ind w:left="113"/>
              <w:rPr>
                <w:rFonts w:ascii="Arial" w:eastAsia="Times New Roman" w:hAnsi="Arial" w:cs="Arial"/>
                <w:b w:val="0"/>
                <w:bCs w:val="0"/>
                <w:spacing w:val="-2"/>
                <w:sz w:val="14"/>
                <w:szCs w:val="14"/>
              </w:rPr>
            </w:pPr>
            <w:r w:rsidRPr="003321FA">
              <w:rPr>
                <w:rFonts w:ascii="Arial" w:hAnsi="Arial" w:cs="Arial"/>
                <w:b w:val="0"/>
                <w:bCs w:val="0"/>
                <w:color w:val="000000"/>
                <w:sz w:val="14"/>
                <w:szCs w:val="14"/>
              </w:rPr>
              <w:t>Capital e reservas</w:t>
            </w:r>
          </w:p>
        </w:tc>
        <w:tc>
          <w:tcPr>
            <w:tcW w:w="3260" w:type="dxa"/>
            <w:tcBorders>
              <w:top w:val="nil"/>
              <w:left w:val="nil"/>
              <w:bottom w:val="nil"/>
              <w:right w:val="nil"/>
            </w:tcBorders>
            <w:shd w:val="clear" w:color="auto" w:fill="auto"/>
            <w:vAlign w:val="center"/>
          </w:tcPr>
          <w:p w14:paraId="49A0FE87"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7.857.636</w:t>
            </w:r>
          </w:p>
        </w:tc>
        <w:tc>
          <w:tcPr>
            <w:tcW w:w="3260" w:type="dxa"/>
            <w:tcBorders>
              <w:top w:val="nil"/>
              <w:left w:val="nil"/>
              <w:bottom w:val="nil"/>
              <w:right w:val="nil"/>
            </w:tcBorders>
            <w:shd w:val="clear" w:color="auto" w:fill="auto"/>
            <w:vAlign w:val="center"/>
          </w:tcPr>
          <w:p w14:paraId="405157A9"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7.846.850</w:t>
            </w:r>
          </w:p>
        </w:tc>
      </w:tr>
      <w:tr w:rsidR="003321FA" w:rsidRPr="003321FA" w14:paraId="25D9D342"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897F906" w14:textId="77777777" w:rsidR="003321FA" w:rsidRPr="003321FA" w:rsidRDefault="003321FA">
            <w:pPr>
              <w:keepNext/>
              <w:keepLines/>
              <w:ind w:left="113"/>
              <w:rPr>
                <w:rFonts w:ascii="Arial" w:eastAsia="Times New Roman" w:hAnsi="Arial" w:cs="Arial"/>
                <w:b w:val="0"/>
                <w:bCs w:val="0"/>
                <w:spacing w:val="-2"/>
                <w:sz w:val="14"/>
                <w:szCs w:val="14"/>
              </w:rPr>
            </w:pPr>
            <w:r w:rsidRPr="003321FA">
              <w:rPr>
                <w:rFonts w:ascii="Arial" w:hAnsi="Arial" w:cs="Arial"/>
                <w:b w:val="0"/>
                <w:bCs w:val="0"/>
                <w:color w:val="000000"/>
                <w:sz w:val="14"/>
                <w:szCs w:val="14"/>
              </w:rPr>
              <w:t>Ajuste de avaliação patrimonial</w:t>
            </w:r>
          </w:p>
        </w:tc>
        <w:tc>
          <w:tcPr>
            <w:tcW w:w="3260" w:type="dxa"/>
            <w:tcBorders>
              <w:top w:val="nil"/>
              <w:left w:val="nil"/>
              <w:bottom w:val="nil"/>
              <w:right w:val="nil"/>
            </w:tcBorders>
            <w:shd w:val="clear" w:color="auto" w:fill="auto"/>
            <w:vAlign w:val="center"/>
          </w:tcPr>
          <w:p w14:paraId="1939194C"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(343.053)</w:t>
            </w:r>
          </w:p>
        </w:tc>
        <w:tc>
          <w:tcPr>
            <w:tcW w:w="3260" w:type="dxa"/>
            <w:tcBorders>
              <w:top w:val="nil"/>
              <w:left w:val="nil"/>
              <w:bottom w:val="nil"/>
              <w:right w:val="nil"/>
            </w:tcBorders>
            <w:shd w:val="clear" w:color="auto" w:fill="auto"/>
            <w:vAlign w:val="center"/>
          </w:tcPr>
          <w:p w14:paraId="3E8C4257"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(4.540)</w:t>
            </w:r>
          </w:p>
        </w:tc>
      </w:tr>
      <w:tr w:rsidR="003321FA" w:rsidRPr="003321FA" w14:paraId="41188C96"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08A41AD" w14:textId="77777777" w:rsidR="003321FA" w:rsidRPr="003321FA" w:rsidRDefault="003321FA">
            <w:pPr>
              <w:keepNext/>
              <w:keepLines/>
              <w:ind w:left="113"/>
              <w:rPr>
                <w:rFonts w:ascii="Arial" w:eastAsia="Times New Roman" w:hAnsi="Arial" w:cs="Arial"/>
                <w:b w:val="0"/>
                <w:bCs w:val="0"/>
                <w:spacing w:val="-2"/>
                <w:sz w:val="14"/>
                <w:szCs w:val="14"/>
              </w:rPr>
            </w:pPr>
            <w:r w:rsidRPr="003321FA">
              <w:rPr>
                <w:rFonts w:ascii="Arial" w:hAnsi="Arial" w:cs="Arial"/>
                <w:b w:val="0"/>
                <w:bCs w:val="0"/>
                <w:color w:val="000000"/>
                <w:sz w:val="14"/>
                <w:szCs w:val="14"/>
              </w:rPr>
              <w:t>Outros resultados abrangentes</w:t>
            </w:r>
          </w:p>
        </w:tc>
        <w:tc>
          <w:tcPr>
            <w:tcW w:w="3260" w:type="dxa"/>
            <w:tcBorders>
              <w:top w:val="nil"/>
              <w:left w:val="nil"/>
              <w:bottom w:val="nil"/>
              <w:right w:val="nil"/>
            </w:tcBorders>
            <w:shd w:val="clear" w:color="auto" w:fill="auto"/>
            <w:vAlign w:val="center"/>
          </w:tcPr>
          <w:p w14:paraId="43065440"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(560.188)</w:t>
            </w:r>
          </w:p>
        </w:tc>
        <w:tc>
          <w:tcPr>
            <w:tcW w:w="3260" w:type="dxa"/>
            <w:tcBorders>
              <w:top w:val="nil"/>
              <w:left w:val="nil"/>
              <w:bottom w:val="nil"/>
              <w:right w:val="nil"/>
            </w:tcBorders>
            <w:shd w:val="clear" w:color="auto" w:fill="auto"/>
            <w:vAlign w:val="center"/>
          </w:tcPr>
          <w:p w14:paraId="64DB0340"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(229.885)</w:t>
            </w:r>
          </w:p>
        </w:tc>
      </w:tr>
      <w:tr w:rsidR="003321FA" w:rsidRPr="003321FA" w14:paraId="682F249D"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5D62444" w14:textId="77777777" w:rsidR="003321FA" w:rsidRPr="003321FA" w:rsidRDefault="003321FA">
            <w:pPr>
              <w:keepNext/>
              <w:keepLines/>
              <w:rPr>
                <w:rFonts w:ascii="Arial" w:eastAsia="Times New Roman" w:hAnsi="Arial" w:cs="Arial"/>
                <w:spacing w:val="-2"/>
                <w:sz w:val="14"/>
                <w:szCs w:val="14"/>
              </w:rPr>
            </w:pPr>
            <w:r w:rsidRPr="003321FA">
              <w:rPr>
                <w:rFonts w:ascii="Arial" w:hAnsi="Arial" w:cs="Arial"/>
                <w:color w:val="000000"/>
                <w:sz w:val="14"/>
                <w:szCs w:val="14"/>
              </w:rPr>
              <w:t>Passivo e Patrimônio Líquido</w:t>
            </w:r>
          </w:p>
        </w:tc>
        <w:tc>
          <w:tcPr>
            <w:tcW w:w="3260" w:type="dxa"/>
            <w:tcBorders>
              <w:top w:val="nil"/>
              <w:left w:val="nil"/>
              <w:bottom w:val="nil"/>
              <w:right w:val="nil"/>
            </w:tcBorders>
            <w:shd w:val="clear" w:color="auto" w:fill="auto"/>
            <w:vAlign w:val="center"/>
          </w:tcPr>
          <w:p w14:paraId="633A335F"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321FA">
              <w:rPr>
                <w:rFonts w:ascii="Arial" w:hAnsi="Arial" w:cs="Arial"/>
                <w:b/>
                <w:bCs/>
                <w:color w:val="000000"/>
                <w:sz w:val="14"/>
                <w:szCs w:val="14"/>
              </w:rPr>
              <w:t>434.284.024</w:t>
            </w:r>
          </w:p>
        </w:tc>
        <w:tc>
          <w:tcPr>
            <w:tcW w:w="3260" w:type="dxa"/>
            <w:tcBorders>
              <w:top w:val="nil"/>
              <w:left w:val="nil"/>
              <w:bottom w:val="nil"/>
              <w:right w:val="nil"/>
            </w:tcBorders>
            <w:shd w:val="clear" w:color="auto" w:fill="auto"/>
            <w:vAlign w:val="center"/>
          </w:tcPr>
          <w:p w14:paraId="4AD1A837"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321FA">
              <w:rPr>
                <w:rFonts w:ascii="Arial" w:hAnsi="Arial" w:cs="Arial"/>
                <w:b/>
                <w:bCs/>
                <w:color w:val="000000"/>
                <w:sz w:val="14"/>
                <w:szCs w:val="14"/>
              </w:rPr>
              <w:t>398.936.816</w:t>
            </w:r>
          </w:p>
        </w:tc>
      </w:tr>
      <w:tr w:rsidR="003321FA" w:rsidRPr="003321FA" w14:paraId="60137EA1"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39C84AE" w14:textId="77777777" w:rsidR="003321FA" w:rsidRPr="003321FA" w:rsidRDefault="003321FA">
            <w:pPr>
              <w:keepNext/>
              <w:keepLines/>
              <w:rPr>
                <w:rFonts w:ascii="Arial" w:hAnsi="Arial" w:cs="Arial"/>
                <w:color w:val="000000"/>
                <w:sz w:val="14"/>
                <w:szCs w:val="14"/>
              </w:rPr>
            </w:pPr>
            <w:r w:rsidRPr="003321FA">
              <w:rPr>
                <w:rFonts w:ascii="Arial" w:hAnsi="Arial" w:cs="Arial"/>
                <w:sz w:val="14"/>
                <w:szCs w:val="14"/>
              </w:rPr>
              <w:t>Atribuível à BB Seguridade</w:t>
            </w:r>
          </w:p>
        </w:tc>
        <w:tc>
          <w:tcPr>
            <w:tcW w:w="3260" w:type="dxa"/>
            <w:tcBorders>
              <w:top w:val="nil"/>
              <w:left w:val="nil"/>
              <w:bottom w:val="nil"/>
              <w:right w:val="nil"/>
            </w:tcBorders>
            <w:shd w:val="clear" w:color="auto" w:fill="auto"/>
            <w:vAlign w:val="center"/>
          </w:tcPr>
          <w:p w14:paraId="569B0BC2"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321FA">
              <w:rPr>
                <w:rFonts w:ascii="Arial" w:hAnsi="Arial" w:cs="Arial"/>
                <w:b/>
                <w:bCs/>
                <w:color w:val="000000"/>
                <w:sz w:val="14"/>
                <w:szCs w:val="14"/>
              </w:rPr>
              <w:t xml:space="preserve">                      5.215.449</w:t>
            </w:r>
          </w:p>
        </w:tc>
        <w:tc>
          <w:tcPr>
            <w:tcW w:w="3260" w:type="dxa"/>
            <w:tcBorders>
              <w:top w:val="nil"/>
              <w:left w:val="nil"/>
              <w:bottom w:val="nil"/>
              <w:right w:val="nil"/>
            </w:tcBorders>
            <w:shd w:val="clear" w:color="auto" w:fill="auto"/>
            <w:vAlign w:val="center"/>
          </w:tcPr>
          <w:p w14:paraId="151EF7C2"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321FA">
              <w:rPr>
                <w:rFonts w:ascii="Arial" w:hAnsi="Arial" w:cs="Arial"/>
                <w:b/>
                <w:bCs/>
                <w:sz w:val="14"/>
                <w:szCs w:val="14"/>
              </w:rPr>
              <w:t>5.708.938</w:t>
            </w:r>
          </w:p>
        </w:tc>
      </w:tr>
      <w:tr w:rsidR="003321FA" w:rsidRPr="003321FA" w14:paraId="1428AD77"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6EDC652" w14:textId="77777777" w:rsidR="003321FA" w:rsidRPr="003321FA" w:rsidRDefault="003321FA">
            <w:pPr>
              <w:keepNext/>
              <w:keepLines/>
              <w:rPr>
                <w:rFonts w:ascii="Arial" w:hAnsi="Arial" w:cs="Arial"/>
                <w:b w:val="0"/>
                <w:bCs w:val="0"/>
                <w:color w:val="000000"/>
                <w:sz w:val="14"/>
                <w:szCs w:val="14"/>
              </w:rPr>
            </w:pPr>
            <w:r w:rsidRPr="003321FA">
              <w:rPr>
                <w:rFonts w:ascii="Arial" w:hAnsi="Arial" w:cs="Arial"/>
                <w:b w:val="0"/>
                <w:bCs w:val="0"/>
                <w:sz w:val="14"/>
                <w:szCs w:val="14"/>
              </w:rPr>
              <w:t xml:space="preserve">Resultado não realizado </w:t>
            </w:r>
            <w:r w:rsidRPr="003321FA">
              <w:rPr>
                <w:rFonts w:ascii="Arial" w:hAnsi="Arial" w:cs="Arial"/>
                <w:b w:val="0"/>
                <w:bCs w:val="0"/>
                <w:sz w:val="14"/>
                <w:szCs w:val="14"/>
                <w:vertAlign w:val="superscript"/>
              </w:rPr>
              <w:t>(1)</w:t>
            </w:r>
          </w:p>
        </w:tc>
        <w:tc>
          <w:tcPr>
            <w:tcW w:w="3260" w:type="dxa"/>
            <w:tcBorders>
              <w:top w:val="nil"/>
              <w:left w:val="nil"/>
              <w:bottom w:val="nil"/>
              <w:right w:val="nil"/>
            </w:tcBorders>
            <w:shd w:val="clear" w:color="auto" w:fill="auto"/>
            <w:vAlign w:val="center"/>
          </w:tcPr>
          <w:p w14:paraId="4ADE1DD7"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(12.127)</w:t>
            </w:r>
          </w:p>
        </w:tc>
        <w:tc>
          <w:tcPr>
            <w:tcW w:w="3260" w:type="dxa"/>
            <w:tcBorders>
              <w:top w:val="nil"/>
              <w:left w:val="nil"/>
              <w:bottom w:val="nil"/>
              <w:right w:val="nil"/>
            </w:tcBorders>
            <w:shd w:val="clear" w:color="auto" w:fill="auto"/>
            <w:vAlign w:val="center"/>
          </w:tcPr>
          <w:p w14:paraId="462BAA14"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321FA">
              <w:rPr>
                <w:rFonts w:ascii="Arial" w:hAnsi="Arial" w:cs="Arial"/>
                <w:sz w:val="14"/>
                <w:szCs w:val="14"/>
              </w:rPr>
              <w:t>(13.612)</w:t>
            </w:r>
          </w:p>
        </w:tc>
      </w:tr>
      <w:tr w:rsidR="003321FA" w:rsidRPr="003321FA" w14:paraId="3CB6A9F6"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single" w:sz="2" w:space="0" w:color="1F3864" w:themeColor="accent1" w:themeShade="80"/>
              <w:right w:val="nil"/>
            </w:tcBorders>
            <w:shd w:val="clear" w:color="auto" w:fill="auto"/>
            <w:vAlign w:val="center"/>
          </w:tcPr>
          <w:p w14:paraId="77936CCB" w14:textId="77777777" w:rsidR="003321FA" w:rsidRPr="003321FA" w:rsidRDefault="003321FA">
            <w:pPr>
              <w:keepNext/>
              <w:keepLines/>
              <w:rPr>
                <w:rFonts w:ascii="Arial" w:hAnsi="Arial" w:cs="Arial"/>
                <w:color w:val="000000"/>
                <w:sz w:val="14"/>
                <w:szCs w:val="14"/>
              </w:rPr>
            </w:pPr>
            <w:r w:rsidRPr="003321FA">
              <w:rPr>
                <w:rFonts w:ascii="Arial" w:hAnsi="Arial" w:cs="Arial"/>
                <w:sz w:val="14"/>
                <w:szCs w:val="14"/>
              </w:rPr>
              <w:t>Saldo do investimento</w:t>
            </w:r>
          </w:p>
        </w:tc>
        <w:tc>
          <w:tcPr>
            <w:tcW w:w="3260" w:type="dxa"/>
            <w:tcBorders>
              <w:top w:val="nil"/>
              <w:left w:val="nil"/>
              <w:bottom w:val="single" w:sz="2" w:space="0" w:color="1F3864" w:themeColor="accent1" w:themeShade="80"/>
              <w:right w:val="nil"/>
            </w:tcBorders>
            <w:shd w:val="clear" w:color="auto" w:fill="auto"/>
            <w:vAlign w:val="center"/>
          </w:tcPr>
          <w:p w14:paraId="6DC19B48"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321FA">
              <w:rPr>
                <w:rFonts w:ascii="Arial" w:hAnsi="Arial" w:cs="Arial"/>
                <w:b/>
                <w:bCs/>
                <w:color w:val="000000"/>
                <w:sz w:val="14"/>
                <w:szCs w:val="14"/>
              </w:rPr>
              <w:t xml:space="preserve">                      5.203.322</w:t>
            </w:r>
          </w:p>
        </w:tc>
        <w:tc>
          <w:tcPr>
            <w:tcW w:w="3260" w:type="dxa"/>
            <w:tcBorders>
              <w:top w:val="nil"/>
              <w:left w:val="nil"/>
              <w:bottom w:val="single" w:sz="2" w:space="0" w:color="1F3864" w:themeColor="accent1" w:themeShade="80"/>
              <w:right w:val="nil"/>
            </w:tcBorders>
            <w:shd w:val="clear" w:color="auto" w:fill="auto"/>
            <w:vAlign w:val="center"/>
          </w:tcPr>
          <w:p w14:paraId="376F1CF5"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321FA">
              <w:rPr>
                <w:rFonts w:ascii="Arial" w:hAnsi="Arial" w:cs="Arial"/>
                <w:b/>
                <w:bCs/>
                <w:color w:val="000000"/>
                <w:sz w:val="14"/>
                <w:szCs w:val="14"/>
              </w:rPr>
              <w:t>5.695.326</w:t>
            </w:r>
          </w:p>
        </w:tc>
      </w:tr>
    </w:tbl>
    <w:p w14:paraId="46A31CBB" w14:textId="77777777" w:rsidR="003321FA" w:rsidRPr="003321FA" w:rsidRDefault="003321FA" w:rsidP="002C3B56">
      <w:pPr>
        <w:pStyle w:val="PargrafodaLista"/>
        <w:keepNext/>
        <w:keepLines/>
        <w:numPr>
          <w:ilvl w:val="0"/>
          <w:numId w:val="19"/>
        </w:numPr>
        <w:spacing w:after="0" w:line="276" w:lineRule="auto"/>
        <w:ind w:left="284" w:hanging="284"/>
        <w:rPr>
          <w:rFonts w:ascii="Arial" w:eastAsia="Times New Roman" w:hAnsi="Arial" w:cs="Times New Roman"/>
          <w:bCs/>
          <w:color w:val="1F3864" w:themeColor="accent1" w:themeShade="80"/>
          <w:spacing w:val="-2"/>
          <w:sz w:val="14"/>
          <w:szCs w:val="16"/>
          <w:lang w:eastAsia="pt-BR"/>
        </w:rPr>
      </w:pPr>
      <w:r w:rsidRPr="003321FA">
        <w:rPr>
          <w:rFonts w:ascii="Arial" w:eastAsia="Times New Roman" w:hAnsi="Arial" w:cs="Times New Roman"/>
          <w:bCs/>
          <w:color w:val="000000" w:themeColor="text1"/>
          <w:spacing w:val="-2"/>
          <w:sz w:val="14"/>
          <w:szCs w:val="16"/>
          <w:lang w:eastAsia="pt-BR"/>
        </w:rPr>
        <w:t>Montante refere-se ao resultado não realizado da venda da participação acionária da MAPFRE Nossa Caixa Vida e Previdência (MNCVP) em julho de 2012.</w:t>
      </w:r>
    </w:p>
    <w:p w14:paraId="7A920E04" w14:textId="77777777" w:rsidR="003321FA" w:rsidRPr="003321FA" w:rsidRDefault="003321FA" w:rsidP="003321FA">
      <w:pPr>
        <w:pStyle w:val="05-Textonormal"/>
        <w:spacing w:line="240" w:lineRule="auto"/>
        <w:rPr>
          <w:rFonts w:cs="Arial"/>
        </w:rPr>
      </w:pPr>
    </w:p>
    <w:p w14:paraId="5030B8B9" w14:textId="77777777" w:rsidR="003321FA" w:rsidRPr="003321FA" w:rsidRDefault="003321FA" w:rsidP="003321FA">
      <w:pPr>
        <w:pStyle w:val="05-Textonormal"/>
        <w:spacing w:line="240" w:lineRule="auto"/>
        <w:rPr>
          <w:rFonts w:cs="Arial"/>
        </w:rPr>
      </w:pPr>
      <w:r w:rsidRPr="003321FA">
        <w:rPr>
          <w:rFonts w:cs="Arial"/>
        </w:rPr>
        <w:t>Os impactos do CPC 50 [IFRS 17], em 2024 e 2023, e do CPC 48 [IFRS 9], em 2023, no Patrimônio Líquido, para fins de comparabilidade, estão indicados no quadro a seguir:</w:t>
      </w:r>
    </w:p>
    <w:p w14:paraId="782B620D" w14:textId="77777777" w:rsidR="003321FA" w:rsidRPr="003321FA" w:rsidRDefault="003321FA" w:rsidP="003321FA">
      <w:pPr>
        <w:spacing w:after="0" w:line="240" w:lineRule="auto"/>
        <w:jc w:val="right"/>
        <w:rPr>
          <w:rFonts w:ascii="Arial" w:hAnsi="Arial" w:cs="Arial"/>
          <w:b/>
          <w:sz w:val="14"/>
          <w:lang w:eastAsia="pt-BR"/>
        </w:rPr>
      </w:pPr>
      <w:r w:rsidRPr="003321FA">
        <w:rPr>
          <w:rFonts w:ascii="Arial" w:hAnsi="Arial" w:cs="Arial"/>
          <w:b/>
          <w:sz w:val="14"/>
          <w:lang w:eastAsia="pt-BR"/>
        </w:rPr>
        <w:t>R$ mil</w:t>
      </w:r>
    </w:p>
    <w:tbl>
      <w:tblPr>
        <w:tblStyle w:val="TabeladeLista6Colorida-nfase512"/>
        <w:tblW w:w="9639" w:type="dxa"/>
        <w:jc w:val="center"/>
        <w:tblLayout w:type="fixed"/>
        <w:tblLook w:val="04A0" w:firstRow="1" w:lastRow="0" w:firstColumn="1" w:lastColumn="0" w:noHBand="0" w:noVBand="1"/>
      </w:tblPr>
      <w:tblGrid>
        <w:gridCol w:w="5387"/>
        <w:gridCol w:w="2126"/>
        <w:gridCol w:w="2126"/>
      </w:tblGrid>
      <w:tr w:rsidR="003321FA" w:rsidRPr="003321FA" w14:paraId="7C8066FE"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35D8C8D" w14:textId="77777777" w:rsidR="003321FA" w:rsidRPr="003321FA" w:rsidRDefault="003321FA">
            <w:pPr>
              <w:jc w:val="center"/>
              <w:rPr>
                <w:rFonts w:ascii="Arial" w:hAnsi="Arial" w:cs="Arial"/>
                <w:sz w:val="14"/>
                <w:szCs w:val="14"/>
              </w:rPr>
            </w:pPr>
          </w:p>
        </w:tc>
        <w:tc>
          <w:tcPr>
            <w:tcW w:w="21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6E5D291" w14:textId="77777777" w:rsidR="003321FA" w:rsidRPr="003321FA" w:rsidRDefault="003321F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sz w:val="14"/>
                <w:szCs w:val="14"/>
              </w:rPr>
              <w:t>31.12.2024</w:t>
            </w:r>
          </w:p>
        </w:tc>
        <w:tc>
          <w:tcPr>
            <w:tcW w:w="21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9CBDA3E" w14:textId="77777777" w:rsidR="003321FA" w:rsidRPr="003321FA" w:rsidRDefault="003321F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sz w:val="14"/>
                <w:szCs w:val="14"/>
              </w:rPr>
              <w:t>31.12.2023</w:t>
            </w:r>
          </w:p>
        </w:tc>
      </w:tr>
      <w:tr w:rsidR="003321FA" w:rsidRPr="003321FA" w14:paraId="5974FF8A"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nil"/>
              <w:right w:val="nil"/>
            </w:tcBorders>
            <w:shd w:val="clear" w:color="auto" w:fill="auto"/>
            <w:vAlign w:val="center"/>
          </w:tcPr>
          <w:p w14:paraId="64FC22BF" w14:textId="77777777" w:rsidR="003321FA" w:rsidRPr="003321FA" w:rsidRDefault="003321FA">
            <w:pPr>
              <w:keepNext/>
              <w:keepLines/>
              <w:rPr>
                <w:rFonts w:ascii="Arial" w:eastAsia="Times New Roman" w:hAnsi="Arial" w:cs="Arial"/>
                <w:b w:val="0"/>
                <w:bCs w:val="0"/>
                <w:spacing w:val="-2"/>
                <w:sz w:val="14"/>
                <w:szCs w:val="14"/>
              </w:rPr>
            </w:pPr>
            <w:r w:rsidRPr="003321FA">
              <w:rPr>
                <w:rFonts w:ascii="Arial" w:hAnsi="Arial" w:cs="Arial"/>
                <w:b w:val="0"/>
                <w:bCs w:val="0"/>
                <w:sz w:val="14"/>
                <w:szCs w:val="14"/>
              </w:rPr>
              <w:t>Patrimônio Líquido - BRGAAP e IFRS</w:t>
            </w:r>
          </w:p>
        </w:tc>
        <w:tc>
          <w:tcPr>
            <w:tcW w:w="2126" w:type="dxa"/>
            <w:tcBorders>
              <w:top w:val="single" w:sz="2" w:space="0" w:color="1F3864" w:themeColor="accent1" w:themeShade="80"/>
              <w:left w:val="nil"/>
              <w:bottom w:val="nil"/>
              <w:right w:val="nil"/>
            </w:tcBorders>
            <w:shd w:val="clear" w:color="auto" w:fill="auto"/>
            <w:vAlign w:val="center"/>
          </w:tcPr>
          <w:p w14:paraId="37CDD89F"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 xml:space="preserve">                     6.954.395 </w:t>
            </w:r>
          </w:p>
        </w:tc>
        <w:tc>
          <w:tcPr>
            <w:tcW w:w="2126" w:type="dxa"/>
            <w:tcBorders>
              <w:top w:val="single" w:sz="2" w:space="0" w:color="1F3864" w:themeColor="accent1" w:themeShade="80"/>
              <w:left w:val="nil"/>
              <w:bottom w:val="nil"/>
              <w:right w:val="nil"/>
            </w:tcBorders>
            <w:shd w:val="clear" w:color="auto" w:fill="auto"/>
            <w:vAlign w:val="center"/>
          </w:tcPr>
          <w:p w14:paraId="6EFC206E"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 xml:space="preserve">7.612.425 </w:t>
            </w:r>
          </w:p>
        </w:tc>
      </w:tr>
      <w:tr w:rsidR="003321FA" w:rsidRPr="003321FA" w14:paraId="70D0243B"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nil"/>
              <w:left w:val="nil"/>
              <w:bottom w:val="single" w:sz="2" w:space="0" w:color="1F3864" w:themeColor="accent1" w:themeShade="80"/>
              <w:right w:val="nil"/>
            </w:tcBorders>
            <w:shd w:val="clear" w:color="auto" w:fill="auto"/>
            <w:vAlign w:val="center"/>
          </w:tcPr>
          <w:p w14:paraId="787C3A67" w14:textId="77777777" w:rsidR="003321FA" w:rsidRPr="003321FA" w:rsidRDefault="003321FA">
            <w:pPr>
              <w:keepNext/>
              <w:keepLines/>
              <w:spacing w:before="40" w:after="40"/>
              <w:rPr>
                <w:rFonts w:ascii="Arial" w:hAnsi="Arial" w:cs="Arial"/>
                <w:b w:val="0"/>
                <w:bCs w:val="0"/>
                <w:sz w:val="14"/>
                <w:szCs w:val="14"/>
              </w:rPr>
            </w:pPr>
            <w:r w:rsidRPr="003321FA">
              <w:rPr>
                <w:rFonts w:ascii="Arial" w:hAnsi="Arial" w:cs="Arial"/>
                <w:b w:val="0"/>
                <w:bCs w:val="0"/>
                <w:sz w:val="14"/>
                <w:szCs w:val="14"/>
              </w:rPr>
              <w:t>Patrimônio Líquido - SUSEPGAAP</w:t>
            </w:r>
          </w:p>
        </w:tc>
        <w:tc>
          <w:tcPr>
            <w:tcW w:w="2126" w:type="dxa"/>
            <w:tcBorders>
              <w:top w:val="nil"/>
              <w:left w:val="nil"/>
              <w:bottom w:val="single" w:sz="2" w:space="0" w:color="1F3864" w:themeColor="accent1" w:themeShade="80"/>
              <w:right w:val="nil"/>
            </w:tcBorders>
            <w:shd w:val="clear" w:color="auto" w:fill="auto"/>
            <w:vAlign w:val="center"/>
          </w:tcPr>
          <w:p w14:paraId="50D9897D"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 xml:space="preserve">                     5.569.085 </w:t>
            </w:r>
          </w:p>
        </w:tc>
        <w:tc>
          <w:tcPr>
            <w:tcW w:w="2126" w:type="dxa"/>
            <w:tcBorders>
              <w:top w:val="nil"/>
              <w:left w:val="nil"/>
              <w:bottom w:val="single" w:sz="2" w:space="0" w:color="1F3864" w:themeColor="accent1" w:themeShade="80"/>
              <w:right w:val="nil"/>
            </w:tcBorders>
            <w:shd w:val="clear" w:color="auto" w:fill="auto"/>
            <w:vAlign w:val="center"/>
          </w:tcPr>
          <w:p w14:paraId="447C54DB"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 xml:space="preserve">6.699.945 </w:t>
            </w:r>
          </w:p>
        </w:tc>
      </w:tr>
    </w:tbl>
    <w:p w14:paraId="7C0AE0FE" w14:textId="77777777" w:rsidR="003321FA" w:rsidRPr="003321FA" w:rsidRDefault="003321FA" w:rsidP="003321FA">
      <w:pPr>
        <w:keepNext/>
        <w:keepLines/>
        <w:pageBreakBefore/>
        <w:spacing w:before="120" w:after="120" w:line="240" w:lineRule="auto"/>
        <w:rPr>
          <w:rFonts w:ascii="Arial" w:eastAsia="Times New Roman" w:hAnsi="Arial" w:cs="Times New Roman"/>
          <w:b/>
          <w:color w:val="1F3864" w:themeColor="accent1" w:themeShade="80"/>
          <w:spacing w:val="-2"/>
          <w:sz w:val="18"/>
          <w:szCs w:val="20"/>
          <w:lang w:eastAsia="pt-BR"/>
        </w:rPr>
      </w:pPr>
      <w:r w:rsidRPr="003321FA">
        <w:rPr>
          <w:rFonts w:ascii="Arial" w:eastAsia="Times New Roman" w:hAnsi="Arial" w:cs="Times New Roman"/>
          <w:b/>
          <w:color w:val="1F3864" w:themeColor="accent1" w:themeShade="80"/>
          <w:spacing w:val="-2"/>
          <w:sz w:val="18"/>
          <w:szCs w:val="20"/>
          <w:lang w:eastAsia="pt-BR"/>
        </w:rPr>
        <w:lastRenderedPageBreak/>
        <w:t xml:space="preserve">c.3) </w:t>
      </w:r>
      <w:proofErr w:type="spellStart"/>
      <w:r w:rsidRPr="003321FA">
        <w:rPr>
          <w:rFonts w:ascii="Arial" w:eastAsia="Times New Roman" w:hAnsi="Arial" w:cs="Times New Roman"/>
          <w:b/>
          <w:color w:val="1F3864" w:themeColor="accent1" w:themeShade="80"/>
          <w:spacing w:val="-2"/>
          <w:sz w:val="18"/>
          <w:szCs w:val="20"/>
          <w:lang w:eastAsia="pt-BR"/>
        </w:rPr>
        <w:t>Brasildental</w:t>
      </w:r>
      <w:proofErr w:type="spellEnd"/>
      <w:r w:rsidRPr="003321FA">
        <w:rPr>
          <w:rFonts w:ascii="Arial" w:eastAsia="Times New Roman" w:hAnsi="Arial" w:cs="Times New Roman"/>
          <w:b/>
          <w:color w:val="1F3864" w:themeColor="accent1" w:themeShade="80"/>
          <w:spacing w:val="-2"/>
          <w:sz w:val="18"/>
          <w:szCs w:val="20"/>
          <w:lang w:eastAsia="pt-BR"/>
        </w:rPr>
        <w:t xml:space="preserve"> Operadora de Planos Odontológicos S.A. (</w:t>
      </w:r>
      <w:proofErr w:type="spellStart"/>
      <w:r w:rsidRPr="003321FA">
        <w:rPr>
          <w:rFonts w:ascii="Arial" w:eastAsia="Times New Roman" w:hAnsi="Arial" w:cs="Times New Roman"/>
          <w:b/>
          <w:color w:val="1F3864" w:themeColor="accent1" w:themeShade="80"/>
          <w:spacing w:val="-2"/>
          <w:sz w:val="18"/>
          <w:szCs w:val="20"/>
          <w:lang w:eastAsia="pt-BR"/>
        </w:rPr>
        <w:t>Brasildental</w:t>
      </w:r>
      <w:proofErr w:type="spellEnd"/>
      <w:r w:rsidRPr="003321FA">
        <w:rPr>
          <w:rFonts w:ascii="Arial" w:eastAsia="Times New Roman" w:hAnsi="Arial" w:cs="Times New Roman"/>
          <w:b/>
          <w:color w:val="1F3864" w:themeColor="accent1" w:themeShade="80"/>
          <w:spacing w:val="-2"/>
          <w:sz w:val="18"/>
          <w:szCs w:val="20"/>
          <w:lang w:eastAsia="pt-BR"/>
        </w:rPr>
        <w:t>)</w:t>
      </w:r>
    </w:p>
    <w:p w14:paraId="48667053" w14:textId="77777777" w:rsidR="003321FA" w:rsidRPr="003321FA" w:rsidRDefault="003321FA" w:rsidP="003321FA">
      <w:pPr>
        <w:spacing w:before="120" w:after="120" w:line="240" w:lineRule="auto"/>
        <w:rPr>
          <w:rFonts w:ascii="Arial" w:eastAsia="Times New Roman" w:hAnsi="Arial" w:cs="Arial"/>
          <w:spacing w:val="-2"/>
          <w:sz w:val="18"/>
          <w:szCs w:val="20"/>
          <w:lang w:eastAsia="zh-CN"/>
        </w:rPr>
      </w:pPr>
      <w:r w:rsidRPr="003321FA">
        <w:rPr>
          <w:rFonts w:ascii="Arial" w:eastAsia="Times New Roman" w:hAnsi="Arial" w:cs="Times New Roman"/>
          <w:b/>
          <w:color w:val="1F3864" w:themeColor="accent1" w:themeShade="80"/>
          <w:spacing w:val="-2"/>
          <w:sz w:val="18"/>
          <w:szCs w:val="20"/>
          <w:lang w:eastAsia="pt-BR"/>
        </w:rPr>
        <w:t>Informações de Resultado</w:t>
      </w:r>
    </w:p>
    <w:p w14:paraId="1CF00A54" w14:textId="77777777" w:rsidR="003321FA" w:rsidRPr="003321FA" w:rsidRDefault="003321FA" w:rsidP="003321FA">
      <w:pPr>
        <w:spacing w:after="0" w:line="240" w:lineRule="auto"/>
        <w:jc w:val="right"/>
        <w:rPr>
          <w:rFonts w:ascii="Arial" w:hAnsi="Arial" w:cs="Arial"/>
          <w:b/>
          <w:sz w:val="14"/>
          <w:lang w:eastAsia="pt-BR"/>
        </w:rPr>
      </w:pPr>
      <w:bookmarkStart w:id="78" w:name="_Hlk141875102"/>
      <w:r w:rsidRPr="003321FA">
        <w:rPr>
          <w:rFonts w:ascii="Arial" w:hAnsi="Arial" w:cs="Arial"/>
          <w:b/>
          <w:sz w:val="14"/>
          <w:lang w:eastAsia="pt-BR"/>
        </w:rPr>
        <w:t>R$ mil</w:t>
      </w:r>
    </w:p>
    <w:tbl>
      <w:tblPr>
        <w:tblStyle w:val="TabeladeLista6Colorida-nfase512"/>
        <w:tblW w:w="9639" w:type="dxa"/>
        <w:jc w:val="center"/>
        <w:tblLayout w:type="fixed"/>
        <w:tblLook w:val="04A0" w:firstRow="1" w:lastRow="0" w:firstColumn="1" w:lastColumn="0" w:noHBand="0" w:noVBand="1"/>
      </w:tblPr>
      <w:tblGrid>
        <w:gridCol w:w="2364"/>
        <w:gridCol w:w="1818"/>
        <w:gridCol w:w="1819"/>
        <w:gridCol w:w="1819"/>
        <w:gridCol w:w="1819"/>
      </w:tblGrid>
      <w:tr w:rsidR="003321FA" w:rsidRPr="003321FA" w14:paraId="130273BA"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FC8FAC1" w14:textId="77777777" w:rsidR="003321FA" w:rsidRPr="003321FA" w:rsidRDefault="003321FA">
            <w:pPr>
              <w:jc w:val="center"/>
              <w:rPr>
                <w:rFonts w:ascii="Arial" w:hAnsi="Arial" w:cs="Arial"/>
                <w:sz w:val="14"/>
                <w:szCs w:val="14"/>
              </w:rPr>
            </w:pPr>
          </w:p>
        </w:tc>
        <w:tc>
          <w:tcPr>
            <w:tcW w:w="1818"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C488778" w14:textId="77777777" w:rsidR="003321FA" w:rsidRPr="003321FA" w:rsidRDefault="003321F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81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581D9C4" w14:textId="77777777" w:rsidR="003321FA" w:rsidRPr="003321FA" w:rsidRDefault="003321F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81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18BFF83" w14:textId="77777777" w:rsidR="003321FA" w:rsidRPr="003321FA" w:rsidRDefault="003321FA">
            <w:pPr>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3321FA">
              <w:rPr>
                <w:rFonts w:ascii="Arial" w:hAnsi="Arial" w:cs="Arial"/>
                <w:bCs w:val="0"/>
                <w:sz w:val="14"/>
                <w:szCs w:val="14"/>
              </w:rPr>
              <w:t xml:space="preserve">01.01 a 30.11.2024 </w:t>
            </w:r>
            <w:r w:rsidRPr="003321FA">
              <w:rPr>
                <w:rFonts w:ascii="Arial" w:hAnsi="Arial" w:cs="Arial"/>
                <w:bCs w:val="0"/>
                <w:sz w:val="14"/>
                <w:szCs w:val="14"/>
                <w:vertAlign w:val="superscript"/>
              </w:rPr>
              <w:t>(2)</w:t>
            </w:r>
          </w:p>
        </w:tc>
        <w:tc>
          <w:tcPr>
            <w:tcW w:w="181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2D5E6C1" w14:textId="77777777" w:rsidR="003321FA" w:rsidRPr="003321FA" w:rsidRDefault="003321FA">
            <w:pPr>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3321FA">
              <w:rPr>
                <w:rFonts w:ascii="Arial" w:hAnsi="Arial" w:cs="Arial"/>
                <w:bCs w:val="0"/>
                <w:sz w:val="14"/>
                <w:szCs w:val="14"/>
              </w:rPr>
              <w:t xml:space="preserve">01.01 a 30.11.2023 </w:t>
            </w:r>
            <w:r w:rsidRPr="003321FA">
              <w:rPr>
                <w:rFonts w:ascii="Arial" w:hAnsi="Arial" w:cs="Arial"/>
                <w:bCs w:val="0"/>
                <w:sz w:val="14"/>
                <w:szCs w:val="14"/>
                <w:vertAlign w:val="superscript"/>
              </w:rPr>
              <w:t>(2)</w:t>
            </w:r>
          </w:p>
        </w:tc>
      </w:tr>
      <w:tr w:rsidR="003321FA" w:rsidRPr="003321FA" w14:paraId="29503F10"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single" w:sz="2" w:space="0" w:color="1F3864" w:themeColor="accent1" w:themeShade="80"/>
              <w:left w:val="nil"/>
              <w:bottom w:val="nil"/>
              <w:right w:val="nil"/>
            </w:tcBorders>
            <w:shd w:val="clear" w:color="auto" w:fill="auto"/>
            <w:vAlign w:val="center"/>
          </w:tcPr>
          <w:p w14:paraId="601E5E17" w14:textId="77777777" w:rsidR="003321FA" w:rsidRPr="003321FA" w:rsidRDefault="003321FA">
            <w:pPr>
              <w:keepNext/>
              <w:keepLines/>
              <w:rPr>
                <w:rFonts w:ascii="Arial" w:eastAsia="Times New Roman" w:hAnsi="Arial" w:cs="Arial"/>
                <w:spacing w:val="-2"/>
                <w:sz w:val="14"/>
                <w:szCs w:val="14"/>
              </w:rPr>
            </w:pPr>
            <w:r w:rsidRPr="003321FA">
              <w:rPr>
                <w:rFonts w:ascii="Arial" w:hAnsi="Arial" w:cs="Arial"/>
                <w:color w:val="000000"/>
                <w:sz w:val="14"/>
                <w:szCs w:val="14"/>
              </w:rPr>
              <w:t>Resultado de contratos de seguros</w:t>
            </w:r>
          </w:p>
        </w:tc>
        <w:tc>
          <w:tcPr>
            <w:tcW w:w="1818" w:type="dxa"/>
            <w:tcBorders>
              <w:top w:val="single" w:sz="2" w:space="0" w:color="1F3864" w:themeColor="accent1" w:themeShade="80"/>
              <w:left w:val="nil"/>
              <w:bottom w:val="nil"/>
              <w:right w:val="nil"/>
            </w:tcBorders>
            <w:shd w:val="clear" w:color="auto" w:fill="auto"/>
            <w:vAlign w:val="center"/>
          </w:tcPr>
          <w:p w14:paraId="080C890D"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819" w:type="dxa"/>
            <w:tcBorders>
              <w:top w:val="single" w:sz="2" w:space="0" w:color="1F3864" w:themeColor="accent1" w:themeShade="80"/>
              <w:left w:val="nil"/>
              <w:bottom w:val="nil"/>
              <w:right w:val="nil"/>
            </w:tcBorders>
            <w:shd w:val="clear" w:color="auto" w:fill="auto"/>
            <w:vAlign w:val="center"/>
          </w:tcPr>
          <w:p w14:paraId="63F27264"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819" w:type="dxa"/>
            <w:tcBorders>
              <w:top w:val="single" w:sz="2" w:space="0" w:color="1F3864" w:themeColor="accent1" w:themeShade="80"/>
              <w:left w:val="nil"/>
              <w:bottom w:val="nil"/>
              <w:right w:val="nil"/>
            </w:tcBorders>
            <w:shd w:val="clear" w:color="auto" w:fill="auto"/>
            <w:vAlign w:val="center"/>
          </w:tcPr>
          <w:p w14:paraId="671B48C8"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321FA">
              <w:rPr>
                <w:rFonts w:ascii="Arial" w:hAnsi="Arial" w:cs="Arial"/>
                <w:b/>
                <w:bCs/>
                <w:color w:val="000000"/>
                <w:sz w:val="14"/>
                <w:szCs w:val="14"/>
              </w:rPr>
              <w:t>113.619</w:t>
            </w:r>
          </w:p>
        </w:tc>
        <w:tc>
          <w:tcPr>
            <w:tcW w:w="1819" w:type="dxa"/>
            <w:tcBorders>
              <w:top w:val="single" w:sz="2" w:space="0" w:color="1F3864" w:themeColor="accent1" w:themeShade="80"/>
              <w:left w:val="nil"/>
              <w:bottom w:val="nil"/>
              <w:right w:val="nil"/>
            </w:tcBorders>
            <w:shd w:val="clear" w:color="auto" w:fill="auto"/>
            <w:vAlign w:val="center"/>
          </w:tcPr>
          <w:p w14:paraId="1CC4146C"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321FA">
              <w:rPr>
                <w:rFonts w:ascii="Arial" w:hAnsi="Arial" w:cs="Arial"/>
                <w:b/>
                <w:bCs/>
                <w:color w:val="000000"/>
                <w:sz w:val="14"/>
                <w:szCs w:val="14"/>
              </w:rPr>
              <w:t>110.341</w:t>
            </w:r>
          </w:p>
        </w:tc>
      </w:tr>
      <w:tr w:rsidR="003321FA" w:rsidRPr="003321FA" w14:paraId="3A00A238"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06901BC3" w14:textId="77777777" w:rsidR="003321FA" w:rsidRPr="003321FA" w:rsidRDefault="003321FA">
            <w:pPr>
              <w:keepNext/>
              <w:keepLines/>
              <w:ind w:left="113"/>
              <w:rPr>
                <w:rFonts w:ascii="Arial" w:hAnsi="Arial" w:cs="Arial"/>
                <w:b w:val="0"/>
                <w:bCs w:val="0"/>
                <w:sz w:val="14"/>
                <w:szCs w:val="14"/>
              </w:rPr>
            </w:pPr>
            <w:r w:rsidRPr="003321FA">
              <w:rPr>
                <w:rFonts w:ascii="Arial" w:hAnsi="Arial" w:cs="Arial"/>
                <w:b w:val="0"/>
                <w:bCs w:val="0"/>
                <w:color w:val="000000"/>
                <w:sz w:val="14"/>
                <w:szCs w:val="14"/>
              </w:rPr>
              <w:t xml:space="preserve">Resultado dos contratos BBA </w:t>
            </w:r>
            <w:r w:rsidRPr="003321FA">
              <w:rPr>
                <w:rFonts w:ascii="Arial" w:hAnsi="Arial" w:cs="Arial"/>
                <w:b w:val="0"/>
                <w:bCs w:val="0"/>
                <w:color w:val="000000"/>
                <w:sz w:val="14"/>
                <w:szCs w:val="14"/>
                <w:vertAlign w:val="superscript"/>
              </w:rPr>
              <w:t>(1)</w:t>
            </w:r>
          </w:p>
        </w:tc>
        <w:tc>
          <w:tcPr>
            <w:tcW w:w="1818" w:type="dxa"/>
            <w:tcBorders>
              <w:top w:val="nil"/>
              <w:left w:val="nil"/>
              <w:bottom w:val="nil"/>
              <w:right w:val="nil"/>
            </w:tcBorders>
            <w:shd w:val="clear" w:color="auto" w:fill="auto"/>
            <w:vAlign w:val="center"/>
          </w:tcPr>
          <w:p w14:paraId="6185BE3C"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62DFFF0D"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46488E35"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36.360</w:t>
            </w:r>
          </w:p>
        </w:tc>
        <w:tc>
          <w:tcPr>
            <w:tcW w:w="1819" w:type="dxa"/>
            <w:tcBorders>
              <w:top w:val="nil"/>
              <w:left w:val="nil"/>
              <w:bottom w:val="nil"/>
              <w:right w:val="nil"/>
            </w:tcBorders>
            <w:shd w:val="clear" w:color="auto" w:fill="auto"/>
            <w:vAlign w:val="center"/>
          </w:tcPr>
          <w:p w14:paraId="68846417" w14:textId="77777777" w:rsidR="003321FA" w:rsidRPr="003321FA" w:rsidRDefault="003321FA">
            <w:pPr>
              <w:keepNext/>
              <w:keepLines/>
              <w:spacing w:before="40" w:after="40"/>
              <w:ind w:firstLineChars="200" w:firstLine="28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33.168</w:t>
            </w:r>
          </w:p>
        </w:tc>
      </w:tr>
      <w:tr w:rsidR="003321FA" w:rsidRPr="003321FA" w14:paraId="537BFB30"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455C0C58" w14:textId="77777777" w:rsidR="003321FA" w:rsidRPr="003321FA" w:rsidRDefault="003321FA">
            <w:pPr>
              <w:keepNext/>
              <w:keepLines/>
              <w:ind w:left="113"/>
              <w:rPr>
                <w:rFonts w:ascii="Arial" w:hAnsi="Arial" w:cs="Arial"/>
                <w:b w:val="0"/>
                <w:bCs w:val="0"/>
                <w:sz w:val="14"/>
                <w:szCs w:val="14"/>
              </w:rPr>
            </w:pPr>
            <w:r w:rsidRPr="003321FA">
              <w:rPr>
                <w:rFonts w:ascii="Arial" w:hAnsi="Arial" w:cs="Arial"/>
                <w:b w:val="0"/>
                <w:bCs w:val="0"/>
                <w:color w:val="000000"/>
                <w:sz w:val="14"/>
                <w:szCs w:val="14"/>
              </w:rPr>
              <w:t xml:space="preserve">Resultado dos contratos PAA </w:t>
            </w:r>
            <w:r w:rsidRPr="003321FA">
              <w:rPr>
                <w:rFonts w:ascii="Arial" w:hAnsi="Arial" w:cs="Arial"/>
                <w:b w:val="0"/>
                <w:bCs w:val="0"/>
                <w:color w:val="000000"/>
                <w:sz w:val="14"/>
                <w:szCs w:val="14"/>
                <w:vertAlign w:val="superscript"/>
              </w:rPr>
              <w:t>(1)</w:t>
            </w:r>
          </w:p>
        </w:tc>
        <w:tc>
          <w:tcPr>
            <w:tcW w:w="1818" w:type="dxa"/>
            <w:tcBorders>
              <w:top w:val="nil"/>
              <w:left w:val="nil"/>
              <w:bottom w:val="nil"/>
              <w:right w:val="nil"/>
            </w:tcBorders>
            <w:shd w:val="clear" w:color="auto" w:fill="auto"/>
            <w:vAlign w:val="center"/>
          </w:tcPr>
          <w:p w14:paraId="7752692D"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2F99E20D"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3D81EC8E"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77.259</w:t>
            </w:r>
          </w:p>
        </w:tc>
        <w:tc>
          <w:tcPr>
            <w:tcW w:w="1819" w:type="dxa"/>
            <w:tcBorders>
              <w:top w:val="nil"/>
              <w:left w:val="nil"/>
              <w:bottom w:val="nil"/>
              <w:right w:val="nil"/>
            </w:tcBorders>
            <w:shd w:val="clear" w:color="auto" w:fill="auto"/>
            <w:vAlign w:val="center"/>
          </w:tcPr>
          <w:p w14:paraId="3C5CE9A4" w14:textId="77777777" w:rsidR="003321FA" w:rsidRPr="003321FA" w:rsidRDefault="003321FA">
            <w:pPr>
              <w:keepNext/>
              <w:keepLines/>
              <w:spacing w:before="40" w:after="40"/>
              <w:ind w:firstLineChars="200" w:firstLine="28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77.173</w:t>
            </w:r>
          </w:p>
        </w:tc>
      </w:tr>
      <w:tr w:rsidR="003321FA" w:rsidRPr="003321FA" w14:paraId="6C5E14D0"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56604CA2" w14:textId="77777777" w:rsidR="003321FA" w:rsidRPr="003321FA" w:rsidRDefault="003321FA">
            <w:pPr>
              <w:keepNext/>
              <w:keepLines/>
              <w:rPr>
                <w:rFonts w:ascii="Arial" w:hAnsi="Arial" w:cs="Arial"/>
                <w:b w:val="0"/>
                <w:bCs w:val="0"/>
                <w:color w:val="000000"/>
                <w:sz w:val="14"/>
                <w:szCs w:val="14"/>
              </w:rPr>
            </w:pPr>
            <w:r w:rsidRPr="003321FA">
              <w:rPr>
                <w:rFonts w:ascii="Arial" w:hAnsi="Arial" w:cs="Arial"/>
                <w:b w:val="0"/>
                <w:bCs w:val="0"/>
                <w:color w:val="000000"/>
                <w:sz w:val="14"/>
                <w:szCs w:val="14"/>
              </w:rPr>
              <w:t>Despesas de seguros</w:t>
            </w:r>
          </w:p>
        </w:tc>
        <w:tc>
          <w:tcPr>
            <w:tcW w:w="1818" w:type="dxa"/>
            <w:tcBorders>
              <w:top w:val="nil"/>
              <w:left w:val="nil"/>
              <w:bottom w:val="nil"/>
              <w:right w:val="nil"/>
            </w:tcBorders>
            <w:shd w:val="clear" w:color="auto" w:fill="auto"/>
            <w:vAlign w:val="center"/>
          </w:tcPr>
          <w:p w14:paraId="4768C7C8"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19C510D6"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382398AA"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(79.279)</w:t>
            </w:r>
          </w:p>
        </w:tc>
        <w:tc>
          <w:tcPr>
            <w:tcW w:w="1819" w:type="dxa"/>
            <w:tcBorders>
              <w:top w:val="nil"/>
              <w:left w:val="nil"/>
              <w:bottom w:val="nil"/>
              <w:right w:val="nil"/>
            </w:tcBorders>
            <w:shd w:val="clear" w:color="auto" w:fill="auto"/>
            <w:vAlign w:val="center"/>
          </w:tcPr>
          <w:p w14:paraId="48A49111"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(74.338)</w:t>
            </w:r>
          </w:p>
        </w:tc>
      </w:tr>
      <w:tr w:rsidR="003321FA" w:rsidRPr="003321FA" w14:paraId="4A50902D"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70514F05" w14:textId="77777777" w:rsidR="003321FA" w:rsidRPr="003321FA" w:rsidRDefault="003321FA">
            <w:pPr>
              <w:keepNext/>
              <w:keepLines/>
              <w:spacing w:before="40" w:after="40"/>
              <w:rPr>
                <w:rFonts w:ascii="Arial" w:hAnsi="Arial" w:cs="Arial"/>
                <w:sz w:val="14"/>
                <w:szCs w:val="14"/>
              </w:rPr>
            </w:pPr>
            <w:r w:rsidRPr="003321FA">
              <w:rPr>
                <w:rFonts w:ascii="Arial" w:hAnsi="Arial" w:cs="Arial"/>
                <w:color w:val="000000"/>
                <w:sz w:val="14"/>
                <w:szCs w:val="14"/>
              </w:rPr>
              <w:t>Margem de seguros</w:t>
            </w:r>
          </w:p>
        </w:tc>
        <w:tc>
          <w:tcPr>
            <w:tcW w:w="1818" w:type="dxa"/>
            <w:tcBorders>
              <w:top w:val="nil"/>
              <w:left w:val="nil"/>
              <w:bottom w:val="nil"/>
              <w:right w:val="nil"/>
            </w:tcBorders>
            <w:shd w:val="clear" w:color="auto" w:fill="auto"/>
            <w:vAlign w:val="center"/>
          </w:tcPr>
          <w:p w14:paraId="7A515C89"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819" w:type="dxa"/>
            <w:tcBorders>
              <w:top w:val="nil"/>
              <w:left w:val="nil"/>
              <w:bottom w:val="nil"/>
              <w:right w:val="nil"/>
            </w:tcBorders>
            <w:shd w:val="clear" w:color="auto" w:fill="auto"/>
            <w:vAlign w:val="center"/>
          </w:tcPr>
          <w:p w14:paraId="1E57FF5D"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819" w:type="dxa"/>
            <w:tcBorders>
              <w:top w:val="nil"/>
              <w:left w:val="nil"/>
              <w:bottom w:val="nil"/>
              <w:right w:val="nil"/>
            </w:tcBorders>
            <w:shd w:val="clear" w:color="auto" w:fill="auto"/>
            <w:vAlign w:val="center"/>
          </w:tcPr>
          <w:p w14:paraId="30EC558C"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321FA">
              <w:rPr>
                <w:rFonts w:ascii="Arial" w:hAnsi="Arial" w:cs="Arial"/>
                <w:b/>
                <w:bCs/>
                <w:color w:val="000000"/>
                <w:sz w:val="14"/>
                <w:szCs w:val="14"/>
              </w:rPr>
              <w:t>34.340</w:t>
            </w:r>
          </w:p>
        </w:tc>
        <w:tc>
          <w:tcPr>
            <w:tcW w:w="1819" w:type="dxa"/>
            <w:tcBorders>
              <w:top w:val="nil"/>
              <w:left w:val="nil"/>
              <w:bottom w:val="nil"/>
              <w:right w:val="nil"/>
            </w:tcBorders>
            <w:shd w:val="clear" w:color="auto" w:fill="auto"/>
            <w:vAlign w:val="center"/>
          </w:tcPr>
          <w:p w14:paraId="759AAFA0"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321FA">
              <w:rPr>
                <w:rFonts w:ascii="Arial" w:hAnsi="Arial" w:cs="Arial"/>
                <w:b/>
                <w:bCs/>
                <w:color w:val="000000"/>
                <w:sz w:val="14"/>
                <w:szCs w:val="14"/>
              </w:rPr>
              <w:t>36.003</w:t>
            </w:r>
          </w:p>
        </w:tc>
      </w:tr>
      <w:tr w:rsidR="003321FA" w:rsidRPr="003321FA" w14:paraId="4AA3DE39"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0FB7DC5A" w14:textId="77777777" w:rsidR="003321FA" w:rsidRPr="003321FA" w:rsidRDefault="003321FA">
            <w:pPr>
              <w:keepNext/>
              <w:keepLines/>
              <w:spacing w:before="40" w:after="40"/>
              <w:rPr>
                <w:rFonts w:ascii="Arial" w:hAnsi="Arial" w:cs="Arial"/>
                <w:sz w:val="14"/>
                <w:szCs w:val="14"/>
              </w:rPr>
            </w:pPr>
            <w:r w:rsidRPr="003321FA">
              <w:rPr>
                <w:rFonts w:ascii="Arial" w:hAnsi="Arial" w:cs="Arial"/>
                <w:color w:val="000000"/>
                <w:sz w:val="14"/>
                <w:szCs w:val="14"/>
              </w:rPr>
              <w:t>Resultado Financeiro</w:t>
            </w:r>
          </w:p>
        </w:tc>
        <w:tc>
          <w:tcPr>
            <w:tcW w:w="1818" w:type="dxa"/>
            <w:tcBorders>
              <w:top w:val="nil"/>
              <w:left w:val="nil"/>
              <w:bottom w:val="nil"/>
              <w:right w:val="nil"/>
            </w:tcBorders>
            <w:shd w:val="clear" w:color="auto" w:fill="auto"/>
            <w:vAlign w:val="center"/>
          </w:tcPr>
          <w:p w14:paraId="1B8D1F8C"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819" w:type="dxa"/>
            <w:tcBorders>
              <w:top w:val="nil"/>
              <w:left w:val="nil"/>
              <w:bottom w:val="nil"/>
              <w:right w:val="nil"/>
            </w:tcBorders>
            <w:shd w:val="clear" w:color="auto" w:fill="auto"/>
            <w:vAlign w:val="center"/>
          </w:tcPr>
          <w:p w14:paraId="0FFFEFD7"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819" w:type="dxa"/>
            <w:tcBorders>
              <w:top w:val="nil"/>
              <w:left w:val="nil"/>
              <w:bottom w:val="nil"/>
              <w:right w:val="nil"/>
            </w:tcBorders>
            <w:shd w:val="clear" w:color="auto" w:fill="auto"/>
            <w:vAlign w:val="center"/>
          </w:tcPr>
          <w:p w14:paraId="68A0C480"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321FA">
              <w:rPr>
                <w:rFonts w:ascii="Arial" w:hAnsi="Arial" w:cs="Arial"/>
                <w:b/>
                <w:bCs/>
                <w:color w:val="000000"/>
                <w:sz w:val="14"/>
                <w:szCs w:val="14"/>
              </w:rPr>
              <w:t>892</w:t>
            </w:r>
          </w:p>
        </w:tc>
        <w:tc>
          <w:tcPr>
            <w:tcW w:w="1819" w:type="dxa"/>
            <w:tcBorders>
              <w:top w:val="nil"/>
              <w:left w:val="nil"/>
              <w:bottom w:val="nil"/>
              <w:right w:val="nil"/>
            </w:tcBorders>
            <w:shd w:val="clear" w:color="auto" w:fill="auto"/>
            <w:vAlign w:val="center"/>
          </w:tcPr>
          <w:p w14:paraId="7A9F4195"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321FA">
              <w:rPr>
                <w:rFonts w:ascii="Arial" w:hAnsi="Arial" w:cs="Arial"/>
                <w:b/>
                <w:bCs/>
                <w:color w:val="000000"/>
                <w:sz w:val="14"/>
                <w:szCs w:val="14"/>
              </w:rPr>
              <w:t>4.269</w:t>
            </w:r>
          </w:p>
        </w:tc>
      </w:tr>
      <w:tr w:rsidR="003321FA" w:rsidRPr="003321FA" w14:paraId="2D684229"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0B911C88" w14:textId="77777777" w:rsidR="003321FA" w:rsidRPr="003321FA" w:rsidRDefault="003321FA">
            <w:pPr>
              <w:keepNext/>
              <w:keepLines/>
              <w:ind w:left="113"/>
              <w:rPr>
                <w:rFonts w:ascii="Arial" w:hAnsi="Arial" w:cs="Arial"/>
                <w:b w:val="0"/>
                <w:bCs w:val="0"/>
                <w:sz w:val="14"/>
                <w:szCs w:val="14"/>
              </w:rPr>
            </w:pPr>
            <w:r w:rsidRPr="003321FA">
              <w:rPr>
                <w:rFonts w:ascii="Arial" w:hAnsi="Arial" w:cs="Arial"/>
                <w:b w:val="0"/>
                <w:bCs w:val="0"/>
                <w:color w:val="000000"/>
                <w:sz w:val="14"/>
                <w:szCs w:val="14"/>
              </w:rPr>
              <w:t>Receitas Financeiras</w:t>
            </w:r>
          </w:p>
        </w:tc>
        <w:tc>
          <w:tcPr>
            <w:tcW w:w="1818" w:type="dxa"/>
            <w:tcBorders>
              <w:top w:val="nil"/>
              <w:left w:val="nil"/>
              <w:bottom w:val="nil"/>
              <w:right w:val="nil"/>
            </w:tcBorders>
            <w:shd w:val="clear" w:color="auto" w:fill="auto"/>
            <w:vAlign w:val="center"/>
          </w:tcPr>
          <w:p w14:paraId="59004F7E"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7BF6768D"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392F0100"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2.990</w:t>
            </w:r>
          </w:p>
        </w:tc>
        <w:tc>
          <w:tcPr>
            <w:tcW w:w="1819" w:type="dxa"/>
            <w:tcBorders>
              <w:top w:val="nil"/>
              <w:left w:val="nil"/>
              <w:bottom w:val="nil"/>
              <w:right w:val="nil"/>
            </w:tcBorders>
            <w:shd w:val="clear" w:color="auto" w:fill="auto"/>
            <w:vAlign w:val="center"/>
          </w:tcPr>
          <w:p w14:paraId="5B46278D"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5.128</w:t>
            </w:r>
          </w:p>
        </w:tc>
      </w:tr>
      <w:tr w:rsidR="003321FA" w:rsidRPr="003321FA" w14:paraId="0BA139BC"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13BEF4FD" w14:textId="77777777" w:rsidR="003321FA" w:rsidRPr="003321FA" w:rsidRDefault="003321FA">
            <w:pPr>
              <w:keepNext/>
              <w:keepLines/>
              <w:ind w:left="113"/>
              <w:rPr>
                <w:rFonts w:ascii="Arial" w:hAnsi="Arial" w:cs="Arial"/>
                <w:b w:val="0"/>
                <w:bCs w:val="0"/>
                <w:sz w:val="14"/>
                <w:szCs w:val="14"/>
              </w:rPr>
            </w:pPr>
            <w:r w:rsidRPr="003321FA">
              <w:rPr>
                <w:rFonts w:ascii="Arial" w:hAnsi="Arial" w:cs="Arial"/>
                <w:b w:val="0"/>
                <w:bCs w:val="0"/>
                <w:color w:val="000000"/>
                <w:sz w:val="14"/>
                <w:szCs w:val="14"/>
              </w:rPr>
              <w:t>Despesas Financeiras</w:t>
            </w:r>
          </w:p>
        </w:tc>
        <w:tc>
          <w:tcPr>
            <w:tcW w:w="1818" w:type="dxa"/>
            <w:tcBorders>
              <w:top w:val="nil"/>
              <w:left w:val="nil"/>
              <w:bottom w:val="nil"/>
              <w:right w:val="nil"/>
            </w:tcBorders>
            <w:shd w:val="clear" w:color="auto" w:fill="auto"/>
            <w:vAlign w:val="center"/>
          </w:tcPr>
          <w:p w14:paraId="1FC95C70"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0AEBF5F4"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19474D23"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(2.098)</w:t>
            </w:r>
          </w:p>
        </w:tc>
        <w:tc>
          <w:tcPr>
            <w:tcW w:w="1819" w:type="dxa"/>
            <w:tcBorders>
              <w:top w:val="nil"/>
              <w:left w:val="nil"/>
              <w:bottom w:val="nil"/>
              <w:right w:val="nil"/>
            </w:tcBorders>
            <w:shd w:val="clear" w:color="auto" w:fill="auto"/>
            <w:vAlign w:val="center"/>
          </w:tcPr>
          <w:p w14:paraId="5F66F3BB"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(859)</w:t>
            </w:r>
          </w:p>
        </w:tc>
      </w:tr>
      <w:tr w:rsidR="003321FA" w:rsidRPr="003321FA" w14:paraId="4E7098A9"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43308AE2" w14:textId="77777777" w:rsidR="003321FA" w:rsidRPr="003321FA" w:rsidRDefault="003321FA">
            <w:pPr>
              <w:keepNext/>
              <w:keepLines/>
              <w:rPr>
                <w:rFonts w:ascii="Arial" w:hAnsi="Arial" w:cs="Arial"/>
                <w:b w:val="0"/>
                <w:bCs w:val="0"/>
                <w:color w:val="000000"/>
                <w:sz w:val="14"/>
                <w:szCs w:val="14"/>
              </w:rPr>
            </w:pPr>
            <w:r w:rsidRPr="003321FA">
              <w:rPr>
                <w:rFonts w:ascii="Arial" w:hAnsi="Arial" w:cs="Arial"/>
                <w:b w:val="0"/>
                <w:bCs w:val="0"/>
                <w:color w:val="000000"/>
                <w:sz w:val="14"/>
                <w:szCs w:val="14"/>
              </w:rPr>
              <w:t>Outras receitas e despesas</w:t>
            </w:r>
          </w:p>
        </w:tc>
        <w:tc>
          <w:tcPr>
            <w:tcW w:w="1818" w:type="dxa"/>
            <w:tcBorders>
              <w:top w:val="nil"/>
              <w:left w:val="nil"/>
              <w:bottom w:val="nil"/>
              <w:right w:val="nil"/>
            </w:tcBorders>
            <w:shd w:val="clear" w:color="auto" w:fill="auto"/>
            <w:vAlign w:val="center"/>
          </w:tcPr>
          <w:p w14:paraId="384CD2AC"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763AF0C4"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4E3378B4"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w:t>
            </w:r>
          </w:p>
        </w:tc>
        <w:tc>
          <w:tcPr>
            <w:tcW w:w="1819" w:type="dxa"/>
            <w:tcBorders>
              <w:top w:val="nil"/>
              <w:left w:val="nil"/>
              <w:bottom w:val="nil"/>
              <w:right w:val="nil"/>
            </w:tcBorders>
            <w:shd w:val="clear" w:color="auto" w:fill="auto"/>
            <w:vAlign w:val="center"/>
          </w:tcPr>
          <w:p w14:paraId="27AA61A4"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(3.360)</w:t>
            </w:r>
          </w:p>
        </w:tc>
      </w:tr>
      <w:tr w:rsidR="003321FA" w:rsidRPr="003321FA" w14:paraId="3AABB817"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509D5B31" w14:textId="77777777" w:rsidR="003321FA" w:rsidRPr="003321FA" w:rsidRDefault="003321FA">
            <w:pPr>
              <w:keepNext/>
              <w:keepLines/>
              <w:spacing w:before="40" w:after="40"/>
              <w:rPr>
                <w:rFonts w:ascii="Arial" w:hAnsi="Arial" w:cs="Arial"/>
                <w:sz w:val="14"/>
                <w:szCs w:val="14"/>
              </w:rPr>
            </w:pPr>
            <w:r w:rsidRPr="003321FA">
              <w:rPr>
                <w:rFonts w:ascii="Arial" w:hAnsi="Arial" w:cs="Arial"/>
                <w:color w:val="000000"/>
                <w:sz w:val="14"/>
                <w:szCs w:val="14"/>
              </w:rPr>
              <w:t>Lucro antes do IRPJ e CSLL</w:t>
            </w:r>
          </w:p>
        </w:tc>
        <w:tc>
          <w:tcPr>
            <w:tcW w:w="1818" w:type="dxa"/>
            <w:tcBorders>
              <w:top w:val="nil"/>
              <w:left w:val="nil"/>
              <w:bottom w:val="nil"/>
              <w:right w:val="nil"/>
            </w:tcBorders>
            <w:shd w:val="clear" w:color="auto" w:fill="auto"/>
            <w:vAlign w:val="center"/>
          </w:tcPr>
          <w:p w14:paraId="3FC051CC"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819" w:type="dxa"/>
            <w:tcBorders>
              <w:top w:val="nil"/>
              <w:left w:val="nil"/>
              <w:bottom w:val="nil"/>
              <w:right w:val="nil"/>
            </w:tcBorders>
            <w:shd w:val="clear" w:color="auto" w:fill="auto"/>
            <w:vAlign w:val="center"/>
          </w:tcPr>
          <w:p w14:paraId="500EE7A2"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819" w:type="dxa"/>
            <w:tcBorders>
              <w:top w:val="nil"/>
              <w:left w:val="nil"/>
              <w:bottom w:val="nil"/>
              <w:right w:val="nil"/>
            </w:tcBorders>
            <w:shd w:val="clear" w:color="auto" w:fill="auto"/>
            <w:vAlign w:val="center"/>
          </w:tcPr>
          <w:p w14:paraId="66D91A99"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321FA">
              <w:rPr>
                <w:rFonts w:ascii="Arial" w:hAnsi="Arial" w:cs="Arial"/>
                <w:b/>
                <w:bCs/>
                <w:color w:val="000000"/>
                <w:sz w:val="14"/>
                <w:szCs w:val="14"/>
              </w:rPr>
              <w:t>35.232</w:t>
            </w:r>
          </w:p>
        </w:tc>
        <w:tc>
          <w:tcPr>
            <w:tcW w:w="1819" w:type="dxa"/>
            <w:tcBorders>
              <w:top w:val="nil"/>
              <w:left w:val="nil"/>
              <w:bottom w:val="nil"/>
              <w:right w:val="nil"/>
            </w:tcBorders>
            <w:shd w:val="clear" w:color="auto" w:fill="auto"/>
            <w:vAlign w:val="center"/>
          </w:tcPr>
          <w:p w14:paraId="31DE5D3D"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321FA">
              <w:rPr>
                <w:rFonts w:ascii="Arial" w:hAnsi="Arial" w:cs="Arial"/>
                <w:b/>
                <w:bCs/>
                <w:color w:val="000000"/>
                <w:sz w:val="14"/>
                <w:szCs w:val="14"/>
              </w:rPr>
              <w:t>36.912</w:t>
            </w:r>
          </w:p>
        </w:tc>
      </w:tr>
      <w:tr w:rsidR="003321FA" w:rsidRPr="003321FA" w14:paraId="1C6E8267"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68C21668" w14:textId="77777777" w:rsidR="003321FA" w:rsidRPr="003321FA" w:rsidRDefault="003321FA">
            <w:pPr>
              <w:keepNext/>
              <w:keepLines/>
              <w:spacing w:before="40" w:after="40"/>
              <w:ind w:left="113"/>
              <w:rPr>
                <w:rFonts w:ascii="Arial" w:hAnsi="Arial" w:cs="Arial"/>
                <w:b w:val="0"/>
                <w:bCs w:val="0"/>
                <w:color w:val="000000"/>
                <w:sz w:val="14"/>
                <w:szCs w:val="14"/>
              </w:rPr>
            </w:pPr>
            <w:r w:rsidRPr="003321FA">
              <w:rPr>
                <w:rFonts w:ascii="Arial" w:hAnsi="Arial" w:cs="Arial"/>
                <w:b w:val="0"/>
                <w:bCs w:val="0"/>
                <w:sz w:val="14"/>
                <w:szCs w:val="14"/>
              </w:rPr>
              <w:t>IRPJ e CSLL</w:t>
            </w:r>
          </w:p>
        </w:tc>
        <w:tc>
          <w:tcPr>
            <w:tcW w:w="1818" w:type="dxa"/>
            <w:tcBorders>
              <w:top w:val="nil"/>
              <w:left w:val="nil"/>
              <w:bottom w:val="nil"/>
              <w:right w:val="nil"/>
            </w:tcBorders>
            <w:shd w:val="clear" w:color="auto" w:fill="auto"/>
            <w:vAlign w:val="center"/>
          </w:tcPr>
          <w:p w14:paraId="78E27BA1"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23ADC640"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5C9B5B57"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(11.994)</w:t>
            </w:r>
          </w:p>
        </w:tc>
        <w:tc>
          <w:tcPr>
            <w:tcW w:w="1819" w:type="dxa"/>
            <w:tcBorders>
              <w:top w:val="nil"/>
              <w:left w:val="nil"/>
              <w:bottom w:val="nil"/>
              <w:right w:val="nil"/>
            </w:tcBorders>
            <w:shd w:val="clear" w:color="auto" w:fill="auto"/>
            <w:vAlign w:val="center"/>
          </w:tcPr>
          <w:p w14:paraId="4F0C0D7E"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(11.770)</w:t>
            </w:r>
          </w:p>
        </w:tc>
      </w:tr>
      <w:tr w:rsidR="003321FA" w:rsidRPr="003321FA" w14:paraId="59D717FF"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568D64E9" w14:textId="77777777" w:rsidR="003321FA" w:rsidRPr="003321FA" w:rsidRDefault="003321FA">
            <w:pPr>
              <w:keepNext/>
              <w:keepLines/>
              <w:spacing w:before="40" w:after="40"/>
              <w:ind w:left="113"/>
              <w:rPr>
                <w:rFonts w:ascii="Arial" w:hAnsi="Arial" w:cs="Arial"/>
                <w:color w:val="000000"/>
                <w:sz w:val="14"/>
                <w:szCs w:val="14"/>
              </w:rPr>
            </w:pPr>
            <w:r w:rsidRPr="003321FA">
              <w:rPr>
                <w:rFonts w:ascii="Arial" w:hAnsi="Arial" w:cs="Arial"/>
                <w:b w:val="0"/>
                <w:bCs w:val="0"/>
                <w:color w:val="000000"/>
                <w:sz w:val="14"/>
                <w:szCs w:val="14"/>
              </w:rPr>
              <w:t>Participação sobre resultado</w:t>
            </w:r>
          </w:p>
        </w:tc>
        <w:tc>
          <w:tcPr>
            <w:tcW w:w="1818" w:type="dxa"/>
            <w:tcBorders>
              <w:top w:val="nil"/>
              <w:left w:val="nil"/>
              <w:bottom w:val="nil"/>
              <w:right w:val="nil"/>
            </w:tcBorders>
            <w:shd w:val="clear" w:color="auto" w:fill="auto"/>
            <w:vAlign w:val="center"/>
          </w:tcPr>
          <w:p w14:paraId="09652107"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07B0CFFB"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252779C5"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233</w:t>
            </w:r>
          </w:p>
        </w:tc>
        <w:tc>
          <w:tcPr>
            <w:tcW w:w="1819" w:type="dxa"/>
            <w:tcBorders>
              <w:top w:val="nil"/>
              <w:left w:val="nil"/>
              <w:bottom w:val="nil"/>
              <w:right w:val="nil"/>
            </w:tcBorders>
            <w:shd w:val="clear" w:color="auto" w:fill="auto"/>
            <w:vAlign w:val="center"/>
          </w:tcPr>
          <w:p w14:paraId="76774D22" w14:textId="77777777" w:rsidR="003321FA" w:rsidRPr="003321FA" w:rsidRDefault="003321FA">
            <w:pPr>
              <w:keepNext/>
              <w:keepLines/>
              <w:spacing w:before="40" w:after="40"/>
              <w:ind w:firstLineChars="100" w:firstLine="1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(858)</w:t>
            </w:r>
          </w:p>
        </w:tc>
      </w:tr>
      <w:tr w:rsidR="003321FA" w:rsidRPr="003321FA" w14:paraId="183BEF4E"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2BC07B36" w14:textId="77777777" w:rsidR="003321FA" w:rsidRPr="003321FA" w:rsidRDefault="003321FA">
            <w:pPr>
              <w:keepNext/>
              <w:keepLines/>
              <w:spacing w:before="40" w:after="40"/>
              <w:rPr>
                <w:rFonts w:ascii="Arial" w:hAnsi="Arial" w:cs="Arial"/>
                <w:color w:val="000000"/>
                <w:sz w:val="14"/>
                <w:szCs w:val="14"/>
              </w:rPr>
            </w:pPr>
            <w:r w:rsidRPr="003321FA">
              <w:rPr>
                <w:rFonts w:ascii="Arial" w:hAnsi="Arial" w:cs="Arial"/>
                <w:color w:val="000000"/>
                <w:sz w:val="14"/>
                <w:szCs w:val="14"/>
              </w:rPr>
              <w:t>Resultado líquido</w:t>
            </w:r>
          </w:p>
        </w:tc>
        <w:tc>
          <w:tcPr>
            <w:tcW w:w="1818" w:type="dxa"/>
            <w:tcBorders>
              <w:top w:val="nil"/>
              <w:left w:val="nil"/>
              <w:bottom w:val="nil"/>
              <w:right w:val="nil"/>
            </w:tcBorders>
            <w:shd w:val="clear" w:color="auto" w:fill="auto"/>
            <w:vAlign w:val="center"/>
          </w:tcPr>
          <w:p w14:paraId="12439DD6"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819" w:type="dxa"/>
            <w:tcBorders>
              <w:top w:val="nil"/>
              <w:left w:val="nil"/>
              <w:bottom w:val="nil"/>
              <w:right w:val="nil"/>
            </w:tcBorders>
            <w:shd w:val="clear" w:color="auto" w:fill="auto"/>
            <w:vAlign w:val="center"/>
          </w:tcPr>
          <w:p w14:paraId="470ADEB4"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819" w:type="dxa"/>
            <w:tcBorders>
              <w:top w:val="nil"/>
              <w:left w:val="nil"/>
              <w:bottom w:val="nil"/>
              <w:right w:val="nil"/>
            </w:tcBorders>
            <w:shd w:val="clear" w:color="auto" w:fill="auto"/>
            <w:vAlign w:val="center"/>
          </w:tcPr>
          <w:p w14:paraId="070E6F91"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321FA">
              <w:rPr>
                <w:rFonts w:ascii="Arial" w:hAnsi="Arial" w:cs="Arial"/>
                <w:b/>
                <w:bCs/>
                <w:color w:val="000000"/>
                <w:sz w:val="14"/>
                <w:szCs w:val="14"/>
              </w:rPr>
              <w:t>23.471</w:t>
            </w:r>
          </w:p>
        </w:tc>
        <w:tc>
          <w:tcPr>
            <w:tcW w:w="1819" w:type="dxa"/>
            <w:tcBorders>
              <w:top w:val="nil"/>
              <w:left w:val="nil"/>
              <w:bottom w:val="nil"/>
              <w:right w:val="nil"/>
            </w:tcBorders>
            <w:shd w:val="clear" w:color="auto" w:fill="auto"/>
            <w:vAlign w:val="center"/>
          </w:tcPr>
          <w:p w14:paraId="4FDACECA"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321FA">
              <w:rPr>
                <w:rFonts w:ascii="Arial" w:hAnsi="Arial" w:cs="Arial"/>
                <w:b/>
                <w:bCs/>
                <w:color w:val="000000"/>
                <w:sz w:val="14"/>
                <w:szCs w:val="14"/>
              </w:rPr>
              <w:t>24.284</w:t>
            </w:r>
          </w:p>
        </w:tc>
      </w:tr>
      <w:tr w:rsidR="003321FA" w:rsidRPr="003321FA" w14:paraId="1821FE9D"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4E584798" w14:textId="77777777" w:rsidR="003321FA" w:rsidRPr="003321FA" w:rsidRDefault="003321FA">
            <w:pPr>
              <w:keepNext/>
              <w:keepLines/>
              <w:ind w:left="113"/>
              <w:rPr>
                <w:rFonts w:ascii="Arial" w:hAnsi="Arial" w:cs="Arial"/>
                <w:color w:val="000000"/>
                <w:sz w:val="14"/>
                <w:szCs w:val="14"/>
              </w:rPr>
            </w:pPr>
            <w:r w:rsidRPr="003321FA">
              <w:rPr>
                <w:rFonts w:ascii="Arial" w:hAnsi="Arial" w:cs="Arial"/>
                <w:b w:val="0"/>
                <w:bCs w:val="0"/>
                <w:color w:val="000000"/>
                <w:sz w:val="14"/>
                <w:szCs w:val="14"/>
              </w:rPr>
              <w:t>Outros resultados abrangentes</w:t>
            </w:r>
          </w:p>
        </w:tc>
        <w:tc>
          <w:tcPr>
            <w:tcW w:w="1818" w:type="dxa"/>
            <w:tcBorders>
              <w:top w:val="nil"/>
              <w:left w:val="nil"/>
              <w:bottom w:val="nil"/>
              <w:right w:val="nil"/>
            </w:tcBorders>
            <w:shd w:val="clear" w:color="auto" w:fill="auto"/>
            <w:vAlign w:val="center"/>
          </w:tcPr>
          <w:p w14:paraId="2BBF7E44"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6C5BCDB1"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18EEFB16"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(375)</w:t>
            </w:r>
          </w:p>
        </w:tc>
        <w:tc>
          <w:tcPr>
            <w:tcW w:w="1819" w:type="dxa"/>
            <w:tcBorders>
              <w:top w:val="nil"/>
              <w:left w:val="nil"/>
              <w:bottom w:val="nil"/>
              <w:right w:val="nil"/>
            </w:tcBorders>
            <w:shd w:val="clear" w:color="auto" w:fill="auto"/>
            <w:vAlign w:val="center"/>
          </w:tcPr>
          <w:p w14:paraId="2323312B"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2.729</w:t>
            </w:r>
          </w:p>
        </w:tc>
      </w:tr>
      <w:tr w:rsidR="003321FA" w:rsidRPr="003321FA" w14:paraId="195E568F"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6B318527" w14:textId="77777777" w:rsidR="003321FA" w:rsidRPr="003321FA" w:rsidRDefault="003321FA">
            <w:pPr>
              <w:keepNext/>
              <w:keepLines/>
              <w:rPr>
                <w:rFonts w:ascii="Arial" w:hAnsi="Arial" w:cs="Arial"/>
                <w:color w:val="000000"/>
                <w:sz w:val="14"/>
                <w:szCs w:val="14"/>
              </w:rPr>
            </w:pPr>
            <w:r w:rsidRPr="003321FA">
              <w:rPr>
                <w:rFonts w:ascii="Arial" w:hAnsi="Arial" w:cs="Arial"/>
                <w:color w:val="000000"/>
                <w:sz w:val="14"/>
                <w:szCs w:val="14"/>
              </w:rPr>
              <w:t>Resultado abrangente</w:t>
            </w:r>
          </w:p>
        </w:tc>
        <w:tc>
          <w:tcPr>
            <w:tcW w:w="1818" w:type="dxa"/>
            <w:tcBorders>
              <w:top w:val="nil"/>
              <w:left w:val="nil"/>
              <w:bottom w:val="nil"/>
              <w:right w:val="nil"/>
            </w:tcBorders>
            <w:shd w:val="clear" w:color="auto" w:fill="auto"/>
            <w:vAlign w:val="center"/>
          </w:tcPr>
          <w:p w14:paraId="65CE2B3E"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819" w:type="dxa"/>
            <w:tcBorders>
              <w:top w:val="nil"/>
              <w:left w:val="nil"/>
              <w:bottom w:val="nil"/>
              <w:right w:val="nil"/>
            </w:tcBorders>
            <w:shd w:val="clear" w:color="auto" w:fill="auto"/>
            <w:vAlign w:val="center"/>
          </w:tcPr>
          <w:p w14:paraId="315DCFF4"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819" w:type="dxa"/>
            <w:tcBorders>
              <w:top w:val="nil"/>
              <w:left w:val="nil"/>
              <w:bottom w:val="nil"/>
              <w:right w:val="nil"/>
            </w:tcBorders>
            <w:shd w:val="clear" w:color="auto" w:fill="auto"/>
            <w:vAlign w:val="center"/>
          </w:tcPr>
          <w:p w14:paraId="76FF82BA"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321FA">
              <w:rPr>
                <w:rFonts w:ascii="Arial" w:hAnsi="Arial" w:cs="Arial"/>
                <w:b/>
                <w:bCs/>
                <w:color w:val="000000"/>
                <w:sz w:val="14"/>
                <w:szCs w:val="14"/>
              </w:rPr>
              <w:t>23.096</w:t>
            </w:r>
          </w:p>
        </w:tc>
        <w:tc>
          <w:tcPr>
            <w:tcW w:w="1819" w:type="dxa"/>
            <w:tcBorders>
              <w:top w:val="nil"/>
              <w:left w:val="nil"/>
              <w:bottom w:val="nil"/>
              <w:right w:val="nil"/>
            </w:tcBorders>
            <w:shd w:val="clear" w:color="auto" w:fill="auto"/>
            <w:vAlign w:val="center"/>
          </w:tcPr>
          <w:p w14:paraId="43471786"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321FA">
              <w:rPr>
                <w:rFonts w:ascii="Arial" w:hAnsi="Arial" w:cs="Arial"/>
                <w:b/>
                <w:bCs/>
                <w:color w:val="000000"/>
                <w:sz w:val="14"/>
                <w:szCs w:val="14"/>
              </w:rPr>
              <w:t>27.013</w:t>
            </w:r>
          </w:p>
        </w:tc>
      </w:tr>
      <w:tr w:rsidR="003321FA" w:rsidRPr="003321FA" w14:paraId="17F7E11D"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532B6E7C" w14:textId="77777777" w:rsidR="003321FA" w:rsidRPr="003321FA" w:rsidRDefault="003321FA">
            <w:pPr>
              <w:keepNext/>
              <w:keepLines/>
              <w:rPr>
                <w:rFonts w:ascii="Arial" w:hAnsi="Arial" w:cs="Arial"/>
                <w:sz w:val="14"/>
                <w:szCs w:val="14"/>
              </w:rPr>
            </w:pPr>
            <w:r w:rsidRPr="003321FA">
              <w:rPr>
                <w:rFonts w:ascii="Arial" w:eastAsia="Times New Roman" w:hAnsi="Arial" w:cs="Arial"/>
                <w:color w:val="000000"/>
                <w:spacing w:val="-2"/>
                <w:sz w:val="14"/>
                <w:szCs w:val="14"/>
                <w:lang w:eastAsia="pt-BR"/>
              </w:rPr>
              <w:t>Atribuível à BB Seguridade</w:t>
            </w:r>
          </w:p>
        </w:tc>
        <w:tc>
          <w:tcPr>
            <w:tcW w:w="1818" w:type="dxa"/>
            <w:tcBorders>
              <w:top w:val="nil"/>
              <w:left w:val="nil"/>
              <w:bottom w:val="nil"/>
              <w:right w:val="nil"/>
            </w:tcBorders>
            <w:shd w:val="clear" w:color="auto" w:fill="auto"/>
            <w:vAlign w:val="center"/>
          </w:tcPr>
          <w:p w14:paraId="443A7046"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819" w:type="dxa"/>
            <w:tcBorders>
              <w:top w:val="nil"/>
              <w:left w:val="nil"/>
              <w:bottom w:val="nil"/>
              <w:right w:val="nil"/>
            </w:tcBorders>
            <w:shd w:val="clear" w:color="auto" w:fill="auto"/>
            <w:vAlign w:val="center"/>
          </w:tcPr>
          <w:p w14:paraId="10F2167B"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819" w:type="dxa"/>
            <w:tcBorders>
              <w:top w:val="nil"/>
              <w:left w:val="nil"/>
              <w:bottom w:val="nil"/>
              <w:right w:val="nil"/>
            </w:tcBorders>
            <w:shd w:val="clear" w:color="auto" w:fill="auto"/>
            <w:vAlign w:val="center"/>
          </w:tcPr>
          <w:p w14:paraId="3255397C"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321FA">
              <w:rPr>
                <w:rFonts w:ascii="Arial" w:hAnsi="Arial" w:cs="Arial"/>
                <w:b/>
                <w:bCs/>
                <w:color w:val="000000"/>
                <w:sz w:val="14"/>
                <w:szCs w:val="14"/>
              </w:rPr>
              <w:t>17.602</w:t>
            </w:r>
          </w:p>
        </w:tc>
        <w:tc>
          <w:tcPr>
            <w:tcW w:w="1819" w:type="dxa"/>
            <w:tcBorders>
              <w:top w:val="nil"/>
              <w:left w:val="nil"/>
              <w:bottom w:val="nil"/>
              <w:right w:val="nil"/>
            </w:tcBorders>
            <w:shd w:val="clear" w:color="auto" w:fill="auto"/>
            <w:vAlign w:val="center"/>
          </w:tcPr>
          <w:p w14:paraId="0A8B2ADC"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321FA">
              <w:rPr>
                <w:rFonts w:ascii="Arial" w:hAnsi="Arial" w:cs="Arial"/>
                <w:b/>
                <w:bCs/>
                <w:color w:val="000000"/>
                <w:sz w:val="14"/>
                <w:szCs w:val="14"/>
              </w:rPr>
              <w:t>18.213</w:t>
            </w:r>
          </w:p>
        </w:tc>
      </w:tr>
      <w:tr w:rsidR="003321FA" w:rsidRPr="003321FA" w14:paraId="389EFDE0"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1B83C8F0" w14:textId="77777777" w:rsidR="003321FA" w:rsidRPr="003321FA" w:rsidRDefault="003321FA">
            <w:pPr>
              <w:keepNext/>
              <w:keepLines/>
              <w:rPr>
                <w:rFonts w:ascii="Arial" w:eastAsia="Times New Roman" w:hAnsi="Arial" w:cs="Arial"/>
                <w:color w:val="000000"/>
                <w:spacing w:val="-2"/>
                <w:sz w:val="14"/>
                <w:szCs w:val="14"/>
                <w:lang w:eastAsia="pt-BR"/>
              </w:rPr>
            </w:pPr>
            <w:r w:rsidRPr="003321FA">
              <w:rPr>
                <w:rFonts w:ascii="Arial" w:eastAsia="Times New Roman" w:hAnsi="Arial" w:cs="Arial"/>
                <w:b w:val="0"/>
                <w:bCs w:val="0"/>
                <w:color w:val="000000"/>
                <w:spacing w:val="-2"/>
                <w:sz w:val="14"/>
                <w:szCs w:val="14"/>
                <w:lang w:eastAsia="pt-BR"/>
              </w:rPr>
              <w:t xml:space="preserve">Ajuste </w:t>
            </w:r>
            <w:r w:rsidRPr="003321FA">
              <w:rPr>
                <w:rFonts w:ascii="Arial" w:eastAsia="Times New Roman" w:hAnsi="Arial" w:cs="Arial"/>
                <w:b w:val="0"/>
                <w:bCs w:val="0"/>
                <w:color w:val="000000"/>
                <w:spacing w:val="-2"/>
                <w:sz w:val="14"/>
                <w:szCs w:val="14"/>
                <w:vertAlign w:val="superscript"/>
                <w:lang w:eastAsia="pt-BR"/>
              </w:rPr>
              <w:t>(3)</w:t>
            </w:r>
          </w:p>
        </w:tc>
        <w:tc>
          <w:tcPr>
            <w:tcW w:w="1818" w:type="dxa"/>
            <w:tcBorders>
              <w:top w:val="nil"/>
              <w:left w:val="nil"/>
              <w:bottom w:val="nil"/>
              <w:right w:val="nil"/>
            </w:tcBorders>
            <w:shd w:val="clear" w:color="auto" w:fill="auto"/>
            <w:vAlign w:val="center"/>
          </w:tcPr>
          <w:p w14:paraId="29C069E5"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55AB2D56"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22F73075"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1.992</w:t>
            </w:r>
          </w:p>
        </w:tc>
        <w:tc>
          <w:tcPr>
            <w:tcW w:w="1819" w:type="dxa"/>
            <w:tcBorders>
              <w:top w:val="nil"/>
              <w:left w:val="nil"/>
              <w:bottom w:val="nil"/>
              <w:right w:val="nil"/>
            </w:tcBorders>
            <w:shd w:val="clear" w:color="auto" w:fill="auto"/>
            <w:vAlign w:val="center"/>
          </w:tcPr>
          <w:p w14:paraId="000AC7C8"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w:t>
            </w:r>
          </w:p>
        </w:tc>
      </w:tr>
      <w:tr w:rsidR="003321FA" w:rsidRPr="003321FA" w14:paraId="547375A0"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single" w:sz="2" w:space="0" w:color="1F3864" w:themeColor="accent1" w:themeShade="80"/>
              <w:right w:val="nil"/>
            </w:tcBorders>
            <w:shd w:val="clear" w:color="auto" w:fill="auto"/>
            <w:vAlign w:val="center"/>
          </w:tcPr>
          <w:p w14:paraId="467E5963" w14:textId="77777777" w:rsidR="003321FA" w:rsidRPr="003321FA" w:rsidRDefault="003321FA">
            <w:pPr>
              <w:keepNext/>
              <w:keepLines/>
              <w:rPr>
                <w:rFonts w:ascii="Arial" w:hAnsi="Arial" w:cs="Arial"/>
                <w:color w:val="000000"/>
                <w:sz w:val="14"/>
                <w:szCs w:val="14"/>
              </w:rPr>
            </w:pPr>
            <w:r w:rsidRPr="003321FA">
              <w:rPr>
                <w:rFonts w:ascii="Arial" w:eastAsia="Times New Roman" w:hAnsi="Arial" w:cs="Arial"/>
                <w:color w:val="000000"/>
                <w:spacing w:val="-2"/>
                <w:sz w:val="14"/>
                <w:szCs w:val="14"/>
                <w:lang w:eastAsia="pt-BR"/>
              </w:rPr>
              <w:t>Resultado de equivalência</w:t>
            </w:r>
          </w:p>
        </w:tc>
        <w:tc>
          <w:tcPr>
            <w:tcW w:w="1818" w:type="dxa"/>
            <w:tcBorders>
              <w:top w:val="nil"/>
              <w:left w:val="nil"/>
              <w:bottom w:val="single" w:sz="2" w:space="0" w:color="1F3864" w:themeColor="accent1" w:themeShade="80"/>
              <w:right w:val="nil"/>
            </w:tcBorders>
            <w:shd w:val="clear" w:color="auto" w:fill="auto"/>
            <w:vAlign w:val="center"/>
          </w:tcPr>
          <w:p w14:paraId="7837F85D"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819" w:type="dxa"/>
            <w:tcBorders>
              <w:top w:val="nil"/>
              <w:left w:val="nil"/>
              <w:bottom w:val="single" w:sz="2" w:space="0" w:color="1F3864" w:themeColor="accent1" w:themeShade="80"/>
              <w:right w:val="nil"/>
            </w:tcBorders>
            <w:shd w:val="clear" w:color="auto" w:fill="auto"/>
            <w:vAlign w:val="center"/>
          </w:tcPr>
          <w:p w14:paraId="163FF9FB"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819" w:type="dxa"/>
            <w:tcBorders>
              <w:top w:val="nil"/>
              <w:left w:val="nil"/>
              <w:bottom w:val="single" w:sz="2" w:space="0" w:color="1F3864" w:themeColor="accent1" w:themeShade="80"/>
              <w:right w:val="nil"/>
            </w:tcBorders>
            <w:shd w:val="clear" w:color="auto" w:fill="auto"/>
            <w:vAlign w:val="center"/>
          </w:tcPr>
          <w:p w14:paraId="2F65BEC4"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321FA">
              <w:rPr>
                <w:rFonts w:ascii="Arial" w:hAnsi="Arial" w:cs="Arial"/>
                <w:b/>
                <w:bCs/>
                <w:color w:val="000000"/>
                <w:sz w:val="14"/>
                <w:szCs w:val="14"/>
              </w:rPr>
              <w:t>19.594</w:t>
            </w:r>
          </w:p>
        </w:tc>
        <w:tc>
          <w:tcPr>
            <w:tcW w:w="1819" w:type="dxa"/>
            <w:tcBorders>
              <w:top w:val="nil"/>
              <w:left w:val="nil"/>
              <w:bottom w:val="single" w:sz="2" w:space="0" w:color="1F3864" w:themeColor="accent1" w:themeShade="80"/>
              <w:right w:val="nil"/>
            </w:tcBorders>
            <w:shd w:val="clear" w:color="auto" w:fill="auto"/>
            <w:vAlign w:val="center"/>
          </w:tcPr>
          <w:p w14:paraId="6D5441F6"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321FA">
              <w:rPr>
                <w:rFonts w:ascii="Arial" w:hAnsi="Arial" w:cs="Arial"/>
                <w:b/>
                <w:bCs/>
                <w:color w:val="000000"/>
                <w:sz w:val="14"/>
                <w:szCs w:val="14"/>
              </w:rPr>
              <w:t>18.213</w:t>
            </w:r>
          </w:p>
        </w:tc>
      </w:tr>
    </w:tbl>
    <w:p w14:paraId="6C744D52" w14:textId="77777777" w:rsidR="003321FA" w:rsidRPr="003321FA" w:rsidRDefault="003321FA" w:rsidP="002C3B56">
      <w:pPr>
        <w:pStyle w:val="PargrafodaLista"/>
        <w:numPr>
          <w:ilvl w:val="0"/>
          <w:numId w:val="22"/>
        </w:numPr>
        <w:spacing w:after="0" w:line="240" w:lineRule="auto"/>
        <w:ind w:left="284" w:hanging="284"/>
        <w:rPr>
          <w:rFonts w:ascii="Arial" w:eastAsia="Times New Roman" w:hAnsi="Arial" w:cs="Times New Roman"/>
          <w:bCs/>
          <w:spacing w:val="-2"/>
          <w:sz w:val="14"/>
          <w:szCs w:val="16"/>
          <w:lang w:eastAsia="pt-BR"/>
        </w:rPr>
      </w:pPr>
      <w:r w:rsidRPr="003321FA">
        <w:rPr>
          <w:rFonts w:ascii="Arial" w:eastAsia="Times New Roman" w:hAnsi="Arial" w:cs="Times New Roman"/>
          <w:bCs/>
          <w:spacing w:val="-2"/>
          <w:sz w:val="14"/>
          <w:szCs w:val="16"/>
          <w:lang w:eastAsia="pt-BR"/>
        </w:rPr>
        <w:t xml:space="preserve">BBA - </w:t>
      </w:r>
      <w:r w:rsidRPr="003321FA">
        <w:rPr>
          <w:rFonts w:ascii="Arial" w:eastAsia="Times New Roman" w:hAnsi="Arial" w:cs="Times New Roman"/>
          <w:bCs/>
          <w:i/>
          <w:iCs/>
          <w:spacing w:val="-2"/>
          <w:sz w:val="14"/>
          <w:szCs w:val="16"/>
          <w:lang w:eastAsia="pt-BR"/>
        </w:rPr>
        <w:t>Building Block Approach</w:t>
      </w:r>
      <w:r w:rsidRPr="003321FA">
        <w:rPr>
          <w:rFonts w:ascii="Arial" w:eastAsia="Times New Roman" w:hAnsi="Arial" w:cs="Times New Roman"/>
          <w:bCs/>
          <w:spacing w:val="-2"/>
          <w:sz w:val="14"/>
          <w:szCs w:val="16"/>
          <w:lang w:eastAsia="pt-BR"/>
        </w:rPr>
        <w:t xml:space="preserve"> (Modelo Geral de Mensuração) e </w:t>
      </w:r>
      <w:r w:rsidRPr="003321FA">
        <w:rPr>
          <w:rFonts w:ascii="Arial" w:eastAsia="Times New Roman" w:hAnsi="Arial" w:cs="Arial"/>
          <w:kern w:val="20"/>
          <w:sz w:val="14"/>
          <w:szCs w:val="16"/>
          <w:lang w:eastAsia="pt-BR"/>
        </w:rPr>
        <w:t xml:space="preserve">PAA - </w:t>
      </w:r>
      <w:r w:rsidRPr="003321FA">
        <w:rPr>
          <w:rFonts w:ascii="Arial" w:eastAsia="Times New Roman" w:hAnsi="Arial" w:cs="Arial"/>
          <w:i/>
          <w:iCs/>
          <w:kern w:val="20"/>
          <w:sz w:val="14"/>
          <w:szCs w:val="16"/>
          <w:lang w:eastAsia="pt-BR"/>
        </w:rPr>
        <w:t xml:space="preserve">Premium </w:t>
      </w:r>
      <w:proofErr w:type="spellStart"/>
      <w:r w:rsidRPr="003321FA">
        <w:rPr>
          <w:rFonts w:ascii="Arial" w:eastAsia="Times New Roman" w:hAnsi="Arial" w:cs="Arial"/>
          <w:i/>
          <w:iCs/>
          <w:kern w:val="20"/>
          <w:sz w:val="14"/>
          <w:szCs w:val="16"/>
          <w:lang w:eastAsia="pt-BR"/>
        </w:rPr>
        <w:t>Allocation</w:t>
      </w:r>
      <w:proofErr w:type="spellEnd"/>
      <w:r w:rsidRPr="003321FA">
        <w:rPr>
          <w:rFonts w:ascii="Arial" w:eastAsia="Times New Roman" w:hAnsi="Arial" w:cs="Arial"/>
          <w:i/>
          <w:iCs/>
          <w:kern w:val="20"/>
          <w:sz w:val="14"/>
          <w:szCs w:val="16"/>
          <w:lang w:eastAsia="pt-BR"/>
        </w:rPr>
        <w:t xml:space="preserve"> Approach</w:t>
      </w:r>
      <w:r w:rsidRPr="003321FA">
        <w:rPr>
          <w:rFonts w:ascii="Arial" w:eastAsia="Times New Roman" w:hAnsi="Arial" w:cs="Arial"/>
          <w:kern w:val="20"/>
          <w:sz w:val="14"/>
          <w:szCs w:val="16"/>
          <w:lang w:eastAsia="pt-BR"/>
        </w:rPr>
        <w:t xml:space="preserve"> (Abordagem de Alocação de Prêmio).</w:t>
      </w:r>
    </w:p>
    <w:p w14:paraId="44C72698" w14:textId="77777777" w:rsidR="003321FA" w:rsidRPr="003321FA" w:rsidRDefault="003321FA" w:rsidP="002C3B56">
      <w:pPr>
        <w:pStyle w:val="PargrafodaLista"/>
        <w:numPr>
          <w:ilvl w:val="0"/>
          <w:numId w:val="22"/>
        </w:numPr>
        <w:spacing w:after="0" w:line="240" w:lineRule="auto"/>
        <w:ind w:left="284" w:hanging="284"/>
        <w:rPr>
          <w:rFonts w:ascii="Arial" w:eastAsia="Times New Roman" w:hAnsi="Arial" w:cs="Times New Roman"/>
          <w:bCs/>
          <w:spacing w:val="-2"/>
          <w:sz w:val="14"/>
          <w:szCs w:val="16"/>
          <w:lang w:eastAsia="pt-BR"/>
        </w:rPr>
      </w:pPr>
      <w:r w:rsidRPr="003321FA">
        <w:rPr>
          <w:rFonts w:ascii="Arial" w:eastAsia="Times New Roman" w:hAnsi="Arial" w:cs="Times New Roman"/>
          <w:bCs/>
          <w:spacing w:val="-2"/>
          <w:sz w:val="14"/>
          <w:szCs w:val="16"/>
          <w:lang w:eastAsia="pt-BR"/>
        </w:rPr>
        <w:t>Informações contábeis com defasagem de um mês.</w:t>
      </w:r>
    </w:p>
    <w:bookmarkEnd w:id="78"/>
    <w:p w14:paraId="27206CF6" w14:textId="77777777" w:rsidR="003321FA" w:rsidRPr="003321FA" w:rsidRDefault="003321FA" w:rsidP="002C3B56">
      <w:pPr>
        <w:pStyle w:val="PargrafodaLista"/>
        <w:numPr>
          <w:ilvl w:val="0"/>
          <w:numId w:val="22"/>
        </w:numPr>
        <w:spacing w:after="0" w:line="240" w:lineRule="auto"/>
        <w:ind w:left="284" w:hanging="284"/>
        <w:rPr>
          <w:rFonts w:ascii="Arial" w:eastAsia="Times New Roman" w:hAnsi="Arial" w:cs="Times New Roman"/>
          <w:bCs/>
          <w:spacing w:val="-2"/>
          <w:sz w:val="14"/>
          <w:szCs w:val="16"/>
          <w:lang w:eastAsia="pt-BR"/>
        </w:rPr>
      </w:pPr>
      <w:r w:rsidRPr="003321FA">
        <w:rPr>
          <w:rFonts w:ascii="Arial" w:eastAsia="Times New Roman" w:hAnsi="Arial" w:cs="Times New Roman"/>
          <w:bCs/>
          <w:spacing w:val="-2"/>
          <w:sz w:val="14"/>
          <w:szCs w:val="16"/>
          <w:lang w:eastAsia="pt-BR"/>
        </w:rPr>
        <w:t>Refere-se ao resultado de equivalência de dezembro de 2023, reconhecido na BB Seguridade em janeiro de 2024, em função da defasagem de um mês praticada para efeitos de reconhecimento do resultado da equivalência patrimonial, conforme abordado na nota 03.h.</w:t>
      </w:r>
    </w:p>
    <w:p w14:paraId="2200E7BF" w14:textId="77777777" w:rsidR="003321FA" w:rsidRPr="003321FA" w:rsidRDefault="003321FA" w:rsidP="003321FA">
      <w:pPr>
        <w:pStyle w:val="05-Textonormal"/>
        <w:spacing w:line="240" w:lineRule="auto"/>
        <w:rPr>
          <w:rFonts w:cs="Arial"/>
        </w:rPr>
      </w:pPr>
    </w:p>
    <w:p w14:paraId="17C73DB7" w14:textId="77777777" w:rsidR="003321FA" w:rsidRPr="003321FA" w:rsidRDefault="003321FA" w:rsidP="003321FA">
      <w:pPr>
        <w:pStyle w:val="05-Textonormal"/>
        <w:spacing w:line="240" w:lineRule="auto"/>
        <w:rPr>
          <w:rFonts w:cs="Arial"/>
        </w:rPr>
      </w:pPr>
      <w:r w:rsidRPr="003321FA">
        <w:rPr>
          <w:rFonts w:cs="Arial"/>
        </w:rPr>
        <w:t>Os impactos do CPC 50 [IFRS 17], em 2024 e 2023, e do CPC 48 [IFRS 9], em 2023, no Resultado líquido e no Resultado Abrangente, para fins de comparabilidade, estão indicados no quadro a seguir:</w:t>
      </w:r>
    </w:p>
    <w:p w14:paraId="51975937" w14:textId="77777777" w:rsidR="003321FA" w:rsidRPr="003321FA" w:rsidRDefault="003321FA" w:rsidP="003321FA">
      <w:pPr>
        <w:spacing w:after="0" w:line="240" w:lineRule="auto"/>
        <w:jc w:val="right"/>
        <w:rPr>
          <w:rFonts w:ascii="Arial" w:hAnsi="Arial" w:cs="Arial"/>
          <w:b/>
          <w:sz w:val="14"/>
          <w:lang w:eastAsia="pt-BR"/>
        </w:rPr>
      </w:pPr>
      <w:r w:rsidRPr="003321FA">
        <w:rPr>
          <w:rFonts w:ascii="Arial" w:hAnsi="Arial" w:cs="Arial"/>
          <w:b/>
          <w:sz w:val="14"/>
          <w:lang w:eastAsia="pt-BR"/>
        </w:rPr>
        <w:t>R$ mil</w:t>
      </w:r>
    </w:p>
    <w:tbl>
      <w:tblPr>
        <w:tblStyle w:val="TabeladeLista6Colorida-nfase512"/>
        <w:tblW w:w="9639" w:type="dxa"/>
        <w:jc w:val="center"/>
        <w:tblLayout w:type="fixed"/>
        <w:tblLook w:val="04A0" w:firstRow="1" w:lastRow="0" w:firstColumn="1" w:lastColumn="0" w:noHBand="0" w:noVBand="1"/>
      </w:tblPr>
      <w:tblGrid>
        <w:gridCol w:w="2803"/>
        <w:gridCol w:w="1709"/>
        <w:gridCol w:w="1709"/>
        <w:gridCol w:w="1709"/>
        <w:gridCol w:w="1709"/>
      </w:tblGrid>
      <w:tr w:rsidR="003321FA" w:rsidRPr="003321FA" w14:paraId="06C019B1"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646749D" w14:textId="77777777" w:rsidR="003321FA" w:rsidRPr="003321FA" w:rsidRDefault="003321FA">
            <w:pPr>
              <w:jc w:val="center"/>
              <w:rPr>
                <w:rFonts w:ascii="Arial" w:hAnsi="Arial" w:cs="Arial"/>
                <w:sz w:val="14"/>
                <w:szCs w:val="14"/>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7F47883" w14:textId="77777777" w:rsidR="003321FA" w:rsidRPr="003321FA" w:rsidRDefault="003321F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8C00C64" w14:textId="77777777" w:rsidR="003321FA" w:rsidRPr="003321FA" w:rsidRDefault="003321F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AA800CA" w14:textId="77777777" w:rsidR="003321FA" w:rsidRPr="003321FA" w:rsidRDefault="003321FA">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r w:rsidRPr="003321FA">
              <w:rPr>
                <w:rFonts w:ascii="Arial" w:hAnsi="Arial" w:cs="Arial"/>
                <w:bCs w:val="0"/>
                <w:sz w:val="14"/>
                <w:szCs w:val="14"/>
              </w:rPr>
              <w:t xml:space="preserve">01.01 a 30.11.2024 </w:t>
            </w:r>
            <w:r w:rsidRPr="003321FA">
              <w:rPr>
                <w:rFonts w:ascii="Arial" w:hAnsi="Arial" w:cs="Arial"/>
                <w:bCs w:val="0"/>
                <w:sz w:val="14"/>
                <w:szCs w:val="14"/>
                <w:vertAlign w:val="superscript"/>
              </w:rPr>
              <w:t>(1)</w:t>
            </w: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A332285" w14:textId="77777777" w:rsidR="003321FA" w:rsidRPr="003321FA" w:rsidRDefault="003321F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bCs w:val="0"/>
                <w:sz w:val="14"/>
                <w:szCs w:val="14"/>
              </w:rPr>
              <w:t xml:space="preserve">01.01 a 30.11.2023 </w:t>
            </w:r>
            <w:r w:rsidRPr="003321FA">
              <w:rPr>
                <w:rFonts w:ascii="Arial" w:hAnsi="Arial" w:cs="Arial"/>
                <w:bCs w:val="0"/>
                <w:sz w:val="14"/>
                <w:szCs w:val="14"/>
                <w:vertAlign w:val="superscript"/>
              </w:rPr>
              <w:t>(1)</w:t>
            </w:r>
          </w:p>
        </w:tc>
      </w:tr>
      <w:tr w:rsidR="003321FA" w:rsidRPr="003321FA" w14:paraId="3AF60CB3"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3864" w:themeColor="accent1" w:themeShade="80"/>
              <w:left w:val="nil"/>
              <w:bottom w:val="nil"/>
              <w:right w:val="nil"/>
            </w:tcBorders>
            <w:shd w:val="clear" w:color="auto" w:fill="auto"/>
            <w:vAlign w:val="center"/>
          </w:tcPr>
          <w:p w14:paraId="12A658D2" w14:textId="77777777" w:rsidR="003321FA" w:rsidRPr="003321FA" w:rsidRDefault="003321FA">
            <w:pPr>
              <w:keepNext/>
              <w:keepLines/>
              <w:rPr>
                <w:rFonts w:ascii="Arial" w:eastAsia="Times New Roman" w:hAnsi="Arial" w:cs="Arial"/>
                <w:b w:val="0"/>
                <w:bCs w:val="0"/>
                <w:spacing w:val="-2"/>
                <w:sz w:val="14"/>
                <w:szCs w:val="14"/>
              </w:rPr>
            </w:pPr>
            <w:r w:rsidRPr="003321FA">
              <w:rPr>
                <w:rFonts w:ascii="Arial" w:hAnsi="Arial" w:cs="Arial"/>
                <w:b w:val="0"/>
                <w:bCs w:val="0"/>
                <w:sz w:val="14"/>
                <w:szCs w:val="14"/>
              </w:rPr>
              <w:t>Resultado Líquido - BRGAAP e IFRS</w:t>
            </w:r>
          </w:p>
        </w:tc>
        <w:tc>
          <w:tcPr>
            <w:tcW w:w="1709" w:type="dxa"/>
            <w:tcBorders>
              <w:top w:val="single" w:sz="2" w:space="0" w:color="1F3864" w:themeColor="accent1" w:themeShade="80"/>
              <w:left w:val="nil"/>
              <w:bottom w:val="nil"/>
              <w:right w:val="nil"/>
            </w:tcBorders>
            <w:shd w:val="clear" w:color="auto" w:fill="auto"/>
            <w:vAlign w:val="center"/>
          </w:tcPr>
          <w:p w14:paraId="12AA28A3"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single" w:sz="2" w:space="0" w:color="1F3864" w:themeColor="accent1" w:themeShade="80"/>
              <w:left w:val="nil"/>
              <w:bottom w:val="nil"/>
              <w:right w:val="nil"/>
            </w:tcBorders>
            <w:shd w:val="clear" w:color="auto" w:fill="auto"/>
            <w:vAlign w:val="center"/>
          </w:tcPr>
          <w:p w14:paraId="24E5BF79"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single" w:sz="2" w:space="0" w:color="1F3864" w:themeColor="accent1" w:themeShade="80"/>
              <w:left w:val="nil"/>
              <w:bottom w:val="nil"/>
              <w:right w:val="nil"/>
            </w:tcBorders>
            <w:shd w:val="clear" w:color="auto" w:fill="auto"/>
            <w:vAlign w:val="center"/>
          </w:tcPr>
          <w:p w14:paraId="1CEF38A9"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 xml:space="preserve">23.471 </w:t>
            </w:r>
          </w:p>
        </w:tc>
        <w:tc>
          <w:tcPr>
            <w:tcW w:w="1709" w:type="dxa"/>
            <w:tcBorders>
              <w:top w:val="single" w:sz="2" w:space="0" w:color="1F3864" w:themeColor="accent1" w:themeShade="80"/>
              <w:left w:val="nil"/>
              <w:bottom w:val="nil"/>
              <w:right w:val="nil"/>
            </w:tcBorders>
            <w:shd w:val="clear" w:color="auto" w:fill="auto"/>
            <w:vAlign w:val="center"/>
          </w:tcPr>
          <w:p w14:paraId="205D6B9C"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24.284</w:t>
            </w:r>
          </w:p>
        </w:tc>
      </w:tr>
      <w:tr w:rsidR="003321FA" w:rsidRPr="003321FA" w14:paraId="50C89BA0"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0C51FE61" w14:textId="77777777" w:rsidR="003321FA" w:rsidRPr="003321FA" w:rsidRDefault="003321FA">
            <w:pPr>
              <w:keepNext/>
              <w:keepLines/>
              <w:rPr>
                <w:rFonts w:ascii="Arial" w:hAnsi="Arial" w:cs="Arial"/>
                <w:b w:val="0"/>
                <w:bCs w:val="0"/>
                <w:sz w:val="14"/>
                <w:szCs w:val="14"/>
              </w:rPr>
            </w:pPr>
            <w:r w:rsidRPr="003321FA">
              <w:rPr>
                <w:rFonts w:ascii="Arial" w:hAnsi="Arial" w:cs="Arial"/>
                <w:b w:val="0"/>
                <w:bCs w:val="0"/>
                <w:sz w:val="14"/>
                <w:szCs w:val="14"/>
              </w:rPr>
              <w:t>Resultado Líquido - ANSGAAP</w:t>
            </w:r>
          </w:p>
        </w:tc>
        <w:tc>
          <w:tcPr>
            <w:tcW w:w="1709" w:type="dxa"/>
            <w:tcBorders>
              <w:top w:val="nil"/>
              <w:left w:val="nil"/>
              <w:bottom w:val="nil"/>
              <w:right w:val="nil"/>
            </w:tcBorders>
            <w:shd w:val="clear" w:color="auto" w:fill="auto"/>
            <w:vAlign w:val="center"/>
          </w:tcPr>
          <w:p w14:paraId="4098906D"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auto"/>
            <w:vAlign w:val="center"/>
          </w:tcPr>
          <w:p w14:paraId="37E9807D"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auto"/>
            <w:vAlign w:val="center"/>
          </w:tcPr>
          <w:p w14:paraId="13F2FB8D"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 xml:space="preserve">21.564 </w:t>
            </w:r>
          </w:p>
        </w:tc>
        <w:tc>
          <w:tcPr>
            <w:tcW w:w="1709" w:type="dxa"/>
            <w:tcBorders>
              <w:top w:val="nil"/>
              <w:left w:val="nil"/>
              <w:bottom w:val="nil"/>
              <w:right w:val="nil"/>
            </w:tcBorders>
            <w:shd w:val="clear" w:color="auto" w:fill="auto"/>
            <w:vAlign w:val="center"/>
          </w:tcPr>
          <w:p w14:paraId="6BA91647"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 xml:space="preserve">22.251 </w:t>
            </w:r>
          </w:p>
        </w:tc>
      </w:tr>
      <w:tr w:rsidR="003321FA" w:rsidRPr="003321FA" w14:paraId="236DC2D6"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3B073074" w14:textId="77777777" w:rsidR="003321FA" w:rsidRPr="003321FA" w:rsidRDefault="003321FA">
            <w:pPr>
              <w:keepNext/>
              <w:keepLines/>
              <w:rPr>
                <w:rFonts w:ascii="Arial" w:hAnsi="Arial" w:cs="Arial"/>
                <w:b w:val="0"/>
                <w:bCs w:val="0"/>
                <w:sz w:val="14"/>
                <w:szCs w:val="14"/>
              </w:rPr>
            </w:pPr>
          </w:p>
        </w:tc>
        <w:tc>
          <w:tcPr>
            <w:tcW w:w="1709" w:type="dxa"/>
            <w:tcBorders>
              <w:top w:val="nil"/>
              <w:left w:val="nil"/>
              <w:bottom w:val="nil"/>
              <w:right w:val="nil"/>
            </w:tcBorders>
            <w:shd w:val="clear" w:color="auto" w:fill="auto"/>
            <w:vAlign w:val="center"/>
          </w:tcPr>
          <w:p w14:paraId="1DDA9820"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auto"/>
            <w:vAlign w:val="center"/>
          </w:tcPr>
          <w:p w14:paraId="660AD020"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auto"/>
            <w:vAlign w:val="center"/>
          </w:tcPr>
          <w:p w14:paraId="47DF46EC"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auto"/>
            <w:vAlign w:val="center"/>
          </w:tcPr>
          <w:p w14:paraId="5BB0A9C5"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r>
      <w:tr w:rsidR="003321FA" w:rsidRPr="003321FA" w14:paraId="2273F329"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44D83E2B" w14:textId="77777777" w:rsidR="003321FA" w:rsidRPr="003321FA" w:rsidRDefault="003321FA">
            <w:pPr>
              <w:keepNext/>
              <w:keepLines/>
              <w:spacing w:before="40" w:after="40"/>
              <w:rPr>
                <w:rFonts w:ascii="Arial" w:hAnsi="Arial" w:cs="Arial"/>
                <w:b w:val="0"/>
                <w:bCs w:val="0"/>
                <w:sz w:val="14"/>
                <w:szCs w:val="14"/>
              </w:rPr>
            </w:pPr>
            <w:r w:rsidRPr="003321FA">
              <w:rPr>
                <w:rFonts w:ascii="Arial" w:hAnsi="Arial" w:cs="Arial"/>
                <w:b w:val="0"/>
                <w:bCs w:val="0"/>
                <w:sz w:val="14"/>
                <w:szCs w:val="14"/>
              </w:rPr>
              <w:t>Resultado Abrangente - BRGAAP e IFRS</w:t>
            </w:r>
          </w:p>
        </w:tc>
        <w:tc>
          <w:tcPr>
            <w:tcW w:w="1709" w:type="dxa"/>
            <w:tcBorders>
              <w:top w:val="nil"/>
              <w:left w:val="nil"/>
              <w:bottom w:val="nil"/>
              <w:right w:val="nil"/>
            </w:tcBorders>
            <w:shd w:val="clear" w:color="auto" w:fill="auto"/>
            <w:vAlign w:val="center"/>
          </w:tcPr>
          <w:p w14:paraId="36D5DAD4"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auto"/>
            <w:vAlign w:val="center"/>
          </w:tcPr>
          <w:p w14:paraId="4538BD60"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auto"/>
            <w:vAlign w:val="center"/>
          </w:tcPr>
          <w:p w14:paraId="2CC5D4DB"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 xml:space="preserve">23.096 </w:t>
            </w:r>
          </w:p>
        </w:tc>
        <w:tc>
          <w:tcPr>
            <w:tcW w:w="1709" w:type="dxa"/>
            <w:tcBorders>
              <w:top w:val="nil"/>
              <w:left w:val="nil"/>
              <w:bottom w:val="nil"/>
              <w:right w:val="nil"/>
            </w:tcBorders>
            <w:shd w:val="clear" w:color="auto" w:fill="auto"/>
            <w:vAlign w:val="center"/>
          </w:tcPr>
          <w:p w14:paraId="3C83AC40"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27.013</w:t>
            </w:r>
          </w:p>
        </w:tc>
      </w:tr>
      <w:tr w:rsidR="003321FA" w:rsidRPr="003321FA" w14:paraId="2C4BAC01"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single" w:sz="2" w:space="0" w:color="1F3864" w:themeColor="accent1" w:themeShade="80"/>
              <w:right w:val="nil"/>
            </w:tcBorders>
            <w:shd w:val="clear" w:color="auto" w:fill="auto"/>
            <w:vAlign w:val="center"/>
          </w:tcPr>
          <w:p w14:paraId="5544328D" w14:textId="77777777" w:rsidR="003321FA" w:rsidRPr="003321FA" w:rsidRDefault="003321FA">
            <w:pPr>
              <w:keepNext/>
              <w:keepLines/>
              <w:spacing w:before="40" w:after="40"/>
              <w:rPr>
                <w:rFonts w:ascii="Arial" w:hAnsi="Arial" w:cs="Arial"/>
                <w:b w:val="0"/>
                <w:bCs w:val="0"/>
                <w:sz w:val="14"/>
                <w:szCs w:val="14"/>
              </w:rPr>
            </w:pPr>
            <w:r w:rsidRPr="003321FA">
              <w:rPr>
                <w:rFonts w:ascii="Arial" w:hAnsi="Arial" w:cs="Arial"/>
                <w:b w:val="0"/>
                <w:bCs w:val="0"/>
                <w:sz w:val="14"/>
                <w:szCs w:val="14"/>
              </w:rPr>
              <w:t>Resultado Abrangente - ANSGAAP</w:t>
            </w:r>
          </w:p>
        </w:tc>
        <w:tc>
          <w:tcPr>
            <w:tcW w:w="1709" w:type="dxa"/>
            <w:tcBorders>
              <w:top w:val="nil"/>
              <w:left w:val="nil"/>
              <w:bottom w:val="single" w:sz="2" w:space="0" w:color="1F3864" w:themeColor="accent1" w:themeShade="80"/>
              <w:right w:val="nil"/>
            </w:tcBorders>
            <w:shd w:val="clear" w:color="auto" w:fill="auto"/>
            <w:vAlign w:val="center"/>
          </w:tcPr>
          <w:p w14:paraId="34543014"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nil"/>
              <w:left w:val="nil"/>
              <w:bottom w:val="single" w:sz="2" w:space="0" w:color="1F3864" w:themeColor="accent1" w:themeShade="80"/>
              <w:right w:val="nil"/>
            </w:tcBorders>
            <w:shd w:val="clear" w:color="auto" w:fill="auto"/>
            <w:vAlign w:val="center"/>
          </w:tcPr>
          <w:p w14:paraId="1CC5357A"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nil"/>
              <w:left w:val="nil"/>
              <w:bottom w:val="single" w:sz="2" w:space="0" w:color="1F3864" w:themeColor="accent1" w:themeShade="80"/>
              <w:right w:val="nil"/>
            </w:tcBorders>
            <w:shd w:val="clear" w:color="auto" w:fill="auto"/>
            <w:vAlign w:val="center"/>
          </w:tcPr>
          <w:p w14:paraId="54A1445D"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 xml:space="preserve">21.189 </w:t>
            </w:r>
          </w:p>
        </w:tc>
        <w:tc>
          <w:tcPr>
            <w:tcW w:w="1709" w:type="dxa"/>
            <w:tcBorders>
              <w:top w:val="nil"/>
              <w:left w:val="nil"/>
              <w:bottom w:val="single" w:sz="2" w:space="0" w:color="1F3864" w:themeColor="accent1" w:themeShade="80"/>
              <w:right w:val="nil"/>
            </w:tcBorders>
            <w:shd w:val="clear" w:color="auto" w:fill="auto"/>
            <w:vAlign w:val="center"/>
          </w:tcPr>
          <w:p w14:paraId="49C882B8"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22.251</w:t>
            </w:r>
          </w:p>
        </w:tc>
      </w:tr>
    </w:tbl>
    <w:p w14:paraId="6E127010" w14:textId="77777777" w:rsidR="003321FA" w:rsidRPr="003321FA" w:rsidRDefault="003321FA" w:rsidP="002C3B56">
      <w:pPr>
        <w:pStyle w:val="PargrafodaLista"/>
        <w:numPr>
          <w:ilvl w:val="0"/>
          <w:numId w:val="41"/>
        </w:numPr>
        <w:spacing w:after="0" w:line="240" w:lineRule="auto"/>
        <w:ind w:left="284" w:hanging="284"/>
        <w:rPr>
          <w:rFonts w:ascii="Arial" w:eastAsia="Times New Roman" w:hAnsi="Arial" w:cs="Times New Roman"/>
          <w:bCs/>
          <w:spacing w:val="-2"/>
          <w:sz w:val="14"/>
          <w:szCs w:val="16"/>
          <w:lang w:eastAsia="pt-BR"/>
        </w:rPr>
      </w:pPr>
      <w:r w:rsidRPr="003321FA">
        <w:rPr>
          <w:rFonts w:ascii="Arial" w:eastAsia="Times New Roman" w:hAnsi="Arial" w:cs="Times New Roman"/>
          <w:bCs/>
          <w:spacing w:val="-2"/>
          <w:sz w:val="14"/>
          <w:szCs w:val="16"/>
          <w:lang w:eastAsia="pt-BR"/>
        </w:rPr>
        <w:t>Informações contábeis com defasagem de um mês.</w:t>
      </w:r>
    </w:p>
    <w:p w14:paraId="5461FD83" w14:textId="77777777" w:rsidR="003321FA" w:rsidRPr="003321FA" w:rsidRDefault="003321FA" w:rsidP="003321FA">
      <w:pPr>
        <w:keepNext/>
        <w:keepLines/>
        <w:pageBreakBefore/>
        <w:spacing w:after="0" w:line="240" w:lineRule="auto"/>
        <w:rPr>
          <w:rFonts w:ascii="Arial" w:eastAsia="Times New Roman" w:hAnsi="Arial" w:cs="Times New Roman"/>
          <w:b/>
          <w:color w:val="1F3864" w:themeColor="accent1" w:themeShade="80"/>
          <w:spacing w:val="-2"/>
          <w:sz w:val="18"/>
          <w:szCs w:val="20"/>
          <w:lang w:eastAsia="pt-BR"/>
        </w:rPr>
      </w:pPr>
      <w:r w:rsidRPr="003321FA">
        <w:rPr>
          <w:rFonts w:ascii="Arial" w:eastAsia="Times New Roman" w:hAnsi="Arial" w:cs="Times New Roman"/>
          <w:b/>
          <w:color w:val="1F3864" w:themeColor="accent1" w:themeShade="80"/>
          <w:spacing w:val="-2"/>
          <w:sz w:val="18"/>
          <w:szCs w:val="20"/>
          <w:lang w:eastAsia="pt-BR"/>
        </w:rPr>
        <w:lastRenderedPageBreak/>
        <w:t>Informações Patrimoniais</w:t>
      </w:r>
    </w:p>
    <w:p w14:paraId="4E47736A" w14:textId="77777777" w:rsidR="003321FA" w:rsidRPr="003321FA" w:rsidRDefault="003321FA" w:rsidP="003321FA">
      <w:pPr>
        <w:spacing w:after="0" w:line="240" w:lineRule="auto"/>
        <w:jc w:val="right"/>
        <w:rPr>
          <w:rFonts w:ascii="Arial" w:hAnsi="Arial" w:cs="Arial"/>
          <w:b/>
          <w:sz w:val="14"/>
          <w:lang w:eastAsia="pt-BR"/>
        </w:rPr>
      </w:pPr>
      <w:r w:rsidRPr="003321FA">
        <w:rPr>
          <w:rFonts w:ascii="Arial" w:hAnsi="Arial" w:cs="Arial"/>
          <w:b/>
          <w:sz w:val="14"/>
          <w:lang w:eastAsia="pt-BR"/>
        </w:rPr>
        <w:t>R$ mil</w:t>
      </w:r>
    </w:p>
    <w:tbl>
      <w:tblPr>
        <w:tblStyle w:val="TabeladeLista6Colorida-nfase512"/>
        <w:tblW w:w="9640" w:type="dxa"/>
        <w:jc w:val="center"/>
        <w:tblLayout w:type="fixed"/>
        <w:tblLook w:val="04A0" w:firstRow="1" w:lastRow="0" w:firstColumn="1" w:lastColumn="0" w:noHBand="0" w:noVBand="1"/>
      </w:tblPr>
      <w:tblGrid>
        <w:gridCol w:w="3120"/>
        <w:gridCol w:w="3260"/>
        <w:gridCol w:w="3260"/>
      </w:tblGrid>
      <w:tr w:rsidR="003321FA" w:rsidRPr="003321FA" w14:paraId="046DD04E"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62387C5" w14:textId="77777777" w:rsidR="003321FA" w:rsidRPr="003321FA" w:rsidRDefault="003321FA">
            <w:pPr>
              <w:jc w:val="center"/>
              <w:rPr>
                <w:rFonts w:ascii="Arial" w:hAnsi="Arial" w:cs="Arial"/>
                <w:sz w:val="14"/>
                <w:szCs w:val="14"/>
              </w:rPr>
            </w:pPr>
          </w:p>
        </w:tc>
        <w:tc>
          <w:tcPr>
            <w:tcW w:w="326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C1C5760" w14:textId="77777777" w:rsidR="003321FA" w:rsidRPr="003321FA" w:rsidRDefault="003321F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sz w:val="14"/>
                <w:szCs w:val="14"/>
              </w:rPr>
              <w:t xml:space="preserve">30.11.2024 </w:t>
            </w:r>
            <w:r w:rsidRPr="003321FA">
              <w:rPr>
                <w:rFonts w:ascii="Arial" w:hAnsi="Arial" w:cs="Arial"/>
                <w:sz w:val="14"/>
                <w:szCs w:val="14"/>
                <w:vertAlign w:val="superscript"/>
              </w:rPr>
              <w:t>(1)</w:t>
            </w:r>
          </w:p>
        </w:tc>
        <w:tc>
          <w:tcPr>
            <w:tcW w:w="326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650CA4E" w14:textId="77777777" w:rsidR="003321FA" w:rsidRPr="003321FA" w:rsidRDefault="003321F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sz w:val="14"/>
                <w:szCs w:val="14"/>
              </w:rPr>
              <w:t xml:space="preserve">30.11.2023 </w:t>
            </w:r>
            <w:r w:rsidRPr="003321FA">
              <w:rPr>
                <w:rFonts w:ascii="Arial" w:hAnsi="Arial" w:cs="Arial"/>
                <w:sz w:val="14"/>
                <w:szCs w:val="14"/>
                <w:vertAlign w:val="superscript"/>
              </w:rPr>
              <w:t>(1)</w:t>
            </w:r>
          </w:p>
        </w:tc>
      </w:tr>
      <w:tr w:rsidR="003321FA" w:rsidRPr="003321FA" w14:paraId="2A7F452C"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nil"/>
              <w:right w:val="nil"/>
            </w:tcBorders>
            <w:shd w:val="clear" w:color="auto" w:fill="auto"/>
            <w:vAlign w:val="center"/>
          </w:tcPr>
          <w:p w14:paraId="03DCFC22" w14:textId="77777777" w:rsidR="003321FA" w:rsidRPr="003321FA" w:rsidRDefault="003321FA">
            <w:pPr>
              <w:keepNext/>
              <w:keepLines/>
              <w:rPr>
                <w:rFonts w:ascii="Arial" w:eastAsia="Times New Roman" w:hAnsi="Arial" w:cs="Arial"/>
                <w:spacing w:val="-2"/>
                <w:sz w:val="14"/>
                <w:szCs w:val="14"/>
              </w:rPr>
            </w:pPr>
            <w:r w:rsidRPr="003321FA">
              <w:rPr>
                <w:rFonts w:ascii="Arial" w:hAnsi="Arial" w:cs="Arial"/>
                <w:color w:val="000000"/>
                <w:sz w:val="14"/>
                <w:szCs w:val="14"/>
              </w:rPr>
              <w:t>Ativo Circulante</w:t>
            </w:r>
          </w:p>
        </w:tc>
        <w:tc>
          <w:tcPr>
            <w:tcW w:w="3260" w:type="dxa"/>
            <w:tcBorders>
              <w:top w:val="single" w:sz="2" w:space="0" w:color="1F3864" w:themeColor="accent1" w:themeShade="80"/>
              <w:left w:val="nil"/>
              <w:bottom w:val="nil"/>
              <w:right w:val="nil"/>
            </w:tcBorders>
            <w:shd w:val="clear" w:color="auto" w:fill="auto"/>
            <w:vAlign w:val="center"/>
          </w:tcPr>
          <w:p w14:paraId="4FC155E1"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321FA">
              <w:rPr>
                <w:rFonts w:ascii="Arial" w:hAnsi="Arial" w:cs="Arial"/>
                <w:b/>
                <w:bCs/>
                <w:color w:val="000000"/>
                <w:sz w:val="14"/>
                <w:szCs w:val="14"/>
              </w:rPr>
              <w:t>37.292</w:t>
            </w:r>
          </w:p>
        </w:tc>
        <w:tc>
          <w:tcPr>
            <w:tcW w:w="3260" w:type="dxa"/>
            <w:tcBorders>
              <w:top w:val="single" w:sz="2" w:space="0" w:color="1F3864" w:themeColor="accent1" w:themeShade="80"/>
              <w:left w:val="nil"/>
              <w:bottom w:val="nil"/>
              <w:right w:val="nil"/>
            </w:tcBorders>
            <w:shd w:val="clear" w:color="auto" w:fill="auto"/>
            <w:vAlign w:val="center"/>
          </w:tcPr>
          <w:p w14:paraId="4708750D"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321FA">
              <w:rPr>
                <w:rFonts w:ascii="Arial" w:hAnsi="Arial" w:cs="Arial"/>
                <w:b/>
                <w:bCs/>
                <w:color w:val="000000"/>
                <w:sz w:val="14"/>
                <w:szCs w:val="14"/>
              </w:rPr>
              <w:t>35.708</w:t>
            </w:r>
          </w:p>
        </w:tc>
      </w:tr>
      <w:tr w:rsidR="003321FA" w:rsidRPr="003321FA" w14:paraId="1E1C37CE"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F8D6D77" w14:textId="77777777" w:rsidR="003321FA" w:rsidRPr="003321FA" w:rsidRDefault="003321FA">
            <w:pPr>
              <w:keepNext/>
              <w:keepLines/>
              <w:ind w:left="113"/>
              <w:rPr>
                <w:rFonts w:ascii="Arial" w:eastAsia="Times New Roman" w:hAnsi="Arial" w:cs="Arial"/>
                <w:b w:val="0"/>
                <w:bCs w:val="0"/>
                <w:spacing w:val="-2"/>
                <w:sz w:val="14"/>
                <w:szCs w:val="14"/>
              </w:rPr>
            </w:pPr>
            <w:r w:rsidRPr="003321FA">
              <w:rPr>
                <w:rFonts w:ascii="Arial" w:hAnsi="Arial" w:cs="Arial"/>
                <w:b w:val="0"/>
                <w:bCs w:val="0"/>
                <w:color w:val="000000"/>
                <w:sz w:val="14"/>
                <w:szCs w:val="14"/>
              </w:rPr>
              <w:t>Caixa e equivalente de caixa</w:t>
            </w:r>
          </w:p>
        </w:tc>
        <w:tc>
          <w:tcPr>
            <w:tcW w:w="3260" w:type="dxa"/>
            <w:tcBorders>
              <w:top w:val="nil"/>
              <w:left w:val="nil"/>
              <w:bottom w:val="nil"/>
              <w:right w:val="nil"/>
            </w:tcBorders>
            <w:shd w:val="clear" w:color="auto" w:fill="auto"/>
            <w:vAlign w:val="center"/>
          </w:tcPr>
          <w:p w14:paraId="1FAD6F2F"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1.156</w:t>
            </w:r>
          </w:p>
        </w:tc>
        <w:tc>
          <w:tcPr>
            <w:tcW w:w="3260" w:type="dxa"/>
            <w:tcBorders>
              <w:top w:val="nil"/>
              <w:left w:val="nil"/>
              <w:bottom w:val="nil"/>
              <w:right w:val="nil"/>
            </w:tcBorders>
            <w:shd w:val="clear" w:color="auto" w:fill="auto"/>
            <w:vAlign w:val="center"/>
          </w:tcPr>
          <w:p w14:paraId="5B8F28C7"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1.703</w:t>
            </w:r>
          </w:p>
        </w:tc>
      </w:tr>
      <w:tr w:rsidR="003321FA" w:rsidRPr="003321FA" w14:paraId="185DC59D"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B95A7B0" w14:textId="77777777" w:rsidR="003321FA" w:rsidRPr="003321FA" w:rsidRDefault="003321FA">
            <w:pPr>
              <w:keepNext/>
              <w:keepLines/>
              <w:ind w:left="113"/>
              <w:rPr>
                <w:rFonts w:ascii="Arial" w:eastAsia="Times New Roman" w:hAnsi="Arial" w:cs="Arial"/>
                <w:b w:val="0"/>
                <w:bCs w:val="0"/>
                <w:spacing w:val="-2"/>
                <w:sz w:val="14"/>
                <w:szCs w:val="14"/>
              </w:rPr>
            </w:pPr>
            <w:r w:rsidRPr="003321FA">
              <w:rPr>
                <w:rFonts w:ascii="Arial" w:hAnsi="Arial" w:cs="Arial"/>
                <w:b w:val="0"/>
                <w:bCs w:val="0"/>
                <w:color w:val="000000"/>
                <w:sz w:val="14"/>
                <w:szCs w:val="14"/>
              </w:rPr>
              <w:t>Instrumentos Financeiros</w:t>
            </w:r>
          </w:p>
        </w:tc>
        <w:tc>
          <w:tcPr>
            <w:tcW w:w="3260" w:type="dxa"/>
            <w:tcBorders>
              <w:top w:val="nil"/>
              <w:left w:val="nil"/>
              <w:bottom w:val="nil"/>
              <w:right w:val="nil"/>
            </w:tcBorders>
            <w:shd w:val="clear" w:color="auto" w:fill="auto"/>
            <w:vAlign w:val="center"/>
          </w:tcPr>
          <w:p w14:paraId="774EDA35"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35.315</w:t>
            </w:r>
          </w:p>
        </w:tc>
        <w:tc>
          <w:tcPr>
            <w:tcW w:w="3260" w:type="dxa"/>
            <w:tcBorders>
              <w:top w:val="nil"/>
              <w:left w:val="nil"/>
              <w:bottom w:val="nil"/>
              <w:right w:val="nil"/>
            </w:tcBorders>
            <w:shd w:val="clear" w:color="auto" w:fill="auto"/>
            <w:vAlign w:val="center"/>
          </w:tcPr>
          <w:p w14:paraId="27162A34"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31.029</w:t>
            </w:r>
          </w:p>
        </w:tc>
      </w:tr>
      <w:tr w:rsidR="003321FA" w:rsidRPr="003321FA" w14:paraId="17FF1146"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072DEC4" w14:textId="77777777" w:rsidR="003321FA" w:rsidRPr="003321FA" w:rsidRDefault="003321FA">
            <w:pPr>
              <w:keepNext/>
              <w:keepLines/>
              <w:ind w:left="113"/>
              <w:rPr>
                <w:rFonts w:ascii="Arial" w:eastAsia="Times New Roman" w:hAnsi="Arial" w:cs="Arial"/>
                <w:b w:val="0"/>
                <w:bCs w:val="0"/>
                <w:spacing w:val="-2"/>
                <w:sz w:val="14"/>
                <w:szCs w:val="14"/>
              </w:rPr>
            </w:pPr>
            <w:r w:rsidRPr="003321FA">
              <w:rPr>
                <w:rFonts w:ascii="Arial" w:hAnsi="Arial" w:cs="Arial"/>
                <w:b w:val="0"/>
                <w:bCs w:val="0"/>
                <w:color w:val="000000"/>
                <w:sz w:val="14"/>
                <w:szCs w:val="14"/>
              </w:rPr>
              <w:t>Ativo fiscal Corrente</w:t>
            </w:r>
          </w:p>
        </w:tc>
        <w:tc>
          <w:tcPr>
            <w:tcW w:w="3260" w:type="dxa"/>
            <w:tcBorders>
              <w:top w:val="nil"/>
              <w:left w:val="nil"/>
              <w:bottom w:val="nil"/>
              <w:right w:val="nil"/>
            </w:tcBorders>
            <w:shd w:val="clear" w:color="auto" w:fill="auto"/>
            <w:vAlign w:val="center"/>
          </w:tcPr>
          <w:p w14:paraId="31D8F107"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244</w:t>
            </w:r>
          </w:p>
        </w:tc>
        <w:tc>
          <w:tcPr>
            <w:tcW w:w="3260" w:type="dxa"/>
            <w:tcBorders>
              <w:top w:val="nil"/>
              <w:left w:val="nil"/>
              <w:bottom w:val="nil"/>
              <w:right w:val="nil"/>
            </w:tcBorders>
            <w:shd w:val="clear" w:color="auto" w:fill="auto"/>
            <w:vAlign w:val="center"/>
          </w:tcPr>
          <w:p w14:paraId="6AA35BA1"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304</w:t>
            </w:r>
          </w:p>
        </w:tc>
      </w:tr>
      <w:tr w:rsidR="003321FA" w:rsidRPr="003321FA" w14:paraId="4764E564"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F465F7B" w14:textId="77777777" w:rsidR="003321FA" w:rsidRPr="003321FA" w:rsidRDefault="003321FA">
            <w:pPr>
              <w:keepNext/>
              <w:keepLines/>
              <w:ind w:left="113"/>
              <w:rPr>
                <w:rFonts w:ascii="Arial" w:eastAsia="Times New Roman" w:hAnsi="Arial" w:cs="Arial"/>
                <w:b w:val="0"/>
                <w:bCs w:val="0"/>
                <w:spacing w:val="-2"/>
                <w:sz w:val="14"/>
                <w:szCs w:val="14"/>
              </w:rPr>
            </w:pPr>
            <w:r w:rsidRPr="003321FA">
              <w:rPr>
                <w:rFonts w:ascii="Arial" w:hAnsi="Arial" w:cs="Arial"/>
                <w:b w:val="0"/>
                <w:bCs w:val="0"/>
                <w:color w:val="000000"/>
                <w:sz w:val="14"/>
                <w:szCs w:val="14"/>
              </w:rPr>
              <w:t>Outros Ativos</w:t>
            </w:r>
          </w:p>
        </w:tc>
        <w:tc>
          <w:tcPr>
            <w:tcW w:w="3260" w:type="dxa"/>
            <w:tcBorders>
              <w:top w:val="nil"/>
              <w:left w:val="nil"/>
              <w:bottom w:val="nil"/>
              <w:right w:val="nil"/>
            </w:tcBorders>
            <w:shd w:val="clear" w:color="auto" w:fill="auto"/>
            <w:vAlign w:val="center"/>
          </w:tcPr>
          <w:p w14:paraId="39C9BC3D"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577</w:t>
            </w:r>
          </w:p>
        </w:tc>
        <w:tc>
          <w:tcPr>
            <w:tcW w:w="3260" w:type="dxa"/>
            <w:tcBorders>
              <w:top w:val="nil"/>
              <w:left w:val="nil"/>
              <w:bottom w:val="nil"/>
              <w:right w:val="nil"/>
            </w:tcBorders>
            <w:shd w:val="clear" w:color="auto" w:fill="auto"/>
            <w:vAlign w:val="center"/>
          </w:tcPr>
          <w:p w14:paraId="0B473FBD"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2.672</w:t>
            </w:r>
          </w:p>
        </w:tc>
      </w:tr>
      <w:tr w:rsidR="003321FA" w:rsidRPr="003321FA" w14:paraId="35F9A8F9"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4C0FBDB" w14:textId="77777777" w:rsidR="003321FA" w:rsidRPr="003321FA" w:rsidRDefault="003321FA">
            <w:pPr>
              <w:keepNext/>
              <w:keepLines/>
              <w:rPr>
                <w:rFonts w:ascii="Arial" w:eastAsia="Times New Roman" w:hAnsi="Arial" w:cs="Arial"/>
                <w:spacing w:val="-2"/>
                <w:sz w:val="14"/>
                <w:szCs w:val="14"/>
              </w:rPr>
            </w:pPr>
            <w:r w:rsidRPr="003321FA">
              <w:rPr>
                <w:rFonts w:ascii="Arial" w:hAnsi="Arial" w:cs="Arial"/>
                <w:color w:val="000000"/>
                <w:sz w:val="14"/>
                <w:szCs w:val="14"/>
              </w:rPr>
              <w:t>Ativos Não Circulante</w:t>
            </w:r>
          </w:p>
        </w:tc>
        <w:tc>
          <w:tcPr>
            <w:tcW w:w="3260" w:type="dxa"/>
            <w:tcBorders>
              <w:top w:val="nil"/>
              <w:left w:val="nil"/>
              <w:bottom w:val="nil"/>
              <w:right w:val="nil"/>
            </w:tcBorders>
            <w:shd w:val="clear" w:color="auto" w:fill="auto"/>
            <w:vAlign w:val="center"/>
          </w:tcPr>
          <w:p w14:paraId="7A8AC1D1"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321FA">
              <w:rPr>
                <w:rFonts w:ascii="Arial" w:hAnsi="Arial" w:cs="Arial"/>
                <w:b/>
                <w:bCs/>
                <w:color w:val="000000"/>
                <w:sz w:val="14"/>
                <w:szCs w:val="14"/>
              </w:rPr>
              <w:t>1.235</w:t>
            </w:r>
          </w:p>
        </w:tc>
        <w:tc>
          <w:tcPr>
            <w:tcW w:w="3260" w:type="dxa"/>
            <w:tcBorders>
              <w:top w:val="nil"/>
              <w:left w:val="nil"/>
              <w:bottom w:val="nil"/>
              <w:right w:val="nil"/>
            </w:tcBorders>
            <w:shd w:val="clear" w:color="auto" w:fill="auto"/>
            <w:vAlign w:val="center"/>
          </w:tcPr>
          <w:p w14:paraId="383A7725"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321FA">
              <w:rPr>
                <w:rFonts w:ascii="Arial" w:hAnsi="Arial" w:cs="Arial"/>
                <w:b/>
                <w:bCs/>
                <w:color w:val="000000"/>
                <w:sz w:val="14"/>
                <w:szCs w:val="14"/>
              </w:rPr>
              <w:t>3.158</w:t>
            </w:r>
          </w:p>
        </w:tc>
      </w:tr>
      <w:tr w:rsidR="003321FA" w:rsidRPr="003321FA" w14:paraId="0E7EB849"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5D42CD4" w14:textId="77777777" w:rsidR="003321FA" w:rsidRPr="003321FA" w:rsidRDefault="003321FA">
            <w:pPr>
              <w:keepNext/>
              <w:keepLines/>
              <w:ind w:left="113"/>
              <w:rPr>
                <w:rFonts w:ascii="Arial" w:eastAsia="Times New Roman" w:hAnsi="Arial" w:cs="Arial"/>
                <w:b w:val="0"/>
                <w:bCs w:val="0"/>
                <w:spacing w:val="-2"/>
                <w:sz w:val="14"/>
                <w:szCs w:val="14"/>
              </w:rPr>
            </w:pPr>
            <w:r w:rsidRPr="003321FA">
              <w:rPr>
                <w:rFonts w:ascii="Arial" w:hAnsi="Arial" w:cs="Arial"/>
                <w:b w:val="0"/>
                <w:bCs w:val="0"/>
                <w:color w:val="000000"/>
                <w:sz w:val="14"/>
                <w:szCs w:val="14"/>
              </w:rPr>
              <w:t>Ativo fiscal diferido</w:t>
            </w:r>
          </w:p>
        </w:tc>
        <w:tc>
          <w:tcPr>
            <w:tcW w:w="3260" w:type="dxa"/>
            <w:tcBorders>
              <w:top w:val="nil"/>
              <w:left w:val="nil"/>
              <w:bottom w:val="nil"/>
              <w:right w:val="nil"/>
            </w:tcBorders>
            <w:shd w:val="clear" w:color="auto" w:fill="auto"/>
            <w:vAlign w:val="center"/>
          </w:tcPr>
          <w:p w14:paraId="77C888B8"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1.189</w:t>
            </w:r>
          </w:p>
        </w:tc>
        <w:tc>
          <w:tcPr>
            <w:tcW w:w="3260" w:type="dxa"/>
            <w:tcBorders>
              <w:top w:val="nil"/>
              <w:left w:val="nil"/>
              <w:bottom w:val="nil"/>
              <w:right w:val="nil"/>
            </w:tcBorders>
            <w:shd w:val="clear" w:color="auto" w:fill="auto"/>
            <w:vAlign w:val="center"/>
          </w:tcPr>
          <w:p w14:paraId="6331F487"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2.582</w:t>
            </w:r>
          </w:p>
        </w:tc>
      </w:tr>
      <w:tr w:rsidR="003321FA" w:rsidRPr="003321FA" w14:paraId="7A657240"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E7088CF" w14:textId="77777777" w:rsidR="003321FA" w:rsidRPr="003321FA" w:rsidRDefault="003321FA">
            <w:pPr>
              <w:keepNext/>
              <w:keepLines/>
              <w:ind w:left="113"/>
              <w:rPr>
                <w:rFonts w:ascii="Arial" w:eastAsia="Times New Roman" w:hAnsi="Arial" w:cs="Arial"/>
                <w:b w:val="0"/>
                <w:bCs w:val="0"/>
                <w:spacing w:val="-2"/>
                <w:sz w:val="14"/>
                <w:szCs w:val="14"/>
              </w:rPr>
            </w:pPr>
            <w:r w:rsidRPr="003321FA">
              <w:rPr>
                <w:rFonts w:ascii="Arial" w:hAnsi="Arial" w:cs="Arial"/>
                <w:b w:val="0"/>
                <w:bCs w:val="0"/>
                <w:color w:val="000000"/>
                <w:sz w:val="14"/>
                <w:szCs w:val="14"/>
              </w:rPr>
              <w:t>Imobilizado e intangível</w:t>
            </w:r>
          </w:p>
        </w:tc>
        <w:tc>
          <w:tcPr>
            <w:tcW w:w="3260" w:type="dxa"/>
            <w:tcBorders>
              <w:top w:val="nil"/>
              <w:left w:val="nil"/>
              <w:bottom w:val="nil"/>
              <w:right w:val="nil"/>
            </w:tcBorders>
            <w:shd w:val="clear" w:color="auto" w:fill="auto"/>
            <w:vAlign w:val="center"/>
          </w:tcPr>
          <w:p w14:paraId="2E3D4132"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46</w:t>
            </w:r>
          </w:p>
        </w:tc>
        <w:tc>
          <w:tcPr>
            <w:tcW w:w="3260" w:type="dxa"/>
            <w:tcBorders>
              <w:top w:val="nil"/>
              <w:left w:val="nil"/>
              <w:bottom w:val="nil"/>
              <w:right w:val="nil"/>
            </w:tcBorders>
            <w:shd w:val="clear" w:color="auto" w:fill="auto"/>
            <w:vAlign w:val="center"/>
          </w:tcPr>
          <w:p w14:paraId="7EFAE663"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306</w:t>
            </w:r>
          </w:p>
        </w:tc>
      </w:tr>
      <w:tr w:rsidR="003321FA" w:rsidRPr="003321FA" w14:paraId="4AF94644"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0DCFF0F" w14:textId="77777777" w:rsidR="003321FA" w:rsidRPr="003321FA" w:rsidRDefault="003321FA">
            <w:pPr>
              <w:keepNext/>
              <w:keepLines/>
              <w:ind w:left="113"/>
              <w:rPr>
                <w:rFonts w:ascii="Arial" w:eastAsia="Times New Roman" w:hAnsi="Arial" w:cs="Arial"/>
                <w:b w:val="0"/>
                <w:bCs w:val="0"/>
                <w:spacing w:val="-2"/>
                <w:sz w:val="14"/>
                <w:szCs w:val="14"/>
              </w:rPr>
            </w:pPr>
            <w:r w:rsidRPr="003321FA">
              <w:rPr>
                <w:rFonts w:ascii="Arial" w:hAnsi="Arial" w:cs="Arial"/>
                <w:b w:val="0"/>
                <w:bCs w:val="0"/>
                <w:color w:val="000000"/>
                <w:sz w:val="14"/>
                <w:szCs w:val="14"/>
              </w:rPr>
              <w:t>Outros Ativos</w:t>
            </w:r>
          </w:p>
        </w:tc>
        <w:tc>
          <w:tcPr>
            <w:tcW w:w="3260" w:type="dxa"/>
            <w:tcBorders>
              <w:top w:val="nil"/>
              <w:left w:val="nil"/>
              <w:bottom w:val="nil"/>
              <w:right w:val="nil"/>
            </w:tcBorders>
            <w:shd w:val="clear" w:color="auto" w:fill="auto"/>
            <w:vAlign w:val="center"/>
          </w:tcPr>
          <w:p w14:paraId="59319506"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w:t>
            </w:r>
          </w:p>
        </w:tc>
        <w:tc>
          <w:tcPr>
            <w:tcW w:w="3260" w:type="dxa"/>
            <w:tcBorders>
              <w:top w:val="nil"/>
              <w:left w:val="nil"/>
              <w:bottom w:val="nil"/>
              <w:right w:val="nil"/>
            </w:tcBorders>
            <w:shd w:val="clear" w:color="auto" w:fill="auto"/>
            <w:vAlign w:val="center"/>
          </w:tcPr>
          <w:p w14:paraId="5E2EF852"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270</w:t>
            </w:r>
          </w:p>
        </w:tc>
      </w:tr>
      <w:tr w:rsidR="003321FA" w:rsidRPr="003321FA" w14:paraId="26A33A8A"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8098ECB" w14:textId="77777777" w:rsidR="003321FA" w:rsidRPr="003321FA" w:rsidRDefault="003321FA">
            <w:pPr>
              <w:keepNext/>
              <w:keepLines/>
              <w:rPr>
                <w:rFonts w:ascii="Arial" w:eastAsia="Times New Roman" w:hAnsi="Arial" w:cs="Arial"/>
                <w:spacing w:val="-2"/>
                <w:sz w:val="14"/>
                <w:szCs w:val="14"/>
              </w:rPr>
            </w:pPr>
            <w:r w:rsidRPr="003321FA">
              <w:rPr>
                <w:rFonts w:ascii="Arial" w:hAnsi="Arial" w:cs="Arial"/>
                <w:color w:val="000000"/>
                <w:sz w:val="14"/>
                <w:szCs w:val="14"/>
              </w:rPr>
              <w:t>Ativo Total</w:t>
            </w:r>
          </w:p>
        </w:tc>
        <w:tc>
          <w:tcPr>
            <w:tcW w:w="3260" w:type="dxa"/>
            <w:tcBorders>
              <w:top w:val="nil"/>
              <w:left w:val="nil"/>
              <w:bottom w:val="nil"/>
              <w:right w:val="nil"/>
            </w:tcBorders>
            <w:shd w:val="clear" w:color="auto" w:fill="auto"/>
            <w:vAlign w:val="center"/>
          </w:tcPr>
          <w:p w14:paraId="01B7F7C3"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321FA">
              <w:rPr>
                <w:rFonts w:ascii="Arial" w:hAnsi="Arial" w:cs="Arial"/>
                <w:b/>
                <w:bCs/>
                <w:color w:val="000000"/>
                <w:sz w:val="14"/>
                <w:szCs w:val="14"/>
              </w:rPr>
              <w:t>38.527</w:t>
            </w:r>
          </w:p>
        </w:tc>
        <w:tc>
          <w:tcPr>
            <w:tcW w:w="3260" w:type="dxa"/>
            <w:tcBorders>
              <w:top w:val="nil"/>
              <w:left w:val="nil"/>
              <w:bottom w:val="nil"/>
              <w:right w:val="nil"/>
            </w:tcBorders>
            <w:shd w:val="clear" w:color="auto" w:fill="auto"/>
            <w:vAlign w:val="center"/>
          </w:tcPr>
          <w:p w14:paraId="09A8AA8B"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321FA">
              <w:rPr>
                <w:rFonts w:ascii="Arial" w:hAnsi="Arial" w:cs="Arial"/>
                <w:b/>
                <w:bCs/>
                <w:color w:val="000000"/>
                <w:sz w:val="14"/>
                <w:szCs w:val="14"/>
              </w:rPr>
              <w:t>38.866</w:t>
            </w:r>
          </w:p>
        </w:tc>
      </w:tr>
      <w:tr w:rsidR="003321FA" w:rsidRPr="003321FA" w14:paraId="4E7E755D"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F0998C3" w14:textId="77777777" w:rsidR="003321FA" w:rsidRPr="003321FA" w:rsidRDefault="003321FA">
            <w:pPr>
              <w:keepNext/>
              <w:keepLines/>
              <w:ind w:left="113"/>
              <w:rPr>
                <w:rFonts w:ascii="Arial" w:eastAsia="Times New Roman" w:hAnsi="Arial" w:cs="Arial"/>
                <w:b w:val="0"/>
                <w:bCs w:val="0"/>
                <w:spacing w:val="-2"/>
                <w:sz w:val="14"/>
                <w:szCs w:val="14"/>
              </w:rPr>
            </w:pPr>
          </w:p>
        </w:tc>
        <w:tc>
          <w:tcPr>
            <w:tcW w:w="3260" w:type="dxa"/>
            <w:tcBorders>
              <w:top w:val="nil"/>
              <w:left w:val="nil"/>
              <w:bottom w:val="nil"/>
              <w:right w:val="nil"/>
            </w:tcBorders>
            <w:shd w:val="clear" w:color="auto" w:fill="auto"/>
            <w:vAlign w:val="center"/>
          </w:tcPr>
          <w:p w14:paraId="0E365D3A"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3260" w:type="dxa"/>
            <w:tcBorders>
              <w:top w:val="nil"/>
              <w:left w:val="nil"/>
              <w:bottom w:val="nil"/>
              <w:right w:val="nil"/>
            </w:tcBorders>
            <w:shd w:val="clear" w:color="auto" w:fill="auto"/>
            <w:vAlign w:val="center"/>
          </w:tcPr>
          <w:p w14:paraId="56A336E9"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r>
      <w:tr w:rsidR="003321FA" w:rsidRPr="003321FA" w14:paraId="42F69AEB"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4696020" w14:textId="77777777" w:rsidR="003321FA" w:rsidRPr="003321FA" w:rsidRDefault="003321FA">
            <w:pPr>
              <w:keepNext/>
              <w:keepLines/>
              <w:rPr>
                <w:rFonts w:ascii="Arial" w:eastAsia="Times New Roman" w:hAnsi="Arial" w:cs="Arial"/>
                <w:spacing w:val="-2"/>
                <w:sz w:val="14"/>
                <w:szCs w:val="14"/>
              </w:rPr>
            </w:pPr>
            <w:r w:rsidRPr="003321FA">
              <w:rPr>
                <w:rFonts w:ascii="Arial" w:hAnsi="Arial" w:cs="Arial"/>
                <w:color w:val="000000"/>
                <w:sz w:val="14"/>
                <w:szCs w:val="14"/>
              </w:rPr>
              <w:t>Passivo Circulante</w:t>
            </w:r>
          </w:p>
        </w:tc>
        <w:tc>
          <w:tcPr>
            <w:tcW w:w="3260" w:type="dxa"/>
            <w:tcBorders>
              <w:top w:val="nil"/>
              <w:left w:val="nil"/>
              <w:bottom w:val="nil"/>
              <w:right w:val="nil"/>
            </w:tcBorders>
            <w:shd w:val="clear" w:color="auto" w:fill="auto"/>
            <w:vAlign w:val="center"/>
          </w:tcPr>
          <w:p w14:paraId="3999A8AE"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321FA">
              <w:rPr>
                <w:rFonts w:ascii="Arial" w:hAnsi="Arial" w:cs="Arial"/>
                <w:b/>
                <w:bCs/>
                <w:color w:val="000000"/>
                <w:sz w:val="14"/>
                <w:szCs w:val="14"/>
              </w:rPr>
              <w:t>20.049</w:t>
            </w:r>
          </w:p>
        </w:tc>
        <w:tc>
          <w:tcPr>
            <w:tcW w:w="3260" w:type="dxa"/>
            <w:tcBorders>
              <w:top w:val="nil"/>
              <w:left w:val="nil"/>
              <w:bottom w:val="nil"/>
              <w:right w:val="nil"/>
            </w:tcBorders>
            <w:shd w:val="clear" w:color="auto" w:fill="auto"/>
            <w:vAlign w:val="center"/>
          </w:tcPr>
          <w:p w14:paraId="56E8FB1E"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321FA">
              <w:rPr>
                <w:rFonts w:ascii="Arial" w:hAnsi="Arial" w:cs="Arial"/>
                <w:b/>
                <w:bCs/>
                <w:color w:val="000000"/>
                <w:sz w:val="14"/>
                <w:szCs w:val="14"/>
              </w:rPr>
              <w:t>18.556</w:t>
            </w:r>
          </w:p>
        </w:tc>
      </w:tr>
      <w:tr w:rsidR="003321FA" w:rsidRPr="003321FA" w14:paraId="2B2D8977"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9A20E3A" w14:textId="77777777" w:rsidR="003321FA" w:rsidRPr="003321FA" w:rsidRDefault="003321FA">
            <w:pPr>
              <w:keepNext/>
              <w:keepLines/>
              <w:ind w:left="113"/>
              <w:rPr>
                <w:rFonts w:ascii="Arial" w:eastAsia="Times New Roman" w:hAnsi="Arial" w:cs="Arial"/>
                <w:b w:val="0"/>
                <w:bCs w:val="0"/>
                <w:spacing w:val="-2"/>
                <w:sz w:val="14"/>
                <w:szCs w:val="14"/>
              </w:rPr>
            </w:pPr>
            <w:r w:rsidRPr="003321FA">
              <w:rPr>
                <w:rFonts w:ascii="Arial" w:hAnsi="Arial" w:cs="Arial"/>
                <w:b w:val="0"/>
                <w:bCs w:val="0"/>
                <w:color w:val="000000"/>
                <w:sz w:val="14"/>
                <w:szCs w:val="14"/>
              </w:rPr>
              <w:t>Contas a pagar</w:t>
            </w:r>
          </w:p>
        </w:tc>
        <w:tc>
          <w:tcPr>
            <w:tcW w:w="3260" w:type="dxa"/>
            <w:tcBorders>
              <w:top w:val="nil"/>
              <w:left w:val="nil"/>
              <w:bottom w:val="nil"/>
              <w:right w:val="nil"/>
            </w:tcBorders>
            <w:shd w:val="clear" w:color="auto" w:fill="auto"/>
            <w:vAlign w:val="center"/>
          </w:tcPr>
          <w:p w14:paraId="29088D48"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11.786</w:t>
            </w:r>
          </w:p>
        </w:tc>
        <w:tc>
          <w:tcPr>
            <w:tcW w:w="3260" w:type="dxa"/>
            <w:tcBorders>
              <w:top w:val="nil"/>
              <w:left w:val="nil"/>
              <w:bottom w:val="nil"/>
              <w:right w:val="nil"/>
            </w:tcBorders>
            <w:shd w:val="clear" w:color="auto" w:fill="auto"/>
            <w:vAlign w:val="center"/>
          </w:tcPr>
          <w:p w14:paraId="4820BE33"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4.512</w:t>
            </w:r>
          </w:p>
        </w:tc>
      </w:tr>
      <w:tr w:rsidR="003321FA" w:rsidRPr="003321FA" w14:paraId="7E386687"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CFF5308" w14:textId="77777777" w:rsidR="003321FA" w:rsidRPr="003321FA" w:rsidRDefault="003321FA">
            <w:pPr>
              <w:keepNext/>
              <w:keepLines/>
              <w:ind w:left="113"/>
              <w:rPr>
                <w:rFonts w:ascii="Arial" w:eastAsia="Times New Roman" w:hAnsi="Arial" w:cs="Arial"/>
                <w:b w:val="0"/>
                <w:bCs w:val="0"/>
                <w:spacing w:val="-2"/>
                <w:sz w:val="14"/>
                <w:szCs w:val="14"/>
              </w:rPr>
            </w:pPr>
            <w:r w:rsidRPr="003321FA">
              <w:rPr>
                <w:rFonts w:ascii="Arial" w:hAnsi="Arial" w:cs="Arial"/>
                <w:b w:val="0"/>
                <w:bCs w:val="0"/>
                <w:color w:val="000000"/>
                <w:sz w:val="14"/>
                <w:szCs w:val="14"/>
              </w:rPr>
              <w:t>Passivo fiscal corrente</w:t>
            </w:r>
          </w:p>
        </w:tc>
        <w:tc>
          <w:tcPr>
            <w:tcW w:w="3260" w:type="dxa"/>
            <w:tcBorders>
              <w:top w:val="nil"/>
              <w:left w:val="nil"/>
              <w:bottom w:val="nil"/>
              <w:right w:val="nil"/>
            </w:tcBorders>
            <w:shd w:val="clear" w:color="auto" w:fill="auto"/>
            <w:vAlign w:val="center"/>
          </w:tcPr>
          <w:p w14:paraId="3A21013F"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1.135</w:t>
            </w:r>
          </w:p>
        </w:tc>
        <w:tc>
          <w:tcPr>
            <w:tcW w:w="3260" w:type="dxa"/>
            <w:tcBorders>
              <w:top w:val="nil"/>
              <w:left w:val="nil"/>
              <w:bottom w:val="nil"/>
              <w:right w:val="nil"/>
            </w:tcBorders>
            <w:shd w:val="clear" w:color="auto" w:fill="auto"/>
            <w:vAlign w:val="center"/>
          </w:tcPr>
          <w:p w14:paraId="1F398F3A"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1.250</w:t>
            </w:r>
          </w:p>
        </w:tc>
      </w:tr>
      <w:tr w:rsidR="003321FA" w:rsidRPr="003321FA" w14:paraId="39423193"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4C24DAA" w14:textId="77777777" w:rsidR="003321FA" w:rsidRPr="003321FA" w:rsidRDefault="003321FA">
            <w:pPr>
              <w:keepNext/>
              <w:keepLines/>
              <w:ind w:left="113"/>
              <w:rPr>
                <w:rFonts w:ascii="Arial" w:eastAsia="Times New Roman" w:hAnsi="Arial" w:cs="Arial"/>
                <w:b w:val="0"/>
                <w:bCs w:val="0"/>
                <w:spacing w:val="-2"/>
                <w:sz w:val="14"/>
                <w:szCs w:val="14"/>
              </w:rPr>
            </w:pPr>
            <w:r w:rsidRPr="003321FA">
              <w:rPr>
                <w:rFonts w:ascii="Arial" w:hAnsi="Arial" w:cs="Arial"/>
                <w:b w:val="0"/>
                <w:bCs w:val="0"/>
                <w:color w:val="000000"/>
                <w:sz w:val="14"/>
                <w:szCs w:val="14"/>
              </w:rPr>
              <w:t>Débito das operações de seguros</w:t>
            </w:r>
          </w:p>
        </w:tc>
        <w:tc>
          <w:tcPr>
            <w:tcW w:w="3260" w:type="dxa"/>
            <w:tcBorders>
              <w:top w:val="nil"/>
              <w:left w:val="nil"/>
              <w:bottom w:val="nil"/>
              <w:right w:val="nil"/>
            </w:tcBorders>
            <w:shd w:val="clear" w:color="auto" w:fill="auto"/>
            <w:vAlign w:val="center"/>
          </w:tcPr>
          <w:p w14:paraId="3D2A6014"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1.051</w:t>
            </w:r>
          </w:p>
        </w:tc>
        <w:tc>
          <w:tcPr>
            <w:tcW w:w="3260" w:type="dxa"/>
            <w:tcBorders>
              <w:top w:val="nil"/>
              <w:left w:val="nil"/>
              <w:bottom w:val="nil"/>
              <w:right w:val="nil"/>
            </w:tcBorders>
            <w:shd w:val="clear" w:color="auto" w:fill="auto"/>
            <w:vAlign w:val="center"/>
          </w:tcPr>
          <w:p w14:paraId="1DB4B9A2"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151</w:t>
            </w:r>
          </w:p>
        </w:tc>
      </w:tr>
      <w:tr w:rsidR="003321FA" w:rsidRPr="003321FA" w14:paraId="3BC0FB59"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B74B74F" w14:textId="77777777" w:rsidR="003321FA" w:rsidRPr="003321FA" w:rsidRDefault="003321FA">
            <w:pPr>
              <w:keepNext/>
              <w:keepLines/>
              <w:ind w:left="113"/>
              <w:rPr>
                <w:rFonts w:ascii="Arial" w:eastAsia="Times New Roman" w:hAnsi="Arial" w:cs="Arial"/>
                <w:b w:val="0"/>
                <w:bCs w:val="0"/>
                <w:spacing w:val="-2"/>
                <w:sz w:val="14"/>
                <w:szCs w:val="14"/>
              </w:rPr>
            </w:pPr>
            <w:r w:rsidRPr="003321FA">
              <w:rPr>
                <w:rFonts w:ascii="Arial" w:hAnsi="Arial" w:cs="Arial"/>
                <w:b w:val="0"/>
                <w:bCs w:val="0"/>
                <w:color w:val="000000"/>
                <w:sz w:val="14"/>
                <w:szCs w:val="14"/>
              </w:rPr>
              <w:t>Contrato de Seguros e Resseguros</w:t>
            </w:r>
          </w:p>
        </w:tc>
        <w:tc>
          <w:tcPr>
            <w:tcW w:w="3260" w:type="dxa"/>
            <w:tcBorders>
              <w:top w:val="nil"/>
              <w:left w:val="nil"/>
              <w:bottom w:val="nil"/>
              <w:right w:val="nil"/>
            </w:tcBorders>
            <w:shd w:val="clear" w:color="auto" w:fill="auto"/>
            <w:vAlign w:val="center"/>
          </w:tcPr>
          <w:p w14:paraId="07A9228D"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6.077</w:t>
            </w:r>
          </w:p>
        </w:tc>
        <w:tc>
          <w:tcPr>
            <w:tcW w:w="3260" w:type="dxa"/>
            <w:tcBorders>
              <w:top w:val="nil"/>
              <w:left w:val="nil"/>
              <w:bottom w:val="nil"/>
              <w:right w:val="nil"/>
            </w:tcBorders>
            <w:shd w:val="clear" w:color="auto" w:fill="auto"/>
            <w:vAlign w:val="center"/>
          </w:tcPr>
          <w:p w14:paraId="7E9F2E52"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12.610</w:t>
            </w:r>
          </w:p>
        </w:tc>
      </w:tr>
      <w:tr w:rsidR="003321FA" w:rsidRPr="003321FA" w14:paraId="46FCA677"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5774D09" w14:textId="77777777" w:rsidR="003321FA" w:rsidRPr="003321FA" w:rsidRDefault="003321FA">
            <w:pPr>
              <w:keepNext/>
              <w:keepLines/>
              <w:ind w:left="113"/>
              <w:rPr>
                <w:rFonts w:ascii="Arial" w:eastAsia="Times New Roman" w:hAnsi="Arial" w:cs="Arial"/>
                <w:b w:val="0"/>
                <w:bCs w:val="0"/>
                <w:spacing w:val="-2"/>
                <w:sz w:val="14"/>
                <w:szCs w:val="14"/>
              </w:rPr>
            </w:pPr>
            <w:r w:rsidRPr="003321FA">
              <w:rPr>
                <w:rFonts w:ascii="Arial" w:hAnsi="Arial" w:cs="Arial"/>
                <w:b w:val="0"/>
                <w:bCs w:val="0"/>
                <w:color w:val="000000"/>
                <w:sz w:val="14"/>
                <w:szCs w:val="14"/>
              </w:rPr>
              <w:t>Outros Passivos</w:t>
            </w:r>
          </w:p>
        </w:tc>
        <w:tc>
          <w:tcPr>
            <w:tcW w:w="3260" w:type="dxa"/>
            <w:tcBorders>
              <w:top w:val="nil"/>
              <w:left w:val="nil"/>
              <w:bottom w:val="nil"/>
              <w:right w:val="nil"/>
            </w:tcBorders>
            <w:shd w:val="clear" w:color="auto" w:fill="auto"/>
            <w:vAlign w:val="center"/>
          </w:tcPr>
          <w:p w14:paraId="7CD34BF3"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w:t>
            </w:r>
          </w:p>
        </w:tc>
        <w:tc>
          <w:tcPr>
            <w:tcW w:w="3260" w:type="dxa"/>
            <w:tcBorders>
              <w:top w:val="nil"/>
              <w:left w:val="nil"/>
              <w:bottom w:val="nil"/>
              <w:right w:val="nil"/>
            </w:tcBorders>
            <w:shd w:val="clear" w:color="auto" w:fill="auto"/>
            <w:vAlign w:val="center"/>
          </w:tcPr>
          <w:p w14:paraId="5115A8E1"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33</w:t>
            </w:r>
          </w:p>
        </w:tc>
      </w:tr>
      <w:tr w:rsidR="003321FA" w:rsidRPr="003321FA" w14:paraId="06E8EFFF"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58AFE31" w14:textId="77777777" w:rsidR="003321FA" w:rsidRPr="003321FA" w:rsidRDefault="003321FA">
            <w:pPr>
              <w:keepNext/>
              <w:keepLines/>
              <w:rPr>
                <w:rFonts w:ascii="Arial" w:eastAsia="Times New Roman" w:hAnsi="Arial" w:cs="Arial"/>
                <w:spacing w:val="-2"/>
                <w:sz w:val="14"/>
                <w:szCs w:val="14"/>
              </w:rPr>
            </w:pPr>
            <w:r w:rsidRPr="003321FA">
              <w:rPr>
                <w:rFonts w:ascii="Arial" w:hAnsi="Arial" w:cs="Arial"/>
                <w:color w:val="000000"/>
                <w:sz w:val="14"/>
                <w:szCs w:val="14"/>
              </w:rPr>
              <w:t>Passivo Não Circulante</w:t>
            </w:r>
          </w:p>
        </w:tc>
        <w:tc>
          <w:tcPr>
            <w:tcW w:w="3260" w:type="dxa"/>
            <w:tcBorders>
              <w:top w:val="nil"/>
              <w:left w:val="nil"/>
              <w:bottom w:val="nil"/>
              <w:right w:val="nil"/>
            </w:tcBorders>
            <w:shd w:val="clear" w:color="auto" w:fill="auto"/>
            <w:vAlign w:val="center"/>
          </w:tcPr>
          <w:p w14:paraId="20468B46"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321FA">
              <w:rPr>
                <w:rFonts w:ascii="Arial" w:hAnsi="Arial" w:cs="Arial"/>
                <w:b/>
                <w:bCs/>
                <w:color w:val="000000"/>
                <w:sz w:val="14"/>
                <w:szCs w:val="14"/>
              </w:rPr>
              <w:t>1.221</w:t>
            </w:r>
          </w:p>
        </w:tc>
        <w:tc>
          <w:tcPr>
            <w:tcW w:w="3260" w:type="dxa"/>
            <w:tcBorders>
              <w:top w:val="nil"/>
              <w:left w:val="nil"/>
              <w:bottom w:val="nil"/>
              <w:right w:val="nil"/>
            </w:tcBorders>
            <w:shd w:val="clear" w:color="auto" w:fill="auto"/>
            <w:vAlign w:val="center"/>
          </w:tcPr>
          <w:p w14:paraId="4D59BE5E"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321FA">
              <w:rPr>
                <w:rFonts w:ascii="Arial" w:hAnsi="Arial" w:cs="Arial"/>
                <w:b/>
                <w:bCs/>
                <w:color w:val="000000"/>
                <w:sz w:val="14"/>
                <w:szCs w:val="14"/>
              </w:rPr>
              <w:t>305</w:t>
            </w:r>
          </w:p>
        </w:tc>
      </w:tr>
      <w:tr w:rsidR="003321FA" w:rsidRPr="003321FA" w14:paraId="635A9FBA"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14BC6EE" w14:textId="77777777" w:rsidR="003321FA" w:rsidRPr="003321FA" w:rsidRDefault="003321FA">
            <w:pPr>
              <w:keepNext/>
              <w:keepLines/>
              <w:ind w:left="113"/>
              <w:rPr>
                <w:rFonts w:ascii="Arial" w:hAnsi="Arial" w:cs="Arial"/>
                <w:b w:val="0"/>
                <w:bCs w:val="0"/>
                <w:color w:val="000000"/>
                <w:sz w:val="14"/>
                <w:szCs w:val="14"/>
              </w:rPr>
            </w:pPr>
            <w:r w:rsidRPr="003321FA">
              <w:rPr>
                <w:rFonts w:ascii="Arial" w:hAnsi="Arial" w:cs="Arial"/>
                <w:b w:val="0"/>
                <w:bCs w:val="0"/>
                <w:color w:val="000000"/>
                <w:sz w:val="14"/>
                <w:szCs w:val="14"/>
              </w:rPr>
              <w:t>Passivo fiscal diferido</w:t>
            </w:r>
          </w:p>
        </w:tc>
        <w:tc>
          <w:tcPr>
            <w:tcW w:w="3260" w:type="dxa"/>
            <w:tcBorders>
              <w:top w:val="nil"/>
              <w:left w:val="nil"/>
              <w:bottom w:val="nil"/>
              <w:right w:val="nil"/>
            </w:tcBorders>
            <w:shd w:val="clear" w:color="auto" w:fill="auto"/>
            <w:vAlign w:val="center"/>
          </w:tcPr>
          <w:p w14:paraId="431B6244"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845</w:t>
            </w:r>
          </w:p>
        </w:tc>
        <w:tc>
          <w:tcPr>
            <w:tcW w:w="3260" w:type="dxa"/>
            <w:tcBorders>
              <w:top w:val="nil"/>
              <w:left w:val="nil"/>
              <w:bottom w:val="nil"/>
              <w:right w:val="nil"/>
            </w:tcBorders>
            <w:shd w:val="clear" w:color="auto" w:fill="auto"/>
            <w:vAlign w:val="center"/>
          </w:tcPr>
          <w:p w14:paraId="0C95A153"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w:t>
            </w:r>
          </w:p>
        </w:tc>
      </w:tr>
      <w:tr w:rsidR="003321FA" w:rsidRPr="003321FA" w14:paraId="610820B6"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6AE93B7" w14:textId="77777777" w:rsidR="003321FA" w:rsidRPr="003321FA" w:rsidRDefault="003321FA">
            <w:pPr>
              <w:keepNext/>
              <w:keepLines/>
              <w:ind w:left="113"/>
              <w:rPr>
                <w:rFonts w:ascii="Arial" w:eastAsia="Times New Roman" w:hAnsi="Arial" w:cs="Arial"/>
                <w:b w:val="0"/>
                <w:bCs w:val="0"/>
                <w:spacing w:val="-2"/>
                <w:sz w:val="14"/>
                <w:szCs w:val="14"/>
              </w:rPr>
            </w:pPr>
            <w:r w:rsidRPr="003321FA">
              <w:rPr>
                <w:rFonts w:ascii="Arial" w:hAnsi="Arial" w:cs="Arial"/>
                <w:b w:val="0"/>
                <w:bCs w:val="0"/>
                <w:color w:val="000000"/>
                <w:sz w:val="14"/>
                <w:szCs w:val="14"/>
              </w:rPr>
              <w:t>Outros Passivos</w:t>
            </w:r>
          </w:p>
        </w:tc>
        <w:tc>
          <w:tcPr>
            <w:tcW w:w="3260" w:type="dxa"/>
            <w:tcBorders>
              <w:top w:val="nil"/>
              <w:left w:val="nil"/>
              <w:bottom w:val="nil"/>
              <w:right w:val="nil"/>
            </w:tcBorders>
            <w:shd w:val="clear" w:color="auto" w:fill="auto"/>
            <w:vAlign w:val="center"/>
          </w:tcPr>
          <w:p w14:paraId="12659199"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376</w:t>
            </w:r>
          </w:p>
        </w:tc>
        <w:tc>
          <w:tcPr>
            <w:tcW w:w="3260" w:type="dxa"/>
            <w:tcBorders>
              <w:top w:val="nil"/>
              <w:left w:val="nil"/>
              <w:bottom w:val="nil"/>
              <w:right w:val="nil"/>
            </w:tcBorders>
            <w:shd w:val="clear" w:color="auto" w:fill="auto"/>
            <w:vAlign w:val="center"/>
          </w:tcPr>
          <w:p w14:paraId="5D8F644F"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305</w:t>
            </w:r>
          </w:p>
        </w:tc>
      </w:tr>
      <w:tr w:rsidR="003321FA" w:rsidRPr="003321FA" w14:paraId="142FDC1B"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FDBC32E" w14:textId="77777777" w:rsidR="003321FA" w:rsidRPr="003321FA" w:rsidRDefault="003321FA">
            <w:pPr>
              <w:keepNext/>
              <w:keepLines/>
              <w:rPr>
                <w:rFonts w:ascii="Arial" w:eastAsia="Times New Roman" w:hAnsi="Arial" w:cs="Arial"/>
                <w:spacing w:val="-2"/>
                <w:sz w:val="14"/>
                <w:szCs w:val="14"/>
              </w:rPr>
            </w:pPr>
            <w:r w:rsidRPr="003321FA">
              <w:rPr>
                <w:rFonts w:ascii="Arial" w:hAnsi="Arial" w:cs="Arial"/>
                <w:color w:val="000000"/>
                <w:sz w:val="14"/>
                <w:szCs w:val="14"/>
              </w:rPr>
              <w:t>Patrimônio Líquido</w:t>
            </w:r>
          </w:p>
        </w:tc>
        <w:tc>
          <w:tcPr>
            <w:tcW w:w="3260" w:type="dxa"/>
            <w:tcBorders>
              <w:top w:val="nil"/>
              <w:left w:val="nil"/>
              <w:bottom w:val="nil"/>
              <w:right w:val="nil"/>
            </w:tcBorders>
            <w:shd w:val="clear" w:color="auto" w:fill="auto"/>
            <w:vAlign w:val="center"/>
          </w:tcPr>
          <w:p w14:paraId="7CDB861D"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321FA">
              <w:rPr>
                <w:rFonts w:ascii="Arial" w:hAnsi="Arial" w:cs="Arial"/>
                <w:b/>
                <w:bCs/>
                <w:color w:val="000000"/>
                <w:sz w:val="14"/>
                <w:szCs w:val="14"/>
              </w:rPr>
              <w:t>17.257</w:t>
            </w:r>
          </w:p>
        </w:tc>
        <w:tc>
          <w:tcPr>
            <w:tcW w:w="3260" w:type="dxa"/>
            <w:tcBorders>
              <w:top w:val="nil"/>
              <w:left w:val="nil"/>
              <w:bottom w:val="nil"/>
              <w:right w:val="nil"/>
            </w:tcBorders>
            <w:shd w:val="clear" w:color="auto" w:fill="auto"/>
            <w:vAlign w:val="center"/>
          </w:tcPr>
          <w:p w14:paraId="0CB4EE8A"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321FA">
              <w:rPr>
                <w:rFonts w:ascii="Arial" w:hAnsi="Arial" w:cs="Arial"/>
                <w:b/>
                <w:bCs/>
                <w:color w:val="000000"/>
                <w:sz w:val="14"/>
                <w:szCs w:val="14"/>
              </w:rPr>
              <w:t>20.005</w:t>
            </w:r>
          </w:p>
        </w:tc>
      </w:tr>
      <w:tr w:rsidR="003321FA" w:rsidRPr="003321FA" w14:paraId="4A559332"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B1BC596" w14:textId="77777777" w:rsidR="003321FA" w:rsidRPr="003321FA" w:rsidRDefault="003321FA">
            <w:pPr>
              <w:keepNext/>
              <w:keepLines/>
              <w:ind w:left="113"/>
              <w:rPr>
                <w:rFonts w:ascii="Arial" w:eastAsia="Times New Roman" w:hAnsi="Arial" w:cs="Arial"/>
                <w:b w:val="0"/>
                <w:bCs w:val="0"/>
                <w:spacing w:val="-2"/>
                <w:sz w:val="14"/>
                <w:szCs w:val="14"/>
              </w:rPr>
            </w:pPr>
            <w:r w:rsidRPr="003321FA">
              <w:rPr>
                <w:rFonts w:ascii="Arial" w:hAnsi="Arial" w:cs="Arial"/>
                <w:b w:val="0"/>
                <w:bCs w:val="0"/>
                <w:color w:val="000000"/>
                <w:sz w:val="14"/>
                <w:szCs w:val="14"/>
              </w:rPr>
              <w:t>Capital e reservas</w:t>
            </w:r>
          </w:p>
        </w:tc>
        <w:tc>
          <w:tcPr>
            <w:tcW w:w="3260" w:type="dxa"/>
            <w:tcBorders>
              <w:top w:val="nil"/>
              <w:left w:val="nil"/>
              <w:bottom w:val="nil"/>
              <w:right w:val="nil"/>
            </w:tcBorders>
            <w:shd w:val="clear" w:color="auto" w:fill="auto"/>
            <w:vAlign w:val="center"/>
          </w:tcPr>
          <w:p w14:paraId="4377D3CC"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12.932</w:t>
            </w:r>
          </w:p>
        </w:tc>
        <w:tc>
          <w:tcPr>
            <w:tcW w:w="3260" w:type="dxa"/>
            <w:tcBorders>
              <w:top w:val="nil"/>
              <w:left w:val="nil"/>
              <w:bottom w:val="nil"/>
              <w:right w:val="nil"/>
            </w:tcBorders>
            <w:shd w:val="clear" w:color="auto" w:fill="auto"/>
            <w:vAlign w:val="center"/>
          </w:tcPr>
          <w:p w14:paraId="67051DD0"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21.895</w:t>
            </w:r>
          </w:p>
        </w:tc>
      </w:tr>
      <w:tr w:rsidR="003321FA" w:rsidRPr="003321FA" w14:paraId="0D0ED968"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FFCCED0" w14:textId="77777777" w:rsidR="003321FA" w:rsidRPr="003321FA" w:rsidRDefault="003321FA">
            <w:pPr>
              <w:keepNext/>
              <w:keepLines/>
              <w:ind w:left="113"/>
              <w:rPr>
                <w:rFonts w:ascii="Arial" w:eastAsia="Times New Roman" w:hAnsi="Arial" w:cs="Arial"/>
                <w:b w:val="0"/>
                <w:bCs w:val="0"/>
                <w:spacing w:val="-2"/>
                <w:sz w:val="14"/>
                <w:szCs w:val="14"/>
              </w:rPr>
            </w:pPr>
            <w:r w:rsidRPr="003321FA">
              <w:rPr>
                <w:rFonts w:ascii="Arial" w:hAnsi="Arial" w:cs="Arial"/>
                <w:b w:val="0"/>
                <w:bCs w:val="0"/>
                <w:color w:val="000000"/>
                <w:sz w:val="14"/>
                <w:szCs w:val="14"/>
              </w:rPr>
              <w:t>Lucros acumulados</w:t>
            </w:r>
          </w:p>
        </w:tc>
        <w:tc>
          <w:tcPr>
            <w:tcW w:w="3260" w:type="dxa"/>
            <w:tcBorders>
              <w:top w:val="nil"/>
              <w:left w:val="nil"/>
              <w:bottom w:val="nil"/>
              <w:right w:val="nil"/>
            </w:tcBorders>
            <w:shd w:val="clear" w:color="auto" w:fill="auto"/>
            <w:vAlign w:val="center"/>
          </w:tcPr>
          <w:p w14:paraId="3096DFC0"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1.907</w:t>
            </w:r>
          </w:p>
        </w:tc>
        <w:tc>
          <w:tcPr>
            <w:tcW w:w="3260" w:type="dxa"/>
            <w:tcBorders>
              <w:top w:val="nil"/>
              <w:left w:val="nil"/>
              <w:bottom w:val="nil"/>
              <w:right w:val="nil"/>
            </w:tcBorders>
            <w:shd w:val="clear" w:color="auto" w:fill="auto"/>
            <w:vAlign w:val="center"/>
          </w:tcPr>
          <w:p w14:paraId="27128897"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(4.683)</w:t>
            </w:r>
          </w:p>
        </w:tc>
      </w:tr>
      <w:tr w:rsidR="003321FA" w:rsidRPr="003321FA" w14:paraId="7008AE43"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DB72860" w14:textId="77777777" w:rsidR="003321FA" w:rsidRPr="003321FA" w:rsidRDefault="003321FA">
            <w:pPr>
              <w:keepNext/>
              <w:keepLines/>
              <w:spacing w:before="40" w:after="40"/>
              <w:ind w:left="113"/>
              <w:rPr>
                <w:rFonts w:ascii="Arial" w:hAnsi="Arial" w:cs="Arial"/>
                <w:b w:val="0"/>
                <w:bCs w:val="0"/>
                <w:sz w:val="14"/>
                <w:szCs w:val="14"/>
              </w:rPr>
            </w:pPr>
            <w:r w:rsidRPr="003321FA">
              <w:rPr>
                <w:rFonts w:ascii="Arial" w:hAnsi="Arial" w:cs="Arial"/>
                <w:b w:val="0"/>
                <w:bCs w:val="0"/>
                <w:color w:val="000000"/>
                <w:sz w:val="14"/>
                <w:szCs w:val="14"/>
              </w:rPr>
              <w:t>Outros resultados abrangentes</w:t>
            </w:r>
          </w:p>
        </w:tc>
        <w:tc>
          <w:tcPr>
            <w:tcW w:w="3260" w:type="dxa"/>
            <w:tcBorders>
              <w:top w:val="nil"/>
              <w:left w:val="nil"/>
              <w:bottom w:val="nil"/>
              <w:right w:val="nil"/>
            </w:tcBorders>
            <w:shd w:val="clear" w:color="auto" w:fill="auto"/>
            <w:vAlign w:val="center"/>
          </w:tcPr>
          <w:p w14:paraId="4694AA30"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2.418</w:t>
            </w:r>
          </w:p>
        </w:tc>
        <w:tc>
          <w:tcPr>
            <w:tcW w:w="3260" w:type="dxa"/>
            <w:tcBorders>
              <w:top w:val="nil"/>
              <w:left w:val="nil"/>
              <w:bottom w:val="nil"/>
              <w:right w:val="nil"/>
            </w:tcBorders>
            <w:shd w:val="clear" w:color="auto" w:fill="auto"/>
            <w:vAlign w:val="center"/>
          </w:tcPr>
          <w:p w14:paraId="5051DFEF"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2.793</w:t>
            </w:r>
          </w:p>
        </w:tc>
      </w:tr>
      <w:tr w:rsidR="003321FA" w:rsidRPr="003321FA" w14:paraId="211D0B39"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8122366" w14:textId="77777777" w:rsidR="003321FA" w:rsidRPr="003321FA" w:rsidRDefault="003321FA">
            <w:pPr>
              <w:keepNext/>
              <w:keepLines/>
              <w:spacing w:before="40" w:after="40"/>
              <w:rPr>
                <w:rFonts w:ascii="Arial" w:hAnsi="Arial" w:cs="Arial"/>
                <w:sz w:val="14"/>
                <w:szCs w:val="14"/>
              </w:rPr>
            </w:pPr>
            <w:r w:rsidRPr="003321FA">
              <w:rPr>
                <w:rFonts w:ascii="Arial" w:hAnsi="Arial" w:cs="Arial"/>
                <w:color w:val="000000"/>
                <w:sz w:val="14"/>
                <w:szCs w:val="14"/>
              </w:rPr>
              <w:t>Passivo e Patrimônio Líquido</w:t>
            </w:r>
          </w:p>
        </w:tc>
        <w:tc>
          <w:tcPr>
            <w:tcW w:w="3260" w:type="dxa"/>
            <w:tcBorders>
              <w:top w:val="nil"/>
              <w:left w:val="nil"/>
              <w:bottom w:val="nil"/>
              <w:right w:val="nil"/>
            </w:tcBorders>
            <w:shd w:val="clear" w:color="auto" w:fill="auto"/>
            <w:vAlign w:val="center"/>
          </w:tcPr>
          <w:p w14:paraId="0AE4B8A1"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321FA">
              <w:rPr>
                <w:rFonts w:ascii="Arial" w:hAnsi="Arial" w:cs="Arial"/>
                <w:b/>
                <w:bCs/>
                <w:color w:val="000000"/>
                <w:sz w:val="14"/>
                <w:szCs w:val="14"/>
              </w:rPr>
              <w:t>38.527</w:t>
            </w:r>
          </w:p>
        </w:tc>
        <w:tc>
          <w:tcPr>
            <w:tcW w:w="3260" w:type="dxa"/>
            <w:tcBorders>
              <w:top w:val="nil"/>
              <w:left w:val="nil"/>
              <w:bottom w:val="nil"/>
              <w:right w:val="nil"/>
            </w:tcBorders>
            <w:shd w:val="clear" w:color="auto" w:fill="auto"/>
            <w:vAlign w:val="center"/>
          </w:tcPr>
          <w:p w14:paraId="038BB14A"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321FA">
              <w:rPr>
                <w:rFonts w:ascii="Arial" w:hAnsi="Arial" w:cs="Arial"/>
                <w:b/>
                <w:bCs/>
                <w:color w:val="000000"/>
                <w:sz w:val="14"/>
                <w:szCs w:val="14"/>
              </w:rPr>
              <w:t>38.866</w:t>
            </w:r>
          </w:p>
        </w:tc>
      </w:tr>
      <w:tr w:rsidR="003321FA" w:rsidRPr="003321FA" w14:paraId="6534FAE6"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2444B0B" w14:textId="77777777" w:rsidR="003321FA" w:rsidRPr="003321FA" w:rsidRDefault="003321FA">
            <w:pPr>
              <w:keepNext/>
              <w:keepLines/>
              <w:spacing w:before="40" w:after="40"/>
              <w:rPr>
                <w:rFonts w:ascii="Arial" w:hAnsi="Arial" w:cs="Arial"/>
                <w:color w:val="000000"/>
                <w:sz w:val="14"/>
                <w:szCs w:val="14"/>
              </w:rPr>
            </w:pPr>
            <w:r w:rsidRPr="003321FA">
              <w:rPr>
                <w:rFonts w:ascii="Arial" w:hAnsi="Arial" w:cs="Arial"/>
                <w:sz w:val="14"/>
                <w:szCs w:val="14"/>
              </w:rPr>
              <w:t>Atribuível à BB Seguridade</w:t>
            </w:r>
          </w:p>
        </w:tc>
        <w:tc>
          <w:tcPr>
            <w:tcW w:w="3260" w:type="dxa"/>
            <w:tcBorders>
              <w:top w:val="nil"/>
              <w:left w:val="nil"/>
              <w:bottom w:val="nil"/>
              <w:right w:val="nil"/>
            </w:tcBorders>
            <w:shd w:val="clear" w:color="auto" w:fill="auto"/>
            <w:vAlign w:val="center"/>
          </w:tcPr>
          <w:p w14:paraId="40FFCDD2"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321FA">
              <w:rPr>
                <w:rFonts w:ascii="Arial" w:hAnsi="Arial" w:cs="Arial"/>
                <w:b/>
                <w:bCs/>
                <w:color w:val="000000"/>
                <w:sz w:val="14"/>
                <w:szCs w:val="14"/>
              </w:rPr>
              <w:t xml:space="preserve">                12.943</w:t>
            </w:r>
          </w:p>
        </w:tc>
        <w:tc>
          <w:tcPr>
            <w:tcW w:w="3260" w:type="dxa"/>
            <w:tcBorders>
              <w:top w:val="nil"/>
              <w:left w:val="nil"/>
              <w:bottom w:val="nil"/>
              <w:right w:val="nil"/>
            </w:tcBorders>
            <w:shd w:val="clear" w:color="auto" w:fill="auto"/>
            <w:vAlign w:val="center"/>
          </w:tcPr>
          <w:p w14:paraId="3087CFA0"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321FA">
              <w:rPr>
                <w:rFonts w:ascii="Arial" w:hAnsi="Arial" w:cs="Arial"/>
                <w:b/>
                <w:bCs/>
                <w:color w:val="000000"/>
                <w:sz w:val="14"/>
                <w:szCs w:val="14"/>
              </w:rPr>
              <w:t>15.005</w:t>
            </w:r>
          </w:p>
        </w:tc>
      </w:tr>
      <w:tr w:rsidR="003321FA" w:rsidRPr="003321FA" w14:paraId="6DA4ECF0"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C8A3839" w14:textId="77777777" w:rsidR="003321FA" w:rsidRPr="003321FA" w:rsidRDefault="003321FA">
            <w:pPr>
              <w:keepNext/>
              <w:keepLines/>
              <w:spacing w:before="40" w:after="40"/>
              <w:ind w:left="113"/>
              <w:rPr>
                <w:rFonts w:ascii="Arial" w:hAnsi="Arial" w:cs="Arial"/>
                <w:b w:val="0"/>
                <w:bCs w:val="0"/>
                <w:color w:val="000000"/>
                <w:sz w:val="14"/>
                <w:szCs w:val="14"/>
              </w:rPr>
            </w:pPr>
            <w:r w:rsidRPr="003321FA">
              <w:rPr>
                <w:rFonts w:ascii="Arial" w:hAnsi="Arial" w:cs="Arial"/>
                <w:b w:val="0"/>
                <w:bCs w:val="0"/>
                <w:color w:val="000000"/>
                <w:sz w:val="14"/>
                <w:szCs w:val="14"/>
              </w:rPr>
              <w:t xml:space="preserve">Ajuste </w:t>
            </w:r>
            <w:r w:rsidRPr="003321FA">
              <w:rPr>
                <w:rFonts w:ascii="Arial" w:hAnsi="Arial" w:cs="Arial"/>
                <w:b w:val="0"/>
                <w:bCs w:val="0"/>
                <w:color w:val="000000"/>
                <w:sz w:val="14"/>
                <w:szCs w:val="14"/>
                <w:vertAlign w:val="superscript"/>
              </w:rPr>
              <w:t>(2)</w:t>
            </w:r>
          </w:p>
        </w:tc>
        <w:tc>
          <w:tcPr>
            <w:tcW w:w="3260" w:type="dxa"/>
            <w:tcBorders>
              <w:top w:val="nil"/>
              <w:left w:val="nil"/>
              <w:bottom w:val="nil"/>
              <w:right w:val="nil"/>
            </w:tcBorders>
            <w:shd w:val="clear" w:color="auto" w:fill="auto"/>
            <w:vAlign w:val="center"/>
          </w:tcPr>
          <w:p w14:paraId="1D9BC76A"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(1.350)</w:t>
            </w:r>
          </w:p>
        </w:tc>
        <w:tc>
          <w:tcPr>
            <w:tcW w:w="3260" w:type="dxa"/>
            <w:tcBorders>
              <w:top w:val="nil"/>
              <w:left w:val="nil"/>
              <w:bottom w:val="nil"/>
              <w:right w:val="nil"/>
            </w:tcBorders>
            <w:shd w:val="clear" w:color="auto" w:fill="auto"/>
            <w:vAlign w:val="center"/>
          </w:tcPr>
          <w:p w14:paraId="7C3DE5C7"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(3.750)</w:t>
            </w:r>
          </w:p>
        </w:tc>
      </w:tr>
      <w:tr w:rsidR="003321FA" w:rsidRPr="003321FA" w14:paraId="4998F27B"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single" w:sz="2" w:space="0" w:color="1F3864" w:themeColor="accent1" w:themeShade="80"/>
              <w:right w:val="nil"/>
            </w:tcBorders>
            <w:shd w:val="clear" w:color="auto" w:fill="auto"/>
            <w:vAlign w:val="center"/>
          </w:tcPr>
          <w:p w14:paraId="6B22B7E2" w14:textId="77777777" w:rsidR="003321FA" w:rsidRPr="003321FA" w:rsidRDefault="003321FA">
            <w:pPr>
              <w:keepNext/>
              <w:keepLines/>
              <w:spacing w:before="40" w:after="40"/>
              <w:rPr>
                <w:rFonts w:ascii="Arial" w:hAnsi="Arial" w:cs="Arial"/>
                <w:color w:val="000000"/>
                <w:sz w:val="14"/>
                <w:szCs w:val="14"/>
              </w:rPr>
            </w:pPr>
            <w:r w:rsidRPr="003321FA">
              <w:rPr>
                <w:rFonts w:ascii="Arial" w:hAnsi="Arial" w:cs="Arial"/>
                <w:sz w:val="14"/>
                <w:szCs w:val="14"/>
              </w:rPr>
              <w:t>Saldo do investimento</w:t>
            </w:r>
          </w:p>
        </w:tc>
        <w:tc>
          <w:tcPr>
            <w:tcW w:w="3260" w:type="dxa"/>
            <w:tcBorders>
              <w:top w:val="nil"/>
              <w:left w:val="nil"/>
              <w:bottom w:val="single" w:sz="2" w:space="0" w:color="1F3864" w:themeColor="accent1" w:themeShade="80"/>
              <w:right w:val="nil"/>
            </w:tcBorders>
            <w:shd w:val="clear" w:color="auto" w:fill="auto"/>
            <w:vAlign w:val="center"/>
          </w:tcPr>
          <w:p w14:paraId="2DF54D51"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321FA">
              <w:rPr>
                <w:rFonts w:ascii="Arial" w:hAnsi="Arial" w:cs="Arial"/>
                <w:b/>
                <w:bCs/>
                <w:color w:val="000000"/>
                <w:sz w:val="14"/>
                <w:szCs w:val="14"/>
              </w:rPr>
              <w:t>11.593</w:t>
            </w:r>
          </w:p>
        </w:tc>
        <w:tc>
          <w:tcPr>
            <w:tcW w:w="3260" w:type="dxa"/>
            <w:tcBorders>
              <w:top w:val="nil"/>
              <w:left w:val="nil"/>
              <w:bottom w:val="single" w:sz="2" w:space="0" w:color="1F3864" w:themeColor="accent1" w:themeShade="80"/>
              <w:right w:val="nil"/>
            </w:tcBorders>
            <w:shd w:val="clear" w:color="auto" w:fill="auto"/>
            <w:vAlign w:val="center"/>
          </w:tcPr>
          <w:p w14:paraId="36A3EBC7"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321FA">
              <w:rPr>
                <w:rFonts w:ascii="Arial" w:hAnsi="Arial" w:cs="Arial"/>
                <w:b/>
                <w:bCs/>
                <w:color w:val="000000"/>
                <w:sz w:val="14"/>
                <w:szCs w:val="14"/>
              </w:rPr>
              <w:t>11.255</w:t>
            </w:r>
          </w:p>
        </w:tc>
      </w:tr>
    </w:tbl>
    <w:p w14:paraId="0B9B3393" w14:textId="77777777" w:rsidR="003321FA" w:rsidRPr="003321FA" w:rsidRDefault="003321FA" w:rsidP="002C3B56">
      <w:pPr>
        <w:pStyle w:val="PargrafodaLista"/>
        <w:keepNext/>
        <w:keepLines/>
        <w:numPr>
          <w:ilvl w:val="0"/>
          <w:numId w:val="42"/>
        </w:numPr>
        <w:spacing w:after="0" w:line="23" w:lineRule="atLeast"/>
        <w:ind w:left="284" w:hanging="284"/>
        <w:rPr>
          <w:rFonts w:ascii="Arial" w:eastAsia="Times New Roman" w:hAnsi="Arial" w:cs="Arial"/>
          <w:spacing w:val="-2"/>
          <w:sz w:val="14"/>
          <w:szCs w:val="16"/>
          <w:lang w:eastAsia="zh-CN"/>
        </w:rPr>
      </w:pPr>
      <w:r w:rsidRPr="003321FA">
        <w:rPr>
          <w:rFonts w:ascii="Arial" w:eastAsia="Times New Roman" w:hAnsi="Arial" w:cs="Arial"/>
          <w:spacing w:val="-2"/>
          <w:sz w:val="14"/>
          <w:szCs w:val="16"/>
          <w:lang w:eastAsia="zh-CN"/>
        </w:rPr>
        <w:t>Informações contábeis com defasagem de um mês.</w:t>
      </w:r>
    </w:p>
    <w:p w14:paraId="5C164E8A" w14:textId="77777777" w:rsidR="003321FA" w:rsidRPr="003321FA" w:rsidRDefault="003321FA" w:rsidP="002C3B56">
      <w:pPr>
        <w:pStyle w:val="PargrafodaLista"/>
        <w:keepNext/>
        <w:keepLines/>
        <w:numPr>
          <w:ilvl w:val="0"/>
          <w:numId w:val="42"/>
        </w:numPr>
        <w:spacing w:after="60" w:line="23" w:lineRule="atLeast"/>
        <w:ind w:left="284" w:hanging="284"/>
        <w:jc w:val="both"/>
        <w:rPr>
          <w:rFonts w:ascii="Arial" w:eastAsia="Times New Roman" w:hAnsi="Arial" w:cs="Arial"/>
          <w:spacing w:val="-2"/>
          <w:sz w:val="14"/>
          <w:szCs w:val="16"/>
          <w:lang w:eastAsia="zh-CN"/>
        </w:rPr>
      </w:pPr>
      <w:r w:rsidRPr="003321FA">
        <w:rPr>
          <w:rFonts w:ascii="Arial" w:eastAsia="Times New Roman" w:hAnsi="Arial" w:cs="Arial"/>
          <w:spacing w:val="-2"/>
          <w:sz w:val="14"/>
          <w:szCs w:val="16"/>
          <w:lang w:eastAsia="zh-CN"/>
        </w:rPr>
        <w:t>Apesar da defasagem de um mês no reconhecimento contábil da equivalência patrimonial, estão refletidos nos saldos do investimento, R$ 3.750 mil em 31.12.2023 e R$ 1.350 mil em 31.12.2024, os dividendos recebidos em dezembro dos respectivos anos.</w:t>
      </w:r>
    </w:p>
    <w:p w14:paraId="5ECFF08D" w14:textId="77777777" w:rsidR="003321FA" w:rsidRPr="003321FA" w:rsidRDefault="003321FA" w:rsidP="003321FA">
      <w:pPr>
        <w:pStyle w:val="PargrafodaLista"/>
        <w:keepNext/>
        <w:keepLines/>
        <w:spacing w:after="0" w:line="23" w:lineRule="atLeast"/>
        <w:ind w:left="360"/>
        <w:rPr>
          <w:rFonts w:ascii="Arial" w:eastAsia="Times New Roman" w:hAnsi="Arial" w:cs="Arial"/>
          <w:spacing w:val="-2"/>
          <w:sz w:val="14"/>
          <w:szCs w:val="16"/>
          <w:lang w:eastAsia="zh-CN"/>
        </w:rPr>
      </w:pPr>
      <w:r w:rsidRPr="003321FA">
        <w:rPr>
          <w:rFonts w:ascii="Arial" w:eastAsia="Times New Roman" w:hAnsi="Arial" w:cs="Arial"/>
          <w:spacing w:val="-2"/>
          <w:sz w:val="14"/>
          <w:szCs w:val="16"/>
          <w:lang w:eastAsia="zh-CN"/>
        </w:rPr>
        <w:t xml:space="preserve"> </w:t>
      </w:r>
    </w:p>
    <w:p w14:paraId="6A4C4B0E" w14:textId="77777777" w:rsidR="003321FA" w:rsidRPr="003321FA" w:rsidRDefault="003321FA" w:rsidP="003321FA">
      <w:pPr>
        <w:pStyle w:val="05-Textonormal"/>
        <w:spacing w:line="240" w:lineRule="auto"/>
        <w:rPr>
          <w:rFonts w:cs="Arial"/>
        </w:rPr>
      </w:pPr>
    </w:p>
    <w:p w14:paraId="0BE83F44" w14:textId="77777777" w:rsidR="003321FA" w:rsidRPr="003321FA" w:rsidRDefault="003321FA" w:rsidP="003321FA">
      <w:pPr>
        <w:pStyle w:val="05-Textonormal"/>
        <w:spacing w:line="240" w:lineRule="auto"/>
        <w:rPr>
          <w:rFonts w:cs="Arial"/>
        </w:rPr>
      </w:pPr>
      <w:r w:rsidRPr="003321FA">
        <w:rPr>
          <w:rFonts w:cs="Arial"/>
        </w:rPr>
        <w:t>Os impactos do CPC 50 [IFRS 17], em 2024 e 2023, e do CPC 48 [IFRS 9], em 2023, no Patrimônio Líquido, para fins de comparabilidade, estão indicados no quadro a seguir:</w:t>
      </w:r>
    </w:p>
    <w:p w14:paraId="67CFCBBF" w14:textId="77777777" w:rsidR="003321FA" w:rsidRPr="003321FA" w:rsidRDefault="003321FA" w:rsidP="003321FA">
      <w:pPr>
        <w:spacing w:after="0" w:line="240" w:lineRule="auto"/>
        <w:jc w:val="right"/>
        <w:rPr>
          <w:rFonts w:ascii="Arial" w:hAnsi="Arial" w:cs="Arial"/>
          <w:b/>
          <w:sz w:val="14"/>
          <w:lang w:eastAsia="pt-BR"/>
        </w:rPr>
      </w:pPr>
      <w:r w:rsidRPr="003321FA">
        <w:rPr>
          <w:rFonts w:ascii="Arial" w:hAnsi="Arial" w:cs="Arial"/>
          <w:b/>
          <w:sz w:val="14"/>
          <w:lang w:eastAsia="pt-BR"/>
        </w:rPr>
        <w:t>R$ mil</w:t>
      </w:r>
    </w:p>
    <w:tbl>
      <w:tblPr>
        <w:tblStyle w:val="TabeladeLista6Colorida-nfase512"/>
        <w:tblW w:w="9639" w:type="dxa"/>
        <w:jc w:val="center"/>
        <w:tblLayout w:type="fixed"/>
        <w:tblLook w:val="04A0" w:firstRow="1" w:lastRow="0" w:firstColumn="1" w:lastColumn="0" w:noHBand="0" w:noVBand="1"/>
      </w:tblPr>
      <w:tblGrid>
        <w:gridCol w:w="5387"/>
        <w:gridCol w:w="2126"/>
        <w:gridCol w:w="2126"/>
      </w:tblGrid>
      <w:tr w:rsidR="003321FA" w:rsidRPr="003321FA" w14:paraId="5B2CBEC3"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9C8597F" w14:textId="77777777" w:rsidR="003321FA" w:rsidRPr="003321FA" w:rsidRDefault="003321FA">
            <w:pPr>
              <w:jc w:val="center"/>
              <w:rPr>
                <w:rFonts w:ascii="Arial" w:hAnsi="Arial" w:cs="Arial"/>
                <w:sz w:val="14"/>
                <w:szCs w:val="14"/>
              </w:rPr>
            </w:pPr>
          </w:p>
        </w:tc>
        <w:tc>
          <w:tcPr>
            <w:tcW w:w="21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61E2153" w14:textId="14489767" w:rsidR="003321FA" w:rsidRPr="003321FA" w:rsidRDefault="003321F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sz w:val="14"/>
                <w:szCs w:val="14"/>
              </w:rPr>
              <w:t>30.11.2024</w:t>
            </w:r>
            <w:r w:rsidR="00153D2C">
              <w:rPr>
                <w:rFonts w:ascii="Arial" w:hAnsi="Arial" w:cs="Arial"/>
                <w:sz w:val="14"/>
                <w:szCs w:val="14"/>
              </w:rPr>
              <w:t xml:space="preserve"> </w:t>
            </w:r>
            <w:r w:rsidR="00153D2C" w:rsidRPr="0093712B">
              <w:rPr>
                <w:rFonts w:ascii="Arial" w:hAnsi="Arial" w:cs="Arial"/>
                <w:sz w:val="14"/>
                <w:szCs w:val="14"/>
                <w:vertAlign w:val="superscript"/>
              </w:rPr>
              <w:t>(1)</w:t>
            </w:r>
          </w:p>
        </w:tc>
        <w:tc>
          <w:tcPr>
            <w:tcW w:w="21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CF12BDE" w14:textId="13768267" w:rsidR="003321FA" w:rsidRPr="003321FA" w:rsidRDefault="003321F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sz w:val="14"/>
                <w:szCs w:val="14"/>
              </w:rPr>
              <w:t>30.11.2023</w:t>
            </w:r>
            <w:r w:rsidR="00153D2C">
              <w:rPr>
                <w:rFonts w:ascii="Arial" w:hAnsi="Arial" w:cs="Arial"/>
                <w:sz w:val="14"/>
                <w:szCs w:val="14"/>
              </w:rPr>
              <w:t xml:space="preserve"> </w:t>
            </w:r>
            <w:r w:rsidR="00153D2C" w:rsidRPr="0093712B">
              <w:rPr>
                <w:rFonts w:ascii="Arial" w:hAnsi="Arial" w:cs="Arial"/>
                <w:sz w:val="14"/>
                <w:szCs w:val="14"/>
                <w:vertAlign w:val="superscript"/>
              </w:rPr>
              <w:t>(1)</w:t>
            </w:r>
          </w:p>
        </w:tc>
      </w:tr>
      <w:tr w:rsidR="003321FA" w:rsidRPr="003321FA" w14:paraId="26E69A06"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nil"/>
              <w:right w:val="nil"/>
            </w:tcBorders>
            <w:shd w:val="clear" w:color="auto" w:fill="auto"/>
            <w:vAlign w:val="center"/>
          </w:tcPr>
          <w:p w14:paraId="5E9F13E2" w14:textId="77777777" w:rsidR="003321FA" w:rsidRPr="003321FA" w:rsidRDefault="003321FA">
            <w:pPr>
              <w:keepNext/>
              <w:keepLines/>
              <w:rPr>
                <w:rFonts w:ascii="Arial" w:eastAsia="Times New Roman" w:hAnsi="Arial" w:cs="Arial"/>
                <w:b w:val="0"/>
                <w:bCs w:val="0"/>
                <w:spacing w:val="-2"/>
                <w:sz w:val="14"/>
                <w:szCs w:val="14"/>
              </w:rPr>
            </w:pPr>
            <w:r w:rsidRPr="003321FA">
              <w:rPr>
                <w:rFonts w:ascii="Arial" w:hAnsi="Arial" w:cs="Arial"/>
                <w:b w:val="0"/>
                <w:bCs w:val="0"/>
                <w:sz w:val="14"/>
                <w:szCs w:val="14"/>
              </w:rPr>
              <w:t xml:space="preserve">Patrimônio Líquido - BRGAAP e IFRS </w:t>
            </w:r>
          </w:p>
        </w:tc>
        <w:tc>
          <w:tcPr>
            <w:tcW w:w="2126" w:type="dxa"/>
            <w:tcBorders>
              <w:top w:val="single" w:sz="2" w:space="0" w:color="1F3864" w:themeColor="accent1" w:themeShade="80"/>
              <w:left w:val="nil"/>
              <w:bottom w:val="nil"/>
              <w:right w:val="nil"/>
            </w:tcBorders>
            <w:shd w:val="clear" w:color="auto" w:fill="auto"/>
            <w:vAlign w:val="center"/>
          </w:tcPr>
          <w:p w14:paraId="17CAA52A"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 xml:space="preserve">                              17.257 </w:t>
            </w:r>
          </w:p>
        </w:tc>
        <w:tc>
          <w:tcPr>
            <w:tcW w:w="2126" w:type="dxa"/>
            <w:tcBorders>
              <w:top w:val="single" w:sz="2" w:space="0" w:color="1F3864" w:themeColor="accent1" w:themeShade="80"/>
              <w:left w:val="nil"/>
              <w:bottom w:val="nil"/>
              <w:right w:val="nil"/>
            </w:tcBorders>
            <w:shd w:val="clear" w:color="auto" w:fill="auto"/>
            <w:vAlign w:val="center"/>
          </w:tcPr>
          <w:p w14:paraId="542EEA7D"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 xml:space="preserve">                              20.005 </w:t>
            </w:r>
          </w:p>
        </w:tc>
      </w:tr>
      <w:tr w:rsidR="003321FA" w:rsidRPr="003321FA" w14:paraId="26B56A58"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nil"/>
              <w:left w:val="nil"/>
              <w:bottom w:val="single" w:sz="2" w:space="0" w:color="1F3864" w:themeColor="accent1" w:themeShade="80"/>
              <w:right w:val="nil"/>
            </w:tcBorders>
            <w:shd w:val="clear" w:color="auto" w:fill="auto"/>
            <w:vAlign w:val="center"/>
          </w:tcPr>
          <w:p w14:paraId="77AF9F22" w14:textId="77777777" w:rsidR="003321FA" w:rsidRPr="003321FA" w:rsidRDefault="003321FA">
            <w:pPr>
              <w:keepNext/>
              <w:keepLines/>
              <w:spacing w:before="40" w:after="40"/>
              <w:rPr>
                <w:rFonts w:ascii="Arial" w:hAnsi="Arial" w:cs="Arial"/>
                <w:b w:val="0"/>
                <w:bCs w:val="0"/>
                <w:sz w:val="14"/>
                <w:szCs w:val="14"/>
              </w:rPr>
            </w:pPr>
            <w:r w:rsidRPr="003321FA">
              <w:rPr>
                <w:rFonts w:ascii="Arial" w:hAnsi="Arial" w:cs="Arial"/>
                <w:b w:val="0"/>
                <w:bCs w:val="0"/>
                <w:sz w:val="14"/>
                <w:szCs w:val="14"/>
              </w:rPr>
              <w:t>Patrimônio Líquido - ANSGAAP</w:t>
            </w:r>
          </w:p>
        </w:tc>
        <w:tc>
          <w:tcPr>
            <w:tcW w:w="2126" w:type="dxa"/>
            <w:tcBorders>
              <w:top w:val="nil"/>
              <w:left w:val="nil"/>
              <w:bottom w:val="single" w:sz="2" w:space="0" w:color="1F3864" w:themeColor="accent1" w:themeShade="80"/>
              <w:right w:val="nil"/>
            </w:tcBorders>
            <w:shd w:val="clear" w:color="auto" w:fill="auto"/>
            <w:vAlign w:val="center"/>
          </w:tcPr>
          <w:p w14:paraId="2778DC15"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color w:val="000000"/>
                <w:sz w:val="14"/>
                <w:szCs w:val="14"/>
              </w:rPr>
              <w:t xml:space="preserve">                              15.617 </w:t>
            </w:r>
          </w:p>
        </w:tc>
        <w:tc>
          <w:tcPr>
            <w:tcW w:w="2126" w:type="dxa"/>
            <w:tcBorders>
              <w:top w:val="nil"/>
              <w:left w:val="nil"/>
              <w:bottom w:val="single" w:sz="2" w:space="0" w:color="1F3864" w:themeColor="accent1" w:themeShade="80"/>
              <w:right w:val="nil"/>
            </w:tcBorders>
            <w:shd w:val="clear" w:color="auto" w:fill="auto"/>
            <w:vAlign w:val="center"/>
          </w:tcPr>
          <w:p w14:paraId="629FC780"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 xml:space="preserve">                              21.895 </w:t>
            </w:r>
          </w:p>
        </w:tc>
      </w:tr>
    </w:tbl>
    <w:p w14:paraId="4A51C1F5" w14:textId="77777777" w:rsidR="0093712B" w:rsidRDefault="0093712B" w:rsidP="0093712B">
      <w:pPr>
        <w:pStyle w:val="PargrafodaLista"/>
        <w:numPr>
          <w:ilvl w:val="0"/>
          <w:numId w:val="48"/>
        </w:numPr>
        <w:spacing w:after="0" w:line="240" w:lineRule="auto"/>
        <w:ind w:left="284" w:hanging="284"/>
        <w:rPr>
          <w:rFonts w:ascii="Arial" w:eastAsia="Times New Roman" w:hAnsi="Arial" w:cs="Times New Roman"/>
          <w:bCs/>
          <w:spacing w:val="-2"/>
          <w:sz w:val="14"/>
          <w:szCs w:val="16"/>
          <w:lang w:eastAsia="pt-BR"/>
        </w:rPr>
      </w:pPr>
      <w:r w:rsidRPr="0062252C">
        <w:rPr>
          <w:rFonts w:ascii="Arial" w:eastAsia="Times New Roman" w:hAnsi="Arial" w:cs="Times New Roman"/>
          <w:bCs/>
          <w:spacing w:val="-2"/>
          <w:sz w:val="14"/>
          <w:szCs w:val="16"/>
          <w:lang w:eastAsia="pt-BR"/>
        </w:rPr>
        <w:t>Informações contábeis com defasagem de um mês.</w:t>
      </w:r>
    </w:p>
    <w:p w14:paraId="18BD7A94" w14:textId="77777777" w:rsidR="003321FA" w:rsidRPr="003321FA" w:rsidRDefault="003321FA" w:rsidP="003321FA">
      <w:pPr>
        <w:keepNext/>
        <w:keepLines/>
        <w:pageBreakBefore/>
        <w:spacing w:before="120" w:after="120" w:line="240" w:lineRule="auto"/>
        <w:rPr>
          <w:rFonts w:ascii="Arial" w:eastAsia="Times New Roman" w:hAnsi="Arial" w:cs="Times New Roman"/>
          <w:b/>
          <w:color w:val="1F3864" w:themeColor="accent1" w:themeShade="80"/>
          <w:spacing w:val="-2"/>
          <w:sz w:val="18"/>
          <w:szCs w:val="20"/>
          <w:lang w:eastAsia="pt-BR"/>
        </w:rPr>
      </w:pPr>
      <w:r w:rsidRPr="003321FA">
        <w:rPr>
          <w:rFonts w:ascii="Arial" w:eastAsia="Times New Roman" w:hAnsi="Arial" w:cs="Times New Roman"/>
          <w:b/>
          <w:color w:val="1F3864" w:themeColor="accent1" w:themeShade="80"/>
          <w:spacing w:val="-2"/>
          <w:sz w:val="18"/>
          <w:szCs w:val="20"/>
          <w:lang w:eastAsia="pt-BR"/>
        </w:rPr>
        <w:lastRenderedPageBreak/>
        <w:t xml:space="preserve">c.4) </w:t>
      </w:r>
      <w:proofErr w:type="spellStart"/>
      <w:r w:rsidRPr="003321FA">
        <w:rPr>
          <w:rFonts w:ascii="Arial" w:eastAsia="Times New Roman" w:hAnsi="Arial" w:cs="Times New Roman"/>
          <w:b/>
          <w:color w:val="1F3864" w:themeColor="accent1" w:themeShade="80"/>
          <w:spacing w:val="-2"/>
          <w:sz w:val="18"/>
          <w:szCs w:val="20"/>
          <w:lang w:eastAsia="pt-BR"/>
        </w:rPr>
        <w:t>Brasilcap</w:t>
      </w:r>
      <w:proofErr w:type="spellEnd"/>
    </w:p>
    <w:p w14:paraId="3814339E" w14:textId="77777777" w:rsidR="003321FA" w:rsidRPr="003321FA" w:rsidRDefault="003321FA" w:rsidP="003321FA">
      <w:pPr>
        <w:spacing w:before="120" w:after="120" w:line="240" w:lineRule="auto"/>
        <w:rPr>
          <w:rFonts w:ascii="Arial" w:eastAsia="Times New Roman" w:hAnsi="Arial" w:cs="Arial"/>
          <w:spacing w:val="-2"/>
          <w:sz w:val="18"/>
          <w:szCs w:val="20"/>
          <w:lang w:eastAsia="zh-CN"/>
        </w:rPr>
      </w:pPr>
      <w:r w:rsidRPr="003321FA">
        <w:rPr>
          <w:rFonts w:ascii="Arial" w:eastAsia="Times New Roman" w:hAnsi="Arial" w:cs="Times New Roman"/>
          <w:b/>
          <w:color w:val="1F3864" w:themeColor="accent1" w:themeShade="80"/>
          <w:spacing w:val="-2"/>
          <w:sz w:val="18"/>
          <w:szCs w:val="20"/>
          <w:lang w:eastAsia="pt-BR"/>
        </w:rPr>
        <w:t>Informações de Resultado</w:t>
      </w:r>
    </w:p>
    <w:p w14:paraId="7A0D028C" w14:textId="77777777" w:rsidR="003321FA" w:rsidRPr="003321FA" w:rsidRDefault="003321FA" w:rsidP="003321FA">
      <w:pPr>
        <w:spacing w:after="0" w:line="240" w:lineRule="auto"/>
        <w:jc w:val="right"/>
        <w:rPr>
          <w:rFonts w:ascii="Arial" w:hAnsi="Arial" w:cs="Arial"/>
          <w:b/>
          <w:sz w:val="14"/>
          <w:lang w:eastAsia="pt-BR"/>
        </w:rPr>
      </w:pPr>
      <w:bookmarkStart w:id="79" w:name="_Hlk141875706"/>
      <w:r w:rsidRPr="003321FA">
        <w:rPr>
          <w:rFonts w:ascii="Arial" w:hAnsi="Arial" w:cs="Arial"/>
          <w:b/>
          <w:sz w:val="14"/>
          <w:lang w:eastAsia="pt-BR"/>
        </w:rPr>
        <w:t>R$ mil</w:t>
      </w:r>
    </w:p>
    <w:tbl>
      <w:tblPr>
        <w:tblStyle w:val="TabeladeLista6Colorida-nfase512"/>
        <w:tblW w:w="9639" w:type="dxa"/>
        <w:jc w:val="center"/>
        <w:tblLayout w:type="fixed"/>
        <w:tblLook w:val="04A0" w:firstRow="1" w:lastRow="0" w:firstColumn="1" w:lastColumn="0" w:noHBand="0" w:noVBand="1"/>
      </w:tblPr>
      <w:tblGrid>
        <w:gridCol w:w="3651"/>
        <w:gridCol w:w="1461"/>
        <w:gridCol w:w="1606"/>
        <w:gridCol w:w="1315"/>
        <w:gridCol w:w="1606"/>
      </w:tblGrid>
      <w:tr w:rsidR="003321FA" w:rsidRPr="003321FA" w14:paraId="1D85722B"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027A001" w14:textId="77777777" w:rsidR="003321FA" w:rsidRPr="003321FA" w:rsidRDefault="003321FA">
            <w:pPr>
              <w:rPr>
                <w:rFonts w:ascii="Arial" w:hAnsi="Arial" w:cs="Arial"/>
                <w:sz w:val="14"/>
                <w:szCs w:val="14"/>
              </w:rPr>
            </w:pPr>
          </w:p>
        </w:tc>
        <w:tc>
          <w:tcPr>
            <w:tcW w:w="1461"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B323CF9" w14:textId="77777777" w:rsidR="003321FA" w:rsidRPr="003321FA" w:rsidRDefault="003321F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60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15A0AE8" w14:textId="77777777" w:rsidR="003321FA" w:rsidRPr="003321FA" w:rsidRDefault="003321F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315"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6610FDD" w14:textId="77777777" w:rsidR="003321FA" w:rsidRPr="003321FA" w:rsidRDefault="003321FA">
            <w:pPr>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3321FA">
              <w:rPr>
                <w:rFonts w:ascii="Arial" w:hAnsi="Arial" w:cs="Arial"/>
                <w:bCs w:val="0"/>
                <w:sz w:val="14"/>
                <w:szCs w:val="14"/>
              </w:rPr>
              <w:t>Exercício 2024</w:t>
            </w:r>
          </w:p>
        </w:tc>
        <w:tc>
          <w:tcPr>
            <w:tcW w:w="160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4AA8A39" w14:textId="77777777" w:rsidR="003321FA" w:rsidRPr="003321FA" w:rsidRDefault="003321FA">
            <w:pPr>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3321FA">
              <w:rPr>
                <w:rFonts w:ascii="Arial" w:hAnsi="Arial" w:cs="Arial"/>
                <w:bCs w:val="0"/>
                <w:sz w:val="14"/>
                <w:szCs w:val="14"/>
              </w:rPr>
              <w:t>Exercício 2023</w:t>
            </w:r>
          </w:p>
        </w:tc>
      </w:tr>
      <w:tr w:rsidR="003321FA" w:rsidRPr="003321FA" w14:paraId="3BDEC1E8"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single" w:sz="2" w:space="0" w:color="1F3864" w:themeColor="accent1" w:themeShade="80"/>
              <w:left w:val="nil"/>
              <w:bottom w:val="nil"/>
              <w:right w:val="nil"/>
            </w:tcBorders>
            <w:shd w:val="clear" w:color="auto" w:fill="auto"/>
            <w:vAlign w:val="center"/>
          </w:tcPr>
          <w:p w14:paraId="23799DB6" w14:textId="77777777" w:rsidR="003321FA" w:rsidRPr="003321FA" w:rsidRDefault="003321FA">
            <w:pPr>
              <w:rPr>
                <w:rFonts w:ascii="Arial" w:hAnsi="Arial" w:cs="Arial"/>
                <w:sz w:val="14"/>
                <w:szCs w:val="14"/>
              </w:rPr>
            </w:pPr>
            <w:r w:rsidRPr="003321FA">
              <w:rPr>
                <w:rFonts w:ascii="Arial" w:hAnsi="Arial" w:cs="Arial"/>
                <w:sz w:val="14"/>
                <w:szCs w:val="14"/>
              </w:rPr>
              <w:t>Resultado líquido das operações de capitalização</w:t>
            </w:r>
          </w:p>
        </w:tc>
        <w:tc>
          <w:tcPr>
            <w:tcW w:w="1461" w:type="dxa"/>
            <w:tcBorders>
              <w:top w:val="single" w:sz="2" w:space="0" w:color="1F3864" w:themeColor="accent1" w:themeShade="80"/>
              <w:left w:val="nil"/>
              <w:bottom w:val="nil"/>
              <w:right w:val="nil"/>
            </w:tcBorders>
            <w:shd w:val="clear" w:color="auto" w:fill="auto"/>
            <w:vAlign w:val="center"/>
          </w:tcPr>
          <w:p w14:paraId="0BA40A8A"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606" w:type="dxa"/>
            <w:tcBorders>
              <w:top w:val="single" w:sz="2" w:space="0" w:color="1F3864" w:themeColor="accent1" w:themeShade="80"/>
              <w:left w:val="nil"/>
              <w:bottom w:val="nil"/>
              <w:right w:val="nil"/>
            </w:tcBorders>
            <w:shd w:val="clear" w:color="auto" w:fill="auto"/>
            <w:vAlign w:val="center"/>
          </w:tcPr>
          <w:p w14:paraId="2F35052F"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315" w:type="dxa"/>
            <w:tcBorders>
              <w:top w:val="single" w:sz="2" w:space="0" w:color="1F3864" w:themeColor="accent1" w:themeShade="80"/>
              <w:left w:val="nil"/>
              <w:bottom w:val="nil"/>
              <w:right w:val="nil"/>
            </w:tcBorders>
            <w:shd w:val="clear" w:color="auto" w:fill="auto"/>
            <w:vAlign w:val="center"/>
          </w:tcPr>
          <w:p w14:paraId="2014A6A1" w14:textId="41FE2B3B"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321FA">
              <w:rPr>
                <w:rFonts w:ascii="Arial" w:hAnsi="Arial" w:cs="Arial"/>
                <w:b/>
                <w:bCs/>
                <w:sz w:val="14"/>
                <w:szCs w:val="14"/>
              </w:rPr>
              <w:t xml:space="preserve">  (90.06</w:t>
            </w:r>
            <w:r w:rsidR="0009090F">
              <w:rPr>
                <w:rFonts w:ascii="Arial" w:hAnsi="Arial" w:cs="Arial"/>
                <w:b/>
                <w:bCs/>
                <w:sz w:val="14"/>
                <w:szCs w:val="14"/>
              </w:rPr>
              <w:t>6</w:t>
            </w:r>
            <w:r w:rsidRPr="003321FA">
              <w:rPr>
                <w:rFonts w:ascii="Arial" w:hAnsi="Arial" w:cs="Arial"/>
                <w:b/>
                <w:bCs/>
                <w:sz w:val="14"/>
                <w:szCs w:val="14"/>
              </w:rPr>
              <w:t>)</w:t>
            </w:r>
          </w:p>
        </w:tc>
        <w:tc>
          <w:tcPr>
            <w:tcW w:w="1606" w:type="dxa"/>
            <w:tcBorders>
              <w:top w:val="single" w:sz="2" w:space="0" w:color="1F3864" w:themeColor="accent1" w:themeShade="80"/>
              <w:left w:val="nil"/>
              <w:bottom w:val="nil"/>
              <w:right w:val="nil"/>
            </w:tcBorders>
            <w:shd w:val="clear" w:color="auto" w:fill="auto"/>
            <w:vAlign w:val="center"/>
          </w:tcPr>
          <w:p w14:paraId="53493E10"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321FA">
              <w:rPr>
                <w:rFonts w:ascii="Arial" w:hAnsi="Arial" w:cs="Arial"/>
                <w:b/>
                <w:sz w:val="14"/>
                <w:szCs w:val="14"/>
              </w:rPr>
              <w:t xml:space="preserve">  (66.807)</w:t>
            </w:r>
          </w:p>
        </w:tc>
      </w:tr>
      <w:tr w:rsidR="003321FA" w:rsidRPr="003321FA" w14:paraId="43E70A2F"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6BC1AFCE" w14:textId="77777777" w:rsidR="003321FA" w:rsidRPr="003321FA" w:rsidRDefault="003321FA">
            <w:pPr>
              <w:keepNext/>
              <w:keepLines/>
              <w:spacing w:before="40" w:after="40"/>
              <w:ind w:left="113"/>
              <w:rPr>
                <w:rFonts w:ascii="Arial" w:hAnsi="Arial" w:cs="Arial"/>
                <w:b w:val="0"/>
                <w:bCs w:val="0"/>
                <w:sz w:val="14"/>
                <w:szCs w:val="14"/>
              </w:rPr>
            </w:pPr>
            <w:r w:rsidRPr="003321FA">
              <w:rPr>
                <w:rFonts w:ascii="Arial" w:hAnsi="Arial" w:cs="Arial"/>
                <w:b w:val="0"/>
                <w:bCs w:val="0"/>
                <w:sz w:val="14"/>
                <w:szCs w:val="14"/>
              </w:rPr>
              <w:t xml:space="preserve">Receitas das operações </w:t>
            </w:r>
          </w:p>
        </w:tc>
        <w:tc>
          <w:tcPr>
            <w:tcW w:w="1461" w:type="dxa"/>
            <w:tcBorders>
              <w:top w:val="nil"/>
              <w:left w:val="nil"/>
              <w:bottom w:val="nil"/>
              <w:right w:val="nil"/>
            </w:tcBorders>
            <w:shd w:val="clear" w:color="auto" w:fill="auto"/>
            <w:vAlign w:val="center"/>
          </w:tcPr>
          <w:p w14:paraId="00825977"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606" w:type="dxa"/>
            <w:tcBorders>
              <w:top w:val="nil"/>
              <w:left w:val="nil"/>
              <w:bottom w:val="nil"/>
              <w:right w:val="nil"/>
            </w:tcBorders>
            <w:shd w:val="clear" w:color="auto" w:fill="auto"/>
            <w:vAlign w:val="center"/>
          </w:tcPr>
          <w:p w14:paraId="23AEE5CD"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315" w:type="dxa"/>
            <w:tcBorders>
              <w:top w:val="nil"/>
              <w:left w:val="nil"/>
              <w:bottom w:val="nil"/>
              <w:right w:val="nil"/>
            </w:tcBorders>
            <w:shd w:val="clear" w:color="auto" w:fill="auto"/>
            <w:vAlign w:val="center"/>
          </w:tcPr>
          <w:p w14:paraId="07B2AC77"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sz w:val="14"/>
                <w:szCs w:val="14"/>
              </w:rPr>
              <w:t xml:space="preserve">  6.716.787</w:t>
            </w:r>
          </w:p>
        </w:tc>
        <w:tc>
          <w:tcPr>
            <w:tcW w:w="1606" w:type="dxa"/>
            <w:tcBorders>
              <w:top w:val="nil"/>
              <w:left w:val="nil"/>
              <w:bottom w:val="nil"/>
              <w:right w:val="nil"/>
            </w:tcBorders>
            <w:shd w:val="clear" w:color="auto" w:fill="auto"/>
            <w:vAlign w:val="center"/>
          </w:tcPr>
          <w:p w14:paraId="6C8EF8AE"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bCs/>
                <w:sz w:val="14"/>
                <w:szCs w:val="14"/>
              </w:rPr>
              <w:t xml:space="preserve">  740.071 </w:t>
            </w:r>
          </w:p>
        </w:tc>
      </w:tr>
      <w:tr w:rsidR="003321FA" w:rsidRPr="003321FA" w14:paraId="107EA2A0"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117E7C94" w14:textId="77777777" w:rsidR="003321FA" w:rsidRPr="003321FA" w:rsidRDefault="003321FA">
            <w:pPr>
              <w:keepNext/>
              <w:keepLines/>
              <w:spacing w:before="40" w:after="40"/>
              <w:ind w:left="113"/>
              <w:rPr>
                <w:rFonts w:ascii="Arial" w:hAnsi="Arial" w:cs="Arial"/>
                <w:b w:val="0"/>
                <w:bCs w:val="0"/>
                <w:sz w:val="14"/>
                <w:szCs w:val="14"/>
              </w:rPr>
            </w:pPr>
            <w:r w:rsidRPr="003321FA">
              <w:rPr>
                <w:rFonts w:ascii="Arial" w:hAnsi="Arial" w:cs="Arial"/>
                <w:b w:val="0"/>
                <w:bCs w:val="0"/>
                <w:sz w:val="14"/>
                <w:szCs w:val="14"/>
              </w:rPr>
              <w:t xml:space="preserve">Custos e despesas das operações </w:t>
            </w:r>
          </w:p>
        </w:tc>
        <w:tc>
          <w:tcPr>
            <w:tcW w:w="1461" w:type="dxa"/>
            <w:tcBorders>
              <w:top w:val="nil"/>
              <w:left w:val="nil"/>
              <w:bottom w:val="nil"/>
              <w:right w:val="nil"/>
            </w:tcBorders>
            <w:shd w:val="clear" w:color="auto" w:fill="auto"/>
            <w:vAlign w:val="center"/>
          </w:tcPr>
          <w:p w14:paraId="3C7DE287"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06" w:type="dxa"/>
            <w:tcBorders>
              <w:top w:val="nil"/>
              <w:left w:val="nil"/>
              <w:bottom w:val="nil"/>
              <w:right w:val="nil"/>
            </w:tcBorders>
            <w:shd w:val="clear" w:color="auto" w:fill="auto"/>
            <w:vAlign w:val="center"/>
          </w:tcPr>
          <w:p w14:paraId="446827B0"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315" w:type="dxa"/>
            <w:tcBorders>
              <w:top w:val="nil"/>
              <w:left w:val="nil"/>
              <w:bottom w:val="nil"/>
              <w:right w:val="nil"/>
            </w:tcBorders>
            <w:shd w:val="clear" w:color="auto" w:fill="auto"/>
            <w:vAlign w:val="center"/>
          </w:tcPr>
          <w:p w14:paraId="6AC77230" w14:textId="49B216BE"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sz w:val="14"/>
                <w:szCs w:val="14"/>
              </w:rPr>
              <w:t xml:space="preserve">  (6.806.85</w:t>
            </w:r>
            <w:r w:rsidR="00112A68">
              <w:rPr>
                <w:rFonts w:ascii="Arial" w:hAnsi="Arial" w:cs="Arial"/>
                <w:sz w:val="14"/>
                <w:szCs w:val="14"/>
              </w:rPr>
              <w:t>3</w:t>
            </w:r>
            <w:r w:rsidRPr="003321FA">
              <w:rPr>
                <w:rFonts w:ascii="Arial" w:hAnsi="Arial" w:cs="Arial"/>
                <w:sz w:val="14"/>
                <w:szCs w:val="14"/>
              </w:rPr>
              <w:t>)</w:t>
            </w:r>
          </w:p>
        </w:tc>
        <w:tc>
          <w:tcPr>
            <w:tcW w:w="1606" w:type="dxa"/>
            <w:tcBorders>
              <w:top w:val="nil"/>
              <w:left w:val="nil"/>
              <w:bottom w:val="nil"/>
              <w:right w:val="nil"/>
            </w:tcBorders>
            <w:shd w:val="clear" w:color="auto" w:fill="auto"/>
            <w:vAlign w:val="center"/>
          </w:tcPr>
          <w:p w14:paraId="007480D2"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bCs/>
                <w:sz w:val="14"/>
                <w:szCs w:val="14"/>
              </w:rPr>
              <w:t xml:space="preserve">  (806.878)</w:t>
            </w:r>
          </w:p>
        </w:tc>
      </w:tr>
      <w:tr w:rsidR="003321FA" w:rsidRPr="003321FA" w14:paraId="33C8C6C9"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65319FA7" w14:textId="77777777" w:rsidR="003321FA" w:rsidRPr="003321FA" w:rsidRDefault="003321FA">
            <w:pPr>
              <w:keepNext/>
              <w:keepLines/>
              <w:spacing w:before="40" w:after="40"/>
              <w:rPr>
                <w:rFonts w:ascii="Arial" w:hAnsi="Arial" w:cs="Arial"/>
                <w:sz w:val="14"/>
                <w:szCs w:val="14"/>
              </w:rPr>
            </w:pPr>
            <w:r w:rsidRPr="003321FA">
              <w:rPr>
                <w:rFonts w:ascii="Arial" w:hAnsi="Arial" w:cs="Arial"/>
                <w:color w:val="000000"/>
                <w:sz w:val="14"/>
                <w:szCs w:val="14"/>
              </w:rPr>
              <w:t>Resultado financeiro</w:t>
            </w:r>
          </w:p>
        </w:tc>
        <w:tc>
          <w:tcPr>
            <w:tcW w:w="1461" w:type="dxa"/>
            <w:tcBorders>
              <w:top w:val="nil"/>
              <w:left w:val="nil"/>
              <w:bottom w:val="nil"/>
              <w:right w:val="nil"/>
            </w:tcBorders>
            <w:shd w:val="clear" w:color="auto" w:fill="auto"/>
            <w:vAlign w:val="center"/>
          </w:tcPr>
          <w:p w14:paraId="3BC6B29B"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606" w:type="dxa"/>
            <w:tcBorders>
              <w:top w:val="nil"/>
              <w:left w:val="nil"/>
              <w:bottom w:val="nil"/>
              <w:right w:val="nil"/>
            </w:tcBorders>
            <w:shd w:val="clear" w:color="auto" w:fill="auto"/>
            <w:vAlign w:val="center"/>
          </w:tcPr>
          <w:p w14:paraId="50BEB9E0"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315" w:type="dxa"/>
            <w:tcBorders>
              <w:top w:val="nil"/>
              <w:left w:val="nil"/>
              <w:bottom w:val="nil"/>
              <w:right w:val="nil"/>
            </w:tcBorders>
            <w:shd w:val="clear" w:color="auto" w:fill="auto"/>
            <w:vAlign w:val="center"/>
          </w:tcPr>
          <w:p w14:paraId="3FEDB0D9"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321FA">
              <w:rPr>
                <w:rFonts w:ascii="Arial" w:hAnsi="Arial" w:cs="Arial"/>
                <w:b/>
                <w:bCs/>
                <w:sz w:val="14"/>
                <w:szCs w:val="14"/>
              </w:rPr>
              <w:t xml:space="preserve">  465.615 </w:t>
            </w:r>
          </w:p>
        </w:tc>
        <w:tc>
          <w:tcPr>
            <w:tcW w:w="1606" w:type="dxa"/>
            <w:tcBorders>
              <w:top w:val="nil"/>
              <w:left w:val="nil"/>
              <w:bottom w:val="nil"/>
              <w:right w:val="nil"/>
            </w:tcBorders>
            <w:shd w:val="clear" w:color="auto" w:fill="auto"/>
            <w:vAlign w:val="center"/>
          </w:tcPr>
          <w:p w14:paraId="1CA652F2"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321FA">
              <w:rPr>
                <w:rFonts w:ascii="Arial" w:hAnsi="Arial" w:cs="Arial"/>
                <w:b/>
                <w:sz w:val="14"/>
                <w:szCs w:val="14"/>
              </w:rPr>
              <w:t xml:space="preserve">  442.554 </w:t>
            </w:r>
          </w:p>
        </w:tc>
      </w:tr>
      <w:tr w:rsidR="003321FA" w:rsidRPr="003321FA" w14:paraId="1E593622"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387EE1B0" w14:textId="77777777" w:rsidR="003321FA" w:rsidRPr="003321FA" w:rsidRDefault="003321FA">
            <w:pPr>
              <w:keepNext/>
              <w:keepLines/>
              <w:spacing w:before="40" w:after="40"/>
              <w:ind w:left="113"/>
              <w:rPr>
                <w:rFonts w:ascii="Arial" w:hAnsi="Arial" w:cs="Arial"/>
                <w:b w:val="0"/>
                <w:bCs w:val="0"/>
                <w:color w:val="000000"/>
                <w:sz w:val="14"/>
                <w:szCs w:val="14"/>
              </w:rPr>
            </w:pPr>
            <w:r w:rsidRPr="003321FA">
              <w:rPr>
                <w:rFonts w:ascii="Arial" w:hAnsi="Arial" w:cs="Arial"/>
                <w:b w:val="0"/>
                <w:bCs w:val="0"/>
                <w:sz w:val="14"/>
                <w:szCs w:val="14"/>
              </w:rPr>
              <w:t>Receitas de juros</w:t>
            </w:r>
          </w:p>
        </w:tc>
        <w:tc>
          <w:tcPr>
            <w:tcW w:w="1461" w:type="dxa"/>
            <w:tcBorders>
              <w:top w:val="nil"/>
              <w:left w:val="nil"/>
              <w:bottom w:val="nil"/>
              <w:right w:val="nil"/>
            </w:tcBorders>
            <w:shd w:val="clear" w:color="auto" w:fill="auto"/>
            <w:vAlign w:val="center"/>
          </w:tcPr>
          <w:p w14:paraId="76A50084"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06" w:type="dxa"/>
            <w:tcBorders>
              <w:top w:val="nil"/>
              <w:left w:val="nil"/>
              <w:bottom w:val="nil"/>
              <w:right w:val="nil"/>
            </w:tcBorders>
            <w:shd w:val="clear" w:color="auto" w:fill="auto"/>
            <w:vAlign w:val="center"/>
          </w:tcPr>
          <w:p w14:paraId="3311B127"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315" w:type="dxa"/>
            <w:tcBorders>
              <w:top w:val="nil"/>
              <w:left w:val="nil"/>
              <w:bottom w:val="nil"/>
              <w:right w:val="nil"/>
            </w:tcBorders>
            <w:shd w:val="clear" w:color="auto" w:fill="auto"/>
            <w:vAlign w:val="center"/>
          </w:tcPr>
          <w:p w14:paraId="48C5FFE8"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sz w:val="14"/>
                <w:szCs w:val="14"/>
              </w:rPr>
              <w:t xml:space="preserve">  1.175.254 </w:t>
            </w:r>
          </w:p>
        </w:tc>
        <w:tc>
          <w:tcPr>
            <w:tcW w:w="1606" w:type="dxa"/>
            <w:tcBorders>
              <w:top w:val="nil"/>
              <w:left w:val="nil"/>
              <w:bottom w:val="nil"/>
              <w:right w:val="nil"/>
            </w:tcBorders>
            <w:shd w:val="clear" w:color="auto" w:fill="auto"/>
            <w:vAlign w:val="center"/>
          </w:tcPr>
          <w:p w14:paraId="6EF73FD8"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bCs/>
                <w:sz w:val="14"/>
                <w:szCs w:val="14"/>
              </w:rPr>
              <w:t xml:space="preserve">  1.188.074 </w:t>
            </w:r>
          </w:p>
        </w:tc>
      </w:tr>
      <w:tr w:rsidR="003321FA" w:rsidRPr="003321FA" w14:paraId="142CDD2B"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5F7E8925" w14:textId="77777777" w:rsidR="003321FA" w:rsidRPr="003321FA" w:rsidRDefault="003321FA">
            <w:pPr>
              <w:keepNext/>
              <w:keepLines/>
              <w:spacing w:before="40" w:after="40"/>
              <w:ind w:left="113"/>
              <w:rPr>
                <w:rFonts w:ascii="Arial" w:hAnsi="Arial" w:cs="Arial"/>
                <w:b w:val="0"/>
                <w:bCs w:val="0"/>
                <w:sz w:val="14"/>
                <w:szCs w:val="14"/>
              </w:rPr>
            </w:pPr>
            <w:r w:rsidRPr="003321FA">
              <w:rPr>
                <w:rFonts w:ascii="Arial" w:hAnsi="Arial" w:cs="Arial"/>
                <w:b w:val="0"/>
                <w:bCs w:val="0"/>
                <w:sz w:val="14"/>
                <w:szCs w:val="14"/>
              </w:rPr>
              <w:t>Outras receitas financeiras</w:t>
            </w:r>
          </w:p>
        </w:tc>
        <w:tc>
          <w:tcPr>
            <w:tcW w:w="1461" w:type="dxa"/>
            <w:tcBorders>
              <w:top w:val="nil"/>
              <w:left w:val="nil"/>
              <w:bottom w:val="nil"/>
              <w:right w:val="nil"/>
            </w:tcBorders>
            <w:shd w:val="clear" w:color="auto" w:fill="auto"/>
            <w:vAlign w:val="center"/>
          </w:tcPr>
          <w:p w14:paraId="146045A2"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606" w:type="dxa"/>
            <w:tcBorders>
              <w:top w:val="nil"/>
              <w:left w:val="nil"/>
              <w:bottom w:val="nil"/>
              <w:right w:val="nil"/>
            </w:tcBorders>
            <w:shd w:val="clear" w:color="auto" w:fill="auto"/>
            <w:vAlign w:val="center"/>
          </w:tcPr>
          <w:p w14:paraId="4C5C0EA0"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315" w:type="dxa"/>
            <w:tcBorders>
              <w:top w:val="nil"/>
              <w:left w:val="nil"/>
              <w:bottom w:val="nil"/>
              <w:right w:val="nil"/>
            </w:tcBorders>
            <w:shd w:val="clear" w:color="auto" w:fill="auto"/>
            <w:vAlign w:val="center"/>
          </w:tcPr>
          <w:p w14:paraId="02A9E180"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sz w:val="14"/>
                <w:szCs w:val="14"/>
              </w:rPr>
              <w:t xml:space="preserve">  91.346 </w:t>
            </w:r>
          </w:p>
        </w:tc>
        <w:tc>
          <w:tcPr>
            <w:tcW w:w="1606" w:type="dxa"/>
            <w:tcBorders>
              <w:top w:val="nil"/>
              <w:left w:val="nil"/>
              <w:bottom w:val="nil"/>
              <w:right w:val="nil"/>
            </w:tcBorders>
            <w:shd w:val="clear" w:color="auto" w:fill="auto"/>
            <w:vAlign w:val="center"/>
          </w:tcPr>
          <w:p w14:paraId="4A3CA904"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bCs/>
                <w:sz w:val="14"/>
                <w:szCs w:val="14"/>
              </w:rPr>
              <w:t xml:space="preserve">  31.212 </w:t>
            </w:r>
          </w:p>
        </w:tc>
      </w:tr>
      <w:tr w:rsidR="003321FA" w:rsidRPr="003321FA" w14:paraId="49CF1E09"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182D7584" w14:textId="77777777" w:rsidR="003321FA" w:rsidRPr="003321FA" w:rsidRDefault="003321FA">
            <w:pPr>
              <w:keepNext/>
              <w:keepLines/>
              <w:spacing w:before="40" w:after="40"/>
              <w:ind w:left="113"/>
              <w:rPr>
                <w:rFonts w:ascii="Arial" w:hAnsi="Arial" w:cs="Arial"/>
                <w:b w:val="0"/>
                <w:bCs w:val="0"/>
                <w:sz w:val="14"/>
                <w:szCs w:val="14"/>
              </w:rPr>
            </w:pPr>
            <w:r w:rsidRPr="003321FA">
              <w:rPr>
                <w:rFonts w:ascii="Arial" w:hAnsi="Arial" w:cs="Arial"/>
                <w:b w:val="0"/>
                <w:bCs w:val="0"/>
                <w:sz w:val="14"/>
                <w:szCs w:val="14"/>
              </w:rPr>
              <w:t>Despesas de juros</w:t>
            </w:r>
          </w:p>
        </w:tc>
        <w:tc>
          <w:tcPr>
            <w:tcW w:w="1461" w:type="dxa"/>
            <w:tcBorders>
              <w:top w:val="nil"/>
              <w:left w:val="nil"/>
              <w:bottom w:val="nil"/>
              <w:right w:val="nil"/>
            </w:tcBorders>
            <w:shd w:val="clear" w:color="auto" w:fill="auto"/>
            <w:vAlign w:val="center"/>
          </w:tcPr>
          <w:p w14:paraId="230219F4"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06" w:type="dxa"/>
            <w:tcBorders>
              <w:top w:val="nil"/>
              <w:left w:val="nil"/>
              <w:bottom w:val="nil"/>
              <w:right w:val="nil"/>
            </w:tcBorders>
            <w:shd w:val="clear" w:color="auto" w:fill="auto"/>
            <w:vAlign w:val="center"/>
          </w:tcPr>
          <w:p w14:paraId="22AA66AE"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315" w:type="dxa"/>
            <w:tcBorders>
              <w:top w:val="nil"/>
              <w:left w:val="nil"/>
              <w:bottom w:val="nil"/>
              <w:right w:val="nil"/>
            </w:tcBorders>
            <w:shd w:val="clear" w:color="auto" w:fill="auto"/>
            <w:vAlign w:val="center"/>
          </w:tcPr>
          <w:p w14:paraId="7E31EE29"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sz w:val="14"/>
                <w:szCs w:val="14"/>
              </w:rPr>
              <w:t xml:space="preserve">  (686.714)</w:t>
            </w:r>
          </w:p>
        </w:tc>
        <w:tc>
          <w:tcPr>
            <w:tcW w:w="1606" w:type="dxa"/>
            <w:tcBorders>
              <w:top w:val="nil"/>
              <w:left w:val="nil"/>
              <w:bottom w:val="nil"/>
              <w:right w:val="nil"/>
            </w:tcBorders>
            <w:shd w:val="clear" w:color="auto" w:fill="auto"/>
            <w:vAlign w:val="center"/>
          </w:tcPr>
          <w:p w14:paraId="5C8A89A3"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bCs/>
                <w:sz w:val="14"/>
                <w:szCs w:val="14"/>
              </w:rPr>
              <w:t xml:space="preserve">  (723.600)</w:t>
            </w:r>
          </w:p>
        </w:tc>
      </w:tr>
      <w:tr w:rsidR="003321FA" w:rsidRPr="003321FA" w14:paraId="6990BAAE"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29C027B9" w14:textId="77777777" w:rsidR="003321FA" w:rsidRPr="003321FA" w:rsidRDefault="003321FA">
            <w:pPr>
              <w:keepNext/>
              <w:keepLines/>
              <w:spacing w:before="40" w:after="40"/>
              <w:ind w:left="113"/>
              <w:rPr>
                <w:rFonts w:ascii="Arial" w:hAnsi="Arial" w:cs="Arial"/>
                <w:b w:val="0"/>
                <w:bCs w:val="0"/>
                <w:sz w:val="14"/>
                <w:szCs w:val="14"/>
              </w:rPr>
            </w:pPr>
            <w:r w:rsidRPr="003321FA">
              <w:rPr>
                <w:rFonts w:ascii="Arial" w:hAnsi="Arial" w:cs="Arial"/>
                <w:b w:val="0"/>
                <w:bCs w:val="0"/>
                <w:sz w:val="14"/>
                <w:szCs w:val="14"/>
              </w:rPr>
              <w:t>Outras despesas financeiras</w:t>
            </w:r>
          </w:p>
        </w:tc>
        <w:tc>
          <w:tcPr>
            <w:tcW w:w="1461" w:type="dxa"/>
            <w:tcBorders>
              <w:top w:val="nil"/>
              <w:left w:val="nil"/>
              <w:bottom w:val="nil"/>
              <w:right w:val="nil"/>
            </w:tcBorders>
            <w:shd w:val="clear" w:color="auto" w:fill="auto"/>
            <w:vAlign w:val="center"/>
          </w:tcPr>
          <w:p w14:paraId="4BC09FA0"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606" w:type="dxa"/>
            <w:tcBorders>
              <w:top w:val="nil"/>
              <w:left w:val="nil"/>
              <w:bottom w:val="nil"/>
              <w:right w:val="nil"/>
            </w:tcBorders>
            <w:shd w:val="clear" w:color="auto" w:fill="auto"/>
            <w:vAlign w:val="center"/>
          </w:tcPr>
          <w:p w14:paraId="37B8988A"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315" w:type="dxa"/>
            <w:tcBorders>
              <w:top w:val="nil"/>
              <w:left w:val="nil"/>
              <w:bottom w:val="nil"/>
              <w:right w:val="nil"/>
            </w:tcBorders>
            <w:shd w:val="clear" w:color="auto" w:fill="auto"/>
            <w:vAlign w:val="center"/>
          </w:tcPr>
          <w:p w14:paraId="3FC0B0B0"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sz w:val="14"/>
                <w:szCs w:val="14"/>
              </w:rPr>
              <w:t xml:space="preserve">  (114.271)</w:t>
            </w:r>
          </w:p>
        </w:tc>
        <w:tc>
          <w:tcPr>
            <w:tcW w:w="1606" w:type="dxa"/>
            <w:tcBorders>
              <w:top w:val="nil"/>
              <w:left w:val="nil"/>
              <w:bottom w:val="nil"/>
              <w:right w:val="nil"/>
            </w:tcBorders>
            <w:shd w:val="clear" w:color="auto" w:fill="auto"/>
            <w:vAlign w:val="center"/>
          </w:tcPr>
          <w:p w14:paraId="5E471F83"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bCs/>
                <w:sz w:val="14"/>
                <w:szCs w:val="14"/>
              </w:rPr>
              <w:t xml:space="preserve">  (53.132)</w:t>
            </w:r>
          </w:p>
        </w:tc>
      </w:tr>
      <w:tr w:rsidR="003321FA" w:rsidRPr="003321FA" w14:paraId="26198936"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70569A19" w14:textId="77777777" w:rsidR="003321FA" w:rsidRPr="003321FA" w:rsidRDefault="003321FA">
            <w:pPr>
              <w:keepNext/>
              <w:keepLines/>
              <w:rPr>
                <w:rFonts w:ascii="Arial" w:hAnsi="Arial" w:cs="Arial"/>
                <w:sz w:val="14"/>
                <w:szCs w:val="14"/>
              </w:rPr>
            </w:pPr>
            <w:r w:rsidRPr="003321FA">
              <w:rPr>
                <w:rFonts w:ascii="Arial" w:hAnsi="Arial" w:cs="Arial"/>
                <w:color w:val="000000"/>
                <w:sz w:val="14"/>
                <w:szCs w:val="14"/>
              </w:rPr>
              <w:t>Resultado patrimonial</w:t>
            </w:r>
          </w:p>
        </w:tc>
        <w:tc>
          <w:tcPr>
            <w:tcW w:w="1461" w:type="dxa"/>
            <w:tcBorders>
              <w:top w:val="nil"/>
              <w:left w:val="nil"/>
              <w:bottom w:val="nil"/>
              <w:right w:val="nil"/>
            </w:tcBorders>
            <w:shd w:val="clear" w:color="auto" w:fill="auto"/>
            <w:vAlign w:val="center"/>
          </w:tcPr>
          <w:p w14:paraId="456298B5"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606" w:type="dxa"/>
            <w:tcBorders>
              <w:top w:val="nil"/>
              <w:left w:val="nil"/>
              <w:bottom w:val="nil"/>
              <w:right w:val="nil"/>
            </w:tcBorders>
            <w:shd w:val="clear" w:color="auto" w:fill="auto"/>
            <w:vAlign w:val="center"/>
          </w:tcPr>
          <w:p w14:paraId="728939AF"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315" w:type="dxa"/>
            <w:tcBorders>
              <w:top w:val="nil"/>
              <w:left w:val="nil"/>
              <w:bottom w:val="nil"/>
              <w:right w:val="nil"/>
            </w:tcBorders>
            <w:shd w:val="clear" w:color="auto" w:fill="auto"/>
            <w:vAlign w:val="center"/>
          </w:tcPr>
          <w:p w14:paraId="1576D7ED"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321FA">
              <w:rPr>
                <w:rFonts w:ascii="Arial" w:hAnsi="Arial" w:cs="Arial"/>
                <w:b/>
                <w:bCs/>
                <w:sz w:val="14"/>
                <w:szCs w:val="14"/>
              </w:rPr>
              <w:t xml:space="preserve">  (3.761)</w:t>
            </w:r>
          </w:p>
        </w:tc>
        <w:tc>
          <w:tcPr>
            <w:tcW w:w="1606" w:type="dxa"/>
            <w:tcBorders>
              <w:top w:val="nil"/>
              <w:left w:val="nil"/>
              <w:bottom w:val="nil"/>
              <w:right w:val="nil"/>
            </w:tcBorders>
            <w:shd w:val="clear" w:color="auto" w:fill="auto"/>
            <w:vAlign w:val="center"/>
          </w:tcPr>
          <w:p w14:paraId="0B466190"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321FA">
              <w:rPr>
                <w:rFonts w:ascii="Arial" w:hAnsi="Arial" w:cs="Arial"/>
                <w:b/>
                <w:sz w:val="14"/>
                <w:szCs w:val="14"/>
              </w:rPr>
              <w:t xml:space="preserve">  (1.031)</w:t>
            </w:r>
          </w:p>
        </w:tc>
      </w:tr>
      <w:tr w:rsidR="003321FA" w:rsidRPr="003321FA" w14:paraId="72EF6928"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3CB1A36D" w14:textId="77777777" w:rsidR="003321FA" w:rsidRPr="003321FA" w:rsidRDefault="003321FA">
            <w:pPr>
              <w:keepNext/>
              <w:keepLines/>
              <w:spacing w:before="40" w:after="40"/>
              <w:ind w:left="113"/>
              <w:rPr>
                <w:rFonts w:ascii="Arial" w:hAnsi="Arial" w:cs="Arial"/>
                <w:b w:val="0"/>
                <w:bCs w:val="0"/>
                <w:sz w:val="14"/>
                <w:szCs w:val="14"/>
              </w:rPr>
            </w:pPr>
            <w:r w:rsidRPr="003321FA">
              <w:rPr>
                <w:rFonts w:ascii="Arial" w:hAnsi="Arial" w:cs="Arial"/>
                <w:b w:val="0"/>
                <w:bCs w:val="0"/>
                <w:sz w:val="14"/>
                <w:szCs w:val="14"/>
              </w:rPr>
              <w:t>Depreciação e amortização</w:t>
            </w:r>
          </w:p>
        </w:tc>
        <w:tc>
          <w:tcPr>
            <w:tcW w:w="1461" w:type="dxa"/>
            <w:tcBorders>
              <w:top w:val="nil"/>
              <w:left w:val="nil"/>
              <w:bottom w:val="nil"/>
              <w:right w:val="nil"/>
            </w:tcBorders>
            <w:shd w:val="clear" w:color="auto" w:fill="auto"/>
            <w:vAlign w:val="center"/>
          </w:tcPr>
          <w:p w14:paraId="05D75907"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606" w:type="dxa"/>
            <w:tcBorders>
              <w:top w:val="nil"/>
              <w:left w:val="nil"/>
              <w:bottom w:val="nil"/>
              <w:right w:val="nil"/>
            </w:tcBorders>
            <w:shd w:val="clear" w:color="auto" w:fill="auto"/>
            <w:vAlign w:val="center"/>
          </w:tcPr>
          <w:p w14:paraId="317F1F83"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315" w:type="dxa"/>
            <w:tcBorders>
              <w:top w:val="nil"/>
              <w:left w:val="nil"/>
              <w:bottom w:val="nil"/>
              <w:right w:val="nil"/>
            </w:tcBorders>
            <w:shd w:val="clear" w:color="auto" w:fill="auto"/>
            <w:vAlign w:val="center"/>
          </w:tcPr>
          <w:p w14:paraId="74E8A061"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sz w:val="14"/>
                <w:szCs w:val="14"/>
              </w:rPr>
              <w:t xml:space="preserve">  (3.059)</w:t>
            </w:r>
          </w:p>
        </w:tc>
        <w:tc>
          <w:tcPr>
            <w:tcW w:w="1606" w:type="dxa"/>
            <w:tcBorders>
              <w:top w:val="nil"/>
              <w:left w:val="nil"/>
              <w:bottom w:val="nil"/>
              <w:right w:val="nil"/>
            </w:tcBorders>
            <w:shd w:val="clear" w:color="auto" w:fill="auto"/>
            <w:vAlign w:val="center"/>
          </w:tcPr>
          <w:p w14:paraId="1B5DA77F"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bCs/>
                <w:sz w:val="14"/>
                <w:szCs w:val="14"/>
              </w:rPr>
              <w:t xml:space="preserve">  (1.031)</w:t>
            </w:r>
          </w:p>
        </w:tc>
      </w:tr>
      <w:tr w:rsidR="003321FA" w:rsidRPr="003321FA" w14:paraId="2CE902B4"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65A2224F" w14:textId="77777777" w:rsidR="003321FA" w:rsidRPr="003321FA" w:rsidRDefault="003321FA">
            <w:pPr>
              <w:keepNext/>
              <w:keepLines/>
              <w:spacing w:before="40" w:after="40"/>
              <w:ind w:left="113"/>
              <w:rPr>
                <w:rFonts w:ascii="Arial" w:hAnsi="Arial" w:cs="Arial"/>
                <w:b w:val="0"/>
                <w:bCs w:val="0"/>
                <w:sz w:val="14"/>
                <w:szCs w:val="14"/>
              </w:rPr>
            </w:pPr>
            <w:r w:rsidRPr="003321FA">
              <w:rPr>
                <w:rFonts w:ascii="Arial" w:hAnsi="Arial" w:cs="Arial"/>
                <w:b w:val="0"/>
                <w:bCs w:val="0"/>
                <w:sz w:val="14"/>
                <w:szCs w:val="14"/>
              </w:rPr>
              <w:t>Outras receitas/despesas patrimoniais</w:t>
            </w:r>
          </w:p>
        </w:tc>
        <w:tc>
          <w:tcPr>
            <w:tcW w:w="1461" w:type="dxa"/>
            <w:tcBorders>
              <w:top w:val="nil"/>
              <w:left w:val="nil"/>
              <w:bottom w:val="nil"/>
              <w:right w:val="nil"/>
            </w:tcBorders>
            <w:shd w:val="clear" w:color="auto" w:fill="auto"/>
            <w:vAlign w:val="center"/>
          </w:tcPr>
          <w:p w14:paraId="180B176E"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06" w:type="dxa"/>
            <w:tcBorders>
              <w:top w:val="nil"/>
              <w:left w:val="nil"/>
              <w:bottom w:val="nil"/>
              <w:right w:val="nil"/>
            </w:tcBorders>
            <w:shd w:val="clear" w:color="auto" w:fill="auto"/>
            <w:vAlign w:val="center"/>
          </w:tcPr>
          <w:p w14:paraId="7C8E8B8F"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315" w:type="dxa"/>
            <w:tcBorders>
              <w:top w:val="nil"/>
              <w:left w:val="nil"/>
              <w:bottom w:val="nil"/>
              <w:right w:val="nil"/>
            </w:tcBorders>
            <w:shd w:val="clear" w:color="auto" w:fill="auto"/>
            <w:vAlign w:val="center"/>
          </w:tcPr>
          <w:p w14:paraId="038CDA6C"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sz w:val="14"/>
                <w:szCs w:val="14"/>
              </w:rPr>
              <w:t xml:space="preserve">  (702)</w:t>
            </w:r>
          </w:p>
        </w:tc>
        <w:tc>
          <w:tcPr>
            <w:tcW w:w="1606" w:type="dxa"/>
            <w:tcBorders>
              <w:top w:val="nil"/>
              <w:left w:val="nil"/>
              <w:bottom w:val="nil"/>
              <w:right w:val="nil"/>
            </w:tcBorders>
            <w:shd w:val="clear" w:color="auto" w:fill="auto"/>
            <w:vAlign w:val="center"/>
          </w:tcPr>
          <w:p w14:paraId="4DA4233F"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bCs/>
                <w:sz w:val="14"/>
                <w:szCs w:val="14"/>
              </w:rPr>
            </w:pPr>
            <w:r w:rsidRPr="003321FA">
              <w:rPr>
                <w:rFonts w:ascii="Arial" w:hAnsi="Arial" w:cs="Arial"/>
                <w:bCs/>
                <w:sz w:val="14"/>
                <w:szCs w:val="14"/>
              </w:rPr>
              <w:t xml:space="preserve">-- </w:t>
            </w:r>
          </w:p>
        </w:tc>
      </w:tr>
      <w:tr w:rsidR="003321FA" w:rsidRPr="003321FA" w14:paraId="7C1C11D9"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02196C91" w14:textId="77777777" w:rsidR="003321FA" w:rsidRPr="003321FA" w:rsidRDefault="003321FA">
            <w:pPr>
              <w:keepNext/>
              <w:keepLines/>
              <w:rPr>
                <w:rFonts w:ascii="Arial" w:hAnsi="Arial" w:cs="Arial"/>
                <w:sz w:val="14"/>
                <w:szCs w:val="14"/>
              </w:rPr>
            </w:pPr>
            <w:r w:rsidRPr="003321FA">
              <w:rPr>
                <w:rFonts w:ascii="Arial" w:hAnsi="Arial" w:cs="Arial"/>
                <w:sz w:val="14"/>
                <w:szCs w:val="14"/>
              </w:rPr>
              <w:t>Outras receitas e despesas</w:t>
            </w:r>
          </w:p>
        </w:tc>
        <w:tc>
          <w:tcPr>
            <w:tcW w:w="1461" w:type="dxa"/>
            <w:tcBorders>
              <w:top w:val="nil"/>
              <w:left w:val="nil"/>
              <w:bottom w:val="nil"/>
              <w:right w:val="nil"/>
            </w:tcBorders>
            <w:shd w:val="clear" w:color="auto" w:fill="auto"/>
            <w:vAlign w:val="center"/>
          </w:tcPr>
          <w:p w14:paraId="24669A7E"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606" w:type="dxa"/>
            <w:tcBorders>
              <w:top w:val="nil"/>
              <w:left w:val="nil"/>
              <w:bottom w:val="nil"/>
              <w:right w:val="nil"/>
            </w:tcBorders>
            <w:shd w:val="clear" w:color="auto" w:fill="auto"/>
            <w:vAlign w:val="center"/>
          </w:tcPr>
          <w:p w14:paraId="0F41A6E0"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315" w:type="dxa"/>
            <w:tcBorders>
              <w:top w:val="nil"/>
              <w:left w:val="nil"/>
              <w:bottom w:val="nil"/>
              <w:right w:val="nil"/>
            </w:tcBorders>
            <w:shd w:val="clear" w:color="auto" w:fill="auto"/>
            <w:vAlign w:val="center"/>
          </w:tcPr>
          <w:p w14:paraId="64AB9459"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321FA">
              <w:rPr>
                <w:rFonts w:ascii="Arial" w:hAnsi="Arial" w:cs="Arial"/>
                <w:b/>
                <w:bCs/>
                <w:sz w:val="14"/>
                <w:szCs w:val="14"/>
              </w:rPr>
              <w:t xml:space="preserve">  79.695 </w:t>
            </w:r>
          </w:p>
        </w:tc>
        <w:tc>
          <w:tcPr>
            <w:tcW w:w="1606" w:type="dxa"/>
            <w:tcBorders>
              <w:top w:val="nil"/>
              <w:left w:val="nil"/>
              <w:bottom w:val="nil"/>
              <w:right w:val="nil"/>
            </w:tcBorders>
            <w:shd w:val="clear" w:color="auto" w:fill="auto"/>
            <w:vAlign w:val="center"/>
          </w:tcPr>
          <w:p w14:paraId="25670448"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321FA">
              <w:rPr>
                <w:rFonts w:ascii="Arial" w:hAnsi="Arial" w:cs="Arial"/>
                <w:b/>
                <w:sz w:val="14"/>
                <w:szCs w:val="14"/>
              </w:rPr>
              <w:t xml:space="preserve">  68.192 </w:t>
            </w:r>
          </w:p>
        </w:tc>
      </w:tr>
      <w:tr w:rsidR="003321FA" w:rsidRPr="003321FA" w14:paraId="5CE6037B"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5BE5ADE9" w14:textId="77777777" w:rsidR="003321FA" w:rsidRPr="003321FA" w:rsidRDefault="003321FA">
            <w:pPr>
              <w:keepNext/>
              <w:keepLines/>
              <w:spacing w:before="40" w:after="40"/>
              <w:ind w:left="113"/>
              <w:rPr>
                <w:rFonts w:ascii="Arial" w:hAnsi="Arial" w:cs="Arial"/>
                <w:b w:val="0"/>
                <w:bCs w:val="0"/>
                <w:sz w:val="14"/>
                <w:szCs w:val="14"/>
              </w:rPr>
            </w:pPr>
            <w:r w:rsidRPr="003321FA">
              <w:rPr>
                <w:rFonts w:ascii="Arial" w:hAnsi="Arial" w:cs="Arial"/>
                <w:b w:val="0"/>
                <w:bCs w:val="0"/>
                <w:sz w:val="14"/>
                <w:szCs w:val="14"/>
              </w:rPr>
              <w:t>Outras receitas</w:t>
            </w:r>
          </w:p>
        </w:tc>
        <w:tc>
          <w:tcPr>
            <w:tcW w:w="1461" w:type="dxa"/>
            <w:tcBorders>
              <w:top w:val="nil"/>
              <w:left w:val="nil"/>
              <w:bottom w:val="nil"/>
              <w:right w:val="nil"/>
            </w:tcBorders>
            <w:shd w:val="clear" w:color="auto" w:fill="auto"/>
            <w:vAlign w:val="center"/>
          </w:tcPr>
          <w:p w14:paraId="154DBC0F"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06" w:type="dxa"/>
            <w:tcBorders>
              <w:top w:val="nil"/>
              <w:left w:val="nil"/>
              <w:bottom w:val="nil"/>
              <w:right w:val="nil"/>
            </w:tcBorders>
            <w:shd w:val="clear" w:color="auto" w:fill="auto"/>
            <w:vAlign w:val="center"/>
          </w:tcPr>
          <w:p w14:paraId="62343AF4"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315" w:type="dxa"/>
            <w:tcBorders>
              <w:top w:val="nil"/>
              <w:left w:val="nil"/>
              <w:bottom w:val="nil"/>
              <w:right w:val="nil"/>
            </w:tcBorders>
            <w:shd w:val="clear" w:color="auto" w:fill="auto"/>
            <w:vAlign w:val="center"/>
          </w:tcPr>
          <w:p w14:paraId="08C682A1"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sz w:val="14"/>
                <w:szCs w:val="14"/>
              </w:rPr>
              <w:t xml:space="preserve">  81.922 </w:t>
            </w:r>
          </w:p>
        </w:tc>
        <w:tc>
          <w:tcPr>
            <w:tcW w:w="1606" w:type="dxa"/>
            <w:tcBorders>
              <w:top w:val="nil"/>
              <w:left w:val="nil"/>
              <w:bottom w:val="nil"/>
              <w:right w:val="nil"/>
            </w:tcBorders>
            <w:shd w:val="clear" w:color="auto" w:fill="auto"/>
            <w:vAlign w:val="center"/>
          </w:tcPr>
          <w:p w14:paraId="428E01C0"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bCs/>
                <w:sz w:val="14"/>
                <w:szCs w:val="14"/>
              </w:rPr>
              <w:t xml:space="preserve">  70.809 </w:t>
            </w:r>
          </w:p>
        </w:tc>
      </w:tr>
      <w:tr w:rsidR="003321FA" w:rsidRPr="003321FA" w14:paraId="68B7C167"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7F2072A0" w14:textId="77777777" w:rsidR="003321FA" w:rsidRPr="003321FA" w:rsidRDefault="003321FA">
            <w:pPr>
              <w:keepNext/>
              <w:keepLines/>
              <w:spacing w:before="40" w:after="40"/>
              <w:ind w:left="113"/>
              <w:rPr>
                <w:rFonts w:ascii="Arial" w:hAnsi="Arial" w:cs="Arial"/>
                <w:b w:val="0"/>
                <w:bCs w:val="0"/>
                <w:sz w:val="14"/>
                <w:szCs w:val="14"/>
              </w:rPr>
            </w:pPr>
            <w:r w:rsidRPr="003321FA">
              <w:rPr>
                <w:rFonts w:ascii="Arial" w:hAnsi="Arial" w:cs="Arial"/>
                <w:b w:val="0"/>
                <w:bCs w:val="0"/>
                <w:sz w:val="14"/>
                <w:szCs w:val="14"/>
              </w:rPr>
              <w:t>Outras despesas</w:t>
            </w:r>
          </w:p>
        </w:tc>
        <w:tc>
          <w:tcPr>
            <w:tcW w:w="1461" w:type="dxa"/>
            <w:tcBorders>
              <w:top w:val="nil"/>
              <w:left w:val="nil"/>
              <w:bottom w:val="nil"/>
              <w:right w:val="nil"/>
            </w:tcBorders>
            <w:shd w:val="clear" w:color="auto" w:fill="auto"/>
            <w:vAlign w:val="center"/>
          </w:tcPr>
          <w:p w14:paraId="1ADA6860"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606" w:type="dxa"/>
            <w:tcBorders>
              <w:top w:val="nil"/>
              <w:left w:val="nil"/>
              <w:bottom w:val="nil"/>
              <w:right w:val="nil"/>
            </w:tcBorders>
            <w:shd w:val="clear" w:color="auto" w:fill="auto"/>
            <w:vAlign w:val="center"/>
          </w:tcPr>
          <w:p w14:paraId="47E2F547"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315" w:type="dxa"/>
            <w:tcBorders>
              <w:top w:val="nil"/>
              <w:left w:val="nil"/>
              <w:bottom w:val="nil"/>
              <w:right w:val="nil"/>
            </w:tcBorders>
            <w:shd w:val="clear" w:color="auto" w:fill="auto"/>
            <w:vAlign w:val="center"/>
          </w:tcPr>
          <w:p w14:paraId="68E88CCB"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sz w:val="14"/>
                <w:szCs w:val="14"/>
              </w:rPr>
              <w:t xml:space="preserve">  (2.227)</w:t>
            </w:r>
          </w:p>
        </w:tc>
        <w:tc>
          <w:tcPr>
            <w:tcW w:w="1606" w:type="dxa"/>
            <w:tcBorders>
              <w:top w:val="nil"/>
              <w:left w:val="nil"/>
              <w:bottom w:val="nil"/>
              <w:right w:val="nil"/>
            </w:tcBorders>
            <w:shd w:val="clear" w:color="auto" w:fill="auto"/>
            <w:vAlign w:val="center"/>
          </w:tcPr>
          <w:p w14:paraId="3C6E2615"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bCs/>
                <w:sz w:val="14"/>
                <w:szCs w:val="14"/>
              </w:rPr>
              <w:t xml:space="preserve">  (2.617)</w:t>
            </w:r>
          </w:p>
        </w:tc>
      </w:tr>
      <w:tr w:rsidR="003321FA" w:rsidRPr="003321FA" w14:paraId="3402C019"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6C837B16" w14:textId="77777777" w:rsidR="003321FA" w:rsidRPr="003321FA" w:rsidRDefault="003321FA">
            <w:pPr>
              <w:keepNext/>
              <w:keepLines/>
              <w:rPr>
                <w:rFonts w:ascii="Arial" w:hAnsi="Arial" w:cs="Arial"/>
                <w:sz w:val="14"/>
                <w:szCs w:val="14"/>
              </w:rPr>
            </w:pPr>
            <w:r w:rsidRPr="003321FA">
              <w:rPr>
                <w:rFonts w:ascii="Arial" w:hAnsi="Arial" w:cs="Arial"/>
                <w:sz w:val="14"/>
                <w:szCs w:val="14"/>
              </w:rPr>
              <w:t>Resultado operacional</w:t>
            </w:r>
          </w:p>
        </w:tc>
        <w:tc>
          <w:tcPr>
            <w:tcW w:w="1461" w:type="dxa"/>
            <w:tcBorders>
              <w:top w:val="nil"/>
              <w:left w:val="nil"/>
              <w:bottom w:val="nil"/>
              <w:right w:val="nil"/>
            </w:tcBorders>
            <w:shd w:val="clear" w:color="auto" w:fill="auto"/>
            <w:vAlign w:val="center"/>
          </w:tcPr>
          <w:p w14:paraId="0B15DFB3"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606" w:type="dxa"/>
            <w:tcBorders>
              <w:top w:val="nil"/>
              <w:left w:val="nil"/>
              <w:bottom w:val="nil"/>
              <w:right w:val="nil"/>
            </w:tcBorders>
            <w:shd w:val="clear" w:color="auto" w:fill="auto"/>
            <w:vAlign w:val="center"/>
          </w:tcPr>
          <w:p w14:paraId="61338E4C"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315" w:type="dxa"/>
            <w:tcBorders>
              <w:top w:val="nil"/>
              <w:left w:val="nil"/>
              <w:bottom w:val="nil"/>
              <w:right w:val="nil"/>
            </w:tcBorders>
            <w:shd w:val="clear" w:color="auto" w:fill="auto"/>
            <w:vAlign w:val="center"/>
          </w:tcPr>
          <w:p w14:paraId="11E6E343"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321FA">
              <w:rPr>
                <w:rFonts w:ascii="Arial" w:hAnsi="Arial" w:cs="Arial"/>
                <w:b/>
                <w:bCs/>
                <w:sz w:val="14"/>
                <w:szCs w:val="14"/>
              </w:rPr>
              <w:t xml:space="preserve">  451.483 </w:t>
            </w:r>
          </w:p>
        </w:tc>
        <w:tc>
          <w:tcPr>
            <w:tcW w:w="1606" w:type="dxa"/>
            <w:tcBorders>
              <w:top w:val="nil"/>
              <w:left w:val="nil"/>
              <w:bottom w:val="nil"/>
              <w:right w:val="nil"/>
            </w:tcBorders>
            <w:shd w:val="clear" w:color="auto" w:fill="auto"/>
            <w:vAlign w:val="center"/>
          </w:tcPr>
          <w:p w14:paraId="61A93929"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321FA">
              <w:rPr>
                <w:rFonts w:ascii="Arial" w:hAnsi="Arial" w:cs="Arial"/>
                <w:b/>
                <w:sz w:val="14"/>
                <w:szCs w:val="14"/>
              </w:rPr>
              <w:t xml:space="preserve">  442.908 </w:t>
            </w:r>
          </w:p>
        </w:tc>
      </w:tr>
      <w:tr w:rsidR="003321FA" w:rsidRPr="003321FA" w14:paraId="7A9D4B5F"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68904FA1" w14:textId="77777777" w:rsidR="003321FA" w:rsidRPr="003321FA" w:rsidRDefault="003321FA">
            <w:pPr>
              <w:keepNext/>
              <w:keepLines/>
              <w:spacing w:before="40" w:after="40"/>
              <w:ind w:left="113"/>
              <w:rPr>
                <w:rFonts w:ascii="Arial" w:hAnsi="Arial" w:cs="Arial"/>
                <w:b w:val="0"/>
                <w:bCs w:val="0"/>
                <w:sz w:val="14"/>
                <w:szCs w:val="14"/>
              </w:rPr>
            </w:pPr>
            <w:r w:rsidRPr="003321FA">
              <w:rPr>
                <w:rFonts w:ascii="Arial" w:hAnsi="Arial" w:cs="Arial"/>
                <w:b w:val="0"/>
                <w:bCs w:val="0"/>
                <w:sz w:val="14"/>
                <w:szCs w:val="14"/>
              </w:rPr>
              <w:t>Ganhos/perdas com ativos não correntes</w:t>
            </w:r>
          </w:p>
        </w:tc>
        <w:tc>
          <w:tcPr>
            <w:tcW w:w="1461" w:type="dxa"/>
            <w:tcBorders>
              <w:top w:val="nil"/>
              <w:left w:val="nil"/>
              <w:bottom w:val="nil"/>
              <w:right w:val="nil"/>
            </w:tcBorders>
            <w:shd w:val="clear" w:color="auto" w:fill="auto"/>
            <w:vAlign w:val="center"/>
          </w:tcPr>
          <w:p w14:paraId="034BB772"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606" w:type="dxa"/>
            <w:tcBorders>
              <w:top w:val="nil"/>
              <w:left w:val="nil"/>
              <w:bottom w:val="nil"/>
              <w:right w:val="nil"/>
            </w:tcBorders>
            <w:shd w:val="clear" w:color="auto" w:fill="auto"/>
            <w:vAlign w:val="center"/>
          </w:tcPr>
          <w:p w14:paraId="0AC94FBB"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315" w:type="dxa"/>
            <w:tcBorders>
              <w:top w:val="nil"/>
              <w:left w:val="nil"/>
              <w:bottom w:val="nil"/>
              <w:right w:val="nil"/>
            </w:tcBorders>
            <w:shd w:val="clear" w:color="auto" w:fill="auto"/>
            <w:vAlign w:val="center"/>
          </w:tcPr>
          <w:p w14:paraId="68047F11"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sz w:val="14"/>
                <w:szCs w:val="14"/>
              </w:rPr>
              <w:t xml:space="preserve">  (65)</w:t>
            </w:r>
          </w:p>
        </w:tc>
        <w:tc>
          <w:tcPr>
            <w:tcW w:w="1606" w:type="dxa"/>
            <w:tcBorders>
              <w:top w:val="nil"/>
              <w:left w:val="nil"/>
              <w:bottom w:val="nil"/>
              <w:right w:val="nil"/>
            </w:tcBorders>
            <w:shd w:val="clear" w:color="auto" w:fill="auto"/>
            <w:vAlign w:val="center"/>
          </w:tcPr>
          <w:p w14:paraId="0F8BA09C"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bCs/>
                <w:sz w:val="14"/>
                <w:szCs w:val="14"/>
              </w:rPr>
              <w:t xml:space="preserve">  (8)</w:t>
            </w:r>
          </w:p>
        </w:tc>
      </w:tr>
      <w:tr w:rsidR="003321FA" w:rsidRPr="003321FA" w14:paraId="4DB7000A"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7F617F62" w14:textId="77777777" w:rsidR="003321FA" w:rsidRPr="003321FA" w:rsidRDefault="003321FA">
            <w:pPr>
              <w:keepNext/>
              <w:keepLines/>
              <w:rPr>
                <w:rFonts w:ascii="Arial" w:hAnsi="Arial" w:cs="Arial"/>
                <w:sz w:val="14"/>
                <w:szCs w:val="14"/>
              </w:rPr>
            </w:pPr>
            <w:r w:rsidRPr="003321FA">
              <w:rPr>
                <w:rFonts w:ascii="Arial" w:hAnsi="Arial" w:cs="Arial"/>
                <w:color w:val="000000"/>
                <w:sz w:val="14"/>
                <w:szCs w:val="14"/>
              </w:rPr>
              <w:t xml:space="preserve">Resultado antes do </w:t>
            </w:r>
            <w:r w:rsidRPr="003321FA">
              <w:rPr>
                <w:rFonts w:ascii="Arial" w:hAnsi="Arial" w:cs="Arial"/>
                <w:sz w:val="14"/>
                <w:szCs w:val="14"/>
              </w:rPr>
              <w:t>IRPJ e CSLL</w:t>
            </w:r>
          </w:p>
        </w:tc>
        <w:tc>
          <w:tcPr>
            <w:tcW w:w="1461" w:type="dxa"/>
            <w:tcBorders>
              <w:top w:val="nil"/>
              <w:left w:val="nil"/>
              <w:bottom w:val="nil"/>
              <w:right w:val="nil"/>
            </w:tcBorders>
            <w:shd w:val="clear" w:color="auto" w:fill="auto"/>
            <w:vAlign w:val="center"/>
          </w:tcPr>
          <w:p w14:paraId="5A60C6D0"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606" w:type="dxa"/>
            <w:tcBorders>
              <w:top w:val="nil"/>
              <w:left w:val="nil"/>
              <w:bottom w:val="nil"/>
              <w:right w:val="nil"/>
            </w:tcBorders>
            <w:shd w:val="clear" w:color="auto" w:fill="auto"/>
            <w:vAlign w:val="center"/>
          </w:tcPr>
          <w:p w14:paraId="4DB80F46"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315" w:type="dxa"/>
            <w:tcBorders>
              <w:top w:val="nil"/>
              <w:left w:val="nil"/>
              <w:bottom w:val="nil"/>
              <w:right w:val="nil"/>
            </w:tcBorders>
            <w:shd w:val="clear" w:color="auto" w:fill="auto"/>
            <w:vAlign w:val="center"/>
          </w:tcPr>
          <w:p w14:paraId="292ED7FB"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321FA">
              <w:rPr>
                <w:rFonts w:ascii="Arial" w:hAnsi="Arial" w:cs="Arial"/>
                <w:b/>
                <w:bCs/>
                <w:sz w:val="14"/>
                <w:szCs w:val="14"/>
              </w:rPr>
              <w:t xml:space="preserve">  451.418 </w:t>
            </w:r>
          </w:p>
        </w:tc>
        <w:tc>
          <w:tcPr>
            <w:tcW w:w="1606" w:type="dxa"/>
            <w:tcBorders>
              <w:top w:val="nil"/>
              <w:left w:val="nil"/>
              <w:bottom w:val="nil"/>
              <w:right w:val="nil"/>
            </w:tcBorders>
            <w:shd w:val="clear" w:color="auto" w:fill="auto"/>
            <w:vAlign w:val="center"/>
          </w:tcPr>
          <w:p w14:paraId="05209313"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321FA">
              <w:rPr>
                <w:rFonts w:ascii="Arial" w:hAnsi="Arial" w:cs="Arial"/>
                <w:b/>
                <w:sz w:val="14"/>
                <w:szCs w:val="14"/>
              </w:rPr>
              <w:t xml:space="preserve">  442.900 </w:t>
            </w:r>
          </w:p>
        </w:tc>
      </w:tr>
      <w:tr w:rsidR="003321FA" w:rsidRPr="003321FA" w14:paraId="05BFF514"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00896C0F" w14:textId="77777777" w:rsidR="003321FA" w:rsidRPr="003321FA" w:rsidRDefault="003321FA">
            <w:pPr>
              <w:keepNext/>
              <w:keepLines/>
              <w:spacing w:before="40" w:after="40"/>
              <w:ind w:left="113"/>
              <w:rPr>
                <w:rFonts w:ascii="Arial" w:hAnsi="Arial" w:cs="Arial"/>
                <w:b w:val="0"/>
                <w:bCs w:val="0"/>
                <w:sz w:val="14"/>
                <w:szCs w:val="14"/>
              </w:rPr>
            </w:pPr>
            <w:r w:rsidRPr="003321FA">
              <w:rPr>
                <w:rFonts w:ascii="Arial" w:hAnsi="Arial" w:cs="Arial"/>
                <w:b w:val="0"/>
                <w:bCs w:val="0"/>
                <w:sz w:val="14"/>
                <w:szCs w:val="14"/>
              </w:rPr>
              <w:t>IRPJ e CSLL</w:t>
            </w:r>
          </w:p>
        </w:tc>
        <w:tc>
          <w:tcPr>
            <w:tcW w:w="1461" w:type="dxa"/>
            <w:tcBorders>
              <w:top w:val="nil"/>
              <w:left w:val="nil"/>
              <w:bottom w:val="nil"/>
              <w:right w:val="nil"/>
            </w:tcBorders>
            <w:shd w:val="clear" w:color="auto" w:fill="auto"/>
            <w:vAlign w:val="center"/>
          </w:tcPr>
          <w:p w14:paraId="3303288F"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606" w:type="dxa"/>
            <w:tcBorders>
              <w:top w:val="nil"/>
              <w:left w:val="nil"/>
              <w:bottom w:val="nil"/>
              <w:right w:val="nil"/>
            </w:tcBorders>
            <w:shd w:val="clear" w:color="auto" w:fill="auto"/>
            <w:vAlign w:val="center"/>
          </w:tcPr>
          <w:p w14:paraId="1B37B6C4"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315" w:type="dxa"/>
            <w:tcBorders>
              <w:top w:val="nil"/>
              <w:left w:val="nil"/>
              <w:bottom w:val="nil"/>
              <w:right w:val="nil"/>
            </w:tcBorders>
            <w:shd w:val="clear" w:color="auto" w:fill="auto"/>
            <w:vAlign w:val="center"/>
          </w:tcPr>
          <w:p w14:paraId="436B40C0"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sz w:val="14"/>
                <w:szCs w:val="14"/>
              </w:rPr>
              <w:t xml:space="preserve">  (161.185)</w:t>
            </w:r>
          </w:p>
        </w:tc>
        <w:tc>
          <w:tcPr>
            <w:tcW w:w="1606" w:type="dxa"/>
            <w:tcBorders>
              <w:top w:val="nil"/>
              <w:left w:val="nil"/>
              <w:bottom w:val="nil"/>
              <w:right w:val="nil"/>
            </w:tcBorders>
            <w:shd w:val="clear" w:color="auto" w:fill="auto"/>
            <w:vAlign w:val="center"/>
          </w:tcPr>
          <w:p w14:paraId="049FE925"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3321FA">
              <w:rPr>
                <w:rFonts w:ascii="Arial" w:hAnsi="Arial" w:cs="Arial"/>
                <w:bCs/>
                <w:sz w:val="14"/>
                <w:szCs w:val="14"/>
              </w:rPr>
              <w:t xml:space="preserve">  (166.164)</w:t>
            </w:r>
          </w:p>
        </w:tc>
      </w:tr>
      <w:tr w:rsidR="003321FA" w:rsidRPr="003321FA" w14:paraId="6B661DA3"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3029C26E" w14:textId="77777777" w:rsidR="003321FA" w:rsidRPr="003321FA" w:rsidRDefault="003321FA">
            <w:pPr>
              <w:keepNext/>
              <w:keepLines/>
              <w:spacing w:before="40" w:after="40"/>
              <w:ind w:left="113"/>
              <w:rPr>
                <w:rFonts w:ascii="Arial" w:hAnsi="Arial" w:cs="Arial"/>
                <w:b w:val="0"/>
                <w:bCs w:val="0"/>
                <w:sz w:val="14"/>
                <w:szCs w:val="14"/>
              </w:rPr>
            </w:pPr>
            <w:r w:rsidRPr="003321FA">
              <w:rPr>
                <w:rFonts w:ascii="Arial" w:hAnsi="Arial" w:cs="Arial"/>
                <w:b w:val="0"/>
                <w:bCs w:val="0"/>
                <w:sz w:val="14"/>
                <w:szCs w:val="14"/>
              </w:rPr>
              <w:t>Participações nos lucros</w:t>
            </w:r>
          </w:p>
        </w:tc>
        <w:tc>
          <w:tcPr>
            <w:tcW w:w="1461" w:type="dxa"/>
            <w:tcBorders>
              <w:top w:val="nil"/>
              <w:left w:val="nil"/>
              <w:bottom w:val="nil"/>
              <w:right w:val="nil"/>
            </w:tcBorders>
            <w:shd w:val="clear" w:color="auto" w:fill="auto"/>
            <w:vAlign w:val="center"/>
          </w:tcPr>
          <w:p w14:paraId="4D14B859"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06" w:type="dxa"/>
            <w:tcBorders>
              <w:top w:val="nil"/>
              <w:left w:val="nil"/>
              <w:bottom w:val="nil"/>
              <w:right w:val="nil"/>
            </w:tcBorders>
            <w:shd w:val="clear" w:color="auto" w:fill="auto"/>
            <w:vAlign w:val="center"/>
          </w:tcPr>
          <w:p w14:paraId="2EF105A0"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315" w:type="dxa"/>
            <w:tcBorders>
              <w:top w:val="nil"/>
              <w:left w:val="nil"/>
              <w:bottom w:val="nil"/>
              <w:right w:val="nil"/>
            </w:tcBorders>
            <w:shd w:val="clear" w:color="auto" w:fill="auto"/>
            <w:vAlign w:val="center"/>
          </w:tcPr>
          <w:p w14:paraId="6F71960D"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sz w:val="14"/>
                <w:szCs w:val="14"/>
              </w:rPr>
              <w:t xml:space="preserve">  (9.463)</w:t>
            </w:r>
          </w:p>
        </w:tc>
        <w:tc>
          <w:tcPr>
            <w:tcW w:w="1606" w:type="dxa"/>
            <w:tcBorders>
              <w:top w:val="nil"/>
              <w:left w:val="nil"/>
              <w:bottom w:val="nil"/>
              <w:right w:val="nil"/>
            </w:tcBorders>
            <w:shd w:val="clear" w:color="auto" w:fill="auto"/>
            <w:vAlign w:val="center"/>
          </w:tcPr>
          <w:p w14:paraId="73966323"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bCs/>
                <w:sz w:val="14"/>
                <w:szCs w:val="14"/>
              </w:rPr>
              <w:t xml:space="preserve">  (8.400)</w:t>
            </w:r>
          </w:p>
        </w:tc>
      </w:tr>
      <w:tr w:rsidR="003321FA" w:rsidRPr="003321FA" w14:paraId="047B044D"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478BF405" w14:textId="77777777" w:rsidR="003321FA" w:rsidRPr="003321FA" w:rsidRDefault="003321FA">
            <w:pPr>
              <w:keepNext/>
              <w:keepLines/>
              <w:rPr>
                <w:rFonts w:ascii="Arial" w:hAnsi="Arial" w:cs="Arial"/>
                <w:sz w:val="14"/>
                <w:szCs w:val="14"/>
              </w:rPr>
            </w:pPr>
            <w:r w:rsidRPr="003321FA">
              <w:rPr>
                <w:rFonts w:ascii="Arial" w:hAnsi="Arial" w:cs="Arial"/>
                <w:color w:val="000000"/>
                <w:sz w:val="14"/>
                <w:szCs w:val="14"/>
              </w:rPr>
              <w:t>Lucro líquido do exercício</w:t>
            </w:r>
          </w:p>
        </w:tc>
        <w:tc>
          <w:tcPr>
            <w:tcW w:w="1461" w:type="dxa"/>
            <w:tcBorders>
              <w:top w:val="nil"/>
              <w:left w:val="nil"/>
              <w:bottom w:val="nil"/>
              <w:right w:val="nil"/>
            </w:tcBorders>
            <w:shd w:val="clear" w:color="auto" w:fill="auto"/>
            <w:vAlign w:val="center"/>
          </w:tcPr>
          <w:p w14:paraId="5F1D3CC1"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606" w:type="dxa"/>
            <w:tcBorders>
              <w:top w:val="nil"/>
              <w:left w:val="nil"/>
              <w:bottom w:val="nil"/>
              <w:right w:val="nil"/>
            </w:tcBorders>
            <w:shd w:val="clear" w:color="auto" w:fill="auto"/>
            <w:vAlign w:val="center"/>
          </w:tcPr>
          <w:p w14:paraId="7FB0A940"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315" w:type="dxa"/>
            <w:tcBorders>
              <w:top w:val="nil"/>
              <w:left w:val="nil"/>
              <w:bottom w:val="nil"/>
              <w:right w:val="nil"/>
            </w:tcBorders>
            <w:shd w:val="clear" w:color="auto" w:fill="auto"/>
            <w:vAlign w:val="center"/>
          </w:tcPr>
          <w:p w14:paraId="375A0718"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321FA">
              <w:rPr>
                <w:rFonts w:ascii="Arial" w:hAnsi="Arial" w:cs="Arial"/>
                <w:b/>
                <w:bCs/>
                <w:sz w:val="14"/>
                <w:szCs w:val="14"/>
              </w:rPr>
              <w:t xml:space="preserve">  280.770 </w:t>
            </w:r>
          </w:p>
        </w:tc>
        <w:tc>
          <w:tcPr>
            <w:tcW w:w="1606" w:type="dxa"/>
            <w:tcBorders>
              <w:top w:val="nil"/>
              <w:left w:val="nil"/>
              <w:bottom w:val="nil"/>
              <w:right w:val="nil"/>
            </w:tcBorders>
            <w:shd w:val="clear" w:color="auto" w:fill="auto"/>
            <w:vAlign w:val="center"/>
          </w:tcPr>
          <w:p w14:paraId="13CEED87"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321FA">
              <w:rPr>
                <w:rFonts w:ascii="Arial" w:hAnsi="Arial" w:cs="Arial"/>
                <w:b/>
                <w:sz w:val="14"/>
                <w:szCs w:val="14"/>
              </w:rPr>
              <w:t xml:space="preserve">  268.336 </w:t>
            </w:r>
          </w:p>
        </w:tc>
      </w:tr>
      <w:tr w:rsidR="003321FA" w:rsidRPr="003321FA" w14:paraId="502DEDBD"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7E60B08C" w14:textId="77777777" w:rsidR="003321FA" w:rsidRPr="003321FA" w:rsidRDefault="003321FA">
            <w:pPr>
              <w:keepNext/>
              <w:keepLines/>
              <w:spacing w:before="40" w:after="40"/>
              <w:ind w:left="113"/>
              <w:rPr>
                <w:rFonts w:ascii="Arial" w:hAnsi="Arial" w:cs="Arial"/>
                <w:b w:val="0"/>
                <w:bCs w:val="0"/>
                <w:sz w:val="14"/>
                <w:szCs w:val="14"/>
              </w:rPr>
            </w:pPr>
            <w:r w:rsidRPr="003321FA">
              <w:rPr>
                <w:rFonts w:ascii="Arial" w:hAnsi="Arial" w:cs="Arial"/>
                <w:b w:val="0"/>
                <w:bCs w:val="0"/>
                <w:sz w:val="14"/>
                <w:szCs w:val="14"/>
              </w:rPr>
              <w:t>Outros resultados abrangentes</w:t>
            </w:r>
          </w:p>
        </w:tc>
        <w:tc>
          <w:tcPr>
            <w:tcW w:w="1461" w:type="dxa"/>
            <w:tcBorders>
              <w:top w:val="nil"/>
              <w:left w:val="nil"/>
              <w:bottom w:val="nil"/>
              <w:right w:val="nil"/>
            </w:tcBorders>
            <w:shd w:val="clear" w:color="auto" w:fill="auto"/>
            <w:vAlign w:val="center"/>
          </w:tcPr>
          <w:p w14:paraId="5E61DC00"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06" w:type="dxa"/>
            <w:tcBorders>
              <w:top w:val="nil"/>
              <w:left w:val="nil"/>
              <w:bottom w:val="nil"/>
              <w:right w:val="nil"/>
            </w:tcBorders>
            <w:shd w:val="clear" w:color="auto" w:fill="auto"/>
            <w:vAlign w:val="center"/>
          </w:tcPr>
          <w:p w14:paraId="6B41D0A0"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315" w:type="dxa"/>
            <w:tcBorders>
              <w:top w:val="nil"/>
              <w:left w:val="nil"/>
              <w:bottom w:val="nil"/>
              <w:right w:val="nil"/>
            </w:tcBorders>
            <w:shd w:val="clear" w:color="auto" w:fill="auto"/>
            <w:vAlign w:val="center"/>
          </w:tcPr>
          <w:p w14:paraId="56ED8827"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sz w:val="14"/>
                <w:szCs w:val="14"/>
              </w:rPr>
              <w:t xml:space="preserve">  18.499 </w:t>
            </w:r>
          </w:p>
        </w:tc>
        <w:tc>
          <w:tcPr>
            <w:tcW w:w="1606" w:type="dxa"/>
            <w:tcBorders>
              <w:top w:val="nil"/>
              <w:left w:val="nil"/>
              <w:bottom w:val="nil"/>
              <w:right w:val="nil"/>
            </w:tcBorders>
            <w:shd w:val="clear" w:color="auto" w:fill="auto"/>
            <w:vAlign w:val="center"/>
          </w:tcPr>
          <w:p w14:paraId="718D2E16"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bCs/>
                <w:sz w:val="14"/>
                <w:szCs w:val="14"/>
              </w:rPr>
              <w:t>(18.605)</w:t>
            </w:r>
          </w:p>
        </w:tc>
      </w:tr>
      <w:tr w:rsidR="003321FA" w:rsidRPr="003321FA" w14:paraId="2DBF7AC7"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0D064D4C" w14:textId="77777777" w:rsidR="003321FA" w:rsidRPr="003321FA" w:rsidRDefault="003321FA">
            <w:pPr>
              <w:keepNext/>
              <w:keepLines/>
              <w:rPr>
                <w:rFonts w:ascii="Arial" w:hAnsi="Arial" w:cs="Arial"/>
                <w:sz w:val="14"/>
                <w:szCs w:val="14"/>
              </w:rPr>
            </w:pPr>
            <w:r w:rsidRPr="003321FA">
              <w:rPr>
                <w:rFonts w:ascii="Arial" w:hAnsi="Arial" w:cs="Arial"/>
                <w:sz w:val="14"/>
                <w:szCs w:val="14"/>
              </w:rPr>
              <w:t>Resultado abrangente total</w:t>
            </w:r>
          </w:p>
        </w:tc>
        <w:tc>
          <w:tcPr>
            <w:tcW w:w="1461" w:type="dxa"/>
            <w:tcBorders>
              <w:top w:val="nil"/>
              <w:left w:val="nil"/>
              <w:bottom w:val="nil"/>
              <w:right w:val="nil"/>
            </w:tcBorders>
            <w:shd w:val="clear" w:color="auto" w:fill="auto"/>
            <w:vAlign w:val="center"/>
          </w:tcPr>
          <w:p w14:paraId="45D003B9"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606" w:type="dxa"/>
            <w:tcBorders>
              <w:top w:val="nil"/>
              <w:left w:val="nil"/>
              <w:bottom w:val="nil"/>
              <w:right w:val="nil"/>
            </w:tcBorders>
            <w:shd w:val="clear" w:color="auto" w:fill="auto"/>
            <w:vAlign w:val="center"/>
          </w:tcPr>
          <w:p w14:paraId="582BA300"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315" w:type="dxa"/>
            <w:tcBorders>
              <w:top w:val="nil"/>
              <w:left w:val="nil"/>
              <w:bottom w:val="nil"/>
              <w:right w:val="nil"/>
            </w:tcBorders>
            <w:shd w:val="clear" w:color="auto" w:fill="auto"/>
            <w:vAlign w:val="center"/>
          </w:tcPr>
          <w:p w14:paraId="1D192C31"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321FA">
              <w:rPr>
                <w:rFonts w:ascii="Arial" w:hAnsi="Arial" w:cs="Arial"/>
                <w:b/>
                <w:bCs/>
                <w:sz w:val="14"/>
                <w:szCs w:val="14"/>
              </w:rPr>
              <w:t xml:space="preserve">  299.269 </w:t>
            </w:r>
          </w:p>
        </w:tc>
        <w:tc>
          <w:tcPr>
            <w:tcW w:w="1606" w:type="dxa"/>
            <w:tcBorders>
              <w:top w:val="nil"/>
              <w:left w:val="nil"/>
              <w:bottom w:val="nil"/>
              <w:right w:val="nil"/>
            </w:tcBorders>
            <w:shd w:val="clear" w:color="auto" w:fill="auto"/>
            <w:vAlign w:val="center"/>
          </w:tcPr>
          <w:p w14:paraId="69C10A92"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321FA">
              <w:rPr>
                <w:rFonts w:ascii="Arial" w:hAnsi="Arial" w:cs="Arial"/>
                <w:b/>
                <w:sz w:val="14"/>
                <w:szCs w:val="14"/>
              </w:rPr>
              <w:t xml:space="preserve">249.731 </w:t>
            </w:r>
          </w:p>
        </w:tc>
      </w:tr>
      <w:tr w:rsidR="003321FA" w:rsidRPr="003321FA" w14:paraId="013C27AB"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25D5E1D0" w14:textId="77777777" w:rsidR="003321FA" w:rsidRPr="003321FA" w:rsidRDefault="003321FA">
            <w:pPr>
              <w:keepNext/>
              <w:keepLines/>
              <w:rPr>
                <w:rFonts w:ascii="Arial" w:hAnsi="Arial" w:cs="Arial"/>
                <w:sz w:val="14"/>
                <w:szCs w:val="14"/>
              </w:rPr>
            </w:pPr>
            <w:r w:rsidRPr="003321FA">
              <w:rPr>
                <w:rFonts w:ascii="Arial" w:eastAsia="Times New Roman" w:hAnsi="Arial" w:cs="Arial"/>
                <w:color w:val="000000"/>
                <w:spacing w:val="-2"/>
                <w:sz w:val="14"/>
                <w:szCs w:val="14"/>
                <w:lang w:eastAsia="pt-BR"/>
              </w:rPr>
              <w:t>Atribuível à BB Seguridade</w:t>
            </w:r>
          </w:p>
        </w:tc>
        <w:tc>
          <w:tcPr>
            <w:tcW w:w="1461" w:type="dxa"/>
            <w:tcBorders>
              <w:top w:val="nil"/>
              <w:left w:val="nil"/>
              <w:bottom w:val="nil"/>
              <w:right w:val="nil"/>
            </w:tcBorders>
            <w:shd w:val="clear" w:color="auto" w:fill="auto"/>
            <w:vAlign w:val="center"/>
          </w:tcPr>
          <w:p w14:paraId="1944A0E9"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606" w:type="dxa"/>
            <w:tcBorders>
              <w:top w:val="nil"/>
              <w:left w:val="nil"/>
              <w:bottom w:val="nil"/>
              <w:right w:val="nil"/>
            </w:tcBorders>
            <w:shd w:val="clear" w:color="auto" w:fill="auto"/>
            <w:vAlign w:val="center"/>
          </w:tcPr>
          <w:p w14:paraId="78DDD4E5"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315" w:type="dxa"/>
            <w:tcBorders>
              <w:top w:val="nil"/>
              <w:left w:val="nil"/>
              <w:bottom w:val="nil"/>
              <w:right w:val="nil"/>
            </w:tcBorders>
            <w:shd w:val="clear" w:color="auto" w:fill="auto"/>
            <w:vAlign w:val="center"/>
          </w:tcPr>
          <w:p w14:paraId="713D559E" w14:textId="19878A2B"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321FA">
              <w:rPr>
                <w:rFonts w:ascii="Arial" w:hAnsi="Arial" w:cs="Arial"/>
                <w:b/>
                <w:bCs/>
                <w:color w:val="000000"/>
                <w:sz w:val="14"/>
                <w:szCs w:val="14"/>
              </w:rPr>
              <w:t xml:space="preserve"> 187.464</w:t>
            </w:r>
          </w:p>
        </w:tc>
        <w:tc>
          <w:tcPr>
            <w:tcW w:w="1606" w:type="dxa"/>
            <w:tcBorders>
              <w:top w:val="nil"/>
              <w:left w:val="nil"/>
              <w:bottom w:val="nil"/>
              <w:right w:val="nil"/>
            </w:tcBorders>
            <w:shd w:val="clear" w:color="auto" w:fill="auto"/>
            <w:vAlign w:val="center"/>
          </w:tcPr>
          <w:p w14:paraId="590A7520" w14:textId="77777777" w:rsidR="003321FA" w:rsidRPr="003321FA" w:rsidRDefault="003321FA">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321FA">
              <w:rPr>
                <w:rFonts w:ascii="Arial" w:hAnsi="Arial" w:cs="Arial"/>
                <w:b/>
                <w:sz w:val="14"/>
                <w:szCs w:val="14"/>
              </w:rPr>
              <w:t>179.162</w:t>
            </w:r>
          </w:p>
        </w:tc>
      </w:tr>
      <w:tr w:rsidR="003321FA" w:rsidRPr="003321FA" w14:paraId="2A470BD8" w14:textId="77777777">
        <w:trPr>
          <w:cnfStyle w:val="000000010000" w:firstRow="0" w:lastRow="0" w:firstColumn="0" w:lastColumn="0" w:oddVBand="0" w:evenVBand="0" w:oddHBand="0" w:evenHBand="1" w:firstRowFirstColumn="0" w:firstRowLastColumn="0" w:lastRowFirstColumn="0" w:lastRowLastColumn="0"/>
          <w:trHeight w:val="202"/>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single" w:sz="4" w:space="0" w:color="1F3864" w:themeColor="accent1" w:themeShade="80"/>
              <w:right w:val="nil"/>
            </w:tcBorders>
            <w:shd w:val="clear" w:color="auto" w:fill="auto"/>
            <w:vAlign w:val="center"/>
          </w:tcPr>
          <w:p w14:paraId="7BCA72D4" w14:textId="77777777" w:rsidR="003321FA" w:rsidRPr="003321FA" w:rsidRDefault="003321FA">
            <w:pPr>
              <w:keepNext/>
              <w:keepLines/>
              <w:rPr>
                <w:rFonts w:ascii="Arial" w:hAnsi="Arial" w:cs="Arial"/>
                <w:sz w:val="14"/>
                <w:szCs w:val="14"/>
              </w:rPr>
            </w:pPr>
            <w:r w:rsidRPr="003321FA">
              <w:rPr>
                <w:rFonts w:ascii="Arial" w:eastAsia="Times New Roman" w:hAnsi="Arial" w:cs="Arial"/>
                <w:color w:val="000000"/>
                <w:spacing w:val="-2"/>
                <w:sz w:val="14"/>
                <w:szCs w:val="14"/>
                <w:lang w:eastAsia="pt-BR"/>
              </w:rPr>
              <w:t>Resultado de equivalência</w:t>
            </w:r>
          </w:p>
        </w:tc>
        <w:tc>
          <w:tcPr>
            <w:tcW w:w="1461" w:type="dxa"/>
            <w:tcBorders>
              <w:top w:val="nil"/>
              <w:left w:val="nil"/>
              <w:bottom w:val="single" w:sz="4" w:space="0" w:color="1F3864" w:themeColor="accent1" w:themeShade="80"/>
              <w:right w:val="nil"/>
            </w:tcBorders>
            <w:shd w:val="clear" w:color="auto" w:fill="auto"/>
            <w:vAlign w:val="center"/>
          </w:tcPr>
          <w:p w14:paraId="20A43990"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606" w:type="dxa"/>
            <w:tcBorders>
              <w:top w:val="nil"/>
              <w:left w:val="nil"/>
              <w:bottom w:val="single" w:sz="4" w:space="0" w:color="1F3864" w:themeColor="accent1" w:themeShade="80"/>
              <w:right w:val="nil"/>
            </w:tcBorders>
            <w:shd w:val="clear" w:color="auto" w:fill="auto"/>
            <w:vAlign w:val="center"/>
          </w:tcPr>
          <w:p w14:paraId="574102C8"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315" w:type="dxa"/>
            <w:tcBorders>
              <w:top w:val="nil"/>
              <w:left w:val="nil"/>
              <w:bottom w:val="single" w:sz="4" w:space="0" w:color="1F3864" w:themeColor="accent1" w:themeShade="80"/>
              <w:right w:val="nil"/>
            </w:tcBorders>
            <w:shd w:val="clear" w:color="auto" w:fill="auto"/>
            <w:vAlign w:val="center"/>
          </w:tcPr>
          <w:p w14:paraId="741498B5"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321FA">
              <w:rPr>
                <w:rFonts w:ascii="Arial" w:hAnsi="Arial" w:cs="Arial"/>
                <w:b/>
                <w:bCs/>
                <w:sz w:val="14"/>
                <w:szCs w:val="14"/>
              </w:rPr>
              <w:t>187.464</w:t>
            </w:r>
          </w:p>
        </w:tc>
        <w:tc>
          <w:tcPr>
            <w:tcW w:w="1606" w:type="dxa"/>
            <w:tcBorders>
              <w:top w:val="nil"/>
              <w:left w:val="nil"/>
              <w:bottom w:val="single" w:sz="4" w:space="0" w:color="1F3864" w:themeColor="accent1" w:themeShade="80"/>
              <w:right w:val="nil"/>
            </w:tcBorders>
            <w:shd w:val="clear" w:color="auto" w:fill="auto"/>
            <w:vAlign w:val="center"/>
          </w:tcPr>
          <w:p w14:paraId="553340BA"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3321FA">
              <w:rPr>
                <w:rFonts w:ascii="Arial" w:hAnsi="Arial" w:cs="Arial"/>
                <w:b/>
                <w:sz w:val="14"/>
                <w:szCs w:val="14"/>
              </w:rPr>
              <w:t>179.162</w:t>
            </w:r>
          </w:p>
        </w:tc>
      </w:tr>
    </w:tbl>
    <w:bookmarkEnd w:id="79"/>
    <w:p w14:paraId="029E2302" w14:textId="77777777" w:rsidR="003321FA" w:rsidRPr="003321FA" w:rsidRDefault="003321FA" w:rsidP="003321FA">
      <w:pPr>
        <w:pageBreakBefore/>
        <w:spacing w:after="0" w:line="240" w:lineRule="auto"/>
        <w:rPr>
          <w:rFonts w:ascii="Arial" w:eastAsia="Times New Roman" w:hAnsi="Arial" w:cs="Times New Roman"/>
          <w:b/>
          <w:color w:val="1F3864" w:themeColor="accent1" w:themeShade="80"/>
          <w:spacing w:val="-2"/>
          <w:sz w:val="18"/>
          <w:szCs w:val="20"/>
          <w:lang w:eastAsia="pt-BR"/>
        </w:rPr>
      </w:pPr>
      <w:r w:rsidRPr="003321FA">
        <w:rPr>
          <w:rFonts w:ascii="Arial" w:eastAsia="Times New Roman" w:hAnsi="Arial" w:cs="Times New Roman"/>
          <w:b/>
          <w:color w:val="1F3864" w:themeColor="accent1" w:themeShade="80"/>
          <w:spacing w:val="-2"/>
          <w:sz w:val="18"/>
          <w:szCs w:val="20"/>
          <w:lang w:eastAsia="pt-BR"/>
        </w:rPr>
        <w:lastRenderedPageBreak/>
        <w:t>Informações Patrimoniais</w:t>
      </w:r>
    </w:p>
    <w:p w14:paraId="07B1A66C" w14:textId="77777777" w:rsidR="003321FA" w:rsidRPr="003321FA" w:rsidRDefault="003321FA" w:rsidP="003321FA">
      <w:pPr>
        <w:spacing w:after="0" w:line="240" w:lineRule="auto"/>
        <w:jc w:val="right"/>
        <w:rPr>
          <w:rFonts w:ascii="Arial" w:hAnsi="Arial" w:cs="Arial"/>
          <w:b/>
          <w:sz w:val="14"/>
          <w:lang w:eastAsia="pt-BR"/>
        </w:rPr>
      </w:pPr>
      <w:r w:rsidRPr="003321FA">
        <w:rPr>
          <w:rFonts w:ascii="Arial" w:hAnsi="Arial" w:cs="Arial"/>
          <w:b/>
          <w:sz w:val="14"/>
          <w:lang w:eastAsia="pt-BR"/>
        </w:rPr>
        <w:t>R$ mil</w:t>
      </w:r>
    </w:p>
    <w:tbl>
      <w:tblPr>
        <w:tblStyle w:val="TabeladeLista6Colorida-nfase512"/>
        <w:tblW w:w="9640" w:type="dxa"/>
        <w:jc w:val="center"/>
        <w:tblLayout w:type="fixed"/>
        <w:tblLook w:val="04A0" w:firstRow="1" w:lastRow="0" w:firstColumn="1" w:lastColumn="0" w:noHBand="0" w:noVBand="1"/>
      </w:tblPr>
      <w:tblGrid>
        <w:gridCol w:w="4820"/>
        <w:gridCol w:w="2410"/>
        <w:gridCol w:w="2410"/>
      </w:tblGrid>
      <w:tr w:rsidR="003321FA" w:rsidRPr="003321FA" w14:paraId="2D8B74BE"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54A3489" w14:textId="77777777" w:rsidR="003321FA" w:rsidRPr="003321FA" w:rsidRDefault="003321FA">
            <w:pPr>
              <w:jc w:val="center"/>
              <w:rPr>
                <w:rFonts w:ascii="Arial" w:hAnsi="Arial" w:cs="Arial"/>
                <w:sz w:val="14"/>
                <w:szCs w:val="14"/>
              </w:rPr>
            </w:pPr>
          </w:p>
        </w:tc>
        <w:tc>
          <w:tcPr>
            <w:tcW w:w="241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ACE3830" w14:textId="77777777" w:rsidR="003321FA" w:rsidRPr="003321FA" w:rsidRDefault="003321FA">
            <w:pPr>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3321FA">
              <w:rPr>
                <w:rFonts w:ascii="Arial" w:hAnsi="Arial" w:cs="Arial"/>
                <w:bCs w:val="0"/>
                <w:sz w:val="14"/>
                <w:szCs w:val="14"/>
              </w:rPr>
              <w:t>31.12.2024</w:t>
            </w:r>
          </w:p>
        </w:tc>
        <w:tc>
          <w:tcPr>
            <w:tcW w:w="241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44E5E7B" w14:textId="77777777" w:rsidR="003321FA" w:rsidRPr="003321FA" w:rsidRDefault="003321FA">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sz w:val="14"/>
                <w:szCs w:val="14"/>
              </w:rPr>
              <w:t>31.12.2023</w:t>
            </w:r>
          </w:p>
        </w:tc>
      </w:tr>
      <w:tr w:rsidR="003321FA" w:rsidRPr="003321FA" w14:paraId="328747B9"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single" w:sz="2" w:space="0" w:color="1F3864" w:themeColor="accent1" w:themeShade="80"/>
              <w:left w:val="nil"/>
              <w:bottom w:val="nil"/>
              <w:right w:val="nil"/>
            </w:tcBorders>
            <w:shd w:val="clear" w:color="auto" w:fill="auto"/>
            <w:vAlign w:val="center"/>
            <w:hideMark/>
          </w:tcPr>
          <w:p w14:paraId="5A0A719E" w14:textId="77777777" w:rsidR="003321FA" w:rsidRPr="003321FA" w:rsidRDefault="003321FA">
            <w:pPr>
              <w:keepNext/>
              <w:keepLines/>
              <w:rPr>
                <w:rFonts w:ascii="Arial" w:eastAsia="Times New Roman" w:hAnsi="Arial" w:cs="Arial"/>
                <w:spacing w:val="-2"/>
                <w:sz w:val="14"/>
                <w:szCs w:val="14"/>
              </w:rPr>
            </w:pPr>
            <w:r w:rsidRPr="003321FA">
              <w:rPr>
                <w:rFonts w:ascii="Arial" w:hAnsi="Arial" w:cs="Arial"/>
                <w:color w:val="000000"/>
                <w:sz w:val="14"/>
                <w:szCs w:val="14"/>
              </w:rPr>
              <w:t xml:space="preserve">Ativo circulante </w:t>
            </w:r>
          </w:p>
        </w:tc>
        <w:tc>
          <w:tcPr>
            <w:tcW w:w="2410" w:type="dxa"/>
            <w:tcBorders>
              <w:top w:val="single" w:sz="2" w:space="0" w:color="1F3864" w:themeColor="accent1" w:themeShade="80"/>
              <w:left w:val="nil"/>
              <w:bottom w:val="nil"/>
              <w:right w:val="nil"/>
            </w:tcBorders>
            <w:shd w:val="clear" w:color="auto" w:fill="auto"/>
            <w:vAlign w:val="bottom"/>
          </w:tcPr>
          <w:p w14:paraId="5DB59702"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321FA">
              <w:rPr>
                <w:rFonts w:ascii="Arial" w:hAnsi="Arial" w:cs="Arial"/>
                <w:b/>
                <w:bCs/>
                <w:sz w:val="14"/>
                <w:szCs w:val="14"/>
              </w:rPr>
              <w:t xml:space="preserve">  6.085.371 </w:t>
            </w:r>
          </w:p>
        </w:tc>
        <w:tc>
          <w:tcPr>
            <w:tcW w:w="2410" w:type="dxa"/>
            <w:tcBorders>
              <w:top w:val="single" w:sz="2" w:space="0" w:color="1F3864" w:themeColor="accent1" w:themeShade="80"/>
              <w:left w:val="nil"/>
              <w:bottom w:val="nil"/>
              <w:right w:val="nil"/>
            </w:tcBorders>
            <w:shd w:val="clear" w:color="auto" w:fill="auto"/>
            <w:vAlign w:val="center"/>
          </w:tcPr>
          <w:p w14:paraId="1A6F150D"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321FA">
              <w:rPr>
                <w:rFonts w:ascii="Arial" w:hAnsi="Arial" w:cs="Arial"/>
                <w:b/>
                <w:bCs/>
                <w:sz w:val="14"/>
                <w:szCs w:val="14"/>
              </w:rPr>
              <w:t xml:space="preserve">  9.377.327 </w:t>
            </w:r>
          </w:p>
        </w:tc>
      </w:tr>
      <w:tr w:rsidR="003321FA" w:rsidRPr="003321FA" w14:paraId="44B0D7EB"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hideMark/>
          </w:tcPr>
          <w:p w14:paraId="0AD7604C" w14:textId="77777777" w:rsidR="003321FA" w:rsidRPr="003321FA" w:rsidRDefault="003321FA">
            <w:pPr>
              <w:keepNext/>
              <w:keepLines/>
              <w:ind w:left="113"/>
              <w:rPr>
                <w:rFonts w:ascii="Arial" w:eastAsia="Times New Roman" w:hAnsi="Arial" w:cs="Arial"/>
                <w:b w:val="0"/>
                <w:bCs w:val="0"/>
                <w:spacing w:val="-2"/>
                <w:sz w:val="14"/>
                <w:szCs w:val="14"/>
              </w:rPr>
            </w:pPr>
            <w:r w:rsidRPr="003321FA">
              <w:rPr>
                <w:rFonts w:ascii="Arial" w:hAnsi="Arial" w:cs="Arial"/>
                <w:b w:val="0"/>
                <w:bCs w:val="0"/>
                <w:sz w:val="14"/>
                <w:szCs w:val="14"/>
              </w:rPr>
              <w:t>Caixa e equivalentes de caixa</w:t>
            </w:r>
          </w:p>
        </w:tc>
        <w:tc>
          <w:tcPr>
            <w:tcW w:w="2410" w:type="dxa"/>
            <w:tcBorders>
              <w:top w:val="nil"/>
              <w:left w:val="nil"/>
              <w:bottom w:val="nil"/>
              <w:right w:val="nil"/>
            </w:tcBorders>
            <w:shd w:val="clear" w:color="auto" w:fill="auto"/>
            <w:vAlign w:val="bottom"/>
          </w:tcPr>
          <w:p w14:paraId="03960028"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sz w:val="14"/>
                <w:szCs w:val="14"/>
              </w:rPr>
              <w:t xml:space="preserve">  370 </w:t>
            </w:r>
          </w:p>
        </w:tc>
        <w:tc>
          <w:tcPr>
            <w:tcW w:w="2410" w:type="dxa"/>
            <w:tcBorders>
              <w:top w:val="nil"/>
              <w:left w:val="nil"/>
              <w:bottom w:val="nil"/>
              <w:right w:val="nil"/>
            </w:tcBorders>
            <w:shd w:val="clear" w:color="auto" w:fill="auto"/>
            <w:vAlign w:val="center"/>
          </w:tcPr>
          <w:p w14:paraId="2C90A904"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sz w:val="14"/>
                <w:szCs w:val="14"/>
              </w:rPr>
              <w:t xml:space="preserve">  34 </w:t>
            </w:r>
          </w:p>
        </w:tc>
      </w:tr>
      <w:tr w:rsidR="003321FA" w:rsidRPr="003321FA" w14:paraId="7176DC15"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4F582790" w14:textId="77777777" w:rsidR="003321FA" w:rsidRPr="003321FA" w:rsidRDefault="003321FA">
            <w:pPr>
              <w:keepNext/>
              <w:keepLines/>
              <w:ind w:left="113"/>
              <w:rPr>
                <w:rFonts w:ascii="Arial" w:eastAsia="Times New Roman" w:hAnsi="Arial" w:cs="Arial"/>
                <w:b w:val="0"/>
                <w:bCs w:val="0"/>
                <w:spacing w:val="-2"/>
                <w:sz w:val="14"/>
                <w:szCs w:val="14"/>
              </w:rPr>
            </w:pPr>
            <w:r w:rsidRPr="003321FA">
              <w:rPr>
                <w:rFonts w:ascii="Arial" w:hAnsi="Arial" w:cs="Arial"/>
                <w:b w:val="0"/>
                <w:bCs w:val="0"/>
                <w:color w:val="000000"/>
                <w:sz w:val="14"/>
                <w:szCs w:val="14"/>
              </w:rPr>
              <w:t>Aplicações</w:t>
            </w:r>
          </w:p>
        </w:tc>
        <w:tc>
          <w:tcPr>
            <w:tcW w:w="2410" w:type="dxa"/>
            <w:tcBorders>
              <w:top w:val="nil"/>
              <w:left w:val="nil"/>
              <w:bottom w:val="nil"/>
              <w:right w:val="nil"/>
            </w:tcBorders>
            <w:shd w:val="clear" w:color="auto" w:fill="auto"/>
            <w:vAlign w:val="bottom"/>
          </w:tcPr>
          <w:p w14:paraId="03F2AD50"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sz w:val="14"/>
                <w:szCs w:val="14"/>
              </w:rPr>
              <w:t xml:space="preserve">  6.047.423 </w:t>
            </w:r>
          </w:p>
        </w:tc>
        <w:tc>
          <w:tcPr>
            <w:tcW w:w="2410" w:type="dxa"/>
            <w:tcBorders>
              <w:top w:val="nil"/>
              <w:left w:val="nil"/>
              <w:bottom w:val="nil"/>
              <w:right w:val="nil"/>
            </w:tcBorders>
            <w:shd w:val="clear" w:color="auto" w:fill="auto"/>
            <w:vAlign w:val="center"/>
          </w:tcPr>
          <w:p w14:paraId="0FEF7C0E"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sz w:val="14"/>
                <w:szCs w:val="14"/>
              </w:rPr>
              <w:t xml:space="preserve">  9.301.068 </w:t>
            </w:r>
          </w:p>
        </w:tc>
      </w:tr>
      <w:tr w:rsidR="003321FA" w:rsidRPr="003321FA" w14:paraId="134DE05E"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77E5F7E7" w14:textId="77777777" w:rsidR="003321FA" w:rsidRPr="003321FA" w:rsidRDefault="003321FA">
            <w:pPr>
              <w:keepNext/>
              <w:keepLines/>
              <w:ind w:left="113"/>
              <w:rPr>
                <w:rFonts w:ascii="Arial" w:eastAsia="Times New Roman" w:hAnsi="Arial" w:cs="Arial"/>
                <w:b w:val="0"/>
                <w:bCs w:val="0"/>
                <w:spacing w:val="-2"/>
                <w:sz w:val="14"/>
                <w:szCs w:val="14"/>
              </w:rPr>
            </w:pPr>
            <w:r w:rsidRPr="003321FA">
              <w:rPr>
                <w:rFonts w:ascii="Arial" w:hAnsi="Arial" w:cs="Arial"/>
                <w:b w:val="0"/>
                <w:bCs w:val="0"/>
                <w:color w:val="000000"/>
                <w:sz w:val="14"/>
                <w:szCs w:val="14"/>
              </w:rPr>
              <w:t>Outros ativos circulantes</w:t>
            </w:r>
          </w:p>
        </w:tc>
        <w:tc>
          <w:tcPr>
            <w:tcW w:w="2410" w:type="dxa"/>
            <w:tcBorders>
              <w:top w:val="nil"/>
              <w:left w:val="nil"/>
              <w:bottom w:val="nil"/>
              <w:right w:val="nil"/>
            </w:tcBorders>
            <w:shd w:val="clear" w:color="auto" w:fill="auto"/>
            <w:vAlign w:val="bottom"/>
          </w:tcPr>
          <w:p w14:paraId="4C6456DF"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sz w:val="14"/>
                <w:szCs w:val="14"/>
              </w:rPr>
              <w:t xml:space="preserve">  37.578 </w:t>
            </w:r>
          </w:p>
        </w:tc>
        <w:tc>
          <w:tcPr>
            <w:tcW w:w="2410" w:type="dxa"/>
            <w:tcBorders>
              <w:top w:val="nil"/>
              <w:left w:val="nil"/>
              <w:bottom w:val="nil"/>
              <w:right w:val="nil"/>
            </w:tcBorders>
            <w:shd w:val="clear" w:color="auto" w:fill="auto"/>
            <w:vAlign w:val="center"/>
          </w:tcPr>
          <w:p w14:paraId="40658FE3"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sz w:val="14"/>
                <w:szCs w:val="14"/>
              </w:rPr>
              <w:t xml:space="preserve">  76.225 </w:t>
            </w:r>
          </w:p>
        </w:tc>
      </w:tr>
      <w:tr w:rsidR="003321FA" w:rsidRPr="003321FA" w14:paraId="071BAA8D"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2DA53504" w14:textId="77777777" w:rsidR="003321FA" w:rsidRPr="003321FA" w:rsidRDefault="003321FA">
            <w:pPr>
              <w:keepNext/>
              <w:keepLines/>
              <w:rPr>
                <w:rFonts w:ascii="Arial" w:hAnsi="Arial" w:cs="Arial"/>
                <w:color w:val="000000"/>
                <w:sz w:val="14"/>
                <w:szCs w:val="14"/>
              </w:rPr>
            </w:pPr>
            <w:r w:rsidRPr="003321FA">
              <w:rPr>
                <w:rFonts w:ascii="Arial" w:hAnsi="Arial" w:cs="Arial"/>
                <w:sz w:val="14"/>
                <w:szCs w:val="14"/>
              </w:rPr>
              <w:t xml:space="preserve">Ativo não circulante </w:t>
            </w:r>
          </w:p>
        </w:tc>
        <w:tc>
          <w:tcPr>
            <w:tcW w:w="2410" w:type="dxa"/>
            <w:tcBorders>
              <w:top w:val="nil"/>
              <w:left w:val="nil"/>
              <w:bottom w:val="nil"/>
              <w:right w:val="nil"/>
            </w:tcBorders>
            <w:shd w:val="clear" w:color="auto" w:fill="auto"/>
            <w:vAlign w:val="bottom"/>
          </w:tcPr>
          <w:p w14:paraId="35EF9D24"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321FA">
              <w:rPr>
                <w:rFonts w:ascii="Arial" w:hAnsi="Arial" w:cs="Arial"/>
                <w:b/>
                <w:bCs/>
                <w:sz w:val="14"/>
                <w:szCs w:val="14"/>
              </w:rPr>
              <w:t xml:space="preserve">  7.445.779 </w:t>
            </w:r>
          </w:p>
        </w:tc>
        <w:tc>
          <w:tcPr>
            <w:tcW w:w="2410" w:type="dxa"/>
            <w:tcBorders>
              <w:top w:val="nil"/>
              <w:left w:val="nil"/>
              <w:bottom w:val="nil"/>
              <w:right w:val="nil"/>
            </w:tcBorders>
            <w:shd w:val="clear" w:color="auto" w:fill="auto"/>
            <w:vAlign w:val="center"/>
          </w:tcPr>
          <w:p w14:paraId="446C3AE1"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321FA">
              <w:rPr>
                <w:rFonts w:ascii="Arial" w:hAnsi="Arial" w:cs="Arial"/>
                <w:b/>
                <w:bCs/>
                <w:sz w:val="14"/>
                <w:szCs w:val="14"/>
              </w:rPr>
              <w:t xml:space="preserve">  4.108.791 </w:t>
            </w:r>
          </w:p>
        </w:tc>
      </w:tr>
      <w:tr w:rsidR="003321FA" w:rsidRPr="003321FA" w14:paraId="11A3A3D8"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4B6A8A69" w14:textId="77777777" w:rsidR="003321FA" w:rsidRPr="003321FA" w:rsidRDefault="003321FA">
            <w:pPr>
              <w:keepNext/>
              <w:keepLines/>
              <w:ind w:left="113"/>
              <w:rPr>
                <w:rFonts w:ascii="Arial" w:hAnsi="Arial" w:cs="Arial"/>
                <w:b w:val="0"/>
                <w:bCs w:val="0"/>
                <w:color w:val="000000"/>
                <w:sz w:val="14"/>
                <w:szCs w:val="14"/>
              </w:rPr>
            </w:pPr>
            <w:r w:rsidRPr="003321FA">
              <w:rPr>
                <w:rFonts w:ascii="Arial" w:hAnsi="Arial" w:cs="Arial"/>
                <w:b w:val="0"/>
                <w:bCs w:val="0"/>
                <w:color w:val="000000"/>
                <w:sz w:val="14"/>
                <w:szCs w:val="14"/>
              </w:rPr>
              <w:t>Aplicações</w:t>
            </w:r>
          </w:p>
        </w:tc>
        <w:tc>
          <w:tcPr>
            <w:tcW w:w="2410" w:type="dxa"/>
            <w:tcBorders>
              <w:top w:val="nil"/>
              <w:left w:val="nil"/>
              <w:bottom w:val="nil"/>
              <w:right w:val="nil"/>
            </w:tcBorders>
            <w:shd w:val="clear" w:color="auto" w:fill="auto"/>
            <w:vAlign w:val="bottom"/>
          </w:tcPr>
          <w:p w14:paraId="514CB7E8"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sz w:val="14"/>
                <w:szCs w:val="14"/>
              </w:rPr>
              <w:t xml:space="preserve">  5.917.867 </w:t>
            </w:r>
          </w:p>
        </w:tc>
        <w:tc>
          <w:tcPr>
            <w:tcW w:w="2410" w:type="dxa"/>
            <w:tcBorders>
              <w:top w:val="nil"/>
              <w:left w:val="nil"/>
              <w:bottom w:val="nil"/>
              <w:right w:val="nil"/>
            </w:tcBorders>
            <w:shd w:val="clear" w:color="auto" w:fill="auto"/>
            <w:vAlign w:val="center"/>
          </w:tcPr>
          <w:p w14:paraId="0738305A"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sz w:val="14"/>
                <w:szCs w:val="14"/>
              </w:rPr>
              <w:t xml:space="preserve">  2.670.477 </w:t>
            </w:r>
          </w:p>
        </w:tc>
      </w:tr>
      <w:tr w:rsidR="003321FA" w:rsidRPr="003321FA" w14:paraId="5CA4FFC6"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4DD16352" w14:textId="77777777" w:rsidR="003321FA" w:rsidRPr="003321FA" w:rsidRDefault="003321FA">
            <w:pPr>
              <w:keepNext/>
              <w:keepLines/>
              <w:ind w:left="113"/>
              <w:rPr>
                <w:rFonts w:ascii="Arial" w:hAnsi="Arial" w:cs="Arial"/>
                <w:color w:val="000000"/>
                <w:sz w:val="14"/>
                <w:szCs w:val="14"/>
              </w:rPr>
            </w:pPr>
            <w:r w:rsidRPr="003321FA">
              <w:rPr>
                <w:rFonts w:ascii="Arial" w:hAnsi="Arial" w:cs="Arial"/>
                <w:b w:val="0"/>
                <w:bCs w:val="0"/>
                <w:color w:val="000000"/>
                <w:sz w:val="14"/>
                <w:szCs w:val="14"/>
              </w:rPr>
              <w:t>Outros ativos não circulantes</w:t>
            </w:r>
          </w:p>
        </w:tc>
        <w:tc>
          <w:tcPr>
            <w:tcW w:w="2410" w:type="dxa"/>
            <w:tcBorders>
              <w:top w:val="nil"/>
              <w:left w:val="nil"/>
              <w:bottom w:val="nil"/>
              <w:right w:val="nil"/>
            </w:tcBorders>
            <w:shd w:val="clear" w:color="auto" w:fill="auto"/>
            <w:vAlign w:val="bottom"/>
          </w:tcPr>
          <w:p w14:paraId="74DC100F"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sz w:val="14"/>
                <w:szCs w:val="14"/>
              </w:rPr>
              <w:t xml:space="preserve">  1.527.912 </w:t>
            </w:r>
          </w:p>
        </w:tc>
        <w:tc>
          <w:tcPr>
            <w:tcW w:w="2410" w:type="dxa"/>
            <w:tcBorders>
              <w:top w:val="nil"/>
              <w:left w:val="nil"/>
              <w:bottom w:val="nil"/>
              <w:right w:val="nil"/>
            </w:tcBorders>
            <w:shd w:val="clear" w:color="auto" w:fill="auto"/>
            <w:vAlign w:val="center"/>
          </w:tcPr>
          <w:p w14:paraId="39611665" w14:textId="77777777" w:rsidR="003321FA" w:rsidRPr="003321FA" w:rsidRDefault="003321F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3321FA">
              <w:rPr>
                <w:rFonts w:ascii="Arial" w:hAnsi="Arial" w:cs="Arial"/>
                <w:sz w:val="14"/>
                <w:szCs w:val="14"/>
              </w:rPr>
              <w:t xml:space="preserve">  1.438.314 </w:t>
            </w:r>
          </w:p>
        </w:tc>
      </w:tr>
      <w:tr w:rsidR="003321FA" w:rsidRPr="003321FA" w14:paraId="48CC738F"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40F53C07" w14:textId="77777777" w:rsidR="003321FA" w:rsidRPr="003321FA" w:rsidRDefault="003321FA">
            <w:pPr>
              <w:keepNext/>
              <w:keepLines/>
              <w:spacing w:before="40" w:after="40"/>
              <w:rPr>
                <w:rFonts w:ascii="Arial" w:hAnsi="Arial" w:cs="Arial"/>
                <w:sz w:val="14"/>
                <w:szCs w:val="14"/>
              </w:rPr>
            </w:pPr>
            <w:r w:rsidRPr="003321FA">
              <w:rPr>
                <w:rFonts w:ascii="Arial" w:hAnsi="Arial" w:cs="Arial"/>
                <w:color w:val="000000"/>
                <w:sz w:val="14"/>
                <w:szCs w:val="14"/>
              </w:rPr>
              <w:t>Ativo Total</w:t>
            </w:r>
          </w:p>
        </w:tc>
        <w:tc>
          <w:tcPr>
            <w:tcW w:w="2410" w:type="dxa"/>
            <w:tcBorders>
              <w:top w:val="nil"/>
              <w:left w:val="nil"/>
              <w:bottom w:val="nil"/>
              <w:right w:val="nil"/>
            </w:tcBorders>
            <w:shd w:val="clear" w:color="auto" w:fill="auto"/>
            <w:vAlign w:val="bottom"/>
          </w:tcPr>
          <w:p w14:paraId="1B0C9E01"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321FA">
              <w:rPr>
                <w:rFonts w:ascii="Arial" w:hAnsi="Arial" w:cs="Arial"/>
                <w:b/>
                <w:bCs/>
                <w:sz w:val="14"/>
                <w:szCs w:val="14"/>
              </w:rPr>
              <w:t xml:space="preserve">  13.531.150</w:t>
            </w:r>
          </w:p>
        </w:tc>
        <w:tc>
          <w:tcPr>
            <w:tcW w:w="2410" w:type="dxa"/>
            <w:tcBorders>
              <w:top w:val="nil"/>
              <w:left w:val="nil"/>
              <w:bottom w:val="nil"/>
              <w:right w:val="nil"/>
            </w:tcBorders>
            <w:shd w:val="clear" w:color="auto" w:fill="auto"/>
            <w:vAlign w:val="center"/>
          </w:tcPr>
          <w:p w14:paraId="4E164E73"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321FA">
              <w:rPr>
                <w:rFonts w:ascii="Arial" w:hAnsi="Arial" w:cs="Arial"/>
                <w:b/>
                <w:bCs/>
                <w:sz w:val="14"/>
                <w:szCs w:val="14"/>
              </w:rPr>
              <w:t xml:space="preserve">  13.486.118</w:t>
            </w:r>
          </w:p>
        </w:tc>
      </w:tr>
      <w:tr w:rsidR="003321FA" w:rsidRPr="003321FA" w14:paraId="1FDDE9F5"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667A105C" w14:textId="77777777" w:rsidR="003321FA" w:rsidRPr="003321FA" w:rsidRDefault="003321FA">
            <w:pPr>
              <w:keepNext/>
              <w:keepLines/>
              <w:spacing w:before="40" w:after="40"/>
              <w:rPr>
                <w:rFonts w:ascii="Arial" w:hAnsi="Arial" w:cs="Arial"/>
                <w:sz w:val="14"/>
                <w:szCs w:val="14"/>
              </w:rPr>
            </w:pPr>
          </w:p>
        </w:tc>
        <w:tc>
          <w:tcPr>
            <w:tcW w:w="2410" w:type="dxa"/>
            <w:tcBorders>
              <w:top w:val="nil"/>
              <w:left w:val="nil"/>
              <w:bottom w:val="nil"/>
              <w:right w:val="nil"/>
            </w:tcBorders>
            <w:shd w:val="clear" w:color="auto" w:fill="auto"/>
            <w:vAlign w:val="bottom"/>
          </w:tcPr>
          <w:p w14:paraId="73D28A56"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2410" w:type="dxa"/>
            <w:tcBorders>
              <w:top w:val="nil"/>
              <w:left w:val="nil"/>
              <w:bottom w:val="nil"/>
              <w:right w:val="nil"/>
            </w:tcBorders>
            <w:shd w:val="clear" w:color="auto" w:fill="auto"/>
            <w:vAlign w:val="center"/>
          </w:tcPr>
          <w:p w14:paraId="6F11FB2D"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r>
      <w:tr w:rsidR="003321FA" w:rsidRPr="003321FA" w14:paraId="645AE84D"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1F65122E" w14:textId="77777777" w:rsidR="003321FA" w:rsidRPr="003321FA" w:rsidRDefault="003321FA">
            <w:pPr>
              <w:keepNext/>
              <w:keepLines/>
              <w:spacing w:before="40" w:after="40"/>
              <w:rPr>
                <w:rFonts w:ascii="Arial" w:hAnsi="Arial" w:cs="Arial"/>
                <w:sz w:val="14"/>
                <w:szCs w:val="14"/>
              </w:rPr>
            </w:pPr>
            <w:r w:rsidRPr="003321FA">
              <w:rPr>
                <w:rFonts w:ascii="Arial" w:hAnsi="Arial" w:cs="Arial"/>
                <w:sz w:val="14"/>
                <w:szCs w:val="14"/>
              </w:rPr>
              <w:t>Passivo circulante</w:t>
            </w:r>
          </w:p>
        </w:tc>
        <w:tc>
          <w:tcPr>
            <w:tcW w:w="2410" w:type="dxa"/>
            <w:tcBorders>
              <w:top w:val="nil"/>
              <w:left w:val="nil"/>
              <w:bottom w:val="nil"/>
              <w:right w:val="nil"/>
            </w:tcBorders>
            <w:shd w:val="clear" w:color="auto" w:fill="auto"/>
            <w:vAlign w:val="bottom"/>
          </w:tcPr>
          <w:p w14:paraId="03772EB4"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321FA">
              <w:rPr>
                <w:rFonts w:ascii="Arial" w:hAnsi="Arial" w:cs="Arial"/>
                <w:b/>
                <w:bCs/>
                <w:sz w:val="14"/>
                <w:szCs w:val="14"/>
              </w:rPr>
              <w:t xml:space="preserve">  11.418.697 </w:t>
            </w:r>
          </w:p>
        </w:tc>
        <w:tc>
          <w:tcPr>
            <w:tcW w:w="2410" w:type="dxa"/>
            <w:tcBorders>
              <w:top w:val="nil"/>
              <w:left w:val="nil"/>
              <w:bottom w:val="nil"/>
              <w:right w:val="nil"/>
            </w:tcBorders>
            <w:shd w:val="clear" w:color="auto" w:fill="auto"/>
            <w:vAlign w:val="center"/>
          </w:tcPr>
          <w:p w14:paraId="0E476784"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321FA">
              <w:rPr>
                <w:rFonts w:ascii="Arial" w:hAnsi="Arial" w:cs="Arial"/>
                <w:b/>
                <w:bCs/>
                <w:sz w:val="14"/>
                <w:szCs w:val="14"/>
              </w:rPr>
              <w:t xml:space="preserve">  11.473.796 </w:t>
            </w:r>
          </w:p>
        </w:tc>
      </w:tr>
      <w:tr w:rsidR="003321FA" w:rsidRPr="003321FA" w14:paraId="1BB5B8BB"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0E8EB867" w14:textId="77777777" w:rsidR="003321FA" w:rsidRPr="003321FA" w:rsidRDefault="003321FA">
            <w:pPr>
              <w:keepNext/>
              <w:keepLines/>
              <w:spacing w:before="40" w:after="40"/>
              <w:ind w:left="113"/>
              <w:rPr>
                <w:rFonts w:ascii="Arial" w:hAnsi="Arial" w:cs="Arial"/>
                <w:color w:val="000000"/>
                <w:sz w:val="14"/>
                <w:szCs w:val="14"/>
              </w:rPr>
            </w:pPr>
            <w:r w:rsidRPr="003321FA">
              <w:rPr>
                <w:rFonts w:ascii="Arial" w:hAnsi="Arial" w:cs="Arial"/>
                <w:b w:val="0"/>
                <w:bCs w:val="0"/>
                <w:color w:val="000000"/>
                <w:sz w:val="14"/>
                <w:szCs w:val="14"/>
              </w:rPr>
              <w:t>Passivos financeiros</w:t>
            </w:r>
          </w:p>
        </w:tc>
        <w:tc>
          <w:tcPr>
            <w:tcW w:w="2410" w:type="dxa"/>
            <w:tcBorders>
              <w:top w:val="nil"/>
              <w:left w:val="nil"/>
              <w:bottom w:val="nil"/>
              <w:right w:val="nil"/>
            </w:tcBorders>
            <w:shd w:val="clear" w:color="auto" w:fill="auto"/>
            <w:vAlign w:val="bottom"/>
          </w:tcPr>
          <w:p w14:paraId="14450683"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sz w:val="14"/>
                <w:szCs w:val="14"/>
              </w:rPr>
              <w:t xml:space="preserve">  2.355 </w:t>
            </w:r>
          </w:p>
        </w:tc>
        <w:tc>
          <w:tcPr>
            <w:tcW w:w="2410" w:type="dxa"/>
            <w:tcBorders>
              <w:top w:val="nil"/>
              <w:left w:val="nil"/>
              <w:bottom w:val="nil"/>
              <w:right w:val="nil"/>
            </w:tcBorders>
            <w:shd w:val="clear" w:color="auto" w:fill="auto"/>
            <w:vAlign w:val="center"/>
          </w:tcPr>
          <w:p w14:paraId="371780D2"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sz w:val="14"/>
                <w:szCs w:val="14"/>
              </w:rPr>
              <w:t>--</w:t>
            </w:r>
          </w:p>
        </w:tc>
      </w:tr>
      <w:tr w:rsidR="003321FA" w:rsidRPr="003321FA" w14:paraId="0CF2F08E"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257C9981" w14:textId="77777777" w:rsidR="003321FA" w:rsidRPr="003321FA" w:rsidRDefault="003321FA">
            <w:pPr>
              <w:keepNext/>
              <w:keepLines/>
              <w:spacing w:before="40" w:after="40"/>
              <w:ind w:left="113"/>
              <w:rPr>
                <w:rFonts w:ascii="Arial" w:hAnsi="Arial" w:cs="Arial"/>
                <w:b w:val="0"/>
                <w:bCs w:val="0"/>
                <w:sz w:val="14"/>
                <w:szCs w:val="14"/>
              </w:rPr>
            </w:pPr>
            <w:r w:rsidRPr="003321FA">
              <w:rPr>
                <w:rFonts w:ascii="Arial" w:hAnsi="Arial" w:cs="Arial"/>
                <w:b w:val="0"/>
                <w:bCs w:val="0"/>
                <w:color w:val="000000"/>
                <w:sz w:val="14"/>
                <w:szCs w:val="14"/>
              </w:rPr>
              <w:t>Provisões técnicas</w:t>
            </w:r>
          </w:p>
        </w:tc>
        <w:tc>
          <w:tcPr>
            <w:tcW w:w="2410" w:type="dxa"/>
            <w:tcBorders>
              <w:top w:val="nil"/>
              <w:left w:val="nil"/>
              <w:bottom w:val="nil"/>
              <w:right w:val="nil"/>
            </w:tcBorders>
            <w:shd w:val="clear" w:color="auto" w:fill="auto"/>
            <w:vAlign w:val="bottom"/>
          </w:tcPr>
          <w:p w14:paraId="3819ACDA"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sz w:val="14"/>
                <w:szCs w:val="14"/>
              </w:rPr>
              <w:t xml:space="preserve">  11.020.215 </w:t>
            </w:r>
          </w:p>
        </w:tc>
        <w:tc>
          <w:tcPr>
            <w:tcW w:w="2410" w:type="dxa"/>
            <w:tcBorders>
              <w:top w:val="nil"/>
              <w:left w:val="nil"/>
              <w:bottom w:val="nil"/>
              <w:right w:val="nil"/>
            </w:tcBorders>
            <w:shd w:val="clear" w:color="auto" w:fill="auto"/>
            <w:vAlign w:val="center"/>
          </w:tcPr>
          <w:p w14:paraId="4C08E982"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sz w:val="14"/>
                <w:szCs w:val="14"/>
              </w:rPr>
              <w:t xml:space="preserve">  11.335.717 </w:t>
            </w:r>
          </w:p>
        </w:tc>
      </w:tr>
      <w:tr w:rsidR="003321FA" w:rsidRPr="003321FA" w14:paraId="0E2475B8"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5F032045" w14:textId="77777777" w:rsidR="003321FA" w:rsidRPr="003321FA" w:rsidRDefault="003321FA">
            <w:pPr>
              <w:keepNext/>
              <w:keepLines/>
              <w:spacing w:before="40" w:after="40"/>
              <w:ind w:left="113"/>
              <w:rPr>
                <w:rFonts w:ascii="Arial" w:hAnsi="Arial" w:cs="Arial"/>
                <w:b w:val="0"/>
                <w:bCs w:val="0"/>
                <w:sz w:val="14"/>
                <w:szCs w:val="14"/>
              </w:rPr>
            </w:pPr>
            <w:r w:rsidRPr="003321FA">
              <w:rPr>
                <w:rFonts w:ascii="Arial" w:hAnsi="Arial" w:cs="Arial"/>
                <w:b w:val="0"/>
                <w:bCs w:val="0"/>
                <w:sz w:val="14"/>
                <w:szCs w:val="14"/>
              </w:rPr>
              <w:t>Dividendos a pagar</w:t>
            </w:r>
          </w:p>
        </w:tc>
        <w:tc>
          <w:tcPr>
            <w:tcW w:w="2410" w:type="dxa"/>
            <w:tcBorders>
              <w:top w:val="nil"/>
              <w:left w:val="nil"/>
              <w:bottom w:val="nil"/>
              <w:right w:val="nil"/>
            </w:tcBorders>
            <w:shd w:val="clear" w:color="auto" w:fill="auto"/>
            <w:vAlign w:val="bottom"/>
          </w:tcPr>
          <w:p w14:paraId="15F9E91C"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sz w:val="14"/>
                <w:szCs w:val="14"/>
              </w:rPr>
              <w:t xml:space="preserve">  2.312 </w:t>
            </w:r>
          </w:p>
        </w:tc>
        <w:tc>
          <w:tcPr>
            <w:tcW w:w="2410" w:type="dxa"/>
            <w:tcBorders>
              <w:top w:val="nil"/>
              <w:left w:val="nil"/>
              <w:bottom w:val="nil"/>
              <w:right w:val="nil"/>
            </w:tcBorders>
            <w:shd w:val="clear" w:color="auto" w:fill="auto"/>
            <w:vAlign w:val="center"/>
          </w:tcPr>
          <w:p w14:paraId="2F709C2F"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sz w:val="14"/>
                <w:szCs w:val="14"/>
              </w:rPr>
              <w:t xml:space="preserve">  2.746 </w:t>
            </w:r>
          </w:p>
        </w:tc>
      </w:tr>
      <w:tr w:rsidR="003321FA" w:rsidRPr="003321FA" w14:paraId="7EAB60CA"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27C4C1A0" w14:textId="77777777" w:rsidR="003321FA" w:rsidRPr="003321FA" w:rsidRDefault="003321FA">
            <w:pPr>
              <w:keepNext/>
              <w:keepLines/>
              <w:spacing w:before="40" w:after="40"/>
              <w:ind w:left="113"/>
              <w:rPr>
                <w:rFonts w:ascii="Arial" w:hAnsi="Arial" w:cs="Arial"/>
                <w:b w:val="0"/>
                <w:bCs w:val="0"/>
                <w:sz w:val="14"/>
                <w:szCs w:val="14"/>
              </w:rPr>
            </w:pPr>
            <w:r w:rsidRPr="003321FA">
              <w:rPr>
                <w:rFonts w:ascii="Arial" w:hAnsi="Arial" w:cs="Arial"/>
                <w:b w:val="0"/>
                <w:bCs w:val="0"/>
                <w:sz w:val="14"/>
                <w:szCs w:val="14"/>
              </w:rPr>
              <w:t>Outros passivos circulantes</w:t>
            </w:r>
          </w:p>
        </w:tc>
        <w:tc>
          <w:tcPr>
            <w:tcW w:w="2410" w:type="dxa"/>
            <w:tcBorders>
              <w:top w:val="nil"/>
              <w:left w:val="nil"/>
              <w:bottom w:val="nil"/>
              <w:right w:val="nil"/>
            </w:tcBorders>
            <w:shd w:val="clear" w:color="auto" w:fill="auto"/>
            <w:vAlign w:val="bottom"/>
          </w:tcPr>
          <w:p w14:paraId="4244F04A"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sz w:val="14"/>
                <w:szCs w:val="14"/>
              </w:rPr>
              <w:t xml:space="preserve">  393.815 </w:t>
            </w:r>
          </w:p>
        </w:tc>
        <w:tc>
          <w:tcPr>
            <w:tcW w:w="2410" w:type="dxa"/>
            <w:tcBorders>
              <w:top w:val="nil"/>
              <w:left w:val="nil"/>
              <w:bottom w:val="nil"/>
              <w:right w:val="nil"/>
            </w:tcBorders>
            <w:shd w:val="clear" w:color="auto" w:fill="auto"/>
            <w:vAlign w:val="center"/>
          </w:tcPr>
          <w:p w14:paraId="69C32690"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sz w:val="14"/>
                <w:szCs w:val="14"/>
              </w:rPr>
              <w:t xml:space="preserve">  135.333 </w:t>
            </w:r>
          </w:p>
        </w:tc>
      </w:tr>
      <w:tr w:rsidR="003321FA" w:rsidRPr="003321FA" w14:paraId="4735E904"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0FAD169A" w14:textId="77777777" w:rsidR="003321FA" w:rsidRPr="003321FA" w:rsidRDefault="003321FA">
            <w:pPr>
              <w:keepNext/>
              <w:keepLines/>
              <w:rPr>
                <w:rFonts w:ascii="Arial" w:hAnsi="Arial" w:cs="Arial"/>
                <w:color w:val="000000"/>
                <w:sz w:val="14"/>
                <w:szCs w:val="14"/>
              </w:rPr>
            </w:pPr>
            <w:r w:rsidRPr="003321FA">
              <w:rPr>
                <w:rFonts w:ascii="Arial" w:hAnsi="Arial" w:cs="Arial"/>
                <w:sz w:val="14"/>
                <w:szCs w:val="14"/>
              </w:rPr>
              <w:t>Passivo não circulante</w:t>
            </w:r>
          </w:p>
        </w:tc>
        <w:tc>
          <w:tcPr>
            <w:tcW w:w="2410" w:type="dxa"/>
            <w:tcBorders>
              <w:top w:val="nil"/>
              <w:left w:val="nil"/>
              <w:bottom w:val="nil"/>
              <w:right w:val="nil"/>
            </w:tcBorders>
            <w:shd w:val="clear" w:color="auto" w:fill="auto"/>
            <w:vAlign w:val="bottom"/>
          </w:tcPr>
          <w:p w14:paraId="7E48D71A"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321FA">
              <w:rPr>
                <w:rFonts w:ascii="Arial" w:hAnsi="Arial" w:cs="Arial"/>
                <w:b/>
                <w:bCs/>
                <w:sz w:val="14"/>
                <w:szCs w:val="14"/>
              </w:rPr>
              <w:t xml:space="preserve">  1.308.709 </w:t>
            </w:r>
          </w:p>
        </w:tc>
        <w:tc>
          <w:tcPr>
            <w:tcW w:w="2410" w:type="dxa"/>
            <w:tcBorders>
              <w:top w:val="nil"/>
              <w:left w:val="nil"/>
              <w:bottom w:val="nil"/>
              <w:right w:val="nil"/>
            </w:tcBorders>
            <w:shd w:val="clear" w:color="auto" w:fill="auto"/>
            <w:vAlign w:val="center"/>
          </w:tcPr>
          <w:p w14:paraId="4B70F363" w14:textId="77777777" w:rsidR="003321FA" w:rsidRPr="003321FA" w:rsidRDefault="003321FA">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3321FA">
              <w:rPr>
                <w:rFonts w:ascii="Arial" w:hAnsi="Arial" w:cs="Arial"/>
                <w:b/>
                <w:bCs/>
                <w:sz w:val="14"/>
                <w:szCs w:val="14"/>
              </w:rPr>
              <w:t xml:space="preserve">  1.246.101 </w:t>
            </w:r>
          </w:p>
        </w:tc>
      </w:tr>
      <w:tr w:rsidR="003321FA" w:rsidRPr="003321FA" w14:paraId="46D7C2EE"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7A39264D" w14:textId="77777777" w:rsidR="003321FA" w:rsidRPr="003321FA" w:rsidRDefault="003321FA">
            <w:pPr>
              <w:keepNext/>
              <w:keepLines/>
              <w:spacing w:before="40" w:after="40"/>
              <w:ind w:left="113"/>
              <w:rPr>
                <w:rFonts w:ascii="Arial" w:eastAsia="Times New Roman" w:hAnsi="Arial" w:cs="Arial"/>
                <w:b w:val="0"/>
                <w:bCs w:val="0"/>
                <w:spacing w:val="-2"/>
                <w:sz w:val="14"/>
                <w:szCs w:val="14"/>
              </w:rPr>
            </w:pPr>
            <w:r w:rsidRPr="003321FA">
              <w:rPr>
                <w:rFonts w:ascii="Arial" w:hAnsi="Arial" w:cs="Arial"/>
                <w:b w:val="0"/>
                <w:bCs w:val="0"/>
                <w:sz w:val="14"/>
                <w:szCs w:val="14"/>
              </w:rPr>
              <w:t>Passivos financeiros</w:t>
            </w:r>
          </w:p>
        </w:tc>
        <w:tc>
          <w:tcPr>
            <w:tcW w:w="2410" w:type="dxa"/>
            <w:tcBorders>
              <w:top w:val="nil"/>
              <w:left w:val="nil"/>
              <w:bottom w:val="nil"/>
              <w:right w:val="nil"/>
            </w:tcBorders>
            <w:shd w:val="clear" w:color="auto" w:fill="auto"/>
            <w:vAlign w:val="bottom"/>
          </w:tcPr>
          <w:p w14:paraId="7D7F4EBB"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sz w:val="14"/>
                <w:szCs w:val="14"/>
              </w:rPr>
              <w:t xml:space="preserve">  10.291 </w:t>
            </w:r>
          </w:p>
        </w:tc>
        <w:tc>
          <w:tcPr>
            <w:tcW w:w="2410" w:type="dxa"/>
            <w:tcBorders>
              <w:top w:val="nil"/>
              <w:left w:val="nil"/>
              <w:bottom w:val="nil"/>
              <w:right w:val="nil"/>
            </w:tcBorders>
            <w:shd w:val="clear" w:color="auto" w:fill="auto"/>
            <w:vAlign w:val="center"/>
          </w:tcPr>
          <w:p w14:paraId="17FC5864"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sz w:val="14"/>
                <w:szCs w:val="14"/>
              </w:rPr>
              <w:t xml:space="preserve">  10.703</w:t>
            </w:r>
          </w:p>
        </w:tc>
      </w:tr>
      <w:tr w:rsidR="003321FA" w:rsidRPr="003321FA" w14:paraId="4B18BB74"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5E5DECB1" w14:textId="77777777" w:rsidR="003321FA" w:rsidRPr="003321FA" w:rsidRDefault="003321FA">
            <w:pPr>
              <w:keepNext/>
              <w:keepLines/>
              <w:spacing w:before="40" w:after="40"/>
              <w:ind w:left="113"/>
              <w:rPr>
                <w:rFonts w:ascii="Arial" w:eastAsia="Times New Roman" w:hAnsi="Arial" w:cs="Arial"/>
                <w:b w:val="0"/>
                <w:bCs w:val="0"/>
                <w:spacing w:val="-2"/>
                <w:sz w:val="14"/>
                <w:szCs w:val="14"/>
              </w:rPr>
            </w:pPr>
            <w:r w:rsidRPr="003321FA">
              <w:rPr>
                <w:rFonts w:ascii="Arial" w:hAnsi="Arial" w:cs="Arial"/>
                <w:b w:val="0"/>
                <w:bCs w:val="0"/>
                <w:sz w:val="14"/>
                <w:szCs w:val="14"/>
              </w:rPr>
              <w:t>Outros passivos não circulantes</w:t>
            </w:r>
          </w:p>
        </w:tc>
        <w:tc>
          <w:tcPr>
            <w:tcW w:w="2410" w:type="dxa"/>
            <w:tcBorders>
              <w:top w:val="nil"/>
              <w:left w:val="nil"/>
              <w:bottom w:val="nil"/>
              <w:right w:val="nil"/>
            </w:tcBorders>
            <w:shd w:val="clear" w:color="auto" w:fill="auto"/>
            <w:vAlign w:val="bottom"/>
          </w:tcPr>
          <w:p w14:paraId="544E2009"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sz w:val="14"/>
                <w:szCs w:val="14"/>
              </w:rPr>
              <w:t xml:space="preserve">  1.298.418 </w:t>
            </w:r>
          </w:p>
        </w:tc>
        <w:tc>
          <w:tcPr>
            <w:tcW w:w="2410" w:type="dxa"/>
            <w:tcBorders>
              <w:top w:val="nil"/>
              <w:left w:val="nil"/>
              <w:bottom w:val="nil"/>
              <w:right w:val="nil"/>
            </w:tcBorders>
            <w:shd w:val="clear" w:color="auto" w:fill="auto"/>
            <w:vAlign w:val="center"/>
          </w:tcPr>
          <w:p w14:paraId="542FDC06"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sz w:val="14"/>
                <w:szCs w:val="14"/>
              </w:rPr>
              <w:t xml:space="preserve">  1.235.398 </w:t>
            </w:r>
          </w:p>
        </w:tc>
      </w:tr>
      <w:tr w:rsidR="003321FA" w:rsidRPr="003321FA" w14:paraId="2D3C0FCB"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0EDC32DA" w14:textId="77777777" w:rsidR="003321FA" w:rsidRPr="003321FA" w:rsidRDefault="003321FA">
            <w:pPr>
              <w:keepNext/>
              <w:keepLines/>
              <w:spacing w:before="40" w:after="40"/>
              <w:rPr>
                <w:rFonts w:ascii="Arial" w:eastAsia="Times New Roman" w:hAnsi="Arial" w:cs="Arial"/>
                <w:spacing w:val="-2"/>
                <w:sz w:val="14"/>
                <w:szCs w:val="14"/>
              </w:rPr>
            </w:pPr>
            <w:r w:rsidRPr="003321FA">
              <w:rPr>
                <w:rFonts w:ascii="Arial" w:hAnsi="Arial" w:cs="Arial"/>
                <w:sz w:val="14"/>
                <w:szCs w:val="14"/>
              </w:rPr>
              <w:t>Patrimônio líquido</w:t>
            </w:r>
          </w:p>
        </w:tc>
        <w:tc>
          <w:tcPr>
            <w:tcW w:w="2410" w:type="dxa"/>
            <w:tcBorders>
              <w:top w:val="nil"/>
              <w:left w:val="nil"/>
              <w:bottom w:val="nil"/>
              <w:right w:val="nil"/>
            </w:tcBorders>
            <w:shd w:val="clear" w:color="auto" w:fill="auto"/>
            <w:vAlign w:val="bottom"/>
          </w:tcPr>
          <w:p w14:paraId="30978347"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321FA">
              <w:rPr>
                <w:rFonts w:ascii="Arial" w:hAnsi="Arial" w:cs="Arial"/>
                <w:b/>
                <w:bCs/>
                <w:sz w:val="14"/>
                <w:szCs w:val="14"/>
              </w:rPr>
              <w:t xml:space="preserve">  803.744 </w:t>
            </w:r>
          </w:p>
        </w:tc>
        <w:tc>
          <w:tcPr>
            <w:tcW w:w="2410" w:type="dxa"/>
            <w:tcBorders>
              <w:top w:val="nil"/>
              <w:left w:val="nil"/>
              <w:bottom w:val="nil"/>
              <w:right w:val="nil"/>
            </w:tcBorders>
            <w:shd w:val="clear" w:color="auto" w:fill="auto"/>
            <w:vAlign w:val="center"/>
          </w:tcPr>
          <w:p w14:paraId="3F940978"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321FA">
              <w:rPr>
                <w:rFonts w:ascii="Arial" w:hAnsi="Arial" w:cs="Arial"/>
                <w:b/>
                <w:bCs/>
                <w:sz w:val="14"/>
                <w:szCs w:val="14"/>
              </w:rPr>
              <w:t xml:space="preserve">  766.221 </w:t>
            </w:r>
          </w:p>
        </w:tc>
      </w:tr>
      <w:tr w:rsidR="003321FA" w:rsidRPr="003321FA" w14:paraId="7D33F5DD"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7436B85C" w14:textId="77777777" w:rsidR="003321FA" w:rsidRPr="003321FA" w:rsidRDefault="003321FA">
            <w:pPr>
              <w:keepNext/>
              <w:keepLines/>
              <w:spacing w:before="40" w:after="40"/>
              <w:rPr>
                <w:rFonts w:ascii="Arial" w:hAnsi="Arial" w:cs="Arial"/>
                <w:sz w:val="14"/>
                <w:szCs w:val="14"/>
              </w:rPr>
            </w:pPr>
            <w:r w:rsidRPr="003321FA">
              <w:rPr>
                <w:rFonts w:ascii="Arial" w:hAnsi="Arial" w:cs="Arial"/>
                <w:color w:val="000000"/>
                <w:sz w:val="14"/>
                <w:szCs w:val="14"/>
              </w:rPr>
              <w:t>Passivo e Patrimônio Líquido</w:t>
            </w:r>
          </w:p>
        </w:tc>
        <w:tc>
          <w:tcPr>
            <w:tcW w:w="2410" w:type="dxa"/>
            <w:tcBorders>
              <w:top w:val="nil"/>
              <w:left w:val="nil"/>
              <w:bottom w:val="nil"/>
              <w:right w:val="nil"/>
            </w:tcBorders>
            <w:shd w:val="clear" w:color="auto" w:fill="auto"/>
            <w:vAlign w:val="bottom"/>
          </w:tcPr>
          <w:p w14:paraId="724B848D"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321FA">
              <w:rPr>
                <w:rFonts w:ascii="Arial" w:hAnsi="Arial" w:cs="Arial"/>
                <w:b/>
                <w:bCs/>
                <w:sz w:val="14"/>
                <w:szCs w:val="14"/>
              </w:rPr>
              <w:t xml:space="preserve">  13.531.150 </w:t>
            </w:r>
          </w:p>
        </w:tc>
        <w:tc>
          <w:tcPr>
            <w:tcW w:w="2410" w:type="dxa"/>
            <w:tcBorders>
              <w:top w:val="nil"/>
              <w:left w:val="nil"/>
              <w:bottom w:val="nil"/>
              <w:right w:val="nil"/>
            </w:tcBorders>
            <w:shd w:val="clear" w:color="auto" w:fill="auto"/>
            <w:vAlign w:val="center"/>
          </w:tcPr>
          <w:p w14:paraId="5628FB0D"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3321FA">
              <w:rPr>
                <w:rFonts w:ascii="Arial" w:hAnsi="Arial" w:cs="Arial"/>
                <w:b/>
                <w:bCs/>
                <w:sz w:val="14"/>
                <w:szCs w:val="14"/>
              </w:rPr>
              <w:t xml:space="preserve">  13.486.118</w:t>
            </w:r>
          </w:p>
        </w:tc>
      </w:tr>
      <w:tr w:rsidR="003321FA" w:rsidRPr="003321FA" w14:paraId="60C882FF"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4D6C1ED0" w14:textId="77777777" w:rsidR="003321FA" w:rsidRPr="003321FA" w:rsidRDefault="003321FA">
            <w:pPr>
              <w:keepNext/>
              <w:keepLines/>
              <w:spacing w:before="40" w:after="40"/>
              <w:rPr>
                <w:rFonts w:ascii="Arial" w:hAnsi="Arial" w:cs="Arial"/>
                <w:sz w:val="14"/>
                <w:szCs w:val="14"/>
              </w:rPr>
            </w:pPr>
            <w:r w:rsidRPr="003321FA">
              <w:rPr>
                <w:rFonts w:ascii="Arial" w:hAnsi="Arial" w:cs="Arial"/>
                <w:sz w:val="14"/>
                <w:szCs w:val="14"/>
              </w:rPr>
              <w:t>Atribuível à BB Seguridade</w:t>
            </w:r>
          </w:p>
        </w:tc>
        <w:tc>
          <w:tcPr>
            <w:tcW w:w="2410" w:type="dxa"/>
            <w:tcBorders>
              <w:top w:val="nil"/>
              <w:left w:val="nil"/>
              <w:bottom w:val="nil"/>
              <w:right w:val="nil"/>
            </w:tcBorders>
            <w:shd w:val="clear" w:color="auto" w:fill="auto"/>
            <w:vAlign w:val="center"/>
          </w:tcPr>
          <w:p w14:paraId="47E6F165"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321FA">
              <w:rPr>
                <w:rFonts w:ascii="Arial" w:hAnsi="Arial" w:cs="Arial"/>
                <w:b/>
                <w:bCs/>
                <w:color w:val="000000"/>
                <w:sz w:val="14"/>
                <w:szCs w:val="14"/>
              </w:rPr>
              <w:t xml:space="preserve">                536.640</w:t>
            </w:r>
          </w:p>
        </w:tc>
        <w:tc>
          <w:tcPr>
            <w:tcW w:w="2410" w:type="dxa"/>
            <w:tcBorders>
              <w:top w:val="nil"/>
              <w:left w:val="nil"/>
              <w:bottom w:val="nil"/>
              <w:right w:val="nil"/>
            </w:tcBorders>
            <w:shd w:val="clear" w:color="auto" w:fill="auto"/>
            <w:vAlign w:val="center"/>
          </w:tcPr>
          <w:p w14:paraId="01C795BF"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321FA">
              <w:rPr>
                <w:rFonts w:ascii="Arial" w:hAnsi="Arial" w:cs="Arial"/>
                <w:b/>
                <w:bCs/>
                <w:sz w:val="14"/>
                <w:szCs w:val="14"/>
              </w:rPr>
              <w:t xml:space="preserve">                511.587 </w:t>
            </w:r>
          </w:p>
        </w:tc>
      </w:tr>
      <w:tr w:rsidR="003321FA" w:rsidRPr="003321FA" w14:paraId="6613BE18" w14:textId="77777777">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07565CD7" w14:textId="77777777" w:rsidR="003321FA" w:rsidRPr="003321FA" w:rsidRDefault="003321FA">
            <w:pPr>
              <w:keepNext/>
              <w:keepLines/>
              <w:spacing w:before="40" w:after="40"/>
              <w:ind w:left="113"/>
              <w:rPr>
                <w:rFonts w:ascii="Arial" w:hAnsi="Arial" w:cs="Arial"/>
                <w:b w:val="0"/>
                <w:bCs w:val="0"/>
                <w:sz w:val="14"/>
                <w:szCs w:val="14"/>
              </w:rPr>
            </w:pPr>
            <w:r w:rsidRPr="003321FA">
              <w:rPr>
                <w:rFonts w:ascii="Arial" w:hAnsi="Arial" w:cs="Arial"/>
                <w:b w:val="0"/>
                <w:bCs w:val="0"/>
                <w:sz w:val="14"/>
                <w:szCs w:val="14"/>
              </w:rPr>
              <w:t xml:space="preserve">Ajuste </w:t>
            </w:r>
            <w:r w:rsidRPr="003321FA">
              <w:rPr>
                <w:rFonts w:ascii="Arial" w:hAnsi="Arial" w:cs="Arial"/>
                <w:b w:val="0"/>
                <w:bCs w:val="0"/>
                <w:sz w:val="14"/>
                <w:szCs w:val="14"/>
                <w:vertAlign w:val="superscript"/>
              </w:rPr>
              <w:t>(1)</w:t>
            </w:r>
          </w:p>
        </w:tc>
        <w:tc>
          <w:tcPr>
            <w:tcW w:w="2410" w:type="dxa"/>
            <w:tcBorders>
              <w:top w:val="nil"/>
              <w:left w:val="nil"/>
              <w:bottom w:val="nil"/>
              <w:right w:val="nil"/>
            </w:tcBorders>
            <w:shd w:val="clear" w:color="auto" w:fill="auto"/>
            <w:vAlign w:val="center"/>
          </w:tcPr>
          <w:p w14:paraId="17345350"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sz w:val="14"/>
                <w:szCs w:val="14"/>
              </w:rPr>
              <w:t>110.749</w:t>
            </w:r>
          </w:p>
        </w:tc>
        <w:tc>
          <w:tcPr>
            <w:tcW w:w="2410" w:type="dxa"/>
            <w:tcBorders>
              <w:top w:val="nil"/>
              <w:left w:val="nil"/>
              <w:bottom w:val="nil"/>
              <w:right w:val="nil"/>
            </w:tcBorders>
            <w:shd w:val="clear" w:color="auto" w:fill="auto"/>
            <w:vAlign w:val="center"/>
          </w:tcPr>
          <w:p w14:paraId="4D6CE82C" w14:textId="77777777" w:rsidR="003321FA" w:rsidRPr="003321FA" w:rsidRDefault="003321F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321FA">
              <w:rPr>
                <w:rFonts w:ascii="Arial" w:hAnsi="Arial" w:cs="Arial"/>
                <w:sz w:val="14"/>
                <w:szCs w:val="14"/>
              </w:rPr>
              <w:t xml:space="preserve">                110.749 </w:t>
            </w:r>
          </w:p>
        </w:tc>
      </w:tr>
      <w:tr w:rsidR="003321FA" w:rsidRPr="003321FA" w14:paraId="4BE2DCFE"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single" w:sz="2" w:space="0" w:color="1F3864" w:themeColor="accent1" w:themeShade="80"/>
              <w:right w:val="nil"/>
            </w:tcBorders>
            <w:shd w:val="clear" w:color="auto" w:fill="auto"/>
            <w:vAlign w:val="center"/>
          </w:tcPr>
          <w:p w14:paraId="1E707DF4" w14:textId="77777777" w:rsidR="003321FA" w:rsidRPr="003321FA" w:rsidRDefault="003321FA">
            <w:pPr>
              <w:keepNext/>
              <w:keepLines/>
              <w:spacing w:before="40" w:after="40"/>
              <w:rPr>
                <w:rFonts w:ascii="Arial" w:hAnsi="Arial" w:cs="Arial"/>
                <w:sz w:val="14"/>
                <w:szCs w:val="14"/>
              </w:rPr>
            </w:pPr>
            <w:r w:rsidRPr="003321FA">
              <w:rPr>
                <w:rFonts w:ascii="Arial" w:hAnsi="Arial" w:cs="Arial"/>
                <w:sz w:val="14"/>
                <w:szCs w:val="14"/>
              </w:rPr>
              <w:t>Saldo do investimento</w:t>
            </w:r>
          </w:p>
        </w:tc>
        <w:tc>
          <w:tcPr>
            <w:tcW w:w="2410" w:type="dxa"/>
            <w:tcBorders>
              <w:top w:val="nil"/>
              <w:left w:val="nil"/>
              <w:bottom w:val="single" w:sz="2" w:space="0" w:color="1F3864" w:themeColor="accent1" w:themeShade="80"/>
              <w:right w:val="nil"/>
            </w:tcBorders>
            <w:shd w:val="clear" w:color="auto" w:fill="auto"/>
            <w:vAlign w:val="center"/>
          </w:tcPr>
          <w:p w14:paraId="5C9CCE4F"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321FA">
              <w:rPr>
                <w:rFonts w:ascii="Arial" w:hAnsi="Arial" w:cs="Arial"/>
                <w:b/>
                <w:bCs/>
                <w:color w:val="000000"/>
                <w:sz w:val="14"/>
                <w:szCs w:val="14"/>
              </w:rPr>
              <w:t xml:space="preserve">                647.389</w:t>
            </w:r>
          </w:p>
        </w:tc>
        <w:tc>
          <w:tcPr>
            <w:tcW w:w="2410" w:type="dxa"/>
            <w:tcBorders>
              <w:top w:val="nil"/>
              <w:left w:val="nil"/>
              <w:bottom w:val="single" w:sz="2" w:space="0" w:color="1F3864" w:themeColor="accent1" w:themeShade="80"/>
              <w:right w:val="nil"/>
            </w:tcBorders>
            <w:shd w:val="clear" w:color="auto" w:fill="auto"/>
            <w:vAlign w:val="center"/>
          </w:tcPr>
          <w:p w14:paraId="06A39048" w14:textId="77777777" w:rsidR="003321FA" w:rsidRPr="003321FA" w:rsidRDefault="003321F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321FA">
              <w:rPr>
                <w:rFonts w:ascii="Arial" w:hAnsi="Arial" w:cs="Arial"/>
                <w:b/>
                <w:bCs/>
                <w:sz w:val="14"/>
                <w:szCs w:val="14"/>
              </w:rPr>
              <w:t xml:space="preserve">                622.336</w:t>
            </w:r>
          </w:p>
        </w:tc>
      </w:tr>
    </w:tbl>
    <w:p w14:paraId="5944D703" w14:textId="77777777" w:rsidR="003321FA" w:rsidRPr="003321FA" w:rsidRDefault="003321FA" w:rsidP="002C3B56">
      <w:pPr>
        <w:pStyle w:val="PargrafodaLista"/>
        <w:keepNext/>
        <w:keepLines/>
        <w:numPr>
          <w:ilvl w:val="0"/>
          <w:numId w:val="40"/>
        </w:numPr>
        <w:spacing w:after="0" w:line="240" w:lineRule="auto"/>
        <w:ind w:left="284" w:hanging="284"/>
        <w:rPr>
          <w:rFonts w:ascii="Arial" w:eastAsia="Times New Roman" w:hAnsi="Arial" w:cs="Arial"/>
          <w:spacing w:val="-2"/>
          <w:sz w:val="14"/>
          <w:szCs w:val="16"/>
          <w:lang w:eastAsia="zh-CN"/>
        </w:rPr>
      </w:pPr>
      <w:r w:rsidRPr="003321FA">
        <w:rPr>
          <w:rFonts w:ascii="Arial" w:eastAsia="Times New Roman" w:hAnsi="Arial" w:cs="Arial"/>
          <w:spacing w:val="-2"/>
          <w:sz w:val="14"/>
          <w:szCs w:val="16"/>
          <w:lang w:eastAsia="zh-CN"/>
        </w:rPr>
        <w:t>Ágio na aquisição de participação societária da empresa Sulacap pela BB Seguros, ocorrida em 22.07.2011.</w:t>
      </w:r>
    </w:p>
    <w:p w14:paraId="40F966A8" w14:textId="77777777" w:rsidR="003321FA" w:rsidRPr="003321FA" w:rsidRDefault="003321FA" w:rsidP="003321FA">
      <w:pPr>
        <w:spacing w:before="120" w:after="120" w:line="240" w:lineRule="auto"/>
        <w:rPr>
          <w:rFonts w:ascii="Arial" w:eastAsia="Times New Roman" w:hAnsi="Arial" w:cs="Times New Roman"/>
          <w:bCs/>
          <w:color w:val="000000" w:themeColor="text1"/>
          <w:spacing w:val="-2"/>
          <w:sz w:val="14"/>
          <w:szCs w:val="16"/>
          <w:lang w:eastAsia="pt-BR"/>
        </w:rPr>
      </w:pPr>
    </w:p>
    <w:p w14:paraId="3AE40955" w14:textId="77777777" w:rsidR="003321FA" w:rsidRPr="003321FA" w:rsidRDefault="003321FA" w:rsidP="003321FA">
      <w:pPr>
        <w:keepNext/>
        <w:keepLines/>
        <w:spacing w:before="120" w:after="120" w:line="240" w:lineRule="auto"/>
        <w:rPr>
          <w:rFonts w:ascii="Arial" w:eastAsia="Times New Roman" w:hAnsi="Arial" w:cs="Arial"/>
          <w:b/>
          <w:color w:val="1F3864" w:themeColor="accent1" w:themeShade="80"/>
          <w:spacing w:val="-2"/>
          <w:sz w:val="18"/>
          <w:szCs w:val="20"/>
          <w:lang w:eastAsia="pt-BR"/>
        </w:rPr>
      </w:pPr>
      <w:r w:rsidRPr="003321FA">
        <w:rPr>
          <w:rFonts w:ascii="Arial" w:eastAsia="Times New Roman" w:hAnsi="Arial" w:cs="Arial"/>
          <w:b/>
          <w:color w:val="1F3864" w:themeColor="accent1" w:themeShade="80"/>
          <w:spacing w:val="-2"/>
          <w:sz w:val="18"/>
          <w:szCs w:val="20"/>
          <w:lang w:eastAsia="pt-BR"/>
        </w:rPr>
        <w:t xml:space="preserve">c.5) </w:t>
      </w:r>
      <w:proofErr w:type="spellStart"/>
      <w:r w:rsidRPr="003321FA">
        <w:rPr>
          <w:rFonts w:ascii="Arial" w:eastAsia="Times New Roman" w:hAnsi="Arial" w:cs="Arial"/>
          <w:b/>
          <w:color w:val="1F3864" w:themeColor="accent1" w:themeShade="80"/>
          <w:spacing w:val="-2"/>
          <w:sz w:val="18"/>
          <w:szCs w:val="20"/>
          <w:lang w:eastAsia="pt-BR"/>
        </w:rPr>
        <w:t>Ciclic</w:t>
      </w:r>
      <w:proofErr w:type="spellEnd"/>
    </w:p>
    <w:p w14:paraId="5946D499" w14:textId="77777777" w:rsidR="003321FA" w:rsidRPr="003321FA" w:rsidRDefault="003321FA" w:rsidP="003321FA">
      <w:pPr>
        <w:spacing w:before="120" w:after="120" w:line="240" w:lineRule="auto"/>
        <w:rPr>
          <w:rFonts w:ascii="Arial" w:eastAsia="Times New Roman" w:hAnsi="Arial" w:cs="Arial"/>
          <w:b/>
          <w:color w:val="1F3864" w:themeColor="accent1" w:themeShade="80"/>
          <w:spacing w:val="-2"/>
          <w:sz w:val="18"/>
          <w:szCs w:val="20"/>
          <w:lang w:eastAsia="pt-BR"/>
        </w:rPr>
      </w:pPr>
      <w:r w:rsidRPr="003321FA">
        <w:rPr>
          <w:rFonts w:ascii="Arial" w:eastAsia="Times New Roman" w:hAnsi="Arial" w:cs="Arial"/>
          <w:b/>
          <w:color w:val="1F3864" w:themeColor="accent1" w:themeShade="80"/>
          <w:spacing w:val="-2"/>
          <w:sz w:val="18"/>
          <w:szCs w:val="20"/>
          <w:lang w:eastAsia="pt-BR"/>
        </w:rPr>
        <w:t>Informações de Resultado</w:t>
      </w:r>
    </w:p>
    <w:p w14:paraId="0D56DFCE" w14:textId="77777777" w:rsidR="003321FA" w:rsidRPr="003321FA" w:rsidRDefault="003321FA" w:rsidP="003321FA">
      <w:pPr>
        <w:pStyle w:val="01-TtulodeNota"/>
        <w:spacing w:before="0" w:after="0"/>
        <w:jc w:val="right"/>
        <w:rPr>
          <w:rFonts w:cs="Arial"/>
          <w:sz w:val="14"/>
          <w:szCs w:val="14"/>
        </w:rPr>
      </w:pPr>
      <w:bookmarkStart w:id="80" w:name="_Hlk141875831"/>
      <w:r w:rsidRPr="003321FA">
        <w:rPr>
          <w:rFonts w:cs="Arial"/>
          <w:sz w:val="14"/>
          <w:szCs w:val="14"/>
        </w:rPr>
        <w:t>R$ mil</w:t>
      </w:r>
    </w:p>
    <w:tbl>
      <w:tblPr>
        <w:tblStyle w:val="TabeladeLista6Colorida-nfase5"/>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317"/>
        <w:gridCol w:w="1441"/>
        <w:gridCol w:w="1441"/>
        <w:gridCol w:w="1720"/>
        <w:gridCol w:w="1720"/>
      </w:tblGrid>
      <w:tr w:rsidR="003321FA" w:rsidRPr="003321FA" w14:paraId="03BCCFCF"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tcBorders>
              <w:top w:val="single" w:sz="2" w:space="0" w:color="1F3864" w:themeColor="accent1" w:themeShade="80"/>
              <w:bottom w:val="single" w:sz="2" w:space="0" w:color="1F3864" w:themeColor="accent1" w:themeShade="80"/>
            </w:tcBorders>
            <w:shd w:val="clear" w:color="auto" w:fill="auto"/>
            <w:vAlign w:val="center"/>
          </w:tcPr>
          <w:p w14:paraId="58D49CBA" w14:textId="77777777" w:rsidR="003321FA" w:rsidRPr="003321FA" w:rsidRDefault="003321FA">
            <w:pPr>
              <w:pStyle w:val="08-Tabelageral"/>
              <w:jc w:val="left"/>
              <w:rPr>
                <w:rFonts w:cs="Arial"/>
              </w:rPr>
            </w:pPr>
          </w:p>
        </w:tc>
        <w:tc>
          <w:tcPr>
            <w:tcW w:w="1441" w:type="dxa"/>
            <w:tcBorders>
              <w:top w:val="single" w:sz="2" w:space="0" w:color="1F3864" w:themeColor="accent1" w:themeShade="80"/>
              <w:bottom w:val="single" w:sz="2" w:space="0" w:color="1F3864" w:themeColor="accent1" w:themeShade="80"/>
            </w:tcBorders>
            <w:shd w:val="clear" w:color="auto" w:fill="auto"/>
            <w:vAlign w:val="center"/>
          </w:tcPr>
          <w:p w14:paraId="6F8D82EE" w14:textId="77777777" w:rsidR="003321FA" w:rsidRPr="003321FA" w:rsidRDefault="003321FA">
            <w:pPr>
              <w:pStyle w:val="08-Tabelageral"/>
              <w:cnfStyle w:val="100000000000" w:firstRow="1" w:lastRow="0" w:firstColumn="0" w:lastColumn="0" w:oddVBand="0" w:evenVBand="0" w:oddHBand="0" w:evenHBand="0" w:firstRowFirstColumn="0" w:firstRowLastColumn="0" w:lastRowFirstColumn="0" w:lastRowLastColumn="0"/>
              <w:rPr>
                <w:rFonts w:cs="Arial"/>
              </w:rPr>
            </w:pPr>
          </w:p>
        </w:tc>
        <w:tc>
          <w:tcPr>
            <w:tcW w:w="1441" w:type="dxa"/>
            <w:tcBorders>
              <w:top w:val="single" w:sz="2" w:space="0" w:color="1F3864" w:themeColor="accent1" w:themeShade="80"/>
              <w:bottom w:val="single" w:sz="2" w:space="0" w:color="1F3864" w:themeColor="accent1" w:themeShade="80"/>
            </w:tcBorders>
            <w:shd w:val="clear" w:color="auto" w:fill="auto"/>
            <w:vAlign w:val="center"/>
          </w:tcPr>
          <w:p w14:paraId="22E4CBDD" w14:textId="77777777" w:rsidR="003321FA" w:rsidRPr="003321FA" w:rsidRDefault="003321FA">
            <w:pPr>
              <w:pStyle w:val="08-Tabelageral"/>
              <w:cnfStyle w:val="100000000000" w:firstRow="1" w:lastRow="0" w:firstColumn="0" w:lastColumn="0" w:oddVBand="0" w:evenVBand="0" w:oddHBand="0" w:evenHBand="0" w:firstRowFirstColumn="0" w:firstRowLastColumn="0" w:lastRowFirstColumn="0" w:lastRowLastColumn="0"/>
              <w:rPr>
                <w:rFonts w:cs="Arial"/>
              </w:rPr>
            </w:pPr>
          </w:p>
        </w:tc>
        <w:tc>
          <w:tcPr>
            <w:tcW w:w="1720" w:type="dxa"/>
            <w:tcBorders>
              <w:top w:val="single" w:sz="2" w:space="0" w:color="1F3864" w:themeColor="accent1" w:themeShade="80"/>
              <w:bottom w:val="single" w:sz="2" w:space="0" w:color="1F3864" w:themeColor="accent1" w:themeShade="80"/>
            </w:tcBorders>
            <w:shd w:val="clear" w:color="auto" w:fill="auto"/>
            <w:vAlign w:val="center"/>
          </w:tcPr>
          <w:p w14:paraId="3E6DAA3D" w14:textId="77777777" w:rsidR="003321FA" w:rsidRPr="003321FA" w:rsidRDefault="003321FA">
            <w:pPr>
              <w:pStyle w:val="08-Tabelageral"/>
              <w:cnfStyle w:val="100000000000" w:firstRow="1" w:lastRow="0" w:firstColumn="0" w:lastColumn="0" w:oddVBand="0" w:evenVBand="0" w:oddHBand="0" w:evenHBand="0" w:firstRowFirstColumn="0" w:firstRowLastColumn="0" w:lastRowFirstColumn="0" w:lastRowLastColumn="0"/>
              <w:rPr>
                <w:rFonts w:cs="Arial"/>
              </w:rPr>
            </w:pPr>
            <w:r w:rsidRPr="003321FA">
              <w:rPr>
                <w:rFonts w:cs="Arial"/>
              </w:rPr>
              <w:t>Exercício 2024</w:t>
            </w:r>
          </w:p>
        </w:tc>
        <w:tc>
          <w:tcPr>
            <w:tcW w:w="1720" w:type="dxa"/>
            <w:tcBorders>
              <w:top w:val="single" w:sz="2" w:space="0" w:color="1F3864" w:themeColor="accent1" w:themeShade="80"/>
              <w:bottom w:val="single" w:sz="2" w:space="0" w:color="1F3864" w:themeColor="accent1" w:themeShade="80"/>
            </w:tcBorders>
            <w:shd w:val="clear" w:color="auto" w:fill="auto"/>
            <w:vAlign w:val="center"/>
          </w:tcPr>
          <w:p w14:paraId="1028AE8B" w14:textId="77777777" w:rsidR="003321FA" w:rsidRPr="003321FA" w:rsidRDefault="003321FA">
            <w:pPr>
              <w:pStyle w:val="08-Tabelageral"/>
              <w:cnfStyle w:val="100000000000" w:firstRow="1" w:lastRow="0" w:firstColumn="0" w:lastColumn="0" w:oddVBand="0" w:evenVBand="0" w:oddHBand="0" w:evenHBand="0" w:firstRowFirstColumn="0" w:firstRowLastColumn="0" w:lastRowFirstColumn="0" w:lastRowLastColumn="0"/>
              <w:rPr>
                <w:rFonts w:cs="Arial"/>
              </w:rPr>
            </w:pPr>
            <w:r w:rsidRPr="003321FA">
              <w:rPr>
                <w:rFonts w:cs="Arial"/>
              </w:rPr>
              <w:t>Exercício 2023</w:t>
            </w:r>
          </w:p>
        </w:tc>
      </w:tr>
      <w:tr w:rsidR="003321FA" w:rsidRPr="003321FA" w14:paraId="728FDA86"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tcBorders>
              <w:top w:val="single" w:sz="2" w:space="0" w:color="1F3864" w:themeColor="accent1" w:themeShade="80"/>
            </w:tcBorders>
            <w:shd w:val="clear" w:color="auto" w:fill="auto"/>
            <w:vAlign w:val="center"/>
          </w:tcPr>
          <w:p w14:paraId="7D7CEC59" w14:textId="77777777" w:rsidR="003321FA" w:rsidRPr="003321FA" w:rsidRDefault="003321FA">
            <w:pPr>
              <w:pStyle w:val="08-Tabelageral"/>
              <w:jc w:val="left"/>
              <w:rPr>
                <w:rFonts w:cs="Arial"/>
                <w:b w:val="0"/>
                <w:bCs w:val="0"/>
                <w:szCs w:val="14"/>
              </w:rPr>
            </w:pPr>
            <w:r w:rsidRPr="003321FA">
              <w:rPr>
                <w:rFonts w:cs="Arial"/>
                <w:b w:val="0"/>
                <w:bCs w:val="0"/>
              </w:rPr>
              <w:t>Receitas de comissões</w:t>
            </w:r>
          </w:p>
        </w:tc>
        <w:tc>
          <w:tcPr>
            <w:tcW w:w="1441" w:type="dxa"/>
            <w:tcBorders>
              <w:top w:val="nil"/>
            </w:tcBorders>
            <w:shd w:val="clear" w:color="auto" w:fill="auto"/>
            <w:vAlign w:val="center"/>
          </w:tcPr>
          <w:p w14:paraId="3C83FC5B"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41" w:type="dxa"/>
            <w:tcBorders>
              <w:top w:val="nil"/>
            </w:tcBorders>
            <w:shd w:val="clear" w:color="auto" w:fill="auto"/>
            <w:vAlign w:val="center"/>
          </w:tcPr>
          <w:p w14:paraId="2E7509CC"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720" w:type="dxa"/>
            <w:tcBorders>
              <w:top w:val="nil"/>
              <w:left w:val="nil"/>
              <w:bottom w:val="nil"/>
              <w:right w:val="nil"/>
            </w:tcBorders>
            <w:shd w:val="clear" w:color="auto" w:fill="auto"/>
            <w:vAlign w:val="center"/>
          </w:tcPr>
          <w:p w14:paraId="5B05AFAC" w14:textId="77777777" w:rsidR="003321FA" w:rsidRPr="003321FA" w:rsidRDefault="003321FA">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18.824</w:t>
            </w:r>
          </w:p>
        </w:tc>
        <w:tc>
          <w:tcPr>
            <w:tcW w:w="1720" w:type="dxa"/>
            <w:tcBorders>
              <w:top w:val="single" w:sz="2" w:space="0" w:color="1F3864" w:themeColor="accent1" w:themeShade="80"/>
            </w:tcBorders>
            <w:shd w:val="clear" w:color="auto" w:fill="auto"/>
            <w:vAlign w:val="center"/>
          </w:tcPr>
          <w:p w14:paraId="04314E27"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321FA">
              <w:rPr>
                <w:rFonts w:cs="Arial"/>
                <w:szCs w:val="14"/>
              </w:rPr>
              <w:t>38.017</w:t>
            </w:r>
          </w:p>
        </w:tc>
      </w:tr>
      <w:tr w:rsidR="003321FA" w:rsidRPr="003321FA" w14:paraId="53DF89ED"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13BF34E7" w14:textId="77777777" w:rsidR="003321FA" w:rsidRPr="003321FA" w:rsidRDefault="003321FA">
            <w:pPr>
              <w:pStyle w:val="08-Tabelageral"/>
              <w:jc w:val="left"/>
              <w:rPr>
                <w:rFonts w:cs="Arial"/>
                <w:b w:val="0"/>
                <w:bCs w:val="0"/>
                <w:szCs w:val="14"/>
              </w:rPr>
            </w:pPr>
            <w:r w:rsidRPr="003321FA">
              <w:rPr>
                <w:rFonts w:cs="Arial"/>
                <w:b w:val="0"/>
                <w:bCs w:val="0"/>
              </w:rPr>
              <w:t>Custos</w:t>
            </w:r>
          </w:p>
        </w:tc>
        <w:tc>
          <w:tcPr>
            <w:tcW w:w="1441" w:type="dxa"/>
            <w:shd w:val="clear" w:color="auto" w:fill="auto"/>
            <w:vAlign w:val="center"/>
          </w:tcPr>
          <w:p w14:paraId="295D3CE3"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41" w:type="dxa"/>
            <w:shd w:val="clear" w:color="auto" w:fill="auto"/>
            <w:vAlign w:val="center"/>
          </w:tcPr>
          <w:p w14:paraId="78F5A86D"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720" w:type="dxa"/>
            <w:tcBorders>
              <w:top w:val="nil"/>
              <w:left w:val="nil"/>
              <w:bottom w:val="nil"/>
              <w:right w:val="nil"/>
            </w:tcBorders>
            <w:shd w:val="clear" w:color="auto" w:fill="auto"/>
            <w:vAlign w:val="center"/>
          </w:tcPr>
          <w:p w14:paraId="034B673F"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321FA">
              <w:rPr>
                <w:rFonts w:cs="Arial"/>
                <w:color w:val="000000"/>
                <w:szCs w:val="14"/>
              </w:rPr>
              <w:t>(10.977)</w:t>
            </w:r>
          </w:p>
        </w:tc>
        <w:tc>
          <w:tcPr>
            <w:tcW w:w="1720" w:type="dxa"/>
            <w:shd w:val="clear" w:color="auto" w:fill="auto"/>
            <w:vAlign w:val="center"/>
          </w:tcPr>
          <w:p w14:paraId="7EC482EC"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321FA">
              <w:rPr>
                <w:rFonts w:cs="Arial"/>
                <w:szCs w:val="14"/>
              </w:rPr>
              <w:t>(13.691)</w:t>
            </w:r>
          </w:p>
        </w:tc>
      </w:tr>
      <w:tr w:rsidR="003321FA" w:rsidRPr="003321FA" w14:paraId="6AAC00FB"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41BB331F" w14:textId="77777777" w:rsidR="003321FA" w:rsidRPr="003321FA" w:rsidRDefault="003321FA">
            <w:pPr>
              <w:pStyle w:val="08-Tabelageral"/>
              <w:jc w:val="left"/>
              <w:rPr>
                <w:rFonts w:cs="Arial"/>
                <w:szCs w:val="14"/>
              </w:rPr>
            </w:pPr>
            <w:r w:rsidRPr="003321FA">
              <w:rPr>
                <w:rFonts w:cs="Arial"/>
              </w:rPr>
              <w:t>Resultado financeiro</w:t>
            </w:r>
          </w:p>
        </w:tc>
        <w:tc>
          <w:tcPr>
            <w:tcW w:w="1441" w:type="dxa"/>
            <w:shd w:val="clear" w:color="auto" w:fill="auto"/>
            <w:vAlign w:val="bottom"/>
          </w:tcPr>
          <w:p w14:paraId="45A506ED"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441" w:type="dxa"/>
            <w:shd w:val="clear" w:color="auto" w:fill="auto"/>
            <w:vAlign w:val="bottom"/>
          </w:tcPr>
          <w:p w14:paraId="670783B1"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720" w:type="dxa"/>
            <w:tcBorders>
              <w:top w:val="nil"/>
              <w:left w:val="nil"/>
              <w:bottom w:val="nil"/>
              <w:right w:val="nil"/>
            </w:tcBorders>
            <w:shd w:val="clear" w:color="auto" w:fill="auto"/>
            <w:vAlign w:val="bottom"/>
          </w:tcPr>
          <w:p w14:paraId="26541616"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3321FA">
              <w:rPr>
                <w:rFonts w:cs="Arial"/>
                <w:b/>
                <w:bCs/>
                <w:color w:val="000000"/>
                <w:szCs w:val="14"/>
              </w:rPr>
              <w:t>(418)</w:t>
            </w:r>
          </w:p>
        </w:tc>
        <w:tc>
          <w:tcPr>
            <w:tcW w:w="1720" w:type="dxa"/>
            <w:shd w:val="clear" w:color="auto" w:fill="auto"/>
            <w:vAlign w:val="center"/>
          </w:tcPr>
          <w:p w14:paraId="02E01C58"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3321FA">
              <w:rPr>
                <w:rFonts w:cs="Arial"/>
                <w:b/>
                <w:bCs/>
                <w:szCs w:val="14"/>
              </w:rPr>
              <w:t>(1.002)</w:t>
            </w:r>
          </w:p>
        </w:tc>
      </w:tr>
      <w:tr w:rsidR="003321FA" w:rsidRPr="003321FA" w14:paraId="69A772B8"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63AE930C" w14:textId="77777777" w:rsidR="003321FA" w:rsidRPr="003321FA" w:rsidRDefault="003321FA">
            <w:pPr>
              <w:pStyle w:val="08-Tabelageral"/>
              <w:ind w:left="113"/>
              <w:jc w:val="left"/>
              <w:rPr>
                <w:rFonts w:cs="Arial"/>
                <w:b w:val="0"/>
                <w:bCs w:val="0"/>
                <w:szCs w:val="14"/>
              </w:rPr>
            </w:pPr>
            <w:r w:rsidRPr="003321FA">
              <w:rPr>
                <w:rFonts w:cs="Arial"/>
                <w:b w:val="0"/>
                <w:bCs w:val="0"/>
              </w:rPr>
              <w:t>Receitas de juros</w:t>
            </w:r>
          </w:p>
        </w:tc>
        <w:tc>
          <w:tcPr>
            <w:tcW w:w="1441" w:type="dxa"/>
            <w:shd w:val="clear" w:color="auto" w:fill="auto"/>
            <w:vAlign w:val="bottom"/>
          </w:tcPr>
          <w:p w14:paraId="3B4C197D"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41" w:type="dxa"/>
            <w:shd w:val="clear" w:color="auto" w:fill="auto"/>
            <w:vAlign w:val="bottom"/>
          </w:tcPr>
          <w:p w14:paraId="717A99FD"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720" w:type="dxa"/>
            <w:tcBorders>
              <w:top w:val="nil"/>
              <w:left w:val="nil"/>
              <w:bottom w:val="nil"/>
              <w:right w:val="nil"/>
            </w:tcBorders>
            <w:shd w:val="clear" w:color="auto" w:fill="auto"/>
            <w:vAlign w:val="bottom"/>
          </w:tcPr>
          <w:p w14:paraId="077266FD"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321FA">
              <w:rPr>
                <w:rFonts w:cs="Arial"/>
                <w:color w:val="000000"/>
                <w:szCs w:val="14"/>
              </w:rPr>
              <w:t>--</w:t>
            </w:r>
          </w:p>
        </w:tc>
        <w:tc>
          <w:tcPr>
            <w:tcW w:w="1720" w:type="dxa"/>
            <w:shd w:val="clear" w:color="auto" w:fill="auto"/>
            <w:vAlign w:val="center"/>
          </w:tcPr>
          <w:p w14:paraId="4AE5B6ED"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321FA">
              <w:rPr>
                <w:rFonts w:cs="Arial"/>
                <w:szCs w:val="14"/>
              </w:rPr>
              <w:t>2</w:t>
            </w:r>
          </w:p>
        </w:tc>
      </w:tr>
      <w:tr w:rsidR="003321FA" w:rsidRPr="003321FA" w14:paraId="1298CFB0"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57E8E7C4" w14:textId="77777777" w:rsidR="003321FA" w:rsidRPr="003321FA" w:rsidRDefault="003321FA">
            <w:pPr>
              <w:pStyle w:val="08-Tabelageral"/>
              <w:ind w:left="113"/>
              <w:jc w:val="left"/>
              <w:rPr>
                <w:rFonts w:cs="Arial"/>
                <w:b w:val="0"/>
                <w:bCs w:val="0"/>
                <w:szCs w:val="14"/>
              </w:rPr>
            </w:pPr>
            <w:r w:rsidRPr="003321FA">
              <w:rPr>
                <w:rFonts w:cs="Arial"/>
                <w:b w:val="0"/>
                <w:bCs w:val="0"/>
              </w:rPr>
              <w:t>Outras receitas financeiras</w:t>
            </w:r>
          </w:p>
        </w:tc>
        <w:tc>
          <w:tcPr>
            <w:tcW w:w="1441" w:type="dxa"/>
            <w:shd w:val="clear" w:color="auto" w:fill="auto"/>
            <w:vAlign w:val="bottom"/>
          </w:tcPr>
          <w:p w14:paraId="1D102BC3"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41" w:type="dxa"/>
            <w:shd w:val="clear" w:color="auto" w:fill="auto"/>
            <w:vAlign w:val="bottom"/>
          </w:tcPr>
          <w:p w14:paraId="106B9E5A"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720" w:type="dxa"/>
            <w:tcBorders>
              <w:top w:val="nil"/>
              <w:left w:val="nil"/>
              <w:bottom w:val="nil"/>
              <w:right w:val="nil"/>
            </w:tcBorders>
            <w:shd w:val="clear" w:color="auto" w:fill="auto"/>
            <w:vAlign w:val="bottom"/>
          </w:tcPr>
          <w:p w14:paraId="0BA69341"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321FA">
              <w:rPr>
                <w:rFonts w:cs="Arial"/>
                <w:color w:val="000000"/>
                <w:szCs w:val="14"/>
              </w:rPr>
              <w:t>661</w:t>
            </w:r>
          </w:p>
        </w:tc>
        <w:tc>
          <w:tcPr>
            <w:tcW w:w="1720" w:type="dxa"/>
            <w:shd w:val="clear" w:color="auto" w:fill="auto"/>
            <w:vAlign w:val="center"/>
          </w:tcPr>
          <w:p w14:paraId="106BCCB4"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321FA">
              <w:rPr>
                <w:rFonts w:cs="Arial"/>
                <w:szCs w:val="14"/>
              </w:rPr>
              <w:t>68</w:t>
            </w:r>
          </w:p>
        </w:tc>
      </w:tr>
      <w:tr w:rsidR="003321FA" w:rsidRPr="003321FA" w14:paraId="23A9540F"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0B64528E" w14:textId="77777777" w:rsidR="003321FA" w:rsidRPr="003321FA" w:rsidRDefault="003321FA">
            <w:pPr>
              <w:pStyle w:val="08-Tabelageral"/>
              <w:ind w:left="113"/>
              <w:jc w:val="left"/>
              <w:rPr>
                <w:rFonts w:cs="Arial"/>
                <w:b w:val="0"/>
                <w:bCs w:val="0"/>
                <w:szCs w:val="14"/>
              </w:rPr>
            </w:pPr>
            <w:r w:rsidRPr="003321FA">
              <w:rPr>
                <w:rFonts w:cs="Arial"/>
                <w:b w:val="0"/>
                <w:bCs w:val="0"/>
              </w:rPr>
              <w:t>Despesas de juros</w:t>
            </w:r>
          </w:p>
        </w:tc>
        <w:tc>
          <w:tcPr>
            <w:tcW w:w="1441" w:type="dxa"/>
            <w:shd w:val="clear" w:color="auto" w:fill="auto"/>
            <w:vAlign w:val="bottom"/>
          </w:tcPr>
          <w:p w14:paraId="22BFCD3B"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41" w:type="dxa"/>
            <w:shd w:val="clear" w:color="auto" w:fill="auto"/>
            <w:vAlign w:val="bottom"/>
          </w:tcPr>
          <w:p w14:paraId="33311A64"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720" w:type="dxa"/>
            <w:tcBorders>
              <w:top w:val="nil"/>
              <w:left w:val="nil"/>
              <w:bottom w:val="nil"/>
              <w:right w:val="nil"/>
            </w:tcBorders>
            <w:shd w:val="clear" w:color="auto" w:fill="auto"/>
            <w:vAlign w:val="bottom"/>
          </w:tcPr>
          <w:p w14:paraId="7DCE2C84"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321FA">
              <w:rPr>
                <w:rFonts w:cs="Arial"/>
                <w:color w:val="000000"/>
                <w:szCs w:val="14"/>
              </w:rPr>
              <w:t>(35)</w:t>
            </w:r>
          </w:p>
        </w:tc>
        <w:tc>
          <w:tcPr>
            <w:tcW w:w="1720" w:type="dxa"/>
            <w:shd w:val="clear" w:color="auto" w:fill="auto"/>
            <w:vAlign w:val="center"/>
          </w:tcPr>
          <w:p w14:paraId="698EBB03"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321FA">
              <w:rPr>
                <w:rFonts w:cs="Arial"/>
                <w:szCs w:val="14"/>
              </w:rPr>
              <w:t>(91)</w:t>
            </w:r>
          </w:p>
        </w:tc>
      </w:tr>
      <w:tr w:rsidR="003321FA" w:rsidRPr="003321FA" w14:paraId="42CDD42B"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320A817E" w14:textId="77777777" w:rsidR="003321FA" w:rsidRPr="003321FA" w:rsidRDefault="003321FA">
            <w:pPr>
              <w:pStyle w:val="08-Tabelageral"/>
              <w:ind w:left="113"/>
              <w:jc w:val="left"/>
              <w:rPr>
                <w:rFonts w:cs="Arial"/>
                <w:b w:val="0"/>
                <w:bCs w:val="0"/>
                <w:szCs w:val="14"/>
              </w:rPr>
            </w:pPr>
            <w:r w:rsidRPr="003321FA">
              <w:rPr>
                <w:rFonts w:cs="Arial"/>
                <w:b w:val="0"/>
                <w:bCs w:val="0"/>
              </w:rPr>
              <w:t>Outras despesas financeiras</w:t>
            </w:r>
          </w:p>
        </w:tc>
        <w:tc>
          <w:tcPr>
            <w:tcW w:w="1441" w:type="dxa"/>
            <w:shd w:val="clear" w:color="auto" w:fill="auto"/>
            <w:vAlign w:val="bottom"/>
          </w:tcPr>
          <w:p w14:paraId="58168189"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41" w:type="dxa"/>
            <w:shd w:val="clear" w:color="auto" w:fill="auto"/>
            <w:vAlign w:val="bottom"/>
          </w:tcPr>
          <w:p w14:paraId="72743889"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720" w:type="dxa"/>
            <w:tcBorders>
              <w:top w:val="nil"/>
              <w:left w:val="nil"/>
              <w:bottom w:val="nil"/>
              <w:right w:val="nil"/>
            </w:tcBorders>
            <w:shd w:val="clear" w:color="auto" w:fill="auto"/>
            <w:vAlign w:val="bottom"/>
          </w:tcPr>
          <w:p w14:paraId="6FA9E2D1"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321FA">
              <w:rPr>
                <w:rFonts w:cs="Arial"/>
                <w:color w:val="000000"/>
                <w:szCs w:val="14"/>
              </w:rPr>
              <w:t>(1.044)</w:t>
            </w:r>
          </w:p>
        </w:tc>
        <w:tc>
          <w:tcPr>
            <w:tcW w:w="1720" w:type="dxa"/>
            <w:shd w:val="clear" w:color="auto" w:fill="auto"/>
            <w:vAlign w:val="center"/>
          </w:tcPr>
          <w:p w14:paraId="636F604A"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321FA">
              <w:rPr>
                <w:rFonts w:cs="Arial"/>
                <w:szCs w:val="14"/>
              </w:rPr>
              <w:t>(981)</w:t>
            </w:r>
          </w:p>
        </w:tc>
      </w:tr>
      <w:tr w:rsidR="003321FA" w:rsidRPr="003321FA" w14:paraId="68A691B1"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6D5154ED" w14:textId="77777777" w:rsidR="003321FA" w:rsidRPr="003321FA" w:rsidRDefault="003321FA">
            <w:pPr>
              <w:pStyle w:val="08-Tabelageral"/>
              <w:jc w:val="left"/>
              <w:rPr>
                <w:rFonts w:cs="Arial"/>
                <w:szCs w:val="14"/>
              </w:rPr>
            </w:pPr>
            <w:r w:rsidRPr="003321FA">
              <w:rPr>
                <w:rFonts w:cs="Arial"/>
              </w:rPr>
              <w:t>Resultado patrimonial</w:t>
            </w:r>
          </w:p>
        </w:tc>
        <w:tc>
          <w:tcPr>
            <w:tcW w:w="1441" w:type="dxa"/>
            <w:shd w:val="clear" w:color="auto" w:fill="auto"/>
            <w:vAlign w:val="bottom"/>
          </w:tcPr>
          <w:p w14:paraId="64340A19"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441" w:type="dxa"/>
            <w:shd w:val="clear" w:color="auto" w:fill="auto"/>
            <w:vAlign w:val="bottom"/>
          </w:tcPr>
          <w:p w14:paraId="3B74409E"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720" w:type="dxa"/>
            <w:tcBorders>
              <w:top w:val="nil"/>
              <w:left w:val="nil"/>
              <w:bottom w:val="nil"/>
              <w:right w:val="nil"/>
            </w:tcBorders>
            <w:shd w:val="clear" w:color="auto" w:fill="auto"/>
            <w:vAlign w:val="bottom"/>
          </w:tcPr>
          <w:p w14:paraId="75DFB793"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3321FA">
              <w:rPr>
                <w:rFonts w:cs="Arial"/>
                <w:b/>
                <w:bCs/>
                <w:color w:val="000000"/>
                <w:szCs w:val="14"/>
              </w:rPr>
              <w:t>(19.742)</w:t>
            </w:r>
          </w:p>
        </w:tc>
        <w:tc>
          <w:tcPr>
            <w:tcW w:w="1720" w:type="dxa"/>
            <w:shd w:val="clear" w:color="auto" w:fill="auto"/>
            <w:vAlign w:val="center"/>
          </w:tcPr>
          <w:p w14:paraId="22927BDD"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3321FA">
              <w:rPr>
                <w:rFonts w:cs="Arial"/>
                <w:b/>
                <w:bCs/>
                <w:szCs w:val="14"/>
              </w:rPr>
              <w:t>(18.830)</w:t>
            </w:r>
          </w:p>
        </w:tc>
      </w:tr>
      <w:tr w:rsidR="003321FA" w:rsidRPr="003321FA" w14:paraId="1E54AE33"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59302D48" w14:textId="77777777" w:rsidR="003321FA" w:rsidRPr="003321FA" w:rsidRDefault="003321FA">
            <w:pPr>
              <w:pStyle w:val="08-Tabelageral"/>
              <w:ind w:left="113"/>
              <w:jc w:val="left"/>
              <w:rPr>
                <w:rFonts w:cs="Arial"/>
                <w:b w:val="0"/>
                <w:bCs w:val="0"/>
                <w:szCs w:val="14"/>
              </w:rPr>
            </w:pPr>
            <w:r w:rsidRPr="003321FA">
              <w:rPr>
                <w:rFonts w:cs="Arial"/>
                <w:b w:val="0"/>
                <w:bCs w:val="0"/>
              </w:rPr>
              <w:t>Depreciação e amortização</w:t>
            </w:r>
          </w:p>
        </w:tc>
        <w:tc>
          <w:tcPr>
            <w:tcW w:w="1441" w:type="dxa"/>
            <w:shd w:val="clear" w:color="auto" w:fill="auto"/>
            <w:vAlign w:val="bottom"/>
          </w:tcPr>
          <w:p w14:paraId="28461845"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41" w:type="dxa"/>
            <w:shd w:val="clear" w:color="auto" w:fill="auto"/>
            <w:vAlign w:val="bottom"/>
          </w:tcPr>
          <w:p w14:paraId="241DE53C"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720" w:type="dxa"/>
            <w:shd w:val="clear" w:color="auto" w:fill="auto"/>
            <w:vAlign w:val="bottom"/>
          </w:tcPr>
          <w:p w14:paraId="29F0044B"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321FA">
              <w:rPr>
                <w:rFonts w:cs="Arial"/>
                <w:color w:val="000000"/>
                <w:szCs w:val="14"/>
              </w:rPr>
              <w:t>(2.427)</w:t>
            </w:r>
          </w:p>
        </w:tc>
        <w:tc>
          <w:tcPr>
            <w:tcW w:w="1720" w:type="dxa"/>
            <w:shd w:val="clear" w:color="auto" w:fill="auto"/>
            <w:vAlign w:val="center"/>
          </w:tcPr>
          <w:p w14:paraId="77E16E62"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321FA">
              <w:rPr>
                <w:rFonts w:cs="Arial"/>
                <w:szCs w:val="14"/>
              </w:rPr>
              <w:t>(2.549)</w:t>
            </w:r>
          </w:p>
        </w:tc>
      </w:tr>
      <w:tr w:rsidR="003321FA" w:rsidRPr="003321FA" w14:paraId="564EED91"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31AB9319" w14:textId="77777777" w:rsidR="003321FA" w:rsidRPr="003321FA" w:rsidRDefault="003321FA">
            <w:pPr>
              <w:pStyle w:val="08-Tabelageral"/>
              <w:ind w:left="113"/>
              <w:jc w:val="left"/>
              <w:rPr>
                <w:rFonts w:cs="Arial"/>
                <w:b w:val="0"/>
                <w:bCs w:val="0"/>
                <w:szCs w:val="14"/>
              </w:rPr>
            </w:pPr>
            <w:r w:rsidRPr="003321FA">
              <w:rPr>
                <w:rFonts w:cs="Arial"/>
                <w:b w:val="0"/>
                <w:bCs w:val="0"/>
              </w:rPr>
              <w:t>Outras receitas/despesas patrimoniais</w:t>
            </w:r>
          </w:p>
        </w:tc>
        <w:tc>
          <w:tcPr>
            <w:tcW w:w="1441" w:type="dxa"/>
            <w:shd w:val="clear" w:color="auto" w:fill="auto"/>
            <w:vAlign w:val="bottom"/>
          </w:tcPr>
          <w:p w14:paraId="1E37053E"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41" w:type="dxa"/>
            <w:shd w:val="clear" w:color="auto" w:fill="auto"/>
            <w:vAlign w:val="bottom"/>
          </w:tcPr>
          <w:p w14:paraId="3FD0E939"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720" w:type="dxa"/>
            <w:shd w:val="clear" w:color="auto" w:fill="auto"/>
            <w:vAlign w:val="bottom"/>
          </w:tcPr>
          <w:p w14:paraId="4C901768"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321FA">
              <w:rPr>
                <w:rFonts w:cs="Arial"/>
                <w:color w:val="000000"/>
                <w:szCs w:val="14"/>
              </w:rPr>
              <w:t>(17.315)</w:t>
            </w:r>
          </w:p>
        </w:tc>
        <w:tc>
          <w:tcPr>
            <w:tcW w:w="1720" w:type="dxa"/>
            <w:shd w:val="clear" w:color="auto" w:fill="auto"/>
            <w:vAlign w:val="center"/>
          </w:tcPr>
          <w:p w14:paraId="4EDED99B"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321FA">
              <w:rPr>
                <w:rFonts w:cs="Arial"/>
                <w:szCs w:val="14"/>
              </w:rPr>
              <w:t>(16.281)</w:t>
            </w:r>
          </w:p>
        </w:tc>
      </w:tr>
      <w:tr w:rsidR="003321FA" w:rsidRPr="003321FA" w14:paraId="6BC35FF5"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2CFCC0D9" w14:textId="77777777" w:rsidR="003321FA" w:rsidRPr="003321FA" w:rsidRDefault="003321FA">
            <w:pPr>
              <w:pStyle w:val="08-Tabelageral"/>
              <w:jc w:val="left"/>
              <w:rPr>
                <w:rFonts w:cs="Arial"/>
                <w:szCs w:val="14"/>
              </w:rPr>
            </w:pPr>
            <w:r w:rsidRPr="003321FA">
              <w:rPr>
                <w:rFonts w:cs="Arial"/>
              </w:rPr>
              <w:t>Outras receitas e despesas</w:t>
            </w:r>
          </w:p>
        </w:tc>
        <w:tc>
          <w:tcPr>
            <w:tcW w:w="1441" w:type="dxa"/>
            <w:shd w:val="clear" w:color="auto" w:fill="auto"/>
            <w:vAlign w:val="bottom"/>
          </w:tcPr>
          <w:p w14:paraId="777F1141"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441" w:type="dxa"/>
            <w:shd w:val="clear" w:color="auto" w:fill="auto"/>
            <w:vAlign w:val="bottom"/>
          </w:tcPr>
          <w:p w14:paraId="60C5F54E"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720" w:type="dxa"/>
            <w:shd w:val="clear" w:color="auto" w:fill="auto"/>
            <w:vAlign w:val="bottom"/>
          </w:tcPr>
          <w:p w14:paraId="25609392"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3321FA">
              <w:rPr>
                <w:rFonts w:cs="Arial"/>
                <w:b/>
                <w:bCs/>
                <w:color w:val="000000"/>
                <w:szCs w:val="14"/>
              </w:rPr>
              <w:t>25.693</w:t>
            </w:r>
          </w:p>
        </w:tc>
        <w:tc>
          <w:tcPr>
            <w:tcW w:w="1720" w:type="dxa"/>
            <w:shd w:val="clear" w:color="auto" w:fill="auto"/>
            <w:vAlign w:val="center"/>
          </w:tcPr>
          <w:p w14:paraId="050A008A"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3321FA">
              <w:rPr>
                <w:rFonts w:cs="Arial"/>
                <w:b/>
                <w:szCs w:val="14"/>
              </w:rPr>
              <w:t>1.400</w:t>
            </w:r>
          </w:p>
        </w:tc>
      </w:tr>
      <w:tr w:rsidR="003321FA" w:rsidRPr="003321FA" w14:paraId="6379CD14"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41453230" w14:textId="77777777" w:rsidR="003321FA" w:rsidRPr="003321FA" w:rsidRDefault="003321FA">
            <w:pPr>
              <w:pStyle w:val="08-Tabelageral"/>
              <w:ind w:left="113"/>
              <w:jc w:val="left"/>
              <w:rPr>
                <w:rFonts w:cs="Arial"/>
                <w:b w:val="0"/>
                <w:bCs w:val="0"/>
                <w:szCs w:val="14"/>
              </w:rPr>
            </w:pPr>
            <w:r w:rsidRPr="003321FA">
              <w:rPr>
                <w:rFonts w:cs="Arial"/>
                <w:b w:val="0"/>
                <w:bCs w:val="0"/>
              </w:rPr>
              <w:t>Outras receitas</w:t>
            </w:r>
          </w:p>
        </w:tc>
        <w:tc>
          <w:tcPr>
            <w:tcW w:w="1441" w:type="dxa"/>
            <w:shd w:val="clear" w:color="auto" w:fill="auto"/>
            <w:vAlign w:val="bottom"/>
          </w:tcPr>
          <w:p w14:paraId="16A342C4"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41" w:type="dxa"/>
            <w:shd w:val="clear" w:color="auto" w:fill="auto"/>
            <w:vAlign w:val="bottom"/>
          </w:tcPr>
          <w:p w14:paraId="10451F30"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720" w:type="dxa"/>
            <w:shd w:val="clear" w:color="auto" w:fill="auto"/>
            <w:vAlign w:val="bottom"/>
          </w:tcPr>
          <w:p w14:paraId="46CA40F0" w14:textId="11401329"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321FA">
              <w:rPr>
                <w:rFonts w:cs="Arial"/>
                <w:color w:val="000000"/>
                <w:szCs w:val="14"/>
              </w:rPr>
              <w:t>32.04</w:t>
            </w:r>
            <w:r w:rsidR="002F3927">
              <w:rPr>
                <w:rFonts w:cs="Arial"/>
                <w:color w:val="000000"/>
                <w:szCs w:val="14"/>
              </w:rPr>
              <w:t>6</w:t>
            </w:r>
          </w:p>
        </w:tc>
        <w:tc>
          <w:tcPr>
            <w:tcW w:w="1720" w:type="dxa"/>
            <w:shd w:val="clear" w:color="auto" w:fill="auto"/>
            <w:vAlign w:val="center"/>
          </w:tcPr>
          <w:p w14:paraId="582A227C"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321FA">
              <w:rPr>
                <w:rFonts w:cs="Arial"/>
                <w:bCs/>
                <w:szCs w:val="14"/>
              </w:rPr>
              <w:t>9.489</w:t>
            </w:r>
          </w:p>
        </w:tc>
      </w:tr>
      <w:tr w:rsidR="003321FA" w:rsidRPr="003321FA" w14:paraId="04691F11"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52BD76E5" w14:textId="77777777" w:rsidR="003321FA" w:rsidRPr="003321FA" w:rsidRDefault="003321FA">
            <w:pPr>
              <w:pStyle w:val="08-Tabelageral"/>
              <w:ind w:left="113"/>
              <w:jc w:val="left"/>
              <w:rPr>
                <w:rFonts w:cs="Arial"/>
                <w:b w:val="0"/>
                <w:bCs w:val="0"/>
                <w:szCs w:val="14"/>
              </w:rPr>
            </w:pPr>
            <w:r w:rsidRPr="003321FA">
              <w:rPr>
                <w:rFonts w:cs="Arial"/>
                <w:b w:val="0"/>
                <w:bCs w:val="0"/>
              </w:rPr>
              <w:t>Outras despesas</w:t>
            </w:r>
          </w:p>
        </w:tc>
        <w:tc>
          <w:tcPr>
            <w:tcW w:w="1441" w:type="dxa"/>
            <w:shd w:val="clear" w:color="auto" w:fill="auto"/>
            <w:vAlign w:val="bottom"/>
          </w:tcPr>
          <w:p w14:paraId="498707FB"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41" w:type="dxa"/>
            <w:shd w:val="clear" w:color="auto" w:fill="auto"/>
            <w:vAlign w:val="bottom"/>
          </w:tcPr>
          <w:p w14:paraId="5C4A0B63"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720" w:type="dxa"/>
            <w:shd w:val="clear" w:color="auto" w:fill="auto"/>
            <w:vAlign w:val="bottom"/>
          </w:tcPr>
          <w:p w14:paraId="1FA3C1B0"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321FA">
              <w:rPr>
                <w:rFonts w:cs="Arial"/>
                <w:color w:val="000000"/>
                <w:szCs w:val="14"/>
              </w:rPr>
              <w:t>(6.353)</w:t>
            </w:r>
          </w:p>
        </w:tc>
        <w:tc>
          <w:tcPr>
            <w:tcW w:w="1720" w:type="dxa"/>
            <w:shd w:val="clear" w:color="auto" w:fill="auto"/>
            <w:vAlign w:val="center"/>
          </w:tcPr>
          <w:p w14:paraId="684A45EA"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321FA">
              <w:rPr>
                <w:rFonts w:cs="Arial"/>
                <w:szCs w:val="14"/>
              </w:rPr>
              <w:t>(8.090)</w:t>
            </w:r>
          </w:p>
        </w:tc>
      </w:tr>
      <w:tr w:rsidR="003321FA" w:rsidRPr="003321FA" w14:paraId="2289B909"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4FD988B8" w14:textId="77777777" w:rsidR="003321FA" w:rsidRPr="003321FA" w:rsidRDefault="003321FA">
            <w:pPr>
              <w:pStyle w:val="08-Tabelageral"/>
              <w:jc w:val="left"/>
              <w:rPr>
                <w:rFonts w:cs="Arial"/>
                <w:szCs w:val="14"/>
              </w:rPr>
            </w:pPr>
            <w:r w:rsidRPr="003321FA">
              <w:rPr>
                <w:rFonts w:cs="Arial"/>
              </w:rPr>
              <w:t>Resultado operacional</w:t>
            </w:r>
          </w:p>
        </w:tc>
        <w:tc>
          <w:tcPr>
            <w:tcW w:w="1441" w:type="dxa"/>
            <w:shd w:val="clear" w:color="auto" w:fill="auto"/>
            <w:vAlign w:val="bottom"/>
          </w:tcPr>
          <w:p w14:paraId="675EE7DD"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441" w:type="dxa"/>
            <w:shd w:val="clear" w:color="auto" w:fill="auto"/>
            <w:vAlign w:val="bottom"/>
          </w:tcPr>
          <w:p w14:paraId="3EF1EE24"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720" w:type="dxa"/>
            <w:shd w:val="clear" w:color="auto" w:fill="auto"/>
            <w:vAlign w:val="bottom"/>
          </w:tcPr>
          <w:p w14:paraId="6249A149"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3321FA">
              <w:rPr>
                <w:rFonts w:cs="Arial"/>
                <w:b/>
                <w:bCs/>
                <w:color w:val="000000"/>
                <w:szCs w:val="14"/>
              </w:rPr>
              <w:t>13.380</w:t>
            </w:r>
          </w:p>
        </w:tc>
        <w:tc>
          <w:tcPr>
            <w:tcW w:w="1720" w:type="dxa"/>
            <w:shd w:val="clear" w:color="auto" w:fill="auto"/>
            <w:vAlign w:val="center"/>
          </w:tcPr>
          <w:p w14:paraId="3DBD4EED"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3321FA">
              <w:rPr>
                <w:rFonts w:cs="Arial"/>
                <w:b/>
                <w:bCs/>
                <w:szCs w:val="14"/>
              </w:rPr>
              <w:t>5.894</w:t>
            </w:r>
          </w:p>
        </w:tc>
      </w:tr>
      <w:tr w:rsidR="003321FA" w:rsidRPr="003321FA" w14:paraId="5AABA556"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188C4711" w14:textId="77777777" w:rsidR="003321FA" w:rsidRPr="003321FA" w:rsidRDefault="003321FA">
            <w:pPr>
              <w:pStyle w:val="08-Tabelageral"/>
              <w:jc w:val="left"/>
              <w:rPr>
                <w:rFonts w:cs="Arial"/>
                <w:szCs w:val="14"/>
              </w:rPr>
            </w:pPr>
            <w:r w:rsidRPr="003321FA">
              <w:rPr>
                <w:rFonts w:cs="Arial"/>
              </w:rPr>
              <w:t xml:space="preserve">Resultado antes do </w:t>
            </w:r>
            <w:r w:rsidRPr="003321FA">
              <w:rPr>
                <w:rFonts w:cs="Arial"/>
                <w:szCs w:val="14"/>
              </w:rPr>
              <w:t>IRPJ e CSLL</w:t>
            </w:r>
          </w:p>
        </w:tc>
        <w:tc>
          <w:tcPr>
            <w:tcW w:w="1441" w:type="dxa"/>
            <w:shd w:val="clear" w:color="auto" w:fill="auto"/>
            <w:vAlign w:val="bottom"/>
          </w:tcPr>
          <w:p w14:paraId="588F24E0"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441" w:type="dxa"/>
            <w:shd w:val="clear" w:color="auto" w:fill="auto"/>
            <w:vAlign w:val="bottom"/>
          </w:tcPr>
          <w:p w14:paraId="06868D14"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720" w:type="dxa"/>
            <w:tcBorders>
              <w:top w:val="nil"/>
              <w:left w:val="nil"/>
              <w:bottom w:val="nil"/>
              <w:right w:val="nil"/>
            </w:tcBorders>
            <w:shd w:val="clear" w:color="auto" w:fill="auto"/>
            <w:vAlign w:val="bottom"/>
          </w:tcPr>
          <w:p w14:paraId="72DEFAB9"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3321FA">
              <w:rPr>
                <w:rFonts w:cs="Arial"/>
                <w:b/>
                <w:bCs/>
                <w:color w:val="000000"/>
                <w:szCs w:val="14"/>
              </w:rPr>
              <w:t>13.380</w:t>
            </w:r>
          </w:p>
        </w:tc>
        <w:tc>
          <w:tcPr>
            <w:tcW w:w="1720" w:type="dxa"/>
            <w:shd w:val="clear" w:color="auto" w:fill="auto"/>
            <w:vAlign w:val="center"/>
          </w:tcPr>
          <w:p w14:paraId="6F458FD4"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3321FA">
              <w:rPr>
                <w:rFonts w:cs="Arial"/>
                <w:b/>
                <w:bCs/>
                <w:szCs w:val="14"/>
              </w:rPr>
              <w:t>5.894</w:t>
            </w:r>
          </w:p>
        </w:tc>
      </w:tr>
      <w:tr w:rsidR="003321FA" w:rsidRPr="003321FA" w14:paraId="0156A1B4"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05F2AEAF" w14:textId="77777777" w:rsidR="003321FA" w:rsidRPr="003321FA" w:rsidRDefault="003321FA">
            <w:pPr>
              <w:pStyle w:val="08-Tabelageral"/>
              <w:ind w:left="113"/>
              <w:jc w:val="left"/>
              <w:rPr>
                <w:rFonts w:cs="Arial"/>
                <w:b w:val="0"/>
                <w:bCs w:val="0"/>
              </w:rPr>
            </w:pPr>
            <w:r w:rsidRPr="003321FA">
              <w:rPr>
                <w:rFonts w:cs="Arial"/>
                <w:b w:val="0"/>
                <w:bCs w:val="0"/>
              </w:rPr>
              <w:t>IRPJ e CSLL</w:t>
            </w:r>
          </w:p>
        </w:tc>
        <w:tc>
          <w:tcPr>
            <w:tcW w:w="1441" w:type="dxa"/>
            <w:shd w:val="clear" w:color="auto" w:fill="auto"/>
            <w:vAlign w:val="bottom"/>
          </w:tcPr>
          <w:p w14:paraId="4A242C44"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41" w:type="dxa"/>
            <w:shd w:val="clear" w:color="auto" w:fill="auto"/>
            <w:vAlign w:val="bottom"/>
          </w:tcPr>
          <w:p w14:paraId="68C30B7C"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720" w:type="dxa"/>
            <w:tcBorders>
              <w:top w:val="nil"/>
              <w:left w:val="nil"/>
              <w:bottom w:val="nil"/>
              <w:right w:val="nil"/>
            </w:tcBorders>
            <w:shd w:val="clear" w:color="auto" w:fill="auto"/>
            <w:vAlign w:val="bottom"/>
          </w:tcPr>
          <w:p w14:paraId="1D9C8BA3"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321FA">
              <w:rPr>
                <w:rFonts w:cs="Arial"/>
                <w:color w:val="000000"/>
                <w:szCs w:val="14"/>
              </w:rPr>
              <w:t>(3.465)</w:t>
            </w:r>
          </w:p>
        </w:tc>
        <w:tc>
          <w:tcPr>
            <w:tcW w:w="1720" w:type="dxa"/>
            <w:shd w:val="clear" w:color="auto" w:fill="auto"/>
            <w:vAlign w:val="center"/>
          </w:tcPr>
          <w:p w14:paraId="19A59BCC"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321FA">
              <w:rPr>
                <w:rFonts w:cs="Arial"/>
                <w:szCs w:val="14"/>
              </w:rPr>
              <w:t>(1.470)</w:t>
            </w:r>
          </w:p>
        </w:tc>
      </w:tr>
      <w:tr w:rsidR="003321FA" w:rsidRPr="003321FA" w14:paraId="6D4D6F0A"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73861987" w14:textId="77777777" w:rsidR="003321FA" w:rsidRPr="003321FA" w:rsidRDefault="003321FA">
            <w:pPr>
              <w:pStyle w:val="08-Tabelageral"/>
              <w:jc w:val="left"/>
              <w:rPr>
                <w:rFonts w:cs="Arial"/>
                <w:szCs w:val="14"/>
              </w:rPr>
            </w:pPr>
            <w:r w:rsidRPr="003321FA">
              <w:rPr>
                <w:rFonts w:cs="Arial"/>
              </w:rPr>
              <w:t>Lucro líquido do exercício</w:t>
            </w:r>
          </w:p>
        </w:tc>
        <w:tc>
          <w:tcPr>
            <w:tcW w:w="1441" w:type="dxa"/>
            <w:shd w:val="clear" w:color="auto" w:fill="auto"/>
            <w:vAlign w:val="bottom"/>
          </w:tcPr>
          <w:p w14:paraId="7A8E5783"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441" w:type="dxa"/>
            <w:shd w:val="clear" w:color="auto" w:fill="auto"/>
            <w:vAlign w:val="bottom"/>
          </w:tcPr>
          <w:p w14:paraId="41C0318E"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720" w:type="dxa"/>
            <w:tcBorders>
              <w:top w:val="nil"/>
              <w:left w:val="nil"/>
              <w:bottom w:val="nil"/>
              <w:right w:val="nil"/>
            </w:tcBorders>
            <w:shd w:val="clear" w:color="auto" w:fill="auto"/>
            <w:vAlign w:val="bottom"/>
          </w:tcPr>
          <w:p w14:paraId="0539DCE5"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3321FA">
              <w:rPr>
                <w:rFonts w:cs="Arial"/>
                <w:b/>
                <w:bCs/>
                <w:color w:val="000000"/>
                <w:szCs w:val="14"/>
              </w:rPr>
              <w:t>9.915</w:t>
            </w:r>
          </w:p>
        </w:tc>
        <w:tc>
          <w:tcPr>
            <w:tcW w:w="1720" w:type="dxa"/>
            <w:shd w:val="clear" w:color="auto" w:fill="auto"/>
            <w:vAlign w:val="center"/>
          </w:tcPr>
          <w:p w14:paraId="17DBFB89"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3321FA">
              <w:rPr>
                <w:rFonts w:cs="Arial"/>
                <w:b/>
                <w:bCs/>
                <w:szCs w:val="14"/>
              </w:rPr>
              <w:t>4.424</w:t>
            </w:r>
          </w:p>
        </w:tc>
      </w:tr>
      <w:tr w:rsidR="003321FA" w:rsidRPr="003321FA" w14:paraId="77E25105"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tcBorders>
              <w:bottom w:val="nil"/>
            </w:tcBorders>
            <w:shd w:val="clear" w:color="auto" w:fill="auto"/>
            <w:vAlign w:val="center"/>
          </w:tcPr>
          <w:p w14:paraId="4EA9BC48" w14:textId="77777777" w:rsidR="003321FA" w:rsidRPr="003321FA" w:rsidRDefault="003321FA">
            <w:pPr>
              <w:pStyle w:val="08-Tabelageral"/>
              <w:jc w:val="left"/>
              <w:rPr>
                <w:rFonts w:cs="Arial"/>
                <w:szCs w:val="14"/>
              </w:rPr>
            </w:pPr>
            <w:r w:rsidRPr="003321FA">
              <w:rPr>
                <w:rFonts w:cs="Arial"/>
              </w:rPr>
              <w:t>Resultado abrangente total</w:t>
            </w:r>
          </w:p>
        </w:tc>
        <w:tc>
          <w:tcPr>
            <w:tcW w:w="1441" w:type="dxa"/>
            <w:tcBorders>
              <w:bottom w:val="nil"/>
            </w:tcBorders>
            <w:shd w:val="clear" w:color="auto" w:fill="auto"/>
            <w:vAlign w:val="bottom"/>
          </w:tcPr>
          <w:p w14:paraId="60A8F47D"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441" w:type="dxa"/>
            <w:tcBorders>
              <w:bottom w:val="nil"/>
            </w:tcBorders>
            <w:shd w:val="clear" w:color="auto" w:fill="auto"/>
            <w:vAlign w:val="bottom"/>
          </w:tcPr>
          <w:p w14:paraId="4CB8538C"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720" w:type="dxa"/>
            <w:tcBorders>
              <w:bottom w:val="nil"/>
            </w:tcBorders>
            <w:shd w:val="clear" w:color="auto" w:fill="auto"/>
            <w:vAlign w:val="bottom"/>
          </w:tcPr>
          <w:p w14:paraId="566A1087"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3321FA">
              <w:rPr>
                <w:rFonts w:cs="Arial"/>
                <w:b/>
                <w:bCs/>
                <w:color w:val="000000"/>
                <w:szCs w:val="14"/>
              </w:rPr>
              <w:t>9.915</w:t>
            </w:r>
          </w:p>
        </w:tc>
        <w:tc>
          <w:tcPr>
            <w:tcW w:w="1720" w:type="dxa"/>
            <w:tcBorders>
              <w:bottom w:val="nil"/>
            </w:tcBorders>
            <w:shd w:val="clear" w:color="auto" w:fill="auto"/>
            <w:vAlign w:val="center"/>
          </w:tcPr>
          <w:p w14:paraId="3E08EFBF"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3321FA">
              <w:rPr>
                <w:rFonts w:cs="Arial"/>
                <w:b/>
                <w:bCs/>
                <w:szCs w:val="14"/>
              </w:rPr>
              <w:t>4.424</w:t>
            </w:r>
          </w:p>
        </w:tc>
      </w:tr>
      <w:tr w:rsidR="003321FA" w:rsidRPr="003321FA" w14:paraId="636F5288"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tcBorders>
              <w:top w:val="nil"/>
              <w:bottom w:val="nil"/>
            </w:tcBorders>
            <w:shd w:val="clear" w:color="auto" w:fill="auto"/>
            <w:vAlign w:val="center"/>
          </w:tcPr>
          <w:p w14:paraId="404B1677" w14:textId="77777777" w:rsidR="003321FA" w:rsidRPr="003321FA" w:rsidRDefault="003321FA">
            <w:pPr>
              <w:pStyle w:val="08-Tabelageral"/>
              <w:jc w:val="left"/>
              <w:rPr>
                <w:rFonts w:cs="Arial"/>
                <w:szCs w:val="14"/>
              </w:rPr>
            </w:pPr>
            <w:r w:rsidRPr="003321FA">
              <w:rPr>
                <w:rFonts w:cs="Arial"/>
                <w:color w:val="000000"/>
                <w:szCs w:val="14"/>
              </w:rPr>
              <w:t>Atribuível à BB Seguridade</w:t>
            </w:r>
          </w:p>
        </w:tc>
        <w:tc>
          <w:tcPr>
            <w:tcW w:w="1441" w:type="dxa"/>
            <w:tcBorders>
              <w:top w:val="nil"/>
              <w:bottom w:val="nil"/>
            </w:tcBorders>
            <w:shd w:val="clear" w:color="auto" w:fill="auto"/>
            <w:vAlign w:val="center"/>
          </w:tcPr>
          <w:p w14:paraId="1BA9B191"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441" w:type="dxa"/>
            <w:tcBorders>
              <w:top w:val="nil"/>
              <w:bottom w:val="nil"/>
            </w:tcBorders>
            <w:shd w:val="clear" w:color="auto" w:fill="auto"/>
            <w:vAlign w:val="center"/>
          </w:tcPr>
          <w:p w14:paraId="580DD573"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720" w:type="dxa"/>
            <w:tcBorders>
              <w:top w:val="nil"/>
              <w:bottom w:val="nil"/>
            </w:tcBorders>
            <w:shd w:val="clear" w:color="auto" w:fill="auto"/>
            <w:vAlign w:val="center"/>
          </w:tcPr>
          <w:p w14:paraId="25C28B73" w14:textId="77777777" w:rsidR="003321FA" w:rsidRPr="003321FA" w:rsidRDefault="003321FA">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4"/>
                <w:szCs w:val="14"/>
              </w:rPr>
            </w:pPr>
            <w:r w:rsidRPr="003321FA">
              <w:rPr>
                <w:rFonts w:ascii="Arial" w:hAnsi="Arial" w:cs="Arial"/>
                <w:b/>
                <w:bCs/>
                <w:color w:val="000000"/>
                <w:sz w:val="14"/>
                <w:szCs w:val="14"/>
              </w:rPr>
              <w:t xml:space="preserve">      7.436</w:t>
            </w:r>
          </w:p>
        </w:tc>
        <w:tc>
          <w:tcPr>
            <w:tcW w:w="1720" w:type="dxa"/>
            <w:tcBorders>
              <w:top w:val="nil"/>
              <w:bottom w:val="nil"/>
            </w:tcBorders>
            <w:shd w:val="clear" w:color="auto" w:fill="auto"/>
            <w:vAlign w:val="center"/>
          </w:tcPr>
          <w:p w14:paraId="336C791E"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3321FA">
              <w:rPr>
                <w:rFonts w:cs="Arial"/>
                <w:b/>
                <w:szCs w:val="14"/>
              </w:rPr>
              <w:t xml:space="preserve">      3.319</w:t>
            </w:r>
          </w:p>
        </w:tc>
      </w:tr>
      <w:tr w:rsidR="003321FA" w:rsidRPr="003321FA" w14:paraId="153F1976"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tcBorders>
              <w:top w:val="nil"/>
              <w:bottom w:val="single" w:sz="2" w:space="0" w:color="1F3864" w:themeColor="accent1" w:themeShade="80"/>
            </w:tcBorders>
            <w:shd w:val="clear" w:color="auto" w:fill="auto"/>
            <w:vAlign w:val="center"/>
          </w:tcPr>
          <w:p w14:paraId="40BE150E" w14:textId="77777777" w:rsidR="003321FA" w:rsidRPr="003321FA" w:rsidRDefault="003321FA">
            <w:pPr>
              <w:pStyle w:val="08-Tabelageral"/>
              <w:jc w:val="left"/>
              <w:rPr>
                <w:rFonts w:cs="Arial"/>
                <w:szCs w:val="14"/>
              </w:rPr>
            </w:pPr>
            <w:r w:rsidRPr="003321FA">
              <w:rPr>
                <w:rFonts w:cs="Arial"/>
                <w:color w:val="000000"/>
                <w:szCs w:val="14"/>
              </w:rPr>
              <w:t>Resultado de equivalência</w:t>
            </w:r>
          </w:p>
        </w:tc>
        <w:tc>
          <w:tcPr>
            <w:tcW w:w="1441" w:type="dxa"/>
            <w:tcBorders>
              <w:top w:val="nil"/>
              <w:bottom w:val="single" w:sz="2" w:space="0" w:color="1F3864" w:themeColor="accent1" w:themeShade="80"/>
            </w:tcBorders>
            <w:shd w:val="clear" w:color="auto" w:fill="auto"/>
            <w:vAlign w:val="center"/>
          </w:tcPr>
          <w:p w14:paraId="573A9845"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441" w:type="dxa"/>
            <w:tcBorders>
              <w:top w:val="nil"/>
              <w:bottom w:val="single" w:sz="2" w:space="0" w:color="1F3864" w:themeColor="accent1" w:themeShade="80"/>
            </w:tcBorders>
            <w:shd w:val="clear" w:color="auto" w:fill="auto"/>
            <w:vAlign w:val="center"/>
          </w:tcPr>
          <w:p w14:paraId="7DF07544"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720" w:type="dxa"/>
            <w:tcBorders>
              <w:top w:val="nil"/>
              <w:bottom w:val="single" w:sz="2" w:space="0" w:color="1F3864" w:themeColor="accent1" w:themeShade="80"/>
            </w:tcBorders>
            <w:shd w:val="clear" w:color="auto" w:fill="auto"/>
            <w:vAlign w:val="center"/>
          </w:tcPr>
          <w:p w14:paraId="0CCFA89E"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3321FA">
              <w:rPr>
                <w:rFonts w:ascii="Arial" w:hAnsi="Arial" w:cs="Arial"/>
                <w:b/>
                <w:bCs/>
                <w:color w:val="000000"/>
                <w:sz w:val="14"/>
                <w:szCs w:val="14"/>
              </w:rPr>
              <w:t xml:space="preserve">      7.436</w:t>
            </w:r>
          </w:p>
        </w:tc>
        <w:tc>
          <w:tcPr>
            <w:tcW w:w="1720" w:type="dxa"/>
            <w:tcBorders>
              <w:top w:val="nil"/>
              <w:bottom w:val="single" w:sz="2" w:space="0" w:color="1F3864" w:themeColor="accent1" w:themeShade="80"/>
            </w:tcBorders>
            <w:shd w:val="clear" w:color="auto" w:fill="auto"/>
            <w:vAlign w:val="center"/>
          </w:tcPr>
          <w:p w14:paraId="15847311"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3321FA">
              <w:rPr>
                <w:rFonts w:cs="Arial"/>
                <w:b/>
                <w:szCs w:val="14"/>
              </w:rPr>
              <w:t>3.319</w:t>
            </w:r>
          </w:p>
        </w:tc>
      </w:tr>
    </w:tbl>
    <w:bookmarkEnd w:id="80"/>
    <w:p w14:paraId="30C085E1" w14:textId="77777777" w:rsidR="003321FA" w:rsidRPr="003321FA" w:rsidRDefault="003321FA" w:rsidP="003321FA">
      <w:pPr>
        <w:keepNext/>
        <w:keepLines/>
        <w:pageBreakBefore/>
        <w:spacing w:after="0" w:line="240" w:lineRule="auto"/>
        <w:rPr>
          <w:rFonts w:ascii="Arial" w:eastAsia="Times New Roman" w:hAnsi="Arial" w:cs="Arial"/>
          <w:b/>
          <w:color w:val="1F3864" w:themeColor="accent1" w:themeShade="80"/>
          <w:spacing w:val="-2"/>
          <w:sz w:val="18"/>
          <w:szCs w:val="20"/>
          <w:lang w:eastAsia="pt-BR"/>
        </w:rPr>
      </w:pPr>
      <w:r w:rsidRPr="003321FA">
        <w:rPr>
          <w:rFonts w:ascii="Arial" w:eastAsia="Times New Roman" w:hAnsi="Arial" w:cs="Arial"/>
          <w:b/>
          <w:color w:val="1F3864" w:themeColor="accent1" w:themeShade="80"/>
          <w:spacing w:val="-2"/>
          <w:sz w:val="18"/>
          <w:szCs w:val="20"/>
          <w:lang w:eastAsia="pt-BR"/>
        </w:rPr>
        <w:lastRenderedPageBreak/>
        <w:t>Informações Patrimoniais</w:t>
      </w:r>
    </w:p>
    <w:p w14:paraId="64DCE38D" w14:textId="77777777" w:rsidR="003321FA" w:rsidRPr="003321FA" w:rsidRDefault="003321FA" w:rsidP="003321FA">
      <w:pPr>
        <w:pStyle w:val="01-TtulodeNota"/>
        <w:spacing w:before="0" w:after="0"/>
        <w:jc w:val="right"/>
        <w:rPr>
          <w:rFonts w:cs="Arial"/>
          <w:sz w:val="14"/>
          <w:szCs w:val="14"/>
        </w:rPr>
      </w:pPr>
      <w:r w:rsidRPr="003321FA">
        <w:rPr>
          <w:rFonts w:cs="Arial"/>
          <w:sz w:val="14"/>
          <w:szCs w:val="14"/>
        </w:rPr>
        <w:t>R$ mil</w:t>
      </w:r>
    </w:p>
    <w:tbl>
      <w:tblPr>
        <w:tblStyle w:val="TabeladeLista6Colorida-nfase5"/>
        <w:tblW w:w="9639" w:type="dxa"/>
        <w:jc w:val="center"/>
        <w:tblLayout w:type="fixed"/>
        <w:tblLook w:val="04A0" w:firstRow="1" w:lastRow="0" w:firstColumn="1" w:lastColumn="0" w:noHBand="0" w:noVBand="1"/>
      </w:tblPr>
      <w:tblGrid>
        <w:gridCol w:w="4820"/>
        <w:gridCol w:w="2409"/>
        <w:gridCol w:w="2410"/>
      </w:tblGrid>
      <w:tr w:rsidR="003321FA" w:rsidRPr="003321FA" w14:paraId="2A7DC553" w14:textId="77777777">
        <w:trPr>
          <w:cnfStyle w:val="100000000000" w:firstRow="1" w:lastRow="0" w:firstColumn="0" w:lastColumn="0" w:oddVBand="0" w:evenVBand="0" w:oddHBand="0" w:evenHBand="0" w:firstRowFirstColumn="0" w:firstRowLastColumn="0" w:lastRowFirstColumn="0" w:lastRowLastColumn="0"/>
          <w:trHeight w:hRule="exact" w:val="283"/>
          <w:jc w:val="center"/>
        </w:trPr>
        <w:tc>
          <w:tcPr>
            <w:cnfStyle w:val="001000000000" w:firstRow="0" w:lastRow="0" w:firstColumn="1" w:lastColumn="0" w:oddVBand="0" w:evenVBand="0" w:oddHBand="0" w:evenHBand="0" w:firstRowFirstColumn="0" w:firstRowLastColumn="0" w:lastRowFirstColumn="0" w:lastRowLastColumn="0"/>
            <w:tcW w:w="4820" w:type="dxa"/>
            <w:tcBorders>
              <w:top w:val="single" w:sz="2" w:space="0" w:color="1F3864" w:themeColor="accent1" w:themeShade="80"/>
              <w:bottom w:val="single" w:sz="2" w:space="0" w:color="1F3864" w:themeColor="accent1" w:themeShade="80"/>
            </w:tcBorders>
            <w:shd w:val="clear" w:color="auto" w:fill="auto"/>
            <w:vAlign w:val="center"/>
          </w:tcPr>
          <w:p w14:paraId="091277C3" w14:textId="77777777" w:rsidR="003321FA" w:rsidRPr="003321FA" w:rsidRDefault="003321FA">
            <w:pPr>
              <w:pStyle w:val="08-Tabelageral"/>
              <w:jc w:val="left"/>
              <w:rPr>
                <w:rFonts w:cs="Arial"/>
                <w:b w:val="0"/>
                <w:bCs w:val="0"/>
              </w:rPr>
            </w:pPr>
          </w:p>
        </w:tc>
        <w:tc>
          <w:tcPr>
            <w:tcW w:w="2409" w:type="dxa"/>
            <w:tcBorders>
              <w:top w:val="single" w:sz="2" w:space="0" w:color="1F3864" w:themeColor="accent1" w:themeShade="80"/>
              <w:bottom w:val="single" w:sz="2" w:space="0" w:color="1F3864" w:themeColor="accent1" w:themeShade="80"/>
            </w:tcBorders>
            <w:shd w:val="clear" w:color="auto" w:fill="auto"/>
            <w:vAlign w:val="center"/>
          </w:tcPr>
          <w:p w14:paraId="248917A8" w14:textId="77777777" w:rsidR="003321FA" w:rsidRPr="003321FA" w:rsidRDefault="003321FA">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r w:rsidRPr="003321FA">
              <w:rPr>
                <w:rFonts w:cs="Arial"/>
              </w:rPr>
              <w:t>31.12.2024</w:t>
            </w:r>
          </w:p>
        </w:tc>
        <w:tc>
          <w:tcPr>
            <w:tcW w:w="2410" w:type="dxa"/>
            <w:tcBorders>
              <w:top w:val="single" w:sz="2" w:space="0" w:color="1F3864" w:themeColor="accent1" w:themeShade="80"/>
              <w:bottom w:val="single" w:sz="2" w:space="0" w:color="1F3864" w:themeColor="accent1" w:themeShade="80"/>
            </w:tcBorders>
            <w:shd w:val="clear" w:color="auto" w:fill="auto"/>
            <w:vAlign w:val="center"/>
          </w:tcPr>
          <w:p w14:paraId="3A5D5B21" w14:textId="77777777" w:rsidR="003321FA" w:rsidRPr="003321FA" w:rsidRDefault="003321FA">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r w:rsidRPr="003321FA">
              <w:rPr>
                <w:rFonts w:cs="Arial"/>
              </w:rPr>
              <w:t>31.12.2023</w:t>
            </w:r>
          </w:p>
        </w:tc>
      </w:tr>
      <w:tr w:rsidR="003321FA" w:rsidRPr="003321FA" w14:paraId="2A4DCEE0" w14:textId="77777777">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single" w:sz="2" w:space="0" w:color="1F3864" w:themeColor="accent1" w:themeShade="80"/>
              <w:bottom w:val="nil"/>
            </w:tcBorders>
            <w:shd w:val="clear" w:color="auto" w:fill="auto"/>
            <w:vAlign w:val="center"/>
          </w:tcPr>
          <w:p w14:paraId="3607CDCE" w14:textId="77777777" w:rsidR="003321FA" w:rsidRPr="003321FA" w:rsidRDefault="003321FA">
            <w:pPr>
              <w:pStyle w:val="08-Tabelageral"/>
              <w:jc w:val="left"/>
              <w:rPr>
                <w:rFonts w:cs="Arial"/>
                <w:szCs w:val="14"/>
              </w:rPr>
            </w:pPr>
            <w:r w:rsidRPr="003321FA">
              <w:rPr>
                <w:rFonts w:cs="Arial"/>
              </w:rPr>
              <w:t xml:space="preserve">Ativo circulante </w:t>
            </w:r>
          </w:p>
        </w:tc>
        <w:tc>
          <w:tcPr>
            <w:tcW w:w="2409" w:type="dxa"/>
            <w:tcBorders>
              <w:top w:val="single" w:sz="2" w:space="0" w:color="1F3864" w:themeColor="accent1" w:themeShade="80"/>
              <w:left w:val="nil"/>
              <w:bottom w:val="nil"/>
              <w:right w:val="nil"/>
            </w:tcBorders>
            <w:shd w:val="clear" w:color="auto" w:fill="auto"/>
            <w:vAlign w:val="center"/>
          </w:tcPr>
          <w:p w14:paraId="646F2AB4" w14:textId="77777777" w:rsidR="003321FA" w:rsidRPr="003321FA" w:rsidRDefault="003321FA">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4"/>
                <w:szCs w:val="14"/>
              </w:rPr>
            </w:pPr>
            <w:r w:rsidRPr="003321FA">
              <w:rPr>
                <w:rFonts w:ascii="Arial" w:hAnsi="Arial" w:cs="Arial"/>
                <w:b/>
                <w:bCs/>
                <w:color w:val="000000"/>
                <w:sz w:val="14"/>
                <w:szCs w:val="14"/>
              </w:rPr>
              <w:t>19.092</w:t>
            </w:r>
          </w:p>
        </w:tc>
        <w:tc>
          <w:tcPr>
            <w:tcW w:w="2410" w:type="dxa"/>
            <w:tcBorders>
              <w:top w:val="single" w:sz="2" w:space="0" w:color="1F3864" w:themeColor="accent1" w:themeShade="80"/>
              <w:left w:val="nil"/>
              <w:bottom w:val="nil"/>
              <w:right w:val="nil"/>
            </w:tcBorders>
            <w:shd w:val="clear" w:color="auto" w:fill="auto"/>
            <w:vAlign w:val="center"/>
          </w:tcPr>
          <w:p w14:paraId="17C6378D" w14:textId="77777777" w:rsidR="003321FA" w:rsidRPr="003321FA" w:rsidRDefault="003321FA">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color w:val="auto"/>
                <w:szCs w:val="14"/>
              </w:rPr>
            </w:pPr>
            <w:r w:rsidRPr="003321FA">
              <w:rPr>
                <w:rFonts w:cs="Arial"/>
                <w:b/>
                <w:bCs/>
                <w:szCs w:val="14"/>
              </w:rPr>
              <w:t>11.096</w:t>
            </w:r>
          </w:p>
        </w:tc>
      </w:tr>
      <w:tr w:rsidR="003321FA" w:rsidRPr="003321FA" w14:paraId="4762A3C7"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06063920" w14:textId="77777777" w:rsidR="003321FA" w:rsidRPr="003321FA" w:rsidRDefault="003321FA">
            <w:pPr>
              <w:pStyle w:val="08-Tabelageral"/>
              <w:ind w:left="113"/>
              <w:jc w:val="left"/>
              <w:rPr>
                <w:rFonts w:cs="Arial"/>
                <w:b w:val="0"/>
                <w:bCs w:val="0"/>
                <w:szCs w:val="14"/>
              </w:rPr>
            </w:pPr>
            <w:r w:rsidRPr="003321FA">
              <w:rPr>
                <w:rFonts w:cs="Arial"/>
                <w:b w:val="0"/>
                <w:bCs w:val="0"/>
              </w:rPr>
              <w:t>Caixa e equivalentes de caixa</w:t>
            </w:r>
          </w:p>
        </w:tc>
        <w:tc>
          <w:tcPr>
            <w:tcW w:w="2409" w:type="dxa"/>
            <w:tcBorders>
              <w:top w:val="nil"/>
              <w:left w:val="nil"/>
              <w:bottom w:val="nil"/>
              <w:right w:val="nil"/>
            </w:tcBorders>
            <w:shd w:val="clear" w:color="auto" w:fill="auto"/>
            <w:vAlign w:val="center"/>
          </w:tcPr>
          <w:p w14:paraId="37CA3A9F"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321FA">
              <w:rPr>
                <w:rFonts w:cs="Arial"/>
                <w:szCs w:val="14"/>
              </w:rPr>
              <w:t>--</w:t>
            </w:r>
          </w:p>
        </w:tc>
        <w:tc>
          <w:tcPr>
            <w:tcW w:w="2410" w:type="dxa"/>
            <w:tcBorders>
              <w:top w:val="nil"/>
              <w:left w:val="nil"/>
              <w:bottom w:val="nil"/>
              <w:right w:val="nil"/>
            </w:tcBorders>
            <w:shd w:val="clear" w:color="auto" w:fill="auto"/>
            <w:vAlign w:val="center"/>
          </w:tcPr>
          <w:p w14:paraId="6437AFDD"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321FA">
              <w:rPr>
                <w:rFonts w:cs="Arial"/>
                <w:szCs w:val="14"/>
              </w:rPr>
              <w:t>3.628</w:t>
            </w:r>
          </w:p>
        </w:tc>
      </w:tr>
      <w:tr w:rsidR="003321FA" w:rsidRPr="003321FA" w14:paraId="06768C3A"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2E31D1C0" w14:textId="77777777" w:rsidR="003321FA" w:rsidRPr="003321FA" w:rsidRDefault="003321FA">
            <w:pPr>
              <w:pStyle w:val="08-Tabelageral"/>
              <w:ind w:left="113"/>
              <w:jc w:val="left"/>
              <w:rPr>
                <w:rFonts w:cs="Arial"/>
                <w:b w:val="0"/>
                <w:bCs w:val="0"/>
                <w:szCs w:val="14"/>
              </w:rPr>
            </w:pPr>
            <w:r w:rsidRPr="003321FA">
              <w:rPr>
                <w:rFonts w:cs="Arial"/>
                <w:b w:val="0"/>
                <w:bCs w:val="0"/>
              </w:rPr>
              <w:t>Aplicações</w:t>
            </w:r>
          </w:p>
        </w:tc>
        <w:tc>
          <w:tcPr>
            <w:tcW w:w="2409" w:type="dxa"/>
            <w:tcBorders>
              <w:top w:val="nil"/>
              <w:left w:val="nil"/>
              <w:bottom w:val="nil"/>
              <w:right w:val="nil"/>
            </w:tcBorders>
            <w:shd w:val="clear" w:color="auto" w:fill="auto"/>
            <w:vAlign w:val="center"/>
          </w:tcPr>
          <w:p w14:paraId="48487F07"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321FA">
              <w:rPr>
                <w:rFonts w:cs="Arial"/>
                <w:color w:val="000000"/>
                <w:szCs w:val="14"/>
              </w:rPr>
              <w:t>10.784</w:t>
            </w:r>
          </w:p>
        </w:tc>
        <w:tc>
          <w:tcPr>
            <w:tcW w:w="2410" w:type="dxa"/>
            <w:tcBorders>
              <w:top w:val="nil"/>
              <w:left w:val="nil"/>
              <w:bottom w:val="nil"/>
              <w:right w:val="nil"/>
            </w:tcBorders>
            <w:shd w:val="clear" w:color="auto" w:fill="auto"/>
            <w:vAlign w:val="center"/>
          </w:tcPr>
          <w:p w14:paraId="203E05F0"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321FA">
              <w:rPr>
                <w:rFonts w:cs="Arial"/>
                <w:szCs w:val="14"/>
              </w:rPr>
              <w:t>1</w:t>
            </w:r>
          </w:p>
        </w:tc>
      </w:tr>
      <w:tr w:rsidR="003321FA" w:rsidRPr="003321FA" w14:paraId="05EA970A"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0CEE3DDA" w14:textId="77777777" w:rsidR="003321FA" w:rsidRPr="003321FA" w:rsidRDefault="003321FA">
            <w:pPr>
              <w:pStyle w:val="08-Tabelageral"/>
              <w:ind w:left="113"/>
              <w:jc w:val="left"/>
              <w:rPr>
                <w:rFonts w:cs="Arial"/>
                <w:b w:val="0"/>
                <w:bCs w:val="0"/>
                <w:szCs w:val="14"/>
              </w:rPr>
            </w:pPr>
            <w:r w:rsidRPr="003321FA">
              <w:rPr>
                <w:rFonts w:cs="Arial"/>
                <w:b w:val="0"/>
                <w:bCs w:val="0"/>
              </w:rPr>
              <w:t>Outros ativos circulantes</w:t>
            </w:r>
          </w:p>
        </w:tc>
        <w:tc>
          <w:tcPr>
            <w:tcW w:w="2409" w:type="dxa"/>
            <w:tcBorders>
              <w:top w:val="nil"/>
              <w:left w:val="nil"/>
              <w:bottom w:val="nil"/>
              <w:right w:val="nil"/>
            </w:tcBorders>
            <w:shd w:val="clear" w:color="auto" w:fill="auto"/>
            <w:vAlign w:val="center"/>
          </w:tcPr>
          <w:p w14:paraId="2AC79130"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321FA">
              <w:rPr>
                <w:rFonts w:cs="Arial"/>
                <w:color w:val="000000"/>
                <w:szCs w:val="14"/>
              </w:rPr>
              <w:t>8.308</w:t>
            </w:r>
          </w:p>
        </w:tc>
        <w:tc>
          <w:tcPr>
            <w:tcW w:w="2410" w:type="dxa"/>
            <w:tcBorders>
              <w:top w:val="nil"/>
              <w:left w:val="nil"/>
              <w:bottom w:val="nil"/>
              <w:right w:val="nil"/>
            </w:tcBorders>
            <w:shd w:val="clear" w:color="auto" w:fill="auto"/>
            <w:vAlign w:val="center"/>
          </w:tcPr>
          <w:p w14:paraId="4519B2BB"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321FA">
              <w:rPr>
                <w:rFonts w:cs="Arial"/>
                <w:szCs w:val="14"/>
              </w:rPr>
              <w:t>7.467</w:t>
            </w:r>
          </w:p>
        </w:tc>
      </w:tr>
      <w:tr w:rsidR="003321FA" w:rsidRPr="003321FA" w14:paraId="13325BA9"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13B10BB7" w14:textId="77777777" w:rsidR="003321FA" w:rsidRPr="003321FA" w:rsidRDefault="003321FA">
            <w:pPr>
              <w:pStyle w:val="08-Tabelageral"/>
              <w:jc w:val="left"/>
              <w:rPr>
                <w:rFonts w:cs="Arial"/>
                <w:szCs w:val="14"/>
              </w:rPr>
            </w:pPr>
            <w:r w:rsidRPr="003321FA">
              <w:rPr>
                <w:rFonts w:cs="Arial"/>
              </w:rPr>
              <w:t xml:space="preserve">Ativo não circulante </w:t>
            </w:r>
          </w:p>
        </w:tc>
        <w:tc>
          <w:tcPr>
            <w:tcW w:w="2409" w:type="dxa"/>
            <w:tcBorders>
              <w:top w:val="nil"/>
              <w:left w:val="nil"/>
              <w:bottom w:val="nil"/>
              <w:right w:val="nil"/>
            </w:tcBorders>
            <w:shd w:val="clear" w:color="auto" w:fill="auto"/>
            <w:vAlign w:val="center"/>
          </w:tcPr>
          <w:p w14:paraId="0A1B1DFC"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3321FA">
              <w:rPr>
                <w:rFonts w:cs="Arial"/>
                <w:b/>
                <w:bCs/>
                <w:color w:val="000000"/>
                <w:szCs w:val="14"/>
              </w:rPr>
              <w:t>5.776</w:t>
            </w:r>
          </w:p>
        </w:tc>
        <w:tc>
          <w:tcPr>
            <w:tcW w:w="2410" w:type="dxa"/>
            <w:tcBorders>
              <w:top w:val="nil"/>
              <w:bottom w:val="nil"/>
            </w:tcBorders>
            <w:shd w:val="clear" w:color="auto" w:fill="auto"/>
            <w:vAlign w:val="center"/>
          </w:tcPr>
          <w:p w14:paraId="4D5A105B"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3321FA">
              <w:rPr>
                <w:rFonts w:cs="Arial"/>
                <w:b/>
                <w:bCs/>
                <w:szCs w:val="14"/>
              </w:rPr>
              <w:t>7.546</w:t>
            </w:r>
          </w:p>
        </w:tc>
      </w:tr>
      <w:tr w:rsidR="003321FA" w:rsidRPr="003321FA" w14:paraId="42DB5C2A"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0DF32BC1" w14:textId="77777777" w:rsidR="003321FA" w:rsidRPr="003321FA" w:rsidRDefault="003321FA">
            <w:pPr>
              <w:pStyle w:val="08-Tabelageral"/>
              <w:ind w:left="113"/>
              <w:jc w:val="left"/>
              <w:rPr>
                <w:rFonts w:cs="Arial"/>
                <w:b w:val="0"/>
                <w:bCs w:val="0"/>
                <w:szCs w:val="14"/>
              </w:rPr>
            </w:pPr>
            <w:r w:rsidRPr="003321FA">
              <w:rPr>
                <w:rFonts w:cs="Arial"/>
                <w:b w:val="0"/>
                <w:bCs w:val="0"/>
              </w:rPr>
              <w:t>Outros ativos não circulantes</w:t>
            </w:r>
          </w:p>
        </w:tc>
        <w:tc>
          <w:tcPr>
            <w:tcW w:w="2409" w:type="dxa"/>
            <w:tcBorders>
              <w:top w:val="nil"/>
              <w:left w:val="nil"/>
              <w:bottom w:val="nil"/>
              <w:right w:val="nil"/>
            </w:tcBorders>
            <w:shd w:val="clear" w:color="auto" w:fill="auto"/>
            <w:vAlign w:val="center"/>
          </w:tcPr>
          <w:p w14:paraId="44E237EC"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321FA">
              <w:rPr>
                <w:rFonts w:cs="Arial"/>
                <w:color w:val="000000"/>
                <w:szCs w:val="14"/>
              </w:rPr>
              <w:t>5.776</w:t>
            </w:r>
          </w:p>
        </w:tc>
        <w:tc>
          <w:tcPr>
            <w:tcW w:w="2410" w:type="dxa"/>
            <w:tcBorders>
              <w:top w:val="nil"/>
              <w:left w:val="nil"/>
              <w:bottom w:val="nil"/>
              <w:right w:val="nil"/>
            </w:tcBorders>
            <w:shd w:val="clear" w:color="auto" w:fill="auto"/>
            <w:vAlign w:val="center"/>
          </w:tcPr>
          <w:p w14:paraId="3588240A"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321FA">
              <w:rPr>
                <w:rFonts w:cs="Arial"/>
                <w:szCs w:val="14"/>
              </w:rPr>
              <w:t>7.546</w:t>
            </w:r>
          </w:p>
        </w:tc>
      </w:tr>
      <w:tr w:rsidR="003321FA" w:rsidRPr="003321FA" w14:paraId="4707C6FC"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746B8A80" w14:textId="77777777" w:rsidR="003321FA" w:rsidRPr="003321FA" w:rsidRDefault="003321FA">
            <w:pPr>
              <w:pStyle w:val="08-Tabelageral"/>
              <w:jc w:val="left"/>
              <w:rPr>
                <w:rFonts w:cs="Arial"/>
              </w:rPr>
            </w:pPr>
            <w:r w:rsidRPr="003321FA">
              <w:rPr>
                <w:rFonts w:cs="Arial"/>
                <w:color w:val="000000"/>
                <w:szCs w:val="14"/>
              </w:rPr>
              <w:t>Ativo Total</w:t>
            </w:r>
          </w:p>
        </w:tc>
        <w:tc>
          <w:tcPr>
            <w:tcW w:w="2409" w:type="dxa"/>
            <w:tcBorders>
              <w:top w:val="nil"/>
              <w:bottom w:val="nil"/>
            </w:tcBorders>
            <w:shd w:val="clear" w:color="auto" w:fill="auto"/>
            <w:vAlign w:val="center"/>
          </w:tcPr>
          <w:p w14:paraId="5CAD4922"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3321FA">
              <w:rPr>
                <w:rFonts w:cs="Arial"/>
                <w:b/>
                <w:bCs/>
                <w:color w:val="000000"/>
                <w:szCs w:val="14"/>
              </w:rPr>
              <w:t>24.868</w:t>
            </w:r>
          </w:p>
        </w:tc>
        <w:tc>
          <w:tcPr>
            <w:tcW w:w="2410" w:type="dxa"/>
            <w:tcBorders>
              <w:top w:val="nil"/>
              <w:bottom w:val="nil"/>
            </w:tcBorders>
            <w:shd w:val="clear" w:color="auto" w:fill="auto"/>
            <w:vAlign w:val="center"/>
          </w:tcPr>
          <w:p w14:paraId="7EDB8845"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3321FA">
              <w:rPr>
                <w:rFonts w:cs="Arial"/>
                <w:b/>
                <w:bCs/>
                <w:szCs w:val="14"/>
              </w:rPr>
              <w:t>18.642</w:t>
            </w:r>
          </w:p>
        </w:tc>
      </w:tr>
      <w:tr w:rsidR="003321FA" w:rsidRPr="003321FA" w14:paraId="700B8070"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10699E92" w14:textId="77777777" w:rsidR="003321FA" w:rsidRPr="003321FA" w:rsidRDefault="003321FA">
            <w:pPr>
              <w:pStyle w:val="08-Tabelageral"/>
              <w:jc w:val="left"/>
              <w:rPr>
                <w:rFonts w:cs="Arial"/>
              </w:rPr>
            </w:pPr>
          </w:p>
        </w:tc>
        <w:tc>
          <w:tcPr>
            <w:tcW w:w="2409" w:type="dxa"/>
            <w:tcBorders>
              <w:top w:val="nil"/>
              <w:bottom w:val="nil"/>
            </w:tcBorders>
            <w:shd w:val="clear" w:color="auto" w:fill="auto"/>
            <w:vAlign w:val="center"/>
          </w:tcPr>
          <w:p w14:paraId="3EF50588"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2410" w:type="dxa"/>
            <w:tcBorders>
              <w:top w:val="nil"/>
              <w:bottom w:val="nil"/>
            </w:tcBorders>
            <w:shd w:val="clear" w:color="auto" w:fill="auto"/>
            <w:vAlign w:val="center"/>
          </w:tcPr>
          <w:p w14:paraId="58E1F89D"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r>
      <w:tr w:rsidR="003321FA" w:rsidRPr="003321FA" w14:paraId="4F0F7FBB"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044B4DFD" w14:textId="77777777" w:rsidR="003321FA" w:rsidRPr="003321FA" w:rsidRDefault="003321FA">
            <w:pPr>
              <w:pStyle w:val="08-Tabelageral"/>
              <w:jc w:val="left"/>
              <w:rPr>
                <w:rFonts w:cs="Arial"/>
                <w:szCs w:val="14"/>
              </w:rPr>
            </w:pPr>
            <w:r w:rsidRPr="003321FA">
              <w:rPr>
                <w:rFonts w:cs="Arial"/>
              </w:rPr>
              <w:t>Passivo circulante</w:t>
            </w:r>
          </w:p>
        </w:tc>
        <w:tc>
          <w:tcPr>
            <w:tcW w:w="2409" w:type="dxa"/>
            <w:tcBorders>
              <w:top w:val="nil"/>
              <w:bottom w:val="nil"/>
            </w:tcBorders>
            <w:shd w:val="clear" w:color="auto" w:fill="auto"/>
            <w:vAlign w:val="center"/>
          </w:tcPr>
          <w:p w14:paraId="57FB9BC8"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3321FA">
              <w:rPr>
                <w:rFonts w:cs="Arial"/>
                <w:b/>
                <w:bCs/>
                <w:color w:val="000000"/>
                <w:szCs w:val="14"/>
              </w:rPr>
              <w:t>8.991</w:t>
            </w:r>
          </w:p>
        </w:tc>
        <w:tc>
          <w:tcPr>
            <w:tcW w:w="2410" w:type="dxa"/>
            <w:tcBorders>
              <w:top w:val="nil"/>
              <w:bottom w:val="nil"/>
            </w:tcBorders>
            <w:shd w:val="clear" w:color="auto" w:fill="auto"/>
            <w:vAlign w:val="center"/>
          </w:tcPr>
          <w:p w14:paraId="6A941C53"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3321FA">
              <w:rPr>
                <w:rFonts w:cs="Arial"/>
                <w:b/>
                <w:bCs/>
                <w:szCs w:val="14"/>
              </w:rPr>
              <w:t>12.609</w:t>
            </w:r>
          </w:p>
        </w:tc>
      </w:tr>
      <w:tr w:rsidR="003321FA" w:rsidRPr="003321FA" w14:paraId="50DA3309"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20A41223" w14:textId="77777777" w:rsidR="003321FA" w:rsidRPr="003321FA" w:rsidRDefault="003321FA">
            <w:pPr>
              <w:pStyle w:val="08-Tabelageral"/>
              <w:ind w:left="113"/>
              <w:jc w:val="left"/>
              <w:rPr>
                <w:rFonts w:cs="Arial"/>
                <w:b w:val="0"/>
                <w:bCs w:val="0"/>
                <w:szCs w:val="14"/>
              </w:rPr>
            </w:pPr>
            <w:r w:rsidRPr="003321FA">
              <w:rPr>
                <w:rFonts w:cs="Arial"/>
                <w:b w:val="0"/>
                <w:bCs w:val="0"/>
              </w:rPr>
              <w:t>Passivos financeiros</w:t>
            </w:r>
          </w:p>
        </w:tc>
        <w:tc>
          <w:tcPr>
            <w:tcW w:w="2409" w:type="dxa"/>
            <w:tcBorders>
              <w:top w:val="nil"/>
              <w:bottom w:val="nil"/>
            </w:tcBorders>
            <w:shd w:val="clear" w:color="auto" w:fill="auto"/>
            <w:vAlign w:val="center"/>
          </w:tcPr>
          <w:p w14:paraId="51587D17"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321FA">
              <w:rPr>
                <w:rFonts w:cs="Arial"/>
                <w:color w:val="000000"/>
                <w:szCs w:val="14"/>
              </w:rPr>
              <w:t>1.187</w:t>
            </w:r>
          </w:p>
        </w:tc>
        <w:tc>
          <w:tcPr>
            <w:tcW w:w="2410" w:type="dxa"/>
            <w:tcBorders>
              <w:top w:val="nil"/>
              <w:bottom w:val="nil"/>
            </w:tcBorders>
            <w:shd w:val="clear" w:color="auto" w:fill="auto"/>
            <w:vAlign w:val="center"/>
          </w:tcPr>
          <w:p w14:paraId="4AC3B3EC"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3321FA">
              <w:rPr>
                <w:rFonts w:cs="Arial"/>
                <w:szCs w:val="14"/>
              </w:rPr>
              <w:t>1.341</w:t>
            </w:r>
          </w:p>
        </w:tc>
      </w:tr>
      <w:tr w:rsidR="003321FA" w:rsidRPr="003321FA" w14:paraId="58CCFAE2"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5DE4B2FD" w14:textId="77777777" w:rsidR="003321FA" w:rsidRPr="003321FA" w:rsidRDefault="003321FA">
            <w:pPr>
              <w:pStyle w:val="08-Tabelageral"/>
              <w:ind w:left="113"/>
              <w:jc w:val="left"/>
              <w:rPr>
                <w:rFonts w:cs="Arial"/>
                <w:b w:val="0"/>
                <w:bCs w:val="0"/>
                <w:color w:val="FF0000"/>
                <w:szCs w:val="14"/>
              </w:rPr>
            </w:pPr>
            <w:r w:rsidRPr="003321FA">
              <w:rPr>
                <w:rFonts w:cs="Arial"/>
                <w:b w:val="0"/>
                <w:bCs w:val="0"/>
              </w:rPr>
              <w:t>Provisões técnicas</w:t>
            </w:r>
          </w:p>
        </w:tc>
        <w:tc>
          <w:tcPr>
            <w:tcW w:w="2409" w:type="dxa"/>
            <w:tcBorders>
              <w:top w:val="nil"/>
              <w:bottom w:val="nil"/>
            </w:tcBorders>
            <w:shd w:val="clear" w:color="auto" w:fill="auto"/>
            <w:vAlign w:val="center"/>
          </w:tcPr>
          <w:p w14:paraId="29B38222"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321FA">
              <w:rPr>
                <w:rFonts w:cs="Arial"/>
                <w:color w:val="000000"/>
                <w:szCs w:val="14"/>
              </w:rPr>
              <w:t>3.246</w:t>
            </w:r>
          </w:p>
        </w:tc>
        <w:tc>
          <w:tcPr>
            <w:tcW w:w="2410" w:type="dxa"/>
            <w:tcBorders>
              <w:top w:val="nil"/>
              <w:bottom w:val="nil"/>
            </w:tcBorders>
            <w:shd w:val="clear" w:color="auto" w:fill="auto"/>
            <w:vAlign w:val="center"/>
          </w:tcPr>
          <w:p w14:paraId="66940D3E"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321FA">
              <w:rPr>
                <w:rFonts w:cs="Arial"/>
                <w:szCs w:val="14"/>
              </w:rPr>
              <w:t>3.351</w:t>
            </w:r>
          </w:p>
        </w:tc>
      </w:tr>
      <w:tr w:rsidR="003321FA" w:rsidRPr="003321FA" w14:paraId="5250EA28"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4AC19781" w14:textId="77777777" w:rsidR="003321FA" w:rsidRPr="003321FA" w:rsidRDefault="003321FA">
            <w:pPr>
              <w:pStyle w:val="08-Tabelageral"/>
              <w:ind w:left="113"/>
              <w:jc w:val="left"/>
              <w:rPr>
                <w:rFonts w:cs="Arial"/>
                <w:b w:val="0"/>
                <w:bCs w:val="0"/>
              </w:rPr>
            </w:pPr>
            <w:r w:rsidRPr="003321FA">
              <w:rPr>
                <w:rFonts w:cs="Arial"/>
                <w:b w:val="0"/>
                <w:bCs w:val="0"/>
              </w:rPr>
              <w:t>Outros passivos circulantes</w:t>
            </w:r>
          </w:p>
        </w:tc>
        <w:tc>
          <w:tcPr>
            <w:tcW w:w="2409" w:type="dxa"/>
            <w:tcBorders>
              <w:top w:val="nil"/>
              <w:left w:val="nil"/>
              <w:bottom w:val="nil"/>
              <w:right w:val="nil"/>
            </w:tcBorders>
            <w:shd w:val="clear" w:color="auto" w:fill="auto"/>
            <w:vAlign w:val="center"/>
          </w:tcPr>
          <w:p w14:paraId="7FDDFCD0"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321FA">
              <w:rPr>
                <w:rFonts w:ascii="Arial" w:hAnsi="Arial" w:cs="Arial"/>
                <w:color w:val="000000"/>
                <w:sz w:val="14"/>
                <w:szCs w:val="14"/>
              </w:rPr>
              <w:t>4.558</w:t>
            </w:r>
          </w:p>
        </w:tc>
        <w:tc>
          <w:tcPr>
            <w:tcW w:w="2410" w:type="dxa"/>
            <w:tcBorders>
              <w:top w:val="nil"/>
              <w:left w:val="nil"/>
              <w:bottom w:val="nil"/>
              <w:right w:val="nil"/>
            </w:tcBorders>
            <w:shd w:val="clear" w:color="auto" w:fill="auto"/>
            <w:vAlign w:val="center"/>
          </w:tcPr>
          <w:p w14:paraId="0238A650"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321FA">
              <w:rPr>
                <w:rFonts w:cs="Arial"/>
                <w:szCs w:val="14"/>
              </w:rPr>
              <w:t>7.917</w:t>
            </w:r>
          </w:p>
        </w:tc>
      </w:tr>
      <w:tr w:rsidR="003321FA" w:rsidRPr="003321FA" w14:paraId="24A9CB6E"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0533E8FD" w14:textId="77777777" w:rsidR="003321FA" w:rsidRPr="003321FA" w:rsidRDefault="003321FA">
            <w:pPr>
              <w:pStyle w:val="08-Tabelageral"/>
              <w:jc w:val="left"/>
              <w:rPr>
                <w:rFonts w:cs="Arial"/>
              </w:rPr>
            </w:pPr>
            <w:r w:rsidRPr="003321FA">
              <w:rPr>
                <w:rFonts w:cs="Arial"/>
              </w:rPr>
              <w:t>Patrimônio líquido</w:t>
            </w:r>
          </w:p>
        </w:tc>
        <w:tc>
          <w:tcPr>
            <w:tcW w:w="2409" w:type="dxa"/>
            <w:tcBorders>
              <w:top w:val="nil"/>
              <w:bottom w:val="nil"/>
            </w:tcBorders>
            <w:shd w:val="clear" w:color="auto" w:fill="auto"/>
            <w:vAlign w:val="center"/>
          </w:tcPr>
          <w:p w14:paraId="337DDDF8"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3321FA">
              <w:rPr>
                <w:rFonts w:cs="Arial"/>
                <w:b/>
                <w:bCs/>
                <w:color w:val="000000"/>
                <w:szCs w:val="14"/>
              </w:rPr>
              <w:t>15.877</w:t>
            </w:r>
          </w:p>
        </w:tc>
        <w:tc>
          <w:tcPr>
            <w:tcW w:w="2410" w:type="dxa"/>
            <w:tcBorders>
              <w:top w:val="nil"/>
              <w:bottom w:val="nil"/>
            </w:tcBorders>
            <w:shd w:val="clear" w:color="auto" w:fill="auto"/>
            <w:vAlign w:val="center"/>
          </w:tcPr>
          <w:p w14:paraId="7EB94570"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3321FA">
              <w:rPr>
                <w:rFonts w:cs="Arial"/>
                <w:b/>
                <w:bCs/>
                <w:szCs w:val="14"/>
              </w:rPr>
              <w:t>6.033</w:t>
            </w:r>
          </w:p>
        </w:tc>
      </w:tr>
      <w:tr w:rsidR="003321FA" w:rsidRPr="003321FA" w14:paraId="7B803006"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20EE0A9D" w14:textId="77777777" w:rsidR="003321FA" w:rsidRPr="003321FA" w:rsidRDefault="003321FA">
            <w:pPr>
              <w:pStyle w:val="08-Tabelageral"/>
              <w:jc w:val="left"/>
              <w:rPr>
                <w:rFonts w:cs="Arial"/>
              </w:rPr>
            </w:pPr>
            <w:r w:rsidRPr="003321FA">
              <w:rPr>
                <w:rFonts w:cs="Arial"/>
                <w:color w:val="000000"/>
                <w:szCs w:val="14"/>
              </w:rPr>
              <w:t>Passivo e Patrimônio Líquido</w:t>
            </w:r>
          </w:p>
        </w:tc>
        <w:tc>
          <w:tcPr>
            <w:tcW w:w="2409" w:type="dxa"/>
            <w:tcBorders>
              <w:top w:val="nil"/>
              <w:bottom w:val="nil"/>
            </w:tcBorders>
            <w:shd w:val="clear" w:color="auto" w:fill="auto"/>
            <w:vAlign w:val="center"/>
          </w:tcPr>
          <w:p w14:paraId="6719DFBB"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3321FA">
              <w:rPr>
                <w:rFonts w:cs="Arial"/>
                <w:b/>
                <w:bCs/>
                <w:color w:val="000000"/>
                <w:szCs w:val="14"/>
              </w:rPr>
              <w:t>24.868</w:t>
            </w:r>
          </w:p>
        </w:tc>
        <w:tc>
          <w:tcPr>
            <w:tcW w:w="2410" w:type="dxa"/>
            <w:tcBorders>
              <w:top w:val="nil"/>
              <w:bottom w:val="nil"/>
            </w:tcBorders>
            <w:shd w:val="clear" w:color="auto" w:fill="auto"/>
            <w:vAlign w:val="center"/>
          </w:tcPr>
          <w:p w14:paraId="66A8F9B3"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3321FA">
              <w:rPr>
                <w:rFonts w:cs="Arial"/>
                <w:b/>
                <w:bCs/>
                <w:szCs w:val="14"/>
              </w:rPr>
              <w:t>18.642</w:t>
            </w:r>
          </w:p>
        </w:tc>
      </w:tr>
      <w:tr w:rsidR="003321FA" w:rsidRPr="003321FA" w14:paraId="4F589184"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7FBF5AE0" w14:textId="77777777" w:rsidR="003321FA" w:rsidRPr="003321FA" w:rsidRDefault="003321FA">
            <w:pPr>
              <w:pStyle w:val="08-Tabelageral"/>
              <w:jc w:val="left"/>
              <w:rPr>
                <w:rFonts w:cs="Arial"/>
              </w:rPr>
            </w:pPr>
            <w:r w:rsidRPr="003321FA">
              <w:rPr>
                <w:rFonts w:cs="Arial"/>
              </w:rPr>
              <w:t>Atribuível à BB Seguridade</w:t>
            </w:r>
          </w:p>
        </w:tc>
        <w:tc>
          <w:tcPr>
            <w:tcW w:w="2409" w:type="dxa"/>
            <w:tcBorders>
              <w:top w:val="nil"/>
              <w:bottom w:val="nil"/>
            </w:tcBorders>
            <w:shd w:val="clear" w:color="auto" w:fill="auto"/>
            <w:vAlign w:val="center"/>
          </w:tcPr>
          <w:p w14:paraId="6B0E3796" w14:textId="77777777" w:rsidR="003321FA" w:rsidRPr="003321FA" w:rsidRDefault="003321FA">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4"/>
                <w:szCs w:val="14"/>
              </w:rPr>
            </w:pPr>
            <w:r w:rsidRPr="003321FA">
              <w:rPr>
                <w:rFonts w:ascii="Arial" w:hAnsi="Arial" w:cs="Arial"/>
                <w:b/>
                <w:bCs/>
                <w:color w:val="000000"/>
                <w:sz w:val="14"/>
                <w:szCs w:val="14"/>
              </w:rPr>
              <w:t xml:space="preserve">      11.908</w:t>
            </w:r>
          </w:p>
        </w:tc>
        <w:tc>
          <w:tcPr>
            <w:tcW w:w="2410" w:type="dxa"/>
            <w:tcBorders>
              <w:top w:val="nil"/>
              <w:bottom w:val="nil"/>
            </w:tcBorders>
            <w:shd w:val="clear" w:color="auto" w:fill="auto"/>
            <w:vAlign w:val="center"/>
          </w:tcPr>
          <w:p w14:paraId="1B776B35"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3321FA">
              <w:rPr>
                <w:rFonts w:cs="Arial"/>
                <w:b/>
                <w:bCs/>
                <w:szCs w:val="14"/>
              </w:rPr>
              <w:t>4.525</w:t>
            </w:r>
          </w:p>
        </w:tc>
      </w:tr>
      <w:tr w:rsidR="003321FA" w:rsidRPr="003321FA" w14:paraId="2512E343"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13D356D0" w14:textId="77777777" w:rsidR="003321FA" w:rsidRPr="003321FA" w:rsidRDefault="003321FA">
            <w:pPr>
              <w:pStyle w:val="08-Tabelageral"/>
              <w:ind w:left="113"/>
              <w:jc w:val="left"/>
              <w:rPr>
                <w:rFonts w:cs="Arial"/>
                <w:b w:val="0"/>
                <w:bCs w:val="0"/>
              </w:rPr>
            </w:pPr>
            <w:r w:rsidRPr="003321FA">
              <w:rPr>
                <w:rFonts w:cs="Arial"/>
                <w:b w:val="0"/>
                <w:bCs w:val="0"/>
              </w:rPr>
              <w:t xml:space="preserve">Resultados de exercícios anteriores </w:t>
            </w:r>
            <w:r w:rsidRPr="003321FA">
              <w:rPr>
                <w:rFonts w:cs="Arial"/>
                <w:b w:val="0"/>
                <w:bCs w:val="0"/>
                <w:vertAlign w:val="superscript"/>
              </w:rPr>
              <w:t>(1)</w:t>
            </w:r>
          </w:p>
        </w:tc>
        <w:tc>
          <w:tcPr>
            <w:tcW w:w="2409" w:type="dxa"/>
            <w:tcBorders>
              <w:top w:val="nil"/>
              <w:bottom w:val="nil"/>
            </w:tcBorders>
            <w:shd w:val="clear" w:color="auto" w:fill="auto"/>
            <w:vAlign w:val="center"/>
          </w:tcPr>
          <w:p w14:paraId="2DB62595"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321FA">
              <w:rPr>
                <w:rFonts w:cs="Arial"/>
                <w:szCs w:val="14"/>
              </w:rPr>
              <w:t>133</w:t>
            </w:r>
          </w:p>
        </w:tc>
        <w:tc>
          <w:tcPr>
            <w:tcW w:w="2410" w:type="dxa"/>
            <w:tcBorders>
              <w:top w:val="nil"/>
              <w:bottom w:val="nil"/>
            </w:tcBorders>
            <w:shd w:val="clear" w:color="auto" w:fill="auto"/>
            <w:vAlign w:val="center"/>
          </w:tcPr>
          <w:p w14:paraId="3FCC8B90"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321FA">
              <w:rPr>
                <w:rFonts w:cs="Arial"/>
                <w:szCs w:val="14"/>
              </w:rPr>
              <w:t>(166)</w:t>
            </w:r>
          </w:p>
        </w:tc>
      </w:tr>
      <w:tr w:rsidR="003321FA" w:rsidRPr="003321FA" w14:paraId="77A38FD4"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single" w:sz="2" w:space="0" w:color="1F3864" w:themeColor="accent1" w:themeShade="80"/>
            </w:tcBorders>
            <w:shd w:val="clear" w:color="auto" w:fill="auto"/>
            <w:vAlign w:val="center"/>
          </w:tcPr>
          <w:p w14:paraId="60A553E9" w14:textId="77777777" w:rsidR="003321FA" w:rsidRPr="003321FA" w:rsidRDefault="003321FA">
            <w:pPr>
              <w:pStyle w:val="08-Tabelageral"/>
              <w:jc w:val="left"/>
              <w:rPr>
                <w:rFonts w:cs="Arial"/>
              </w:rPr>
            </w:pPr>
            <w:r w:rsidRPr="003321FA">
              <w:rPr>
                <w:rFonts w:cs="Arial"/>
              </w:rPr>
              <w:t>Saldo do investimento</w:t>
            </w:r>
          </w:p>
        </w:tc>
        <w:tc>
          <w:tcPr>
            <w:tcW w:w="2409" w:type="dxa"/>
            <w:tcBorders>
              <w:top w:val="nil"/>
              <w:left w:val="nil"/>
              <w:bottom w:val="single" w:sz="2" w:space="0" w:color="1F3864" w:themeColor="accent1" w:themeShade="80"/>
              <w:right w:val="nil"/>
            </w:tcBorders>
            <w:shd w:val="clear" w:color="auto" w:fill="auto"/>
            <w:vAlign w:val="center"/>
          </w:tcPr>
          <w:p w14:paraId="4190F1ED"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3321FA">
              <w:rPr>
                <w:rFonts w:cs="Arial"/>
                <w:b/>
                <w:bCs/>
                <w:szCs w:val="14"/>
              </w:rPr>
              <w:t>12.041</w:t>
            </w:r>
          </w:p>
        </w:tc>
        <w:tc>
          <w:tcPr>
            <w:tcW w:w="2410" w:type="dxa"/>
            <w:tcBorders>
              <w:top w:val="nil"/>
              <w:bottom w:val="single" w:sz="2" w:space="0" w:color="1F3864" w:themeColor="accent1" w:themeShade="80"/>
            </w:tcBorders>
            <w:shd w:val="clear" w:color="auto" w:fill="auto"/>
            <w:vAlign w:val="center"/>
          </w:tcPr>
          <w:p w14:paraId="709DFA98"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3321FA">
              <w:rPr>
                <w:rFonts w:cs="Arial"/>
                <w:b/>
                <w:bCs/>
                <w:szCs w:val="14"/>
              </w:rPr>
              <w:t>4.359</w:t>
            </w:r>
          </w:p>
        </w:tc>
      </w:tr>
    </w:tbl>
    <w:p w14:paraId="58D1A689" w14:textId="77777777" w:rsidR="003321FA" w:rsidRPr="003321FA" w:rsidRDefault="003321FA" w:rsidP="002C3B56">
      <w:pPr>
        <w:pStyle w:val="PargrafodaLista"/>
        <w:numPr>
          <w:ilvl w:val="0"/>
          <w:numId w:val="34"/>
        </w:numPr>
        <w:spacing w:after="0" w:line="240" w:lineRule="auto"/>
        <w:ind w:left="284" w:hanging="284"/>
        <w:rPr>
          <w:rFonts w:ascii="Arial" w:eastAsia="Times New Roman" w:hAnsi="Arial" w:cs="Arial"/>
          <w:bCs/>
          <w:color w:val="000000" w:themeColor="text1"/>
          <w:spacing w:val="-2"/>
          <w:sz w:val="14"/>
          <w:szCs w:val="16"/>
          <w:lang w:eastAsia="pt-BR"/>
        </w:rPr>
      </w:pPr>
      <w:r w:rsidRPr="003321FA">
        <w:rPr>
          <w:rFonts w:ascii="Arial" w:eastAsia="Times New Roman" w:hAnsi="Arial" w:cs="Arial"/>
          <w:bCs/>
          <w:color w:val="000000" w:themeColor="text1"/>
          <w:spacing w:val="-2"/>
          <w:sz w:val="14"/>
          <w:szCs w:val="16"/>
          <w:lang w:eastAsia="pt-BR"/>
        </w:rPr>
        <w:t xml:space="preserve">Refere-se a resultados de exercícios anteriores a participação da BB Corretora na </w:t>
      </w:r>
      <w:proofErr w:type="spellStart"/>
      <w:r w:rsidRPr="003321FA">
        <w:rPr>
          <w:rFonts w:ascii="Arial" w:eastAsia="Times New Roman" w:hAnsi="Arial" w:cs="Arial"/>
          <w:bCs/>
          <w:color w:val="000000" w:themeColor="text1"/>
          <w:spacing w:val="-2"/>
          <w:sz w:val="14"/>
          <w:szCs w:val="16"/>
          <w:lang w:eastAsia="pt-BR"/>
        </w:rPr>
        <w:t>Ciclic</w:t>
      </w:r>
      <w:proofErr w:type="spellEnd"/>
      <w:r w:rsidRPr="003321FA">
        <w:rPr>
          <w:rFonts w:ascii="Arial" w:eastAsia="Times New Roman" w:hAnsi="Arial" w:cs="Arial"/>
          <w:bCs/>
          <w:color w:val="000000" w:themeColor="text1"/>
          <w:spacing w:val="-2"/>
          <w:sz w:val="14"/>
          <w:szCs w:val="16"/>
          <w:lang w:eastAsia="pt-BR"/>
        </w:rPr>
        <w:t>.</w:t>
      </w:r>
    </w:p>
    <w:p w14:paraId="7DEEAC9C" w14:textId="77777777" w:rsidR="003321FA" w:rsidRPr="003321FA" w:rsidRDefault="003321FA" w:rsidP="003321FA">
      <w:pPr>
        <w:pStyle w:val="PargrafodaLista"/>
        <w:spacing w:after="0" w:line="240" w:lineRule="auto"/>
        <w:ind w:left="284"/>
        <w:rPr>
          <w:rFonts w:ascii="Arial" w:eastAsia="Times New Roman" w:hAnsi="Arial" w:cs="Arial"/>
          <w:bCs/>
          <w:color w:val="000000" w:themeColor="text1"/>
          <w:spacing w:val="-2"/>
          <w:sz w:val="14"/>
          <w:szCs w:val="16"/>
          <w:lang w:eastAsia="pt-BR"/>
        </w:rPr>
      </w:pPr>
    </w:p>
    <w:p w14:paraId="4860CA84" w14:textId="77777777" w:rsidR="003321FA" w:rsidRPr="003321FA" w:rsidRDefault="003321FA" w:rsidP="003321FA">
      <w:pPr>
        <w:spacing w:before="120" w:after="120" w:line="240" w:lineRule="auto"/>
        <w:rPr>
          <w:rFonts w:ascii="Arial" w:eastAsia="Times New Roman" w:hAnsi="Arial" w:cs="Arial"/>
          <w:b/>
          <w:color w:val="1F3864" w:themeColor="accent1" w:themeShade="80"/>
          <w:spacing w:val="-2"/>
          <w:sz w:val="18"/>
          <w:szCs w:val="20"/>
          <w:lang w:eastAsia="pt-BR"/>
        </w:rPr>
      </w:pPr>
      <w:r w:rsidRPr="003321FA">
        <w:rPr>
          <w:rFonts w:ascii="Arial" w:eastAsia="Times New Roman" w:hAnsi="Arial" w:cs="Arial"/>
          <w:b/>
          <w:color w:val="1F3864" w:themeColor="accent1" w:themeShade="80"/>
          <w:spacing w:val="-2"/>
          <w:sz w:val="18"/>
          <w:szCs w:val="20"/>
          <w:lang w:eastAsia="pt-BR"/>
        </w:rPr>
        <w:t>c.6) BB Corretora</w:t>
      </w:r>
    </w:p>
    <w:p w14:paraId="44460EE2" w14:textId="77777777" w:rsidR="003321FA" w:rsidRPr="003321FA" w:rsidRDefault="003321FA" w:rsidP="003321FA">
      <w:pPr>
        <w:spacing w:before="120" w:after="120" w:line="240" w:lineRule="auto"/>
        <w:rPr>
          <w:rFonts w:ascii="Arial" w:eastAsia="Times New Roman" w:hAnsi="Arial" w:cs="Arial"/>
          <w:b/>
          <w:color w:val="1F3864" w:themeColor="accent1" w:themeShade="80"/>
          <w:spacing w:val="-2"/>
          <w:sz w:val="18"/>
          <w:szCs w:val="20"/>
          <w:lang w:eastAsia="pt-BR"/>
        </w:rPr>
      </w:pPr>
      <w:r w:rsidRPr="003321FA">
        <w:rPr>
          <w:rFonts w:ascii="Arial" w:eastAsia="Times New Roman" w:hAnsi="Arial" w:cs="Arial"/>
          <w:b/>
          <w:color w:val="1F3864" w:themeColor="accent1" w:themeShade="80"/>
          <w:spacing w:val="-2"/>
          <w:sz w:val="18"/>
          <w:szCs w:val="20"/>
          <w:lang w:eastAsia="pt-BR"/>
        </w:rPr>
        <w:t>Informações de Resultado</w:t>
      </w:r>
    </w:p>
    <w:p w14:paraId="4EB5C147" w14:textId="77777777" w:rsidR="003321FA" w:rsidRPr="003321FA" w:rsidRDefault="003321FA" w:rsidP="003321FA">
      <w:pPr>
        <w:pStyle w:val="01-TtulodeNota"/>
        <w:spacing w:before="0" w:after="0"/>
        <w:ind w:right="-1"/>
        <w:jc w:val="right"/>
        <w:rPr>
          <w:rFonts w:cs="Arial"/>
          <w:sz w:val="14"/>
          <w:szCs w:val="14"/>
        </w:rPr>
      </w:pPr>
      <w:bookmarkStart w:id="81" w:name="_Hlk141876175"/>
      <w:r w:rsidRPr="003321FA">
        <w:rPr>
          <w:rFonts w:cs="Arial"/>
          <w:sz w:val="14"/>
          <w:szCs w:val="14"/>
        </w:rPr>
        <w:t>R$ mil</w:t>
      </w:r>
    </w:p>
    <w:tbl>
      <w:tblPr>
        <w:tblStyle w:val="TabeladeLista6Colorida-nfase5"/>
        <w:tblW w:w="9639" w:type="dxa"/>
        <w:jc w:val="center"/>
        <w:tblBorders>
          <w:top w:val="single" w:sz="2" w:space="0" w:color="9CC2E5" w:themeColor="accent5" w:themeTint="99"/>
          <w:bottom w:val="single" w:sz="2" w:space="0" w:color="9CC2E5" w:themeColor="accent5" w:themeTint="99"/>
        </w:tblBorders>
        <w:shd w:val="clear" w:color="auto" w:fill="FFFFFF" w:themeFill="background1"/>
        <w:tblLook w:val="04A0" w:firstRow="1" w:lastRow="0" w:firstColumn="1" w:lastColumn="0" w:noHBand="0" w:noVBand="1"/>
      </w:tblPr>
      <w:tblGrid>
        <w:gridCol w:w="4084"/>
        <w:gridCol w:w="1177"/>
        <w:gridCol w:w="1559"/>
        <w:gridCol w:w="1281"/>
        <w:gridCol w:w="1538"/>
      </w:tblGrid>
      <w:tr w:rsidR="003321FA" w:rsidRPr="003321FA" w14:paraId="4AB084B8" w14:textId="77777777">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2DC49E15" w14:textId="77777777" w:rsidR="003321FA" w:rsidRPr="003321FA" w:rsidRDefault="003321FA">
            <w:pPr>
              <w:pStyle w:val="08-Tabelageral"/>
              <w:jc w:val="left"/>
              <w:rPr>
                <w:rFonts w:cs="Arial"/>
              </w:rPr>
            </w:pPr>
          </w:p>
        </w:tc>
        <w:tc>
          <w:tcPr>
            <w:tcW w:w="1177"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6AF14492" w14:textId="77777777" w:rsidR="003321FA" w:rsidRPr="003321FA" w:rsidRDefault="003321FA">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p>
        </w:tc>
        <w:tc>
          <w:tcPr>
            <w:tcW w:w="1559"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44E0970A" w14:textId="77777777" w:rsidR="003321FA" w:rsidRPr="003321FA" w:rsidRDefault="003321FA">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p>
        </w:tc>
        <w:tc>
          <w:tcPr>
            <w:tcW w:w="1281"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770F3A2A" w14:textId="77777777" w:rsidR="003321FA" w:rsidRPr="003321FA" w:rsidRDefault="003321FA">
            <w:pPr>
              <w:pStyle w:val="08-Tabelageral"/>
              <w:ind w:left="113"/>
              <w:cnfStyle w:val="100000000000" w:firstRow="1" w:lastRow="0" w:firstColumn="0" w:lastColumn="0" w:oddVBand="0" w:evenVBand="0" w:oddHBand="0" w:evenHBand="0" w:firstRowFirstColumn="0" w:firstRowLastColumn="0" w:lastRowFirstColumn="0" w:lastRowLastColumn="0"/>
              <w:rPr>
                <w:rFonts w:cs="Arial"/>
                <w:bCs w:val="0"/>
              </w:rPr>
            </w:pPr>
            <w:r w:rsidRPr="003321FA">
              <w:rPr>
                <w:rFonts w:cs="Arial"/>
                <w:bCs w:val="0"/>
              </w:rPr>
              <w:t>Exercício 2024</w:t>
            </w:r>
          </w:p>
        </w:tc>
        <w:tc>
          <w:tcPr>
            <w:tcW w:w="1538"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1E374DCD" w14:textId="77777777" w:rsidR="003321FA" w:rsidRPr="003321FA" w:rsidRDefault="003321FA">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r w:rsidRPr="003321FA">
              <w:rPr>
                <w:rFonts w:cs="Arial"/>
              </w:rPr>
              <w:t>Exercício 2023</w:t>
            </w:r>
          </w:p>
        </w:tc>
      </w:tr>
      <w:tr w:rsidR="003321FA" w:rsidRPr="003321FA" w14:paraId="3CFBE5BE"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tcBorders>
              <w:top w:val="single" w:sz="2" w:space="0" w:color="1F3864" w:themeColor="accent1" w:themeShade="80"/>
            </w:tcBorders>
            <w:shd w:val="clear" w:color="auto" w:fill="auto"/>
            <w:vAlign w:val="center"/>
          </w:tcPr>
          <w:p w14:paraId="70E0591D" w14:textId="77777777" w:rsidR="003321FA" w:rsidRPr="003321FA" w:rsidRDefault="003321FA">
            <w:pPr>
              <w:pStyle w:val="08-Tabelageral"/>
              <w:jc w:val="left"/>
              <w:rPr>
                <w:rFonts w:cs="Arial"/>
                <w:szCs w:val="14"/>
              </w:rPr>
            </w:pPr>
            <w:r w:rsidRPr="003321FA">
              <w:rPr>
                <w:rFonts w:cs="Arial"/>
                <w:szCs w:val="14"/>
              </w:rPr>
              <w:t>Receitas Operacionais</w:t>
            </w:r>
          </w:p>
        </w:tc>
        <w:tc>
          <w:tcPr>
            <w:tcW w:w="1177" w:type="dxa"/>
            <w:tcBorders>
              <w:top w:val="nil"/>
            </w:tcBorders>
            <w:shd w:val="clear" w:color="auto" w:fill="auto"/>
            <w:vAlign w:val="center"/>
          </w:tcPr>
          <w:p w14:paraId="69C7984E"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p>
        </w:tc>
        <w:tc>
          <w:tcPr>
            <w:tcW w:w="1559" w:type="dxa"/>
            <w:tcBorders>
              <w:top w:val="nil"/>
            </w:tcBorders>
            <w:shd w:val="clear" w:color="auto" w:fill="auto"/>
            <w:vAlign w:val="center"/>
          </w:tcPr>
          <w:p w14:paraId="292AE265"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p>
        </w:tc>
        <w:tc>
          <w:tcPr>
            <w:tcW w:w="1281" w:type="dxa"/>
            <w:tcBorders>
              <w:top w:val="nil"/>
              <w:left w:val="nil"/>
              <w:bottom w:val="nil"/>
              <w:right w:val="nil"/>
            </w:tcBorders>
            <w:shd w:val="clear" w:color="auto" w:fill="auto"/>
            <w:vAlign w:val="center"/>
          </w:tcPr>
          <w:p w14:paraId="6D3C1268"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3321FA">
              <w:rPr>
                <w:rFonts w:cs="Arial"/>
                <w:b/>
                <w:bCs/>
                <w:color w:val="000000"/>
                <w:szCs w:val="14"/>
              </w:rPr>
              <w:t>4.868.052</w:t>
            </w:r>
          </w:p>
        </w:tc>
        <w:tc>
          <w:tcPr>
            <w:tcW w:w="1538" w:type="dxa"/>
            <w:tcBorders>
              <w:top w:val="single" w:sz="2" w:space="0" w:color="1F3864" w:themeColor="accent1" w:themeShade="80"/>
            </w:tcBorders>
            <w:shd w:val="clear" w:color="auto" w:fill="auto"/>
            <w:vAlign w:val="center"/>
          </w:tcPr>
          <w:p w14:paraId="349B1831"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3321FA">
              <w:rPr>
                <w:rStyle w:val="normaltextrun"/>
                <w:rFonts w:cs="Arial"/>
                <w:b/>
                <w:bCs/>
                <w:color w:val="000000"/>
                <w:szCs w:val="14"/>
              </w:rPr>
              <w:t>4.424.402</w:t>
            </w:r>
            <w:r w:rsidRPr="003321FA">
              <w:rPr>
                <w:rStyle w:val="eop"/>
                <w:rFonts w:cs="Arial"/>
                <w:color w:val="000000"/>
                <w:szCs w:val="14"/>
              </w:rPr>
              <w:t> </w:t>
            </w:r>
          </w:p>
        </w:tc>
      </w:tr>
      <w:tr w:rsidR="003321FA" w:rsidRPr="003321FA" w14:paraId="6041F119"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shd w:val="clear" w:color="auto" w:fill="auto"/>
            <w:vAlign w:val="center"/>
          </w:tcPr>
          <w:p w14:paraId="26A990FA" w14:textId="77777777" w:rsidR="003321FA" w:rsidRPr="003321FA" w:rsidRDefault="003321FA">
            <w:pPr>
              <w:pStyle w:val="08-Tabelageral"/>
              <w:ind w:left="113"/>
              <w:jc w:val="left"/>
              <w:rPr>
                <w:rFonts w:cs="Arial"/>
                <w:b w:val="0"/>
                <w:szCs w:val="14"/>
              </w:rPr>
            </w:pPr>
            <w:r w:rsidRPr="003321FA">
              <w:rPr>
                <w:rFonts w:cs="Arial"/>
                <w:b w:val="0"/>
                <w:szCs w:val="14"/>
              </w:rPr>
              <w:t>Receitas de comissões, líquidas</w:t>
            </w:r>
          </w:p>
        </w:tc>
        <w:tc>
          <w:tcPr>
            <w:tcW w:w="1177" w:type="dxa"/>
            <w:shd w:val="clear" w:color="auto" w:fill="auto"/>
            <w:vAlign w:val="center"/>
          </w:tcPr>
          <w:p w14:paraId="522B9053"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p>
        </w:tc>
        <w:tc>
          <w:tcPr>
            <w:tcW w:w="1559" w:type="dxa"/>
            <w:shd w:val="clear" w:color="auto" w:fill="auto"/>
            <w:vAlign w:val="center"/>
          </w:tcPr>
          <w:p w14:paraId="6C4CA142"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p>
        </w:tc>
        <w:tc>
          <w:tcPr>
            <w:tcW w:w="1281" w:type="dxa"/>
            <w:tcBorders>
              <w:top w:val="nil"/>
              <w:left w:val="nil"/>
              <w:bottom w:val="nil"/>
              <w:right w:val="nil"/>
            </w:tcBorders>
            <w:shd w:val="clear" w:color="auto" w:fill="auto"/>
            <w:vAlign w:val="center"/>
          </w:tcPr>
          <w:p w14:paraId="52D34A66"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3321FA">
              <w:rPr>
                <w:rFonts w:cs="Arial"/>
                <w:color w:val="000000"/>
                <w:szCs w:val="14"/>
              </w:rPr>
              <w:t>4.868.052</w:t>
            </w:r>
          </w:p>
        </w:tc>
        <w:tc>
          <w:tcPr>
            <w:tcW w:w="1538" w:type="dxa"/>
            <w:tcBorders>
              <w:top w:val="nil"/>
              <w:left w:val="nil"/>
              <w:bottom w:val="nil"/>
              <w:right w:val="nil"/>
            </w:tcBorders>
            <w:shd w:val="clear" w:color="auto" w:fill="auto"/>
            <w:vAlign w:val="center"/>
          </w:tcPr>
          <w:p w14:paraId="0EDA1AC7"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3321FA">
              <w:rPr>
                <w:rStyle w:val="normaltextrun"/>
                <w:rFonts w:cs="Arial"/>
                <w:color w:val="000000"/>
                <w:szCs w:val="14"/>
              </w:rPr>
              <w:t>4.424.402</w:t>
            </w:r>
            <w:r w:rsidRPr="003321FA">
              <w:rPr>
                <w:rStyle w:val="eop"/>
                <w:rFonts w:cs="Arial"/>
                <w:color w:val="000000"/>
                <w:szCs w:val="14"/>
              </w:rPr>
              <w:t> </w:t>
            </w:r>
          </w:p>
        </w:tc>
      </w:tr>
      <w:tr w:rsidR="003321FA" w:rsidRPr="003321FA" w14:paraId="04FCE6A2"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shd w:val="clear" w:color="auto" w:fill="auto"/>
            <w:vAlign w:val="center"/>
          </w:tcPr>
          <w:p w14:paraId="5CCB3DBF" w14:textId="77777777" w:rsidR="003321FA" w:rsidRPr="003321FA" w:rsidRDefault="003321FA">
            <w:pPr>
              <w:pStyle w:val="08-Tabelageral"/>
              <w:jc w:val="left"/>
              <w:rPr>
                <w:rFonts w:cs="Arial"/>
                <w:bCs w:val="0"/>
                <w:szCs w:val="14"/>
              </w:rPr>
            </w:pPr>
            <w:r w:rsidRPr="003321FA">
              <w:rPr>
                <w:rFonts w:cs="Arial"/>
                <w:bCs w:val="0"/>
                <w:szCs w:val="14"/>
              </w:rPr>
              <w:t>Custos dos Serviços Prestados</w:t>
            </w:r>
          </w:p>
        </w:tc>
        <w:tc>
          <w:tcPr>
            <w:tcW w:w="1177" w:type="dxa"/>
            <w:tcBorders>
              <w:top w:val="nil"/>
              <w:left w:val="nil"/>
              <w:bottom w:val="nil"/>
              <w:right w:val="nil"/>
            </w:tcBorders>
            <w:shd w:val="clear" w:color="auto" w:fill="auto"/>
            <w:vAlign w:val="center"/>
          </w:tcPr>
          <w:p w14:paraId="7C0CB747"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b/>
                <w:color w:val="000000"/>
                <w:szCs w:val="14"/>
              </w:rPr>
            </w:pPr>
          </w:p>
        </w:tc>
        <w:tc>
          <w:tcPr>
            <w:tcW w:w="1559" w:type="dxa"/>
            <w:tcBorders>
              <w:top w:val="nil"/>
              <w:left w:val="nil"/>
              <w:bottom w:val="nil"/>
              <w:right w:val="nil"/>
            </w:tcBorders>
            <w:shd w:val="clear" w:color="auto" w:fill="auto"/>
            <w:vAlign w:val="center"/>
          </w:tcPr>
          <w:p w14:paraId="0EE01868"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b/>
                <w:color w:val="000000"/>
                <w:szCs w:val="14"/>
              </w:rPr>
            </w:pPr>
          </w:p>
        </w:tc>
        <w:tc>
          <w:tcPr>
            <w:tcW w:w="1281" w:type="dxa"/>
            <w:tcBorders>
              <w:top w:val="nil"/>
              <w:left w:val="nil"/>
              <w:bottom w:val="nil"/>
              <w:right w:val="nil"/>
            </w:tcBorders>
            <w:shd w:val="clear" w:color="auto" w:fill="auto"/>
            <w:vAlign w:val="center"/>
          </w:tcPr>
          <w:p w14:paraId="4614F9C4"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3321FA">
              <w:rPr>
                <w:rFonts w:cs="Arial"/>
                <w:b/>
                <w:bCs/>
                <w:color w:val="000000"/>
                <w:szCs w:val="14"/>
              </w:rPr>
              <w:t>(172.198)</w:t>
            </w:r>
          </w:p>
        </w:tc>
        <w:tc>
          <w:tcPr>
            <w:tcW w:w="1538" w:type="dxa"/>
            <w:tcBorders>
              <w:top w:val="nil"/>
              <w:left w:val="nil"/>
              <w:bottom w:val="nil"/>
              <w:right w:val="nil"/>
            </w:tcBorders>
            <w:shd w:val="clear" w:color="auto" w:fill="auto"/>
            <w:vAlign w:val="center"/>
          </w:tcPr>
          <w:p w14:paraId="2DBE9F95"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3321FA">
              <w:rPr>
                <w:rStyle w:val="normaltextrun"/>
                <w:rFonts w:cs="Arial"/>
                <w:b/>
                <w:bCs/>
                <w:color w:val="000000"/>
                <w:szCs w:val="14"/>
              </w:rPr>
              <w:t>(188.792)</w:t>
            </w:r>
            <w:r w:rsidRPr="003321FA">
              <w:rPr>
                <w:rStyle w:val="eop"/>
                <w:rFonts w:cs="Arial"/>
                <w:color w:val="000000"/>
                <w:szCs w:val="14"/>
              </w:rPr>
              <w:t> </w:t>
            </w:r>
          </w:p>
        </w:tc>
      </w:tr>
      <w:tr w:rsidR="003321FA" w:rsidRPr="003321FA" w14:paraId="2744D6D1"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shd w:val="clear" w:color="auto" w:fill="auto"/>
            <w:vAlign w:val="center"/>
          </w:tcPr>
          <w:p w14:paraId="75287D9C" w14:textId="77777777" w:rsidR="003321FA" w:rsidRPr="003321FA" w:rsidRDefault="003321FA">
            <w:pPr>
              <w:pStyle w:val="08-Tabelageral"/>
              <w:jc w:val="left"/>
              <w:rPr>
                <w:rFonts w:cs="Arial"/>
                <w:szCs w:val="14"/>
              </w:rPr>
            </w:pPr>
            <w:r w:rsidRPr="003321FA">
              <w:rPr>
                <w:rFonts w:cs="Arial"/>
                <w:szCs w:val="14"/>
              </w:rPr>
              <w:t>Resultado Bruto</w:t>
            </w:r>
          </w:p>
        </w:tc>
        <w:tc>
          <w:tcPr>
            <w:tcW w:w="1177" w:type="dxa"/>
            <w:tcBorders>
              <w:top w:val="nil"/>
              <w:left w:val="nil"/>
              <w:bottom w:val="nil"/>
              <w:right w:val="nil"/>
            </w:tcBorders>
            <w:shd w:val="clear" w:color="auto" w:fill="auto"/>
            <w:vAlign w:val="center"/>
          </w:tcPr>
          <w:p w14:paraId="2D67C2AF"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p>
        </w:tc>
        <w:tc>
          <w:tcPr>
            <w:tcW w:w="1559" w:type="dxa"/>
            <w:tcBorders>
              <w:top w:val="nil"/>
              <w:left w:val="nil"/>
              <w:bottom w:val="nil"/>
              <w:right w:val="nil"/>
            </w:tcBorders>
            <w:shd w:val="clear" w:color="auto" w:fill="auto"/>
            <w:vAlign w:val="center"/>
          </w:tcPr>
          <w:p w14:paraId="00A4748B"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p>
        </w:tc>
        <w:tc>
          <w:tcPr>
            <w:tcW w:w="1281" w:type="dxa"/>
            <w:tcBorders>
              <w:top w:val="nil"/>
              <w:left w:val="nil"/>
              <w:bottom w:val="nil"/>
              <w:right w:val="nil"/>
            </w:tcBorders>
            <w:shd w:val="clear" w:color="auto" w:fill="auto"/>
            <w:vAlign w:val="center"/>
          </w:tcPr>
          <w:p w14:paraId="4017981E"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3321FA">
              <w:rPr>
                <w:rFonts w:cs="Arial"/>
                <w:b/>
                <w:bCs/>
                <w:color w:val="000000"/>
                <w:szCs w:val="14"/>
              </w:rPr>
              <w:t>4.695.854</w:t>
            </w:r>
          </w:p>
        </w:tc>
        <w:tc>
          <w:tcPr>
            <w:tcW w:w="1538" w:type="dxa"/>
            <w:tcBorders>
              <w:top w:val="nil"/>
              <w:left w:val="nil"/>
              <w:bottom w:val="nil"/>
              <w:right w:val="nil"/>
            </w:tcBorders>
            <w:shd w:val="clear" w:color="auto" w:fill="auto"/>
            <w:vAlign w:val="center"/>
          </w:tcPr>
          <w:p w14:paraId="64338366"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3321FA">
              <w:rPr>
                <w:rStyle w:val="normaltextrun"/>
                <w:rFonts w:cs="Arial"/>
                <w:b/>
                <w:bCs/>
                <w:color w:val="000000"/>
                <w:szCs w:val="14"/>
              </w:rPr>
              <w:t>4.235.610</w:t>
            </w:r>
            <w:r w:rsidRPr="003321FA">
              <w:rPr>
                <w:rStyle w:val="eop"/>
                <w:rFonts w:cs="Arial"/>
                <w:color w:val="000000"/>
                <w:szCs w:val="14"/>
              </w:rPr>
              <w:t> </w:t>
            </w:r>
          </w:p>
        </w:tc>
      </w:tr>
      <w:tr w:rsidR="003321FA" w:rsidRPr="003321FA" w14:paraId="7DD5FB3A"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shd w:val="clear" w:color="auto" w:fill="auto"/>
            <w:vAlign w:val="center"/>
          </w:tcPr>
          <w:p w14:paraId="16F1E5F2" w14:textId="77777777" w:rsidR="003321FA" w:rsidRPr="003321FA" w:rsidRDefault="003321FA">
            <w:pPr>
              <w:pStyle w:val="08-Tabelageral"/>
              <w:jc w:val="left"/>
              <w:rPr>
                <w:rFonts w:cs="Arial"/>
                <w:szCs w:val="14"/>
              </w:rPr>
            </w:pPr>
            <w:r w:rsidRPr="003321FA">
              <w:rPr>
                <w:rFonts w:cs="Arial"/>
                <w:szCs w:val="14"/>
              </w:rPr>
              <w:t>Outras Receitas e Despesas</w:t>
            </w:r>
          </w:p>
        </w:tc>
        <w:tc>
          <w:tcPr>
            <w:tcW w:w="1177" w:type="dxa"/>
            <w:tcBorders>
              <w:top w:val="nil"/>
              <w:left w:val="nil"/>
              <w:bottom w:val="nil"/>
              <w:right w:val="nil"/>
            </w:tcBorders>
            <w:shd w:val="clear" w:color="auto" w:fill="auto"/>
            <w:vAlign w:val="center"/>
          </w:tcPr>
          <w:p w14:paraId="590F3C78"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p>
        </w:tc>
        <w:tc>
          <w:tcPr>
            <w:tcW w:w="1559" w:type="dxa"/>
            <w:tcBorders>
              <w:top w:val="nil"/>
              <w:left w:val="nil"/>
              <w:bottom w:val="nil"/>
              <w:right w:val="nil"/>
            </w:tcBorders>
            <w:shd w:val="clear" w:color="auto" w:fill="auto"/>
            <w:vAlign w:val="center"/>
          </w:tcPr>
          <w:p w14:paraId="388FB357"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p>
        </w:tc>
        <w:tc>
          <w:tcPr>
            <w:tcW w:w="1281" w:type="dxa"/>
            <w:tcBorders>
              <w:top w:val="nil"/>
              <w:left w:val="nil"/>
              <w:bottom w:val="nil"/>
              <w:right w:val="nil"/>
            </w:tcBorders>
            <w:shd w:val="clear" w:color="auto" w:fill="auto"/>
            <w:vAlign w:val="center"/>
          </w:tcPr>
          <w:p w14:paraId="7BDFF215"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3321FA">
              <w:rPr>
                <w:rFonts w:cs="Arial"/>
                <w:b/>
                <w:bCs/>
                <w:color w:val="000000"/>
                <w:szCs w:val="14"/>
              </w:rPr>
              <w:t>(205.591)</w:t>
            </w:r>
          </w:p>
        </w:tc>
        <w:tc>
          <w:tcPr>
            <w:tcW w:w="1538" w:type="dxa"/>
            <w:tcBorders>
              <w:top w:val="nil"/>
              <w:left w:val="nil"/>
              <w:bottom w:val="nil"/>
              <w:right w:val="nil"/>
            </w:tcBorders>
            <w:shd w:val="clear" w:color="auto" w:fill="auto"/>
            <w:vAlign w:val="center"/>
          </w:tcPr>
          <w:p w14:paraId="59571BE5"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3321FA">
              <w:rPr>
                <w:rStyle w:val="normaltextrun"/>
                <w:rFonts w:cs="Arial"/>
                <w:b/>
                <w:bCs/>
                <w:color w:val="000000"/>
                <w:szCs w:val="14"/>
              </w:rPr>
              <w:t>(182.614)</w:t>
            </w:r>
            <w:r w:rsidRPr="003321FA">
              <w:rPr>
                <w:rStyle w:val="eop"/>
                <w:rFonts w:cs="Arial"/>
                <w:color w:val="000000"/>
                <w:szCs w:val="14"/>
              </w:rPr>
              <w:t> </w:t>
            </w:r>
          </w:p>
        </w:tc>
      </w:tr>
      <w:tr w:rsidR="003321FA" w:rsidRPr="003321FA" w14:paraId="5594A43C"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shd w:val="clear" w:color="auto" w:fill="auto"/>
            <w:vAlign w:val="center"/>
          </w:tcPr>
          <w:p w14:paraId="1513D483" w14:textId="77777777" w:rsidR="003321FA" w:rsidRPr="003321FA" w:rsidRDefault="003321FA">
            <w:pPr>
              <w:pStyle w:val="08-Tabelageral"/>
              <w:ind w:left="113"/>
              <w:jc w:val="left"/>
              <w:rPr>
                <w:rFonts w:cs="Arial"/>
                <w:b w:val="0"/>
                <w:szCs w:val="14"/>
              </w:rPr>
            </w:pPr>
            <w:r w:rsidRPr="003321FA">
              <w:rPr>
                <w:rFonts w:cs="Arial"/>
                <w:b w:val="0"/>
                <w:szCs w:val="14"/>
              </w:rPr>
              <w:t>Resultado de investimentos em participações societárias</w:t>
            </w:r>
          </w:p>
        </w:tc>
        <w:tc>
          <w:tcPr>
            <w:tcW w:w="1177" w:type="dxa"/>
            <w:tcBorders>
              <w:top w:val="nil"/>
              <w:left w:val="nil"/>
              <w:bottom w:val="nil"/>
              <w:right w:val="nil"/>
            </w:tcBorders>
            <w:shd w:val="clear" w:color="auto" w:fill="auto"/>
            <w:vAlign w:val="center"/>
          </w:tcPr>
          <w:p w14:paraId="34CC638E"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p>
        </w:tc>
        <w:tc>
          <w:tcPr>
            <w:tcW w:w="1559" w:type="dxa"/>
            <w:tcBorders>
              <w:top w:val="nil"/>
              <w:left w:val="nil"/>
              <w:bottom w:val="nil"/>
              <w:right w:val="nil"/>
            </w:tcBorders>
            <w:shd w:val="clear" w:color="auto" w:fill="auto"/>
            <w:vAlign w:val="center"/>
          </w:tcPr>
          <w:p w14:paraId="201420BF"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p>
        </w:tc>
        <w:tc>
          <w:tcPr>
            <w:tcW w:w="1281" w:type="dxa"/>
            <w:tcBorders>
              <w:top w:val="nil"/>
              <w:left w:val="nil"/>
              <w:bottom w:val="nil"/>
              <w:right w:val="nil"/>
            </w:tcBorders>
            <w:shd w:val="clear" w:color="auto" w:fill="auto"/>
            <w:vAlign w:val="center"/>
          </w:tcPr>
          <w:p w14:paraId="3F38F0EA"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3321FA">
              <w:rPr>
                <w:rFonts w:cs="Arial"/>
                <w:color w:val="000000"/>
                <w:szCs w:val="14"/>
              </w:rPr>
              <w:t>7.436</w:t>
            </w:r>
          </w:p>
        </w:tc>
        <w:tc>
          <w:tcPr>
            <w:tcW w:w="1538" w:type="dxa"/>
            <w:tcBorders>
              <w:top w:val="nil"/>
              <w:left w:val="nil"/>
              <w:bottom w:val="nil"/>
              <w:right w:val="nil"/>
            </w:tcBorders>
            <w:shd w:val="clear" w:color="auto" w:fill="auto"/>
            <w:vAlign w:val="center"/>
          </w:tcPr>
          <w:p w14:paraId="067F1D53"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3321FA">
              <w:rPr>
                <w:rStyle w:val="normaltextrun"/>
                <w:rFonts w:cs="Arial"/>
                <w:color w:val="000000"/>
                <w:szCs w:val="14"/>
              </w:rPr>
              <w:t>3.319</w:t>
            </w:r>
            <w:r w:rsidRPr="003321FA">
              <w:rPr>
                <w:rStyle w:val="eop"/>
                <w:rFonts w:cs="Arial"/>
                <w:color w:val="000000"/>
                <w:szCs w:val="14"/>
              </w:rPr>
              <w:t> </w:t>
            </w:r>
          </w:p>
        </w:tc>
      </w:tr>
      <w:tr w:rsidR="003321FA" w:rsidRPr="003321FA" w14:paraId="762BA2AB"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shd w:val="clear" w:color="auto" w:fill="auto"/>
            <w:vAlign w:val="center"/>
          </w:tcPr>
          <w:p w14:paraId="426D7CA5" w14:textId="77777777" w:rsidR="003321FA" w:rsidRPr="003321FA" w:rsidRDefault="003321FA">
            <w:pPr>
              <w:pStyle w:val="08-Tabelageral"/>
              <w:ind w:left="113"/>
              <w:jc w:val="left"/>
              <w:rPr>
                <w:rFonts w:cs="Arial"/>
                <w:b w:val="0"/>
                <w:szCs w:val="14"/>
              </w:rPr>
            </w:pPr>
            <w:r w:rsidRPr="003321FA">
              <w:rPr>
                <w:rFonts w:cs="Arial"/>
                <w:b w:val="0"/>
                <w:szCs w:val="14"/>
              </w:rPr>
              <w:t>Despesas com pessoal</w:t>
            </w:r>
          </w:p>
        </w:tc>
        <w:tc>
          <w:tcPr>
            <w:tcW w:w="1177" w:type="dxa"/>
            <w:tcBorders>
              <w:top w:val="nil"/>
              <w:left w:val="nil"/>
              <w:bottom w:val="nil"/>
              <w:right w:val="nil"/>
            </w:tcBorders>
            <w:shd w:val="clear" w:color="auto" w:fill="auto"/>
            <w:vAlign w:val="center"/>
          </w:tcPr>
          <w:p w14:paraId="7D53A087"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p>
        </w:tc>
        <w:tc>
          <w:tcPr>
            <w:tcW w:w="1559" w:type="dxa"/>
            <w:tcBorders>
              <w:top w:val="nil"/>
              <w:left w:val="nil"/>
              <w:bottom w:val="nil"/>
              <w:right w:val="nil"/>
            </w:tcBorders>
            <w:shd w:val="clear" w:color="auto" w:fill="auto"/>
            <w:vAlign w:val="center"/>
          </w:tcPr>
          <w:p w14:paraId="0C424C0A"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p>
        </w:tc>
        <w:tc>
          <w:tcPr>
            <w:tcW w:w="1281" w:type="dxa"/>
            <w:tcBorders>
              <w:top w:val="nil"/>
              <w:left w:val="nil"/>
              <w:bottom w:val="nil"/>
              <w:right w:val="nil"/>
            </w:tcBorders>
            <w:shd w:val="clear" w:color="auto" w:fill="auto"/>
            <w:vAlign w:val="center"/>
          </w:tcPr>
          <w:p w14:paraId="666BCBCF"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3321FA">
              <w:rPr>
                <w:rFonts w:cs="Arial"/>
                <w:color w:val="000000"/>
                <w:szCs w:val="14"/>
              </w:rPr>
              <w:t>(68.792)</w:t>
            </w:r>
          </w:p>
        </w:tc>
        <w:tc>
          <w:tcPr>
            <w:tcW w:w="1538" w:type="dxa"/>
            <w:tcBorders>
              <w:top w:val="nil"/>
              <w:left w:val="nil"/>
              <w:bottom w:val="nil"/>
              <w:right w:val="nil"/>
            </w:tcBorders>
            <w:shd w:val="clear" w:color="auto" w:fill="auto"/>
            <w:vAlign w:val="center"/>
          </w:tcPr>
          <w:p w14:paraId="5076BC89"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3321FA">
              <w:rPr>
                <w:rStyle w:val="normaltextrun"/>
                <w:rFonts w:cs="Arial"/>
                <w:color w:val="000000"/>
                <w:szCs w:val="14"/>
              </w:rPr>
              <w:t>(63.751)</w:t>
            </w:r>
            <w:r w:rsidRPr="003321FA">
              <w:rPr>
                <w:rStyle w:val="eop"/>
                <w:rFonts w:cs="Arial"/>
                <w:color w:val="000000"/>
                <w:szCs w:val="14"/>
              </w:rPr>
              <w:t> </w:t>
            </w:r>
          </w:p>
        </w:tc>
      </w:tr>
      <w:tr w:rsidR="003321FA" w:rsidRPr="003321FA" w14:paraId="3403412D"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shd w:val="clear" w:color="auto" w:fill="auto"/>
            <w:vAlign w:val="center"/>
          </w:tcPr>
          <w:p w14:paraId="030C5E3B" w14:textId="77777777" w:rsidR="003321FA" w:rsidRPr="003321FA" w:rsidRDefault="003321FA">
            <w:pPr>
              <w:pStyle w:val="08-Tabelageral"/>
              <w:ind w:left="113"/>
              <w:jc w:val="left"/>
              <w:rPr>
                <w:rFonts w:cs="Arial"/>
                <w:b w:val="0"/>
                <w:szCs w:val="14"/>
              </w:rPr>
            </w:pPr>
            <w:r w:rsidRPr="003321FA">
              <w:rPr>
                <w:rFonts w:cs="Arial"/>
                <w:b w:val="0"/>
                <w:szCs w:val="14"/>
              </w:rPr>
              <w:t>Despesas administrativas e com vendas</w:t>
            </w:r>
          </w:p>
        </w:tc>
        <w:tc>
          <w:tcPr>
            <w:tcW w:w="1177" w:type="dxa"/>
            <w:tcBorders>
              <w:top w:val="nil"/>
              <w:left w:val="nil"/>
              <w:bottom w:val="nil"/>
              <w:right w:val="nil"/>
            </w:tcBorders>
            <w:shd w:val="clear" w:color="auto" w:fill="auto"/>
            <w:vAlign w:val="center"/>
          </w:tcPr>
          <w:p w14:paraId="0C87A453"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p>
        </w:tc>
        <w:tc>
          <w:tcPr>
            <w:tcW w:w="1559" w:type="dxa"/>
            <w:tcBorders>
              <w:top w:val="nil"/>
              <w:left w:val="nil"/>
              <w:bottom w:val="nil"/>
              <w:right w:val="nil"/>
            </w:tcBorders>
            <w:shd w:val="clear" w:color="auto" w:fill="auto"/>
            <w:vAlign w:val="center"/>
          </w:tcPr>
          <w:p w14:paraId="4AB7C20C"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p>
        </w:tc>
        <w:tc>
          <w:tcPr>
            <w:tcW w:w="1281" w:type="dxa"/>
            <w:tcBorders>
              <w:top w:val="nil"/>
              <w:left w:val="nil"/>
              <w:bottom w:val="nil"/>
              <w:right w:val="nil"/>
            </w:tcBorders>
            <w:shd w:val="clear" w:color="auto" w:fill="auto"/>
            <w:vAlign w:val="center"/>
          </w:tcPr>
          <w:p w14:paraId="069C122E"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3321FA">
              <w:rPr>
                <w:rFonts w:cs="Arial"/>
                <w:color w:val="000000"/>
                <w:szCs w:val="14"/>
              </w:rPr>
              <w:t>(100.443)</w:t>
            </w:r>
          </w:p>
        </w:tc>
        <w:tc>
          <w:tcPr>
            <w:tcW w:w="1538" w:type="dxa"/>
            <w:tcBorders>
              <w:top w:val="nil"/>
              <w:left w:val="nil"/>
              <w:bottom w:val="nil"/>
              <w:right w:val="nil"/>
            </w:tcBorders>
            <w:shd w:val="clear" w:color="auto" w:fill="auto"/>
            <w:vAlign w:val="center"/>
          </w:tcPr>
          <w:p w14:paraId="2C72325F"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3321FA">
              <w:rPr>
                <w:rStyle w:val="normaltextrun"/>
                <w:rFonts w:cs="Arial"/>
                <w:color w:val="000000"/>
                <w:szCs w:val="14"/>
              </w:rPr>
              <w:t>(82.631)</w:t>
            </w:r>
            <w:r w:rsidRPr="003321FA">
              <w:rPr>
                <w:rStyle w:val="eop"/>
                <w:rFonts w:cs="Arial"/>
                <w:color w:val="000000"/>
                <w:szCs w:val="14"/>
              </w:rPr>
              <w:t> </w:t>
            </w:r>
          </w:p>
        </w:tc>
      </w:tr>
      <w:tr w:rsidR="003321FA" w:rsidRPr="003321FA" w14:paraId="5513B2BC"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shd w:val="clear" w:color="auto" w:fill="auto"/>
            <w:vAlign w:val="center"/>
          </w:tcPr>
          <w:p w14:paraId="7BE82CF1" w14:textId="77777777" w:rsidR="003321FA" w:rsidRPr="003321FA" w:rsidRDefault="003321FA">
            <w:pPr>
              <w:pStyle w:val="08-Tabelageral"/>
              <w:ind w:left="113"/>
              <w:jc w:val="left"/>
              <w:rPr>
                <w:rFonts w:cs="Arial"/>
                <w:b w:val="0"/>
                <w:szCs w:val="14"/>
              </w:rPr>
            </w:pPr>
            <w:r w:rsidRPr="003321FA">
              <w:rPr>
                <w:rFonts w:cs="Arial"/>
                <w:b w:val="0"/>
                <w:szCs w:val="14"/>
              </w:rPr>
              <w:t>Despesas tributárias</w:t>
            </w:r>
          </w:p>
        </w:tc>
        <w:tc>
          <w:tcPr>
            <w:tcW w:w="1177" w:type="dxa"/>
            <w:tcBorders>
              <w:top w:val="nil"/>
              <w:left w:val="nil"/>
              <w:bottom w:val="nil"/>
              <w:right w:val="nil"/>
            </w:tcBorders>
            <w:shd w:val="clear" w:color="auto" w:fill="auto"/>
            <w:vAlign w:val="center"/>
          </w:tcPr>
          <w:p w14:paraId="15111257"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p>
        </w:tc>
        <w:tc>
          <w:tcPr>
            <w:tcW w:w="1559" w:type="dxa"/>
            <w:tcBorders>
              <w:top w:val="nil"/>
              <w:left w:val="nil"/>
              <w:bottom w:val="nil"/>
              <w:right w:val="nil"/>
            </w:tcBorders>
            <w:shd w:val="clear" w:color="auto" w:fill="auto"/>
            <w:vAlign w:val="center"/>
          </w:tcPr>
          <w:p w14:paraId="4AF93F97"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p>
        </w:tc>
        <w:tc>
          <w:tcPr>
            <w:tcW w:w="1281" w:type="dxa"/>
            <w:tcBorders>
              <w:top w:val="nil"/>
              <w:left w:val="nil"/>
              <w:bottom w:val="nil"/>
              <w:right w:val="nil"/>
            </w:tcBorders>
            <w:shd w:val="clear" w:color="auto" w:fill="auto"/>
            <w:vAlign w:val="center"/>
          </w:tcPr>
          <w:p w14:paraId="57094F3B"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3321FA">
              <w:rPr>
                <w:rFonts w:cs="Arial"/>
                <w:color w:val="000000"/>
                <w:szCs w:val="14"/>
              </w:rPr>
              <w:t>(23.559)</w:t>
            </w:r>
          </w:p>
        </w:tc>
        <w:tc>
          <w:tcPr>
            <w:tcW w:w="1538" w:type="dxa"/>
            <w:tcBorders>
              <w:top w:val="nil"/>
              <w:left w:val="nil"/>
              <w:bottom w:val="nil"/>
              <w:right w:val="nil"/>
            </w:tcBorders>
            <w:shd w:val="clear" w:color="auto" w:fill="auto"/>
            <w:vAlign w:val="center"/>
          </w:tcPr>
          <w:p w14:paraId="1B31804C"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3321FA">
              <w:rPr>
                <w:rStyle w:val="normaltextrun"/>
                <w:rFonts w:cs="Arial"/>
                <w:color w:val="000000"/>
                <w:szCs w:val="14"/>
              </w:rPr>
              <w:t>(22.517)</w:t>
            </w:r>
            <w:r w:rsidRPr="003321FA">
              <w:rPr>
                <w:rStyle w:val="eop"/>
                <w:rFonts w:cs="Arial"/>
                <w:color w:val="000000"/>
                <w:szCs w:val="14"/>
              </w:rPr>
              <w:t> </w:t>
            </w:r>
          </w:p>
        </w:tc>
      </w:tr>
      <w:tr w:rsidR="003321FA" w:rsidRPr="003321FA" w14:paraId="5B6E42CC"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shd w:val="clear" w:color="auto" w:fill="auto"/>
            <w:vAlign w:val="center"/>
          </w:tcPr>
          <w:p w14:paraId="6FBCA8F1" w14:textId="77777777" w:rsidR="003321FA" w:rsidRPr="003321FA" w:rsidRDefault="003321FA">
            <w:pPr>
              <w:pStyle w:val="08-Tabelageral"/>
              <w:ind w:left="113"/>
              <w:jc w:val="left"/>
              <w:rPr>
                <w:rFonts w:cs="Arial"/>
                <w:b w:val="0"/>
                <w:szCs w:val="14"/>
              </w:rPr>
            </w:pPr>
            <w:r w:rsidRPr="003321FA">
              <w:rPr>
                <w:rFonts w:cs="Arial"/>
                <w:b w:val="0"/>
                <w:szCs w:val="14"/>
              </w:rPr>
              <w:t>Outras receitas operacionais</w:t>
            </w:r>
          </w:p>
        </w:tc>
        <w:tc>
          <w:tcPr>
            <w:tcW w:w="1177" w:type="dxa"/>
            <w:tcBorders>
              <w:top w:val="nil"/>
              <w:left w:val="nil"/>
              <w:bottom w:val="nil"/>
              <w:right w:val="nil"/>
            </w:tcBorders>
            <w:shd w:val="clear" w:color="auto" w:fill="auto"/>
            <w:vAlign w:val="center"/>
          </w:tcPr>
          <w:p w14:paraId="33AA0CCE"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1559" w:type="dxa"/>
            <w:tcBorders>
              <w:top w:val="nil"/>
              <w:left w:val="nil"/>
              <w:bottom w:val="nil"/>
              <w:right w:val="nil"/>
            </w:tcBorders>
            <w:shd w:val="clear" w:color="auto" w:fill="auto"/>
            <w:vAlign w:val="center"/>
          </w:tcPr>
          <w:p w14:paraId="1DB9FA01"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1281" w:type="dxa"/>
            <w:tcBorders>
              <w:top w:val="nil"/>
              <w:left w:val="nil"/>
              <w:bottom w:val="nil"/>
              <w:right w:val="nil"/>
            </w:tcBorders>
            <w:shd w:val="clear" w:color="auto" w:fill="auto"/>
            <w:vAlign w:val="center"/>
          </w:tcPr>
          <w:p w14:paraId="02B8B090"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pPr>
            <w:r w:rsidRPr="003321FA">
              <w:rPr>
                <w:rFonts w:cs="Arial"/>
                <w:color w:val="000000"/>
                <w:szCs w:val="14"/>
              </w:rPr>
              <w:t>15.253</w:t>
            </w:r>
          </w:p>
        </w:tc>
        <w:tc>
          <w:tcPr>
            <w:tcW w:w="1538" w:type="dxa"/>
            <w:tcBorders>
              <w:top w:val="nil"/>
              <w:left w:val="nil"/>
              <w:bottom w:val="nil"/>
              <w:right w:val="nil"/>
            </w:tcBorders>
            <w:shd w:val="clear" w:color="auto" w:fill="auto"/>
            <w:vAlign w:val="center"/>
          </w:tcPr>
          <w:p w14:paraId="025A40A2"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pPr>
            <w:r w:rsidRPr="003321FA">
              <w:rPr>
                <w:rStyle w:val="normaltextrun"/>
                <w:rFonts w:cs="Arial"/>
                <w:color w:val="000000"/>
                <w:szCs w:val="14"/>
              </w:rPr>
              <w:t>7.780</w:t>
            </w:r>
            <w:r w:rsidRPr="003321FA">
              <w:rPr>
                <w:rStyle w:val="eop"/>
                <w:rFonts w:cs="Arial"/>
                <w:color w:val="000000"/>
                <w:szCs w:val="14"/>
              </w:rPr>
              <w:t> </w:t>
            </w:r>
          </w:p>
        </w:tc>
      </w:tr>
      <w:tr w:rsidR="003321FA" w:rsidRPr="003321FA" w14:paraId="27A85B7D"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shd w:val="clear" w:color="auto" w:fill="auto"/>
            <w:vAlign w:val="center"/>
          </w:tcPr>
          <w:p w14:paraId="30056293" w14:textId="77777777" w:rsidR="003321FA" w:rsidRPr="003321FA" w:rsidRDefault="003321FA">
            <w:pPr>
              <w:pStyle w:val="08-Tabelageral"/>
              <w:ind w:left="113"/>
              <w:jc w:val="left"/>
              <w:rPr>
                <w:rFonts w:cs="Arial"/>
                <w:b w:val="0"/>
                <w:szCs w:val="14"/>
              </w:rPr>
            </w:pPr>
            <w:r w:rsidRPr="003321FA">
              <w:rPr>
                <w:rFonts w:cs="Arial"/>
                <w:b w:val="0"/>
                <w:szCs w:val="14"/>
              </w:rPr>
              <w:t>Outras despesas operacionais</w:t>
            </w:r>
          </w:p>
        </w:tc>
        <w:tc>
          <w:tcPr>
            <w:tcW w:w="1177" w:type="dxa"/>
            <w:tcBorders>
              <w:top w:val="nil"/>
              <w:left w:val="nil"/>
              <w:bottom w:val="nil"/>
              <w:right w:val="nil"/>
            </w:tcBorders>
            <w:shd w:val="clear" w:color="auto" w:fill="auto"/>
            <w:vAlign w:val="center"/>
          </w:tcPr>
          <w:p w14:paraId="59A364C3"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1559" w:type="dxa"/>
            <w:tcBorders>
              <w:top w:val="nil"/>
              <w:left w:val="nil"/>
              <w:bottom w:val="nil"/>
              <w:right w:val="nil"/>
            </w:tcBorders>
            <w:shd w:val="clear" w:color="auto" w:fill="auto"/>
            <w:vAlign w:val="center"/>
          </w:tcPr>
          <w:p w14:paraId="6C5D71FE"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1281" w:type="dxa"/>
            <w:tcBorders>
              <w:top w:val="nil"/>
              <w:left w:val="nil"/>
              <w:bottom w:val="nil"/>
              <w:right w:val="nil"/>
            </w:tcBorders>
            <w:shd w:val="clear" w:color="auto" w:fill="auto"/>
            <w:vAlign w:val="center"/>
          </w:tcPr>
          <w:p w14:paraId="57EAFF5A"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321FA">
              <w:rPr>
                <w:rFonts w:cs="Arial"/>
                <w:color w:val="000000"/>
                <w:szCs w:val="14"/>
              </w:rPr>
              <w:t>(35.486)</w:t>
            </w:r>
          </w:p>
        </w:tc>
        <w:tc>
          <w:tcPr>
            <w:tcW w:w="1538" w:type="dxa"/>
            <w:tcBorders>
              <w:top w:val="nil"/>
              <w:left w:val="nil"/>
              <w:bottom w:val="nil"/>
              <w:right w:val="nil"/>
            </w:tcBorders>
            <w:shd w:val="clear" w:color="auto" w:fill="auto"/>
            <w:vAlign w:val="center"/>
          </w:tcPr>
          <w:p w14:paraId="6D53170E"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321FA">
              <w:rPr>
                <w:rStyle w:val="normaltextrun"/>
                <w:rFonts w:cs="Arial"/>
                <w:color w:val="000000"/>
                <w:szCs w:val="14"/>
              </w:rPr>
              <w:t>(24.814)</w:t>
            </w:r>
            <w:r w:rsidRPr="003321FA">
              <w:rPr>
                <w:rStyle w:val="eop"/>
                <w:rFonts w:cs="Arial"/>
                <w:color w:val="000000"/>
                <w:szCs w:val="14"/>
              </w:rPr>
              <w:t> </w:t>
            </w:r>
          </w:p>
        </w:tc>
      </w:tr>
      <w:tr w:rsidR="003321FA" w:rsidRPr="003321FA" w14:paraId="6D022D66"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shd w:val="clear" w:color="auto" w:fill="auto"/>
            <w:vAlign w:val="center"/>
          </w:tcPr>
          <w:p w14:paraId="00CA975E" w14:textId="77777777" w:rsidR="003321FA" w:rsidRPr="003321FA" w:rsidRDefault="003321FA">
            <w:pPr>
              <w:pStyle w:val="08-Tabelageral"/>
              <w:jc w:val="left"/>
              <w:rPr>
                <w:rFonts w:cs="Arial"/>
                <w:szCs w:val="14"/>
              </w:rPr>
            </w:pPr>
            <w:r w:rsidRPr="003321FA">
              <w:rPr>
                <w:rFonts w:cs="Arial"/>
                <w:szCs w:val="14"/>
              </w:rPr>
              <w:t>Resultado Antes das Receitas e Despesas Financeiras</w:t>
            </w:r>
          </w:p>
        </w:tc>
        <w:tc>
          <w:tcPr>
            <w:tcW w:w="1177" w:type="dxa"/>
            <w:tcBorders>
              <w:top w:val="nil"/>
              <w:left w:val="nil"/>
              <w:bottom w:val="nil"/>
              <w:right w:val="nil"/>
            </w:tcBorders>
            <w:shd w:val="clear" w:color="auto" w:fill="auto"/>
            <w:vAlign w:val="center"/>
          </w:tcPr>
          <w:p w14:paraId="771D932A"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p>
        </w:tc>
        <w:tc>
          <w:tcPr>
            <w:tcW w:w="1559" w:type="dxa"/>
            <w:tcBorders>
              <w:top w:val="nil"/>
              <w:left w:val="nil"/>
              <w:bottom w:val="nil"/>
              <w:right w:val="nil"/>
            </w:tcBorders>
            <w:shd w:val="clear" w:color="auto" w:fill="auto"/>
            <w:vAlign w:val="center"/>
          </w:tcPr>
          <w:p w14:paraId="44A39DEE"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p>
        </w:tc>
        <w:tc>
          <w:tcPr>
            <w:tcW w:w="1281" w:type="dxa"/>
            <w:tcBorders>
              <w:top w:val="nil"/>
              <w:left w:val="nil"/>
              <w:bottom w:val="nil"/>
              <w:right w:val="nil"/>
            </w:tcBorders>
            <w:shd w:val="clear" w:color="auto" w:fill="auto"/>
            <w:vAlign w:val="center"/>
          </w:tcPr>
          <w:p w14:paraId="53EE9996"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3321FA">
              <w:rPr>
                <w:rFonts w:cs="Arial"/>
                <w:b/>
                <w:bCs/>
                <w:color w:val="000000"/>
                <w:szCs w:val="14"/>
              </w:rPr>
              <w:t>4.490.263</w:t>
            </w:r>
          </w:p>
        </w:tc>
        <w:tc>
          <w:tcPr>
            <w:tcW w:w="1538" w:type="dxa"/>
            <w:tcBorders>
              <w:top w:val="nil"/>
              <w:left w:val="nil"/>
              <w:bottom w:val="nil"/>
              <w:right w:val="nil"/>
            </w:tcBorders>
            <w:shd w:val="clear" w:color="auto" w:fill="auto"/>
            <w:vAlign w:val="center"/>
          </w:tcPr>
          <w:p w14:paraId="0386FF70"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3321FA">
              <w:rPr>
                <w:rStyle w:val="normaltextrun"/>
                <w:rFonts w:cs="Arial"/>
                <w:b/>
                <w:bCs/>
                <w:color w:val="000000"/>
                <w:szCs w:val="14"/>
              </w:rPr>
              <w:t>4.052.996</w:t>
            </w:r>
            <w:r w:rsidRPr="003321FA">
              <w:rPr>
                <w:rStyle w:val="eop"/>
                <w:rFonts w:cs="Arial"/>
                <w:color w:val="000000"/>
                <w:szCs w:val="14"/>
              </w:rPr>
              <w:t> </w:t>
            </w:r>
          </w:p>
        </w:tc>
      </w:tr>
      <w:tr w:rsidR="003321FA" w:rsidRPr="003321FA" w14:paraId="0C92D0B3"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shd w:val="clear" w:color="auto" w:fill="auto"/>
            <w:vAlign w:val="center"/>
          </w:tcPr>
          <w:p w14:paraId="0794875D" w14:textId="77777777" w:rsidR="003321FA" w:rsidRPr="003321FA" w:rsidRDefault="003321FA">
            <w:pPr>
              <w:pStyle w:val="08-Tabelageral"/>
              <w:jc w:val="left"/>
              <w:rPr>
                <w:rFonts w:cs="Arial"/>
                <w:szCs w:val="14"/>
              </w:rPr>
            </w:pPr>
            <w:r w:rsidRPr="003321FA">
              <w:rPr>
                <w:rFonts w:cs="Arial"/>
                <w:szCs w:val="14"/>
              </w:rPr>
              <w:t>Resultado Financeiro</w:t>
            </w:r>
          </w:p>
        </w:tc>
        <w:tc>
          <w:tcPr>
            <w:tcW w:w="1177" w:type="dxa"/>
            <w:tcBorders>
              <w:top w:val="nil"/>
              <w:left w:val="nil"/>
              <w:bottom w:val="nil"/>
              <w:right w:val="nil"/>
            </w:tcBorders>
            <w:shd w:val="clear" w:color="auto" w:fill="auto"/>
            <w:vAlign w:val="center"/>
          </w:tcPr>
          <w:p w14:paraId="68199E13"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p>
        </w:tc>
        <w:tc>
          <w:tcPr>
            <w:tcW w:w="1559" w:type="dxa"/>
            <w:tcBorders>
              <w:top w:val="nil"/>
              <w:left w:val="nil"/>
              <w:bottom w:val="nil"/>
              <w:right w:val="nil"/>
            </w:tcBorders>
            <w:shd w:val="clear" w:color="auto" w:fill="auto"/>
            <w:vAlign w:val="center"/>
          </w:tcPr>
          <w:p w14:paraId="39D22DF2"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p>
        </w:tc>
        <w:tc>
          <w:tcPr>
            <w:tcW w:w="1281" w:type="dxa"/>
            <w:tcBorders>
              <w:top w:val="nil"/>
              <w:left w:val="nil"/>
              <w:bottom w:val="nil"/>
              <w:right w:val="nil"/>
            </w:tcBorders>
            <w:shd w:val="clear" w:color="auto" w:fill="auto"/>
            <w:vAlign w:val="center"/>
          </w:tcPr>
          <w:p w14:paraId="4F397E18"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3321FA">
              <w:rPr>
                <w:rFonts w:cs="Arial"/>
                <w:b/>
                <w:bCs/>
                <w:color w:val="000000"/>
                <w:szCs w:val="14"/>
              </w:rPr>
              <w:t>479.352</w:t>
            </w:r>
          </w:p>
        </w:tc>
        <w:tc>
          <w:tcPr>
            <w:tcW w:w="1538" w:type="dxa"/>
            <w:tcBorders>
              <w:top w:val="nil"/>
              <w:left w:val="nil"/>
              <w:bottom w:val="nil"/>
              <w:right w:val="nil"/>
            </w:tcBorders>
            <w:shd w:val="clear" w:color="auto" w:fill="auto"/>
            <w:vAlign w:val="center"/>
          </w:tcPr>
          <w:p w14:paraId="6BA74F1C"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3321FA">
              <w:rPr>
                <w:rStyle w:val="normaltextrun"/>
                <w:rFonts w:cs="Arial"/>
                <w:b/>
                <w:bCs/>
                <w:color w:val="000000"/>
                <w:szCs w:val="14"/>
              </w:rPr>
              <w:t>443.858</w:t>
            </w:r>
            <w:r w:rsidRPr="003321FA">
              <w:rPr>
                <w:rStyle w:val="eop"/>
                <w:rFonts w:cs="Arial"/>
                <w:color w:val="000000"/>
                <w:szCs w:val="14"/>
              </w:rPr>
              <w:t> </w:t>
            </w:r>
          </w:p>
        </w:tc>
      </w:tr>
      <w:tr w:rsidR="003321FA" w:rsidRPr="003321FA" w14:paraId="0809274E"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shd w:val="clear" w:color="auto" w:fill="auto"/>
            <w:vAlign w:val="center"/>
          </w:tcPr>
          <w:p w14:paraId="775D0950" w14:textId="77777777" w:rsidR="003321FA" w:rsidRPr="003321FA" w:rsidRDefault="003321FA">
            <w:pPr>
              <w:pStyle w:val="08-Tabelageral"/>
              <w:ind w:left="113"/>
              <w:jc w:val="left"/>
              <w:rPr>
                <w:rFonts w:cs="Arial"/>
                <w:b w:val="0"/>
                <w:szCs w:val="14"/>
              </w:rPr>
            </w:pPr>
            <w:r w:rsidRPr="003321FA">
              <w:rPr>
                <w:rFonts w:cs="Arial"/>
                <w:b w:val="0"/>
                <w:szCs w:val="14"/>
              </w:rPr>
              <w:t>Receitas financeiras</w:t>
            </w:r>
          </w:p>
        </w:tc>
        <w:tc>
          <w:tcPr>
            <w:tcW w:w="1177" w:type="dxa"/>
            <w:tcBorders>
              <w:top w:val="nil"/>
              <w:left w:val="nil"/>
              <w:bottom w:val="nil"/>
              <w:right w:val="nil"/>
            </w:tcBorders>
            <w:shd w:val="clear" w:color="auto" w:fill="auto"/>
            <w:vAlign w:val="center"/>
          </w:tcPr>
          <w:p w14:paraId="473B3B4C"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p>
        </w:tc>
        <w:tc>
          <w:tcPr>
            <w:tcW w:w="1559" w:type="dxa"/>
            <w:tcBorders>
              <w:top w:val="nil"/>
              <w:left w:val="nil"/>
              <w:bottom w:val="nil"/>
              <w:right w:val="nil"/>
            </w:tcBorders>
            <w:shd w:val="clear" w:color="auto" w:fill="auto"/>
            <w:vAlign w:val="center"/>
          </w:tcPr>
          <w:p w14:paraId="465EA88D"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p>
        </w:tc>
        <w:tc>
          <w:tcPr>
            <w:tcW w:w="1281" w:type="dxa"/>
            <w:tcBorders>
              <w:top w:val="nil"/>
              <w:left w:val="nil"/>
              <w:bottom w:val="nil"/>
              <w:right w:val="nil"/>
            </w:tcBorders>
            <w:shd w:val="clear" w:color="auto" w:fill="auto"/>
            <w:vAlign w:val="center"/>
          </w:tcPr>
          <w:p w14:paraId="3875102D"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321FA">
              <w:rPr>
                <w:rFonts w:cs="Arial"/>
                <w:color w:val="000000"/>
                <w:szCs w:val="14"/>
              </w:rPr>
              <w:t>505.535</w:t>
            </w:r>
          </w:p>
        </w:tc>
        <w:tc>
          <w:tcPr>
            <w:tcW w:w="1538" w:type="dxa"/>
            <w:tcBorders>
              <w:top w:val="nil"/>
              <w:left w:val="nil"/>
              <w:bottom w:val="nil"/>
              <w:right w:val="nil"/>
            </w:tcBorders>
            <w:shd w:val="clear" w:color="auto" w:fill="auto"/>
            <w:vAlign w:val="center"/>
          </w:tcPr>
          <w:p w14:paraId="7DFA57D9"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321FA">
              <w:rPr>
                <w:rStyle w:val="normaltextrun"/>
                <w:rFonts w:cs="Arial"/>
                <w:color w:val="000000"/>
                <w:szCs w:val="14"/>
              </w:rPr>
              <w:t>477.365</w:t>
            </w:r>
            <w:r w:rsidRPr="003321FA">
              <w:rPr>
                <w:rStyle w:val="eop"/>
                <w:rFonts w:cs="Arial"/>
                <w:color w:val="000000"/>
                <w:szCs w:val="14"/>
              </w:rPr>
              <w:t> </w:t>
            </w:r>
          </w:p>
        </w:tc>
      </w:tr>
      <w:tr w:rsidR="003321FA" w:rsidRPr="003321FA" w14:paraId="5248481B"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shd w:val="clear" w:color="auto" w:fill="auto"/>
            <w:vAlign w:val="center"/>
          </w:tcPr>
          <w:p w14:paraId="62359E65" w14:textId="77777777" w:rsidR="003321FA" w:rsidRPr="003321FA" w:rsidRDefault="003321FA">
            <w:pPr>
              <w:pStyle w:val="08-Tabelageral"/>
              <w:ind w:left="113"/>
              <w:jc w:val="left"/>
              <w:rPr>
                <w:rFonts w:cs="Arial"/>
                <w:b w:val="0"/>
                <w:szCs w:val="14"/>
              </w:rPr>
            </w:pPr>
            <w:r w:rsidRPr="003321FA">
              <w:rPr>
                <w:rFonts w:cs="Arial"/>
                <w:b w:val="0"/>
                <w:szCs w:val="14"/>
              </w:rPr>
              <w:t xml:space="preserve">Despesas financeiras </w:t>
            </w:r>
          </w:p>
        </w:tc>
        <w:tc>
          <w:tcPr>
            <w:tcW w:w="1177" w:type="dxa"/>
            <w:tcBorders>
              <w:top w:val="nil"/>
              <w:left w:val="nil"/>
              <w:bottom w:val="nil"/>
              <w:right w:val="nil"/>
            </w:tcBorders>
            <w:shd w:val="clear" w:color="auto" w:fill="auto"/>
            <w:vAlign w:val="center"/>
          </w:tcPr>
          <w:p w14:paraId="3E0A7856"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p>
        </w:tc>
        <w:tc>
          <w:tcPr>
            <w:tcW w:w="1559" w:type="dxa"/>
            <w:tcBorders>
              <w:top w:val="nil"/>
              <w:left w:val="nil"/>
              <w:bottom w:val="nil"/>
              <w:right w:val="nil"/>
            </w:tcBorders>
            <w:shd w:val="clear" w:color="auto" w:fill="auto"/>
            <w:vAlign w:val="center"/>
          </w:tcPr>
          <w:p w14:paraId="32B74772"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p>
        </w:tc>
        <w:tc>
          <w:tcPr>
            <w:tcW w:w="1281" w:type="dxa"/>
            <w:tcBorders>
              <w:top w:val="nil"/>
              <w:left w:val="nil"/>
              <w:bottom w:val="nil"/>
              <w:right w:val="nil"/>
            </w:tcBorders>
            <w:shd w:val="clear" w:color="auto" w:fill="auto"/>
            <w:vAlign w:val="center"/>
          </w:tcPr>
          <w:p w14:paraId="3C3CAFD7"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321FA">
              <w:rPr>
                <w:rFonts w:cs="Arial"/>
                <w:color w:val="000000"/>
                <w:szCs w:val="14"/>
              </w:rPr>
              <w:t>(26.183)</w:t>
            </w:r>
          </w:p>
        </w:tc>
        <w:tc>
          <w:tcPr>
            <w:tcW w:w="1538" w:type="dxa"/>
            <w:tcBorders>
              <w:top w:val="nil"/>
              <w:left w:val="nil"/>
              <w:bottom w:val="nil"/>
              <w:right w:val="nil"/>
            </w:tcBorders>
            <w:shd w:val="clear" w:color="auto" w:fill="auto"/>
            <w:vAlign w:val="center"/>
          </w:tcPr>
          <w:p w14:paraId="7F329342"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321FA">
              <w:rPr>
                <w:rStyle w:val="normaltextrun"/>
                <w:rFonts w:cs="Arial"/>
                <w:color w:val="000000"/>
                <w:szCs w:val="14"/>
              </w:rPr>
              <w:t>(33.507)</w:t>
            </w:r>
            <w:r w:rsidRPr="003321FA">
              <w:rPr>
                <w:rStyle w:val="eop"/>
                <w:rFonts w:cs="Arial"/>
                <w:color w:val="000000"/>
                <w:szCs w:val="14"/>
              </w:rPr>
              <w:t> </w:t>
            </w:r>
          </w:p>
        </w:tc>
      </w:tr>
      <w:tr w:rsidR="003321FA" w:rsidRPr="003321FA" w14:paraId="03577F39"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shd w:val="clear" w:color="auto" w:fill="auto"/>
            <w:vAlign w:val="center"/>
          </w:tcPr>
          <w:p w14:paraId="3A031AD6" w14:textId="77777777" w:rsidR="003321FA" w:rsidRPr="003321FA" w:rsidRDefault="003321FA">
            <w:pPr>
              <w:pStyle w:val="08-Tabelageral"/>
              <w:jc w:val="left"/>
              <w:rPr>
                <w:rFonts w:cs="Arial"/>
                <w:szCs w:val="14"/>
              </w:rPr>
            </w:pPr>
            <w:r w:rsidRPr="003321FA">
              <w:rPr>
                <w:rFonts w:cs="Arial"/>
              </w:rPr>
              <w:t xml:space="preserve">Resultado antes do </w:t>
            </w:r>
            <w:r w:rsidRPr="003321FA">
              <w:rPr>
                <w:rFonts w:cs="Arial"/>
                <w:szCs w:val="14"/>
              </w:rPr>
              <w:t>IRPJ e CSLL</w:t>
            </w:r>
          </w:p>
        </w:tc>
        <w:tc>
          <w:tcPr>
            <w:tcW w:w="1177" w:type="dxa"/>
            <w:tcBorders>
              <w:top w:val="nil"/>
              <w:left w:val="nil"/>
              <w:bottom w:val="nil"/>
              <w:right w:val="nil"/>
            </w:tcBorders>
            <w:shd w:val="clear" w:color="auto" w:fill="auto"/>
            <w:vAlign w:val="center"/>
          </w:tcPr>
          <w:p w14:paraId="24295438"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p>
        </w:tc>
        <w:tc>
          <w:tcPr>
            <w:tcW w:w="1559" w:type="dxa"/>
            <w:tcBorders>
              <w:top w:val="nil"/>
              <w:left w:val="nil"/>
              <w:bottom w:val="nil"/>
              <w:right w:val="nil"/>
            </w:tcBorders>
            <w:shd w:val="clear" w:color="auto" w:fill="auto"/>
            <w:vAlign w:val="center"/>
          </w:tcPr>
          <w:p w14:paraId="60909EF7"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p>
        </w:tc>
        <w:tc>
          <w:tcPr>
            <w:tcW w:w="1281" w:type="dxa"/>
            <w:tcBorders>
              <w:top w:val="nil"/>
              <w:left w:val="nil"/>
              <w:bottom w:val="nil"/>
              <w:right w:val="nil"/>
            </w:tcBorders>
            <w:shd w:val="clear" w:color="auto" w:fill="auto"/>
            <w:vAlign w:val="center"/>
          </w:tcPr>
          <w:p w14:paraId="272F5388"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3321FA">
              <w:rPr>
                <w:rFonts w:cs="Arial"/>
                <w:b/>
                <w:bCs/>
                <w:color w:val="000000"/>
                <w:szCs w:val="14"/>
              </w:rPr>
              <w:t>4.969.615</w:t>
            </w:r>
          </w:p>
        </w:tc>
        <w:tc>
          <w:tcPr>
            <w:tcW w:w="1538" w:type="dxa"/>
            <w:tcBorders>
              <w:top w:val="nil"/>
              <w:left w:val="nil"/>
              <w:bottom w:val="nil"/>
              <w:right w:val="nil"/>
            </w:tcBorders>
            <w:shd w:val="clear" w:color="auto" w:fill="auto"/>
            <w:vAlign w:val="center"/>
          </w:tcPr>
          <w:p w14:paraId="5DA44E2A"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3321FA">
              <w:rPr>
                <w:rStyle w:val="normaltextrun"/>
                <w:rFonts w:cs="Arial"/>
                <w:b/>
                <w:bCs/>
                <w:color w:val="000000"/>
                <w:szCs w:val="14"/>
              </w:rPr>
              <w:t>4.496.854</w:t>
            </w:r>
            <w:r w:rsidRPr="003321FA">
              <w:rPr>
                <w:rStyle w:val="eop"/>
                <w:rFonts w:cs="Arial"/>
                <w:color w:val="000000"/>
                <w:szCs w:val="14"/>
              </w:rPr>
              <w:t> </w:t>
            </w:r>
          </w:p>
        </w:tc>
      </w:tr>
      <w:tr w:rsidR="003321FA" w:rsidRPr="003321FA" w14:paraId="64D4A62E"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shd w:val="clear" w:color="auto" w:fill="auto"/>
            <w:vAlign w:val="center"/>
          </w:tcPr>
          <w:p w14:paraId="4EB858A4" w14:textId="77777777" w:rsidR="003321FA" w:rsidRPr="003321FA" w:rsidRDefault="003321FA">
            <w:pPr>
              <w:pStyle w:val="08-Tabelageral"/>
              <w:ind w:left="113"/>
              <w:jc w:val="left"/>
              <w:rPr>
                <w:rFonts w:cs="Arial"/>
                <w:b w:val="0"/>
                <w:szCs w:val="14"/>
              </w:rPr>
            </w:pPr>
            <w:r w:rsidRPr="003321FA">
              <w:rPr>
                <w:rFonts w:cs="Arial"/>
                <w:b w:val="0"/>
                <w:szCs w:val="14"/>
              </w:rPr>
              <w:t>IRPJ e CSLL</w:t>
            </w:r>
          </w:p>
        </w:tc>
        <w:tc>
          <w:tcPr>
            <w:tcW w:w="1177" w:type="dxa"/>
            <w:tcBorders>
              <w:top w:val="nil"/>
              <w:left w:val="nil"/>
              <w:bottom w:val="nil"/>
              <w:right w:val="nil"/>
            </w:tcBorders>
            <w:shd w:val="clear" w:color="auto" w:fill="auto"/>
            <w:vAlign w:val="center"/>
          </w:tcPr>
          <w:p w14:paraId="112D687E"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bCs/>
                <w:color w:val="000000"/>
                <w:szCs w:val="14"/>
              </w:rPr>
            </w:pPr>
          </w:p>
        </w:tc>
        <w:tc>
          <w:tcPr>
            <w:tcW w:w="1559" w:type="dxa"/>
            <w:tcBorders>
              <w:top w:val="nil"/>
              <w:left w:val="nil"/>
              <w:bottom w:val="nil"/>
              <w:right w:val="nil"/>
            </w:tcBorders>
            <w:shd w:val="clear" w:color="auto" w:fill="auto"/>
            <w:vAlign w:val="center"/>
          </w:tcPr>
          <w:p w14:paraId="160E663E"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bCs/>
                <w:color w:val="000000"/>
                <w:szCs w:val="14"/>
              </w:rPr>
            </w:pPr>
          </w:p>
        </w:tc>
        <w:tc>
          <w:tcPr>
            <w:tcW w:w="1281" w:type="dxa"/>
            <w:tcBorders>
              <w:top w:val="nil"/>
              <w:left w:val="nil"/>
              <w:bottom w:val="nil"/>
              <w:right w:val="nil"/>
            </w:tcBorders>
            <w:shd w:val="clear" w:color="auto" w:fill="auto"/>
            <w:vAlign w:val="center"/>
          </w:tcPr>
          <w:p w14:paraId="41752267"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bCs/>
                <w:szCs w:val="14"/>
              </w:rPr>
            </w:pPr>
            <w:r w:rsidRPr="003321FA">
              <w:rPr>
                <w:rFonts w:cs="Arial"/>
                <w:bCs/>
                <w:color w:val="000000"/>
                <w:szCs w:val="14"/>
              </w:rPr>
              <w:t>(1.661.476)</w:t>
            </w:r>
          </w:p>
        </w:tc>
        <w:tc>
          <w:tcPr>
            <w:tcW w:w="1538" w:type="dxa"/>
            <w:tcBorders>
              <w:top w:val="nil"/>
              <w:left w:val="nil"/>
              <w:bottom w:val="nil"/>
              <w:right w:val="nil"/>
            </w:tcBorders>
            <w:shd w:val="clear" w:color="auto" w:fill="auto"/>
            <w:vAlign w:val="center"/>
          </w:tcPr>
          <w:p w14:paraId="45B5A701"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bCs/>
                <w:szCs w:val="14"/>
              </w:rPr>
            </w:pPr>
            <w:r w:rsidRPr="003321FA">
              <w:rPr>
                <w:rStyle w:val="normaltextrun"/>
                <w:rFonts w:cs="Arial"/>
                <w:bCs/>
                <w:color w:val="000000"/>
                <w:szCs w:val="14"/>
              </w:rPr>
              <w:t>(1.508.455)</w:t>
            </w:r>
            <w:r w:rsidRPr="003321FA">
              <w:rPr>
                <w:rStyle w:val="eop"/>
                <w:rFonts w:cs="Arial"/>
                <w:bCs/>
                <w:color w:val="000000"/>
                <w:szCs w:val="14"/>
              </w:rPr>
              <w:t> </w:t>
            </w:r>
          </w:p>
        </w:tc>
      </w:tr>
      <w:tr w:rsidR="003321FA" w:rsidRPr="003321FA" w14:paraId="7B47B5F9"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shd w:val="clear" w:color="auto" w:fill="auto"/>
            <w:vAlign w:val="center"/>
          </w:tcPr>
          <w:p w14:paraId="4CF8243A" w14:textId="77777777" w:rsidR="003321FA" w:rsidRPr="003321FA" w:rsidRDefault="003321FA">
            <w:pPr>
              <w:pStyle w:val="08-Tabelageral"/>
              <w:jc w:val="left"/>
              <w:rPr>
                <w:rFonts w:cs="Arial"/>
                <w:szCs w:val="14"/>
              </w:rPr>
            </w:pPr>
            <w:r w:rsidRPr="003321FA">
              <w:rPr>
                <w:rFonts w:cs="Arial"/>
                <w:szCs w:val="14"/>
              </w:rPr>
              <w:t xml:space="preserve">Lucro Líquido do Exercício </w:t>
            </w:r>
          </w:p>
        </w:tc>
        <w:tc>
          <w:tcPr>
            <w:tcW w:w="1177" w:type="dxa"/>
            <w:shd w:val="clear" w:color="auto" w:fill="auto"/>
            <w:vAlign w:val="center"/>
          </w:tcPr>
          <w:p w14:paraId="6692A607"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559" w:type="dxa"/>
            <w:shd w:val="clear" w:color="auto" w:fill="auto"/>
            <w:vAlign w:val="center"/>
          </w:tcPr>
          <w:p w14:paraId="22F83608"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281" w:type="dxa"/>
            <w:shd w:val="clear" w:color="auto" w:fill="auto"/>
            <w:vAlign w:val="center"/>
          </w:tcPr>
          <w:p w14:paraId="273DA26E"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cs="Arial"/>
                <w:b/>
                <w:bCs/>
                <w:szCs w:val="14"/>
              </w:rPr>
            </w:pPr>
            <w:r w:rsidRPr="003321FA">
              <w:rPr>
                <w:rFonts w:ascii="Arial" w:hAnsi="Arial" w:cs="Arial"/>
                <w:b/>
                <w:bCs/>
                <w:color w:val="000000"/>
                <w:sz w:val="14"/>
                <w:szCs w:val="14"/>
              </w:rPr>
              <w:t>3.308.139</w:t>
            </w:r>
          </w:p>
        </w:tc>
        <w:tc>
          <w:tcPr>
            <w:tcW w:w="1538" w:type="dxa"/>
            <w:shd w:val="clear" w:color="auto" w:fill="auto"/>
            <w:vAlign w:val="center"/>
          </w:tcPr>
          <w:p w14:paraId="028D216B"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3321FA">
              <w:rPr>
                <w:rFonts w:cs="Arial"/>
                <w:b/>
                <w:bCs/>
                <w:color w:val="000000"/>
                <w:szCs w:val="14"/>
              </w:rPr>
              <w:t>2.988.399</w:t>
            </w:r>
          </w:p>
        </w:tc>
      </w:tr>
      <w:tr w:rsidR="003321FA" w:rsidRPr="003321FA" w14:paraId="03E5F146"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shd w:val="clear" w:color="auto" w:fill="auto"/>
            <w:vAlign w:val="center"/>
          </w:tcPr>
          <w:p w14:paraId="091D02D4" w14:textId="77777777" w:rsidR="003321FA" w:rsidRPr="003321FA" w:rsidRDefault="003321FA">
            <w:pPr>
              <w:pStyle w:val="08-Tabelageral"/>
              <w:ind w:left="113"/>
              <w:jc w:val="left"/>
              <w:rPr>
                <w:rFonts w:cs="Arial"/>
                <w:b w:val="0"/>
                <w:szCs w:val="14"/>
              </w:rPr>
            </w:pPr>
            <w:r w:rsidRPr="003321FA">
              <w:rPr>
                <w:rFonts w:cs="Arial"/>
                <w:b w:val="0"/>
                <w:szCs w:val="14"/>
              </w:rPr>
              <w:t>Outros Resultados Abrangentes</w:t>
            </w:r>
          </w:p>
        </w:tc>
        <w:tc>
          <w:tcPr>
            <w:tcW w:w="1177" w:type="dxa"/>
            <w:shd w:val="clear" w:color="auto" w:fill="auto"/>
            <w:vAlign w:val="center"/>
          </w:tcPr>
          <w:p w14:paraId="390242AD"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1559" w:type="dxa"/>
            <w:shd w:val="clear" w:color="auto" w:fill="auto"/>
            <w:vAlign w:val="center"/>
          </w:tcPr>
          <w:p w14:paraId="26C4C183"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1281" w:type="dxa"/>
            <w:shd w:val="clear" w:color="auto" w:fill="auto"/>
            <w:vAlign w:val="center"/>
          </w:tcPr>
          <w:p w14:paraId="6540902F"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bCs/>
                <w:szCs w:val="14"/>
              </w:rPr>
            </w:pPr>
            <w:r w:rsidRPr="003321FA">
              <w:rPr>
                <w:rFonts w:cs="Arial"/>
                <w:bCs/>
                <w:szCs w:val="14"/>
              </w:rPr>
              <w:t>246</w:t>
            </w:r>
          </w:p>
        </w:tc>
        <w:tc>
          <w:tcPr>
            <w:tcW w:w="1538" w:type="dxa"/>
            <w:shd w:val="clear" w:color="auto" w:fill="auto"/>
            <w:vAlign w:val="center"/>
          </w:tcPr>
          <w:p w14:paraId="78E853DB"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bCs/>
                <w:szCs w:val="14"/>
              </w:rPr>
            </w:pPr>
            <w:r w:rsidRPr="003321FA">
              <w:rPr>
                <w:rFonts w:cs="Arial"/>
                <w:bCs/>
                <w:szCs w:val="14"/>
              </w:rPr>
              <w:t>(466)</w:t>
            </w:r>
          </w:p>
        </w:tc>
      </w:tr>
      <w:tr w:rsidR="003321FA" w:rsidRPr="003321FA" w14:paraId="40736F0C"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shd w:val="clear" w:color="auto" w:fill="auto"/>
            <w:vAlign w:val="center"/>
          </w:tcPr>
          <w:p w14:paraId="2765AF85" w14:textId="77777777" w:rsidR="003321FA" w:rsidRPr="003321FA" w:rsidRDefault="003321FA">
            <w:pPr>
              <w:pStyle w:val="08-Tabelageral"/>
              <w:jc w:val="left"/>
              <w:rPr>
                <w:rFonts w:cs="Arial"/>
                <w:szCs w:val="14"/>
              </w:rPr>
            </w:pPr>
            <w:r w:rsidRPr="003321FA">
              <w:rPr>
                <w:rFonts w:cs="Arial"/>
                <w:szCs w:val="14"/>
              </w:rPr>
              <w:t>Resultado Abrangente do Exercício</w:t>
            </w:r>
          </w:p>
        </w:tc>
        <w:tc>
          <w:tcPr>
            <w:tcW w:w="1177" w:type="dxa"/>
            <w:shd w:val="clear" w:color="auto" w:fill="auto"/>
            <w:vAlign w:val="center"/>
          </w:tcPr>
          <w:p w14:paraId="030B57CA"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b/>
                <w:bCs/>
              </w:rPr>
            </w:pPr>
          </w:p>
        </w:tc>
        <w:tc>
          <w:tcPr>
            <w:tcW w:w="1559" w:type="dxa"/>
            <w:shd w:val="clear" w:color="auto" w:fill="auto"/>
            <w:vAlign w:val="center"/>
          </w:tcPr>
          <w:p w14:paraId="65338505"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b/>
                <w:bCs/>
              </w:rPr>
            </w:pPr>
          </w:p>
        </w:tc>
        <w:tc>
          <w:tcPr>
            <w:tcW w:w="1281" w:type="dxa"/>
            <w:shd w:val="clear" w:color="auto" w:fill="auto"/>
            <w:vAlign w:val="center"/>
          </w:tcPr>
          <w:p w14:paraId="04830A35"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cs="Arial"/>
                <w:b/>
                <w:bCs/>
                <w:szCs w:val="14"/>
              </w:rPr>
            </w:pPr>
            <w:r w:rsidRPr="003321FA">
              <w:rPr>
                <w:rFonts w:ascii="Arial" w:hAnsi="Arial" w:cs="Arial"/>
                <w:b/>
                <w:bCs/>
                <w:color w:val="000000"/>
                <w:sz w:val="14"/>
                <w:szCs w:val="14"/>
              </w:rPr>
              <w:t>3.308.385</w:t>
            </w:r>
          </w:p>
        </w:tc>
        <w:tc>
          <w:tcPr>
            <w:tcW w:w="1538" w:type="dxa"/>
            <w:shd w:val="clear" w:color="auto" w:fill="auto"/>
            <w:vAlign w:val="center"/>
          </w:tcPr>
          <w:p w14:paraId="322B4143"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3321FA">
              <w:rPr>
                <w:rFonts w:cs="Arial"/>
                <w:b/>
                <w:bCs/>
                <w:szCs w:val="14"/>
              </w:rPr>
              <w:t>2.987.933</w:t>
            </w:r>
          </w:p>
        </w:tc>
      </w:tr>
      <w:tr w:rsidR="003321FA" w:rsidRPr="003321FA" w14:paraId="3B58605C"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shd w:val="clear" w:color="auto" w:fill="auto"/>
            <w:vAlign w:val="center"/>
          </w:tcPr>
          <w:p w14:paraId="2777F2AE" w14:textId="77777777" w:rsidR="003321FA" w:rsidRPr="003321FA" w:rsidRDefault="003321FA">
            <w:pPr>
              <w:pStyle w:val="08-Tabelageral"/>
              <w:jc w:val="left"/>
              <w:rPr>
                <w:rFonts w:cs="Arial"/>
                <w:szCs w:val="14"/>
              </w:rPr>
            </w:pPr>
            <w:r w:rsidRPr="003321FA">
              <w:rPr>
                <w:rFonts w:cs="Arial"/>
                <w:szCs w:val="14"/>
              </w:rPr>
              <w:t>Atribuível à BB Seguridade</w:t>
            </w:r>
          </w:p>
        </w:tc>
        <w:tc>
          <w:tcPr>
            <w:tcW w:w="1177" w:type="dxa"/>
            <w:shd w:val="clear" w:color="auto" w:fill="auto"/>
            <w:vAlign w:val="center"/>
          </w:tcPr>
          <w:p w14:paraId="3FA5D673"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b/>
                <w:bCs/>
              </w:rPr>
            </w:pPr>
          </w:p>
        </w:tc>
        <w:tc>
          <w:tcPr>
            <w:tcW w:w="1559" w:type="dxa"/>
            <w:shd w:val="clear" w:color="auto" w:fill="auto"/>
            <w:vAlign w:val="center"/>
          </w:tcPr>
          <w:p w14:paraId="5820E06E"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b/>
                <w:bCs/>
              </w:rPr>
            </w:pPr>
          </w:p>
        </w:tc>
        <w:tc>
          <w:tcPr>
            <w:tcW w:w="1281" w:type="dxa"/>
            <w:shd w:val="clear" w:color="auto" w:fill="auto"/>
            <w:vAlign w:val="center"/>
          </w:tcPr>
          <w:p w14:paraId="004EAFF6"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3321FA">
              <w:rPr>
                <w:rFonts w:cs="Arial"/>
                <w:b/>
                <w:bCs/>
                <w:szCs w:val="14"/>
              </w:rPr>
              <w:t>3.308.139</w:t>
            </w:r>
          </w:p>
        </w:tc>
        <w:tc>
          <w:tcPr>
            <w:tcW w:w="1538" w:type="dxa"/>
            <w:shd w:val="clear" w:color="auto" w:fill="auto"/>
            <w:vAlign w:val="center"/>
          </w:tcPr>
          <w:p w14:paraId="65C1153B" w14:textId="1CB8B596" w:rsidR="003321FA" w:rsidRPr="003321FA" w:rsidRDefault="00122990">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3321FA">
              <w:rPr>
                <w:rFonts w:cs="Arial"/>
                <w:b/>
                <w:bCs/>
                <w:szCs w:val="14"/>
              </w:rPr>
              <w:t>2.987.933</w:t>
            </w:r>
          </w:p>
        </w:tc>
      </w:tr>
      <w:tr w:rsidR="003321FA" w:rsidRPr="003321FA" w14:paraId="70993C4E"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shd w:val="clear" w:color="auto" w:fill="auto"/>
            <w:vAlign w:val="center"/>
          </w:tcPr>
          <w:p w14:paraId="48758F2D" w14:textId="77777777" w:rsidR="003321FA" w:rsidRPr="003321FA" w:rsidRDefault="003321FA">
            <w:pPr>
              <w:pStyle w:val="08-Tabelageral"/>
              <w:jc w:val="left"/>
              <w:rPr>
                <w:rFonts w:cs="Arial"/>
                <w:szCs w:val="14"/>
              </w:rPr>
            </w:pPr>
            <w:r w:rsidRPr="003321FA">
              <w:rPr>
                <w:rFonts w:cs="Arial"/>
                <w:szCs w:val="14"/>
              </w:rPr>
              <w:t>Resultado de equivalência</w:t>
            </w:r>
          </w:p>
        </w:tc>
        <w:tc>
          <w:tcPr>
            <w:tcW w:w="1177" w:type="dxa"/>
            <w:shd w:val="clear" w:color="auto" w:fill="auto"/>
            <w:vAlign w:val="center"/>
          </w:tcPr>
          <w:p w14:paraId="61027E72"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b/>
                <w:bCs/>
              </w:rPr>
            </w:pPr>
          </w:p>
        </w:tc>
        <w:tc>
          <w:tcPr>
            <w:tcW w:w="1559" w:type="dxa"/>
            <w:shd w:val="clear" w:color="auto" w:fill="auto"/>
            <w:vAlign w:val="center"/>
          </w:tcPr>
          <w:p w14:paraId="37B9D818"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b/>
                <w:bCs/>
              </w:rPr>
            </w:pPr>
          </w:p>
        </w:tc>
        <w:tc>
          <w:tcPr>
            <w:tcW w:w="1281" w:type="dxa"/>
            <w:shd w:val="clear" w:color="auto" w:fill="auto"/>
            <w:vAlign w:val="center"/>
          </w:tcPr>
          <w:p w14:paraId="6FA3F425"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3321FA">
              <w:rPr>
                <w:rFonts w:cs="Arial"/>
                <w:b/>
                <w:bCs/>
                <w:szCs w:val="14"/>
              </w:rPr>
              <w:t>3.308.139</w:t>
            </w:r>
          </w:p>
        </w:tc>
        <w:tc>
          <w:tcPr>
            <w:tcW w:w="1538" w:type="dxa"/>
            <w:shd w:val="clear" w:color="auto" w:fill="auto"/>
            <w:vAlign w:val="center"/>
          </w:tcPr>
          <w:p w14:paraId="7FDA3110" w14:textId="2992C0A0" w:rsidR="003321FA" w:rsidRPr="003321FA" w:rsidRDefault="00122990">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3321FA">
              <w:rPr>
                <w:rFonts w:cs="Arial"/>
                <w:b/>
                <w:bCs/>
                <w:szCs w:val="14"/>
              </w:rPr>
              <w:t>2.987.933</w:t>
            </w:r>
          </w:p>
        </w:tc>
      </w:tr>
    </w:tbl>
    <w:bookmarkEnd w:id="81"/>
    <w:p w14:paraId="41AB622A" w14:textId="77777777" w:rsidR="003321FA" w:rsidRPr="003321FA" w:rsidRDefault="003321FA" w:rsidP="003321FA">
      <w:pPr>
        <w:pageBreakBefore/>
        <w:spacing w:after="0" w:line="240" w:lineRule="auto"/>
        <w:rPr>
          <w:rFonts w:ascii="Arial" w:eastAsia="Times New Roman" w:hAnsi="Arial" w:cs="Arial"/>
          <w:b/>
          <w:color w:val="1F3864" w:themeColor="accent1" w:themeShade="80"/>
          <w:spacing w:val="-2"/>
          <w:sz w:val="18"/>
          <w:szCs w:val="20"/>
          <w:lang w:eastAsia="pt-BR"/>
        </w:rPr>
      </w:pPr>
      <w:r w:rsidRPr="003321FA">
        <w:rPr>
          <w:rFonts w:ascii="Arial" w:eastAsia="Times New Roman" w:hAnsi="Arial" w:cs="Arial"/>
          <w:b/>
          <w:color w:val="1F3864" w:themeColor="accent1" w:themeShade="80"/>
          <w:spacing w:val="-2"/>
          <w:sz w:val="18"/>
          <w:szCs w:val="20"/>
          <w:lang w:eastAsia="pt-BR"/>
        </w:rPr>
        <w:lastRenderedPageBreak/>
        <w:t>Informações Patrimoniais</w:t>
      </w:r>
    </w:p>
    <w:p w14:paraId="66E1B966" w14:textId="77777777" w:rsidR="003321FA" w:rsidRPr="003321FA" w:rsidRDefault="003321FA" w:rsidP="003321FA">
      <w:pPr>
        <w:pStyle w:val="01-TtulodeNota"/>
        <w:spacing w:before="0" w:after="0"/>
        <w:jc w:val="right"/>
        <w:rPr>
          <w:rFonts w:cs="Arial"/>
          <w:sz w:val="14"/>
          <w:szCs w:val="14"/>
        </w:rPr>
      </w:pPr>
      <w:r w:rsidRPr="003321FA">
        <w:rPr>
          <w:rFonts w:cs="Arial"/>
          <w:sz w:val="14"/>
          <w:szCs w:val="14"/>
        </w:rPr>
        <w:t>R$ mil</w:t>
      </w:r>
    </w:p>
    <w:tbl>
      <w:tblPr>
        <w:tblStyle w:val="TabeladeLista6Colorida-nfase5"/>
        <w:tblW w:w="9639" w:type="dxa"/>
        <w:jc w:val="center"/>
        <w:tblLayout w:type="fixed"/>
        <w:tblLook w:val="04A0" w:firstRow="1" w:lastRow="0" w:firstColumn="1" w:lastColumn="0" w:noHBand="0" w:noVBand="1"/>
      </w:tblPr>
      <w:tblGrid>
        <w:gridCol w:w="5271"/>
        <w:gridCol w:w="2183"/>
        <w:gridCol w:w="2185"/>
      </w:tblGrid>
      <w:tr w:rsidR="003321FA" w:rsidRPr="003321FA" w14:paraId="426750EF" w14:textId="77777777">
        <w:trPr>
          <w:cnfStyle w:val="100000000000" w:firstRow="1" w:lastRow="0" w:firstColumn="0" w:lastColumn="0" w:oddVBand="0" w:evenVBand="0" w:oddHBand="0" w:evenHBand="0" w:firstRowFirstColumn="0" w:firstRowLastColumn="0" w:lastRowFirstColumn="0" w:lastRowLastColumn="0"/>
          <w:trHeight w:hRule="exact" w:val="283"/>
          <w:jc w:val="center"/>
        </w:trPr>
        <w:tc>
          <w:tcPr>
            <w:cnfStyle w:val="001000000000" w:firstRow="0" w:lastRow="0" w:firstColumn="1" w:lastColumn="0" w:oddVBand="0" w:evenVBand="0" w:oddHBand="0" w:evenHBand="0" w:firstRowFirstColumn="0" w:firstRowLastColumn="0" w:lastRowFirstColumn="0" w:lastRowLastColumn="0"/>
            <w:tcW w:w="5271" w:type="dxa"/>
            <w:tcBorders>
              <w:top w:val="single" w:sz="2" w:space="0" w:color="1F3864" w:themeColor="accent1" w:themeShade="80"/>
              <w:bottom w:val="single" w:sz="2" w:space="0" w:color="1F3864" w:themeColor="accent1" w:themeShade="80"/>
            </w:tcBorders>
            <w:shd w:val="clear" w:color="auto" w:fill="auto"/>
            <w:vAlign w:val="center"/>
          </w:tcPr>
          <w:p w14:paraId="7C927D94" w14:textId="77777777" w:rsidR="003321FA" w:rsidRPr="003321FA" w:rsidRDefault="003321FA">
            <w:pPr>
              <w:pStyle w:val="08-Tabelageral"/>
              <w:jc w:val="left"/>
              <w:rPr>
                <w:rFonts w:cs="Arial"/>
              </w:rPr>
            </w:pPr>
          </w:p>
        </w:tc>
        <w:tc>
          <w:tcPr>
            <w:tcW w:w="2183" w:type="dxa"/>
            <w:tcBorders>
              <w:top w:val="single" w:sz="2" w:space="0" w:color="1F3864" w:themeColor="accent1" w:themeShade="80"/>
              <w:bottom w:val="single" w:sz="2" w:space="0" w:color="1F3864" w:themeColor="accent1" w:themeShade="80"/>
            </w:tcBorders>
            <w:shd w:val="clear" w:color="auto" w:fill="auto"/>
            <w:vAlign w:val="center"/>
          </w:tcPr>
          <w:p w14:paraId="1AE89CD1" w14:textId="77777777" w:rsidR="003321FA" w:rsidRPr="003321FA" w:rsidRDefault="003321FA">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r w:rsidRPr="003321FA">
              <w:rPr>
                <w:rFonts w:cs="Arial"/>
              </w:rPr>
              <w:t>31.12.2024</w:t>
            </w:r>
          </w:p>
        </w:tc>
        <w:tc>
          <w:tcPr>
            <w:tcW w:w="2185" w:type="dxa"/>
            <w:tcBorders>
              <w:top w:val="single" w:sz="2" w:space="0" w:color="1F3864" w:themeColor="accent1" w:themeShade="80"/>
              <w:bottom w:val="single" w:sz="2" w:space="0" w:color="1F3864" w:themeColor="accent1" w:themeShade="80"/>
            </w:tcBorders>
            <w:shd w:val="clear" w:color="auto" w:fill="auto"/>
            <w:vAlign w:val="center"/>
          </w:tcPr>
          <w:p w14:paraId="68D4AFC0" w14:textId="77777777" w:rsidR="003321FA" w:rsidRPr="003321FA" w:rsidRDefault="003321FA">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r w:rsidRPr="003321FA">
              <w:rPr>
                <w:rFonts w:cs="Arial"/>
              </w:rPr>
              <w:t>31.12.2023</w:t>
            </w:r>
          </w:p>
        </w:tc>
      </w:tr>
      <w:tr w:rsidR="003321FA" w:rsidRPr="003321FA" w14:paraId="1EC4156C" w14:textId="77777777">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single" w:sz="2" w:space="0" w:color="1F3864" w:themeColor="accent1" w:themeShade="80"/>
              <w:bottom w:val="nil"/>
            </w:tcBorders>
            <w:shd w:val="clear" w:color="auto" w:fill="auto"/>
            <w:vAlign w:val="center"/>
          </w:tcPr>
          <w:p w14:paraId="1098C827" w14:textId="77777777" w:rsidR="003321FA" w:rsidRPr="003321FA" w:rsidRDefault="003321FA">
            <w:pPr>
              <w:pStyle w:val="08-Tabelageral"/>
              <w:jc w:val="left"/>
              <w:rPr>
                <w:rFonts w:cs="Arial"/>
                <w:szCs w:val="14"/>
              </w:rPr>
            </w:pPr>
            <w:r w:rsidRPr="003321FA">
              <w:rPr>
                <w:rFonts w:cs="Arial"/>
                <w:szCs w:val="14"/>
              </w:rPr>
              <w:t>Ativo Circulante</w:t>
            </w:r>
          </w:p>
        </w:tc>
        <w:tc>
          <w:tcPr>
            <w:tcW w:w="2183" w:type="dxa"/>
            <w:tcBorders>
              <w:top w:val="nil"/>
              <w:left w:val="nil"/>
              <w:bottom w:val="nil"/>
              <w:right w:val="nil"/>
            </w:tcBorders>
            <w:shd w:val="clear" w:color="auto" w:fill="auto"/>
            <w:vAlign w:val="center"/>
          </w:tcPr>
          <w:p w14:paraId="50434626"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3321FA">
              <w:rPr>
                <w:rFonts w:cs="Arial"/>
                <w:b/>
                <w:bCs/>
                <w:color w:val="000000"/>
                <w:szCs w:val="14"/>
              </w:rPr>
              <w:t>6.262.517</w:t>
            </w:r>
          </w:p>
        </w:tc>
        <w:tc>
          <w:tcPr>
            <w:tcW w:w="2185" w:type="dxa"/>
            <w:tcBorders>
              <w:top w:val="nil"/>
              <w:left w:val="nil"/>
              <w:bottom w:val="nil"/>
              <w:right w:val="nil"/>
            </w:tcBorders>
            <w:shd w:val="clear" w:color="auto" w:fill="auto"/>
            <w:vAlign w:val="center"/>
          </w:tcPr>
          <w:p w14:paraId="3FE712AC" w14:textId="77777777" w:rsidR="003321FA" w:rsidRPr="003321FA" w:rsidRDefault="003321FA">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color w:val="auto"/>
              </w:rPr>
            </w:pPr>
            <w:r w:rsidRPr="003321FA">
              <w:rPr>
                <w:rFonts w:cs="Arial"/>
                <w:b/>
                <w:bCs/>
                <w:color w:val="000000"/>
                <w:szCs w:val="14"/>
              </w:rPr>
              <w:t xml:space="preserve">       4.456.686 </w:t>
            </w:r>
          </w:p>
        </w:tc>
      </w:tr>
      <w:tr w:rsidR="003321FA" w:rsidRPr="003321FA" w14:paraId="2E178983"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637687E7" w14:textId="77777777" w:rsidR="003321FA" w:rsidRPr="003321FA" w:rsidRDefault="003321FA">
            <w:pPr>
              <w:pStyle w:val="08-Tabelageral"/>
              <w:ind w:left="113"/>
              <w:jc w:val="left"/>
              <w:rPr>
                <w:rFonts w:cs="Arial"/>
                <w:b w:val="0"/>
                <w:szCs w:val="14"/>
              </w:rPr>
            </w:pPr>
            <w:r w:rsidRPr="003321FA">
              <w:rPr>
                <w:rFonts w:cs="Arial"/>
                <w:b w:val="0"/>
                <w:szCs w:val="14"/>
              </w:rPr>
              <w:t>Caixa e equivalentes de caixa</w:t>
            </w:r>
          </w:p>
        </w:tc>
        <w:tc>
          <w:tcPr>
            <w:tcW w:w="2183" w:type="dxa"/>
            <w:tcBorders>
              <w:top w:val="nil"/>
              <w:left w:val="nil"/>
              <w:bottom w:val="nil"/>
              <w:right w:val="nil"/>
            </w:tcBorders>
            <w:shd w:val="clear" w:color="auto" w:fill="auto"/>
            <w:vAlign w:val="center"/>
          </w:tcPr>
          <w:p w14:paraId="5548A78C"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3321FA">
              <w:rPr>
                <w:rFonts w:cs="Arial"/>
                <w:color w:val="000000"/>
                <w:szCs w:val="14"/>
              </w:rPr>
              <w:t>4.253.180</w:t>
            </w:r>
          </w:p>
        </w:tc>
        <w:tc>
          <w:tcPr>
            <w:tcW w:w="2185" w:type="dxa"/>
            <w:tcBorders>
              <w:top w:val="nil"/>
              <w:left w:val="nil"/>
              <w:bottom w:val="nil"/>
              <w:right w:val="nil"/>
            </w:tcBorders>
            <w:shd w:val="clear" w:color="auto" w:fill="auto"/>
            <w:vAlign w:val="center"/>
          </w:tcPr>
          <w:p w14:paraId="5F507EA6"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3321FA">
              <w:rPr>
                <w:rFonts w:cs="Arial"/>
                <w:color w:val="000000"/>
                <w:szCs w:val="14"/>
              </w:rPr>
              <w:t xml:space="preserve">       3.321.812 </w:t>
            </w:r>
          </w:p>
        </w:tc>
      </w:tr>
      <w:tr w:rsidR="003321FA" w:rsidRPr="003321FA" w14:paraId="01BBF909"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58032CF2" w14:textId="77777777" w:rsidR="003321FA" w:rsidRPr="003321FA" w:rsidRDefault="003321FA">
            <w:pPr>
              <w:pStyle w:val="08-Tabelageral"/>
              <w:ind w:left="113"/>
              <w:jc w:val="left"/>
              <w:rPr>
                <w:rFonts w:cs="Arial"/>
                <w:szCs w:val="14"/>
              </w:rPr>
            </w:pPr>
            <w:r w:rsidRPr="003321FA">
              <w:rPr>
                <w:b w:val="0"/>
                <w:bCs w:val="0"/>
              </w:rPr>
              <w:t>Ativos Financeiros Mensurados ao Custo Amortizado</w:t>
            </w:r>
          </w:p>
        </w:tc>
        <w:tc>
          <w:tcPr>
            <w:tcW w:w="2183" w:type="dxa"/>
            <w:tcBorders>
              <w:top w:val="nil"/>
              <w:left w:val="nil"/>
              <w:bottom w:val="nil"/>
              <w:right w:val="nil"/>
            </w:tcBorders>
            <w:shd w:val="clear" w:color="auto" w:fill="auto"/>
            <w:vAlign w:val="center"/>
          </w:tcPr>
          <w:p w14:paraId="0CE02F43"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321FA">
              <w:rPr>
                <w:rFonts w:cs="Arial"/>
                <w:color w:val="000000"/>
                <w:szCs w:val="14"/>
              </w:rPr>
              <w:t>719.101</w:t>
            </w:r>
          </w:p>
        </w:tc>
        <w:tc>
          <w:tcPr>
            <w:tcW w:w="2185" w:type="dxa"/>
            <w:tcBorders>
              <w:top w:val="nil"/>
              <w:left w:val="nil"/>
              <w:bottom w:val="nil"/>
              <w:right w:val="nil"/>
            </w:tcBorders>
            <w:shd w:val="clear" w:color="auto" w:fill="auto"/>
          </w:tcPr>
          <w:p w14:paraId="0F81CDAC"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3321FA">
              <w:rPr>
                <w:rFonts w:cs="Arial"/>
                <w:color w:val="000000"/>
                <w:szCs w:val="14"/>
              </w:rPr>
              <w:t>--</w:t>
            </w:r>
          </w:p>
        </w:tc>
      </w:tr>
      <w:tr w:rsidR="003321FA" w:rsidRPr="003321FA" w14:paraId="2F9D40B8"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234D6E91" w14:textId="77777777" w:rsidR="003321FA" w:rsidRPr="003321FA" w:rsidRDefault="003321FA">
            <w:pPr>
              <w:pStyle w:val="08-Tabelageral"/>
              <w:ind w:left="113"/>
              <w:jc w:val="left"/>
              <w:rPr>
                <w:rFonts w:cs="Arial"/>
                <w:b w:val="0"/>
                <w:szCs w:val="14"/>
              </w:rPr>
            </w:pPr>
            <w:r w:rsidRPr="003321FA">
              <w:rPr>
                <w:rFonts w:cs="Arial"/>
                <w:b w:val="0"/>
                <w:szCs w:val="14"/>
              </w:rPr>
              <w:t>Comissões a receber</w:t>
            </w:r>
          </w:p>
        </w:tc>
        <w:tc>
          <w:tcPr>
            <w:tcW w:w="2183" w:type="dxa"/>
            <w:tcBorders>
              <w:top w:val="nil"/>
              <w:left w:val="nil"/>
              <w:bottom w:val="nil"/>
              <w:right w:val="nil"/>
            </w:tcBorders>
            <w:shd w:val="clear" w:color="auto" w:fill="auto"/>
            <w:vAlign w:val="center"/>
          </w:tcPr>
          <w:p w14:paraId="6C976F2A"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3321FA">
              <w:rPr>
                <w:rFonts w:cs="Arial"/>
                <w:color w:val="000000"/>
                <w:szCs w:val="14"/>
              </w:rPr>
              <w:t>1.287.117</w:t>
            </w:r>
          </w:p>
        </w:tc>
        <w:tc>
          <w:tcPr>
            <w:tcW w:w="2185" w:type="dxa"/>
            <w:tcBorders>
              <w:top w:val="nil"/>
              <w:left w:val="nil"/>
              <w:bottom w:val="nil"/>
              <w:right w:val="nil"/>
            </w:tcBorders>
            <w:shd w:val="clear" w:color="auto" w:fill="auto"/>
          </w:tcPr>
          <w:p w14:paraId="0890A1D6"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3321FA">
              <w:t>1.128.077</w:t>
            </w:r>
          </w:p>
        </w:tc>
      </w:tr>
      <w:tr w:rsidR="003321FA" w:rsidRPr="003321FA" w14:paraId="63CB1309"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3EC8B29A" w14:textId="77777777" w:rsidR="003321FA" w:rsidRPr="003321FA" w:rsidRDefault="003321FA">
            <w:pPr>
              <w:pStyle w:val="08-Tabelageral"/>
              <w:ind w:left="113"/>
              <w:jc w:val="left"/>
              <w:rPr>
                <w:rFonts w:cs="Arial"/>
                <w:b w:val="0"/>
                <w:szCs w:val="14"/>
              </w:rPr>
            </w:pPr>
            <w:r w:rsidRPr="003321FA">
              <w:rPr>
                <w:rFonts w:cs="Arial"/>
                <w:b w:val="0"/>
                <w:szCs w:val="14"/>
              </w:rPr>
              <w:t>Outros ativos</w:t>
            </w:r>
          </w:p>
        </w:tc>
        <w:tc>
          <w:tcPr>
            <w:tcW w:w="2183" w:type="dxa"/>
            <w:tcBorders>
              <w:top w:val="nil"/>
              <w:left w:val="nil"/>
              <w:bottom w:val="nil"/>
              <w:right w:val="nil"/>
            </w:tcBorders>
            <w:shd w:val="clear" w:color="auto" w:fill="auto"/>
            <w:vAlign w:val="center"/>
          </w:tcPr>
          <w:p w14:paraId="34789D08"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3321FA">
              <w:rPr>
                <w:rFonts w:cs="Arial"/>
                <w:color w:val="000000"/>
                <w:szCs w:val="14"/>
              </w:rPr>
              <w:t>3.119</w:t>
            </w:r>
          </w:p>
        </w:tc>
        <w:tc>
          <w:tcPr>
            <w:tcW w:w="2185" w:type="dxa"/>
            <w:tcBorders>
              <w:top w:val="nil"/>
              <w:left w:val="nil"/>
              <w:bottom w:val="nil"/>
              <w:right w:val="nil"/>
            </w:tcBorders>
            <w:shd w:val="clear" w:color="auto" w:fill="auto"/>
          </w:tcPr>
          <w:p w14:paraId="122D02A4"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3321FA">
              <w:t>6.797</w:t>
            </w:r>
          </w:p>
        </w:tc>
      </w:tr>
      <w:tr w:rsidR="003321FA" w:rsidRPr="003321FA" w14:paraId="7606C12F"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00A628B9" w14:textId="77777777" w:rsidR="003321FA" w:rsidRPr="003321FA" w:rsidRDefault="003321FA">
            <w:pPr>
              <w:pStyle w:val="08-Tabelageral"/>
              <w:jc w:val="left"/>
              <w:rPr>
                <w:rFonts w:cs="Arial"/>
                <w:szCs w:val="14"/>
              </w:rPr>
            </w:pPr>
            <w:r w:rsidRPr="003321FA">
              <w:rPr>
                <w:rFonts w:cs="Arial"/>
                <w:szCs w:val="14"/>
              </w:rPr>
              <w:t>Ativo Não Circulante</w:t>
            </w:r>
          </w:p>
        </w:tc>
        <w:tc>
          <w:tcPr>
            <w:tcW w:w="2183" w:type="dxa"/>
            <w:tcBorders>
              <w:top w:val="nil"/>
              <w:left w:val="nil"/>
              <w:bottom w:val="nil"/>
              <w:right w:val="nil"/>
            </w:tcBorders>
            <w:shd w:val="clear" w:color="auto" w:fill="auto"/>
            <w:vAlign w:val="center"/>
          </w:tcPr>
          <w:p w14:paraId="0174FCA1"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3321FA">
              <w:rPr>
                <w:rFonts w:cs="Arial"/>
                <w:b/>
                <w:bCs/>
                <w:color w:val="000000"/>
                <w:szCs w:val="14"/>
              </w:rPr>
              <w:t>2.721.173</w:t>
            </w:r>
          </w:p>
        </w:tc>
        <w:tc>
          <w:tcPr>
            <w:tcW w:w="2185" w:type="dxa"/>
            <w:tcBorders>
              <w:top w:val="nil"/>
              <w:bottom w:val="nil"/>
            </w:tcBorders>
            <w:shd w:val="clear" w:color="auto" w:fill="auto"/>
            <w:vAlign w:val="center"/>
          </w:tcPr>
          <w:p w14:paraId="000C618B"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3321FA">
              <w:rPr>
                <w:rFonts w:cs="Arial"/>
                <w:b/>
                <w:szCs w:val="14"/>
              </w:rPr>
              <w:t>2.887.911</w:t>
            </w:r>
          </w:p>
        </w:tc>
      </w:tr>
      <w:tr w:rsidR="003321FA" w:rsidRPr="003321FA" w14:paraId="3E04F4D1"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7C2E15A9" w14:textId="77777777" w:rsidR="003321FA" w:rsidRPr="003321FA" w:rsidRDefault="003321FA">
            <w:pPr>
              <w:pStyle w:val="08-Tabelageral"/>
              <w:ind w:left="113"/>
              <w:jc w:val="left"/>
              <w:rPr>
                <w:rFonts w:cs="Arial"/>
                <w:b w:val="0"/>
                <w:bCs w:val="0"/>
              </w:rPr>
            </w:pPr>
            <w:r w:rsidRPr="003321FA">
              <w:rPr>
                <w:rFonts w:cs="Arial"/>
                <w:b w:val="0"/>
                <w:bCs w:val="0"/>
              </w:rPr>
              <w:t>Ativos Financeiros ao Valor Justo por Meio do Resultado</w:t>
            </w:r>
          </w:p>
        </w:tc>
        <w:tc>
          <w:tcPr>
            <w:tcW w:w="2183" w:type="dxa"/>
            <w:tcBorders>
              <w:top w:val="nil"/>
              <w:left w:val="nil"/>
              <w:bottom w:val="nil"/>
              <w:right w:val="nil"/>
            </w:tcBorders>
            <w:shd w:val="clear" w:color="auto" w:fill="auto"/>
            <w:vAlign w:val="center"/>
          </w:tcPr>
          <w:p w14:paraId="0F02004A"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3321FA">
              <w:rPr>
                <w:rFonts w:cs="Arial"/>
                <w:color w:val="000000"/>
                <w:szCs w:val="14"/>
              </w:rPr>
              <w:t>--</w:t>
            </w:r>
          </w:p>
        </w:tc>
        <w:tc>
          <w:tcPr>
            <w:tcW w:w="2185" w:type="dxa"/>
            <w:tcBorders>
              <w:top w:val="nil"/>
              <w:bottom w:val="nil"/>
            </w:tcBorders>
            <w:shd w:val="clear" w:color="auto" w:fill="auto"/>
            <w:vAlign w:val="center"/>
          </w:tcPr>
          <w:p w14:paraId="5AD1CF27"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3321FA">
              <w:rPr>
                <w:rFonts w:cs="Arial"/>
              </w:rPr>
              <w:t>1.586.371</w:t>
            </w:r>
          </w:p>
        </w:tc>
      </w:tr>
      <w:tr w:rsidR="003321FA" w:rsidRPr="003321FA" w14:paraId="02489645"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5F30D41C" w14:textId="77777777" w:rsidR="003321FA" w:rsidRPr="003321FA" w:rsidRDefault="003321FA">
            <w:pPr>
              <w:pStyle w:val="08-Tabelageral"/>
              <w:ind w:left="113"/>
              <w:jc w:val="left"/>
              <w:rPr>
                <w:rFonts w:cs="Arial"/>
                <w:b w:val="0"/>
                <w:bCs w:val="0"/>
              </w:rPr>
            </w:pPr>
            <w:r w:rsidRPr="003321FA">
              <w:rPr>
                <w:rFonts w:cs="Arial"/>
                <w:b w:val="0"/>
                <w:bCs w:val="0"/>
              </w:rPr>
              <w:t>Ativos Financeiros Mensurados ao Custo Amortizado</w:t>
            </w:r>
          </w:p>
        </w:tc>
        <w:tc>
          <w:tcPr>
            <w:tcW w:w="2183" w:type="dxa"/>
            <w:tcBorders>
              <w:top w:val="nil"/>
              <w:left w:val="nil"/>
              <w:bottom w:val="nil"/>
              <w:right w:val="nil"/>
            </w:tcBorders>
            <w:shd w:val="clear" w:color="auto" w:fill="auto"/>
            <w:vAlign w:val="center"/>
          </w:tcPr>
          <w:p w14:paraId="6F461C5F" w14:textId="77777777" w:rsidR="003321FA" w:rsidRPr="003321FA" w:rsidRDefault="003321FA">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rPr>
            </w:pPr>
            <w:r w:rsidRPr="003321FA">
              <w:rPr>
                <w:rFonts w:cs="Arial"/>
                <w:color w:val="000000"/>
                <w:szCs w:val="14"/>
              </w:rPr>
              <w:t>1.039.910</w:t>
            </w:r>
          </w:p>
        </w:tc>
        <w:tc>
          <w:tcPr>
            <w:tcW w:w="2185" w:type="dxa"/>
            <w:tcBorders>
              <w:top w:val="nil"/>
              <w:left w:val="nil"/>
              <w:bottom w:val="nil"/>
              <w:right w:val="nil"/>
            </w:tcBorders>
            <w:shd w:val="clear" w:color="auto" w:fill="auto"/>
            <w:vAlign w:val="center"/>
          </w:tcPr>
          <w:p w14:paraId="6FBB5F6C" w14:textId="77777777" w:rsidR="003321FA" w:rsidRPr="003321FA" w:rsidRDefault="003321FA">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r w:rsidRPr="003321FA">
              <w:rPr>
                <w:rFonts w:cs="Arial"/>
              </w:rPr>
              <w:t>--</w:t>
            </w:r>
          </w:p>
        </w:tc>
      </w:tr>
      <w:tr w:rsidR="003321FA" w:rsidRPr="003321FA" w14:paraId="0DFB81E5"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35B97510" w14:textId="77777777" w:rsidR="003321FA" w:rsidRPr="003321FA" w:rsidRDefault="003321FA">
            <w:pPr>
              <w:pStyle w:val="08-Tabelageral"/>
              <w:ind w:left="113"/>
              <w:jc w:val="left"/>
              <w:rPr>
                <w:rFonts w:cs="Arial"/>
                <w:b w:val="0"/>
                <w:bCs w:val="0"/>
                <w:szCs w:val="14"/>
              </w:rPr>
            </w:pPr>
            <w:r w:rsidRPr="003321FA">
              <w:rPr>
                <w:rFonts w:cs="Arial"/>
                <w:b w:val="0"/>
                <w:bCs w:val="0"/>
              </w:rPr>
              <w:t>Ativos por impostos correntes</w:t>
            </w:r>
          </w:p>
        </w:tc>
        <w:tc>
          <w:tcPr>
            <w:tcW w:w="2183" w:type="dxa"/>
            <w:tcBorders>
              <w:top w:val="nil"/>
              <w:left w:val="nil"/>
              <w:bottom w:val="nil"/>
              <w:right w:val="nil"/>
            </w:tcBorders>
            <w:shd w:val="clear" w:color="auto" w:fill="auto"/>
            <w:vAlign w:val="center"/>
          </w:tcPr>
          <w:p w14:paraId="26CCAFCC"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3321FA">
              <w:rPr>
                <w:rFonts w:cs="Arial"/>
                <w:color w:val="000000"/>
                <w:szCs w:val="14"/>
              </w:rPr>
              <w:t>5.800</w:t>
            </w:r>
          </w:p>
        </w:tc>
        <w:tc>
          <w:tcPr>
            <w:tcW w:w="2185" w:type="dxa"/>
            <w:tcBorders>
              <w:top w:val="nil"/>
              <w:left w:val="nil"/>
              <w:bottom w:val="nil"/>
              <w:right w:val="nil"/>
            </w:tcBorders>
            <w:shd w:val="clear" w:color="auto" w:fill="auto"/>
            <w:vAlign w:val="center"/>
          </w:tcPr>
          <w:p w14:paraId="1580EC72"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3321FA">
              <w:rPr>
                <w:rFonts w:cs="Arial"/>
              </w:rPr>
              <w:t>5.800</w:t>
            </w:r>
          </w:p>
        </w:tc>
      </w:tr>
      <w:tr w:rsidR="003321FA" w:rsidRPr="003321FA" w14:paraId="2281E215"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04B2F5AD" w14:textId="77777777" w:rsidR="003321FA" w:rsidRPr="003321FA" w:rsidRDefault="003321FA">
            <w:pPr>
              <w:pStyle w:val="08-Tabelageral"/>
              <w:ind w:left="113"/>
              <w:jc w:val="left"/>
              <w:rPr>
                <w:rFonts w:cs="Arial"/>
                <w:b w:val="0"/>
                <w:szCs w:val="14"/>
              </w:rPr>
            </w:pPr>
            <w:r w:rsidRPr="003321FA">
              <w:rPr>
                <w:rFonts w:cs="Arial"/>
                <w:b w:val="0"/>
                <w:szCs w:val="14"/>
              </w:rPr>
              <w:t>Ativos por impostos diferidos</w:t>
            </w:r>
          </w:p>
        </w:tc>
        <w:tc>
          <w:tcPr>
            <w:tcW w:w="2183" w:type="dxa"/>
            <w:tcBorders>
              <w:top w:val="nil"/>
              <w:left w:val="nil"/>
              <w:bottom w:val="nil"/>
              <w:right w:val="nil"/>
            </w:tcBorders>
            <w:shd w:val="clear" w:color="auto" w:fill="auto"/>
            <w:vAlign w:val="center"/>
          </w:tcPr>
          <w:p w14:paraId="6087AC43"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321FA">
              <w:rPr>
                <w:rFonts w:cs="Arial"/>
                <w:color w:val="000000"/>
                <w:szCs w:val="14"/>
              </w:rPr>
              <w:t>24.965</w:t>
            </w:r>
          </w:p>
        </w:tc>
        <w:tc>
          <w:tcPr>
            <w:tcW w:w="2185" w:type="dxa"/>
            <w:tcBorders>
              <w:top w:val="nil"/>
              <w:left w:val="nil"/>
              <w:bottom w:val="nil"/>
              <w:right w:val="nil"/>
            </w:tcBorders>
            <w:shd w:val="clear" w:color="auto" w:fill="auto"/>
            <w:vAlign w:val="center"/>
          </w:tcPr>
          <w:p w14:paraId="4FE86BF1"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3321FA">
              <w:rPr>
                <w:rFonts w:cs="Arial"/>
                <w:szCs w:val="14"/>
              </w:rPr>
              <w:t>9.659</w:t>
            </w:r>
          </w:p>
        </w:tc>
      </w:tr>
      <w:tr w:rsidR="003321FA" w:rsidRPr="003321FA" w14:paraId="721CAFC5"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6BCAF7D3" w14:textId="77777777" w:rsidR="003321FA" w:rsidRPr="003321FA" w:rsidRDefault="003321FA">
            <w:pPr>
              <w:pStyle w:val="08-Tabelageral"/>
              <w:ind w:left="113"/>
              <w:jc w:val="left"/>
              <w:rPr>
                <w:rFonts w:cs="Arial"/>
                <w:b w:val="0"/>
                <w:szCs w:val="14"/>
              </w:rPr>
            </w:pPr>
            <w:r w:rsidRPr="003321FA">
              <w:rPr>
                <w:rFonts w:cs="Arial"/>
                <w:b w:val="0"/>
                <w:szCs w:val="14"/>
              </w:rPr>
              <w:t>Comissões a receber</w:t>
            </w:r>
          </w:p>
        </w:tc>
        <w:tc>
          <w:tcPr>
            <w:tcW w:w="2183" w:type="dxa"/>
            <w:tcBorders>
              <w:top w:val="nil"/>
              <w:left w:val="nil"/>
              <w:bottom w:val="nil"/>
              <w:right w:val="nil"/>
            </w:tcBorders>
            <w:shd w:val="clear" w:color="auto" w:fill="auto"/>
            <w:vAlign w:val="center"/>
          </w:tcPr>
          <w:p w14:paraId="64923C55"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321FA">
              <w:rPr>
                <w:rFonts w:cs="Arial"/>
                <w:color w:val="000000"/>
                <w:szCs w:val="14"/>
              </w:rPr>
              <w:t>1.387.299</w:t>
            </w:r>
          </w:p>
        </w:tc>
        <w:tc>
          <w:tcPr>
            <w:tcW w:w="2185" w:type="dxa"/>
            <w:tcBorders>
              <w:top w:val="nil"/>
              <w:left w:val="nil"/>
              <w:bottom w:val="nil"/>
              <w:right w:val="nil"/>
            </w:tcBorders>
            <w:shd w:val="clear" w:color="auto" w:fill="auto"/>
            <w:vAlign w:val="center"/>
          </w:tcPr>
          <w:p w14:paraId="59216B42"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color w:val="auto"/>
              </w:rPr>
            </w:pPr>
            <w:r w:rsidRPr="003321FA">
              <w:rPr>
                <w:rFonts w:cs="Arial"/>
                <w:szCs w:val="14"/>
              </w:rPr>
              <w:t>1.046.897</w:t>
            </w:r>
          </w:p>
        </w:tc>
      </w:tr>
      <w:tr w:rsidR="003321FA" w:rsidRPr="003321FA" w14:paraId="62A3AE92"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51900EE1" w14:textId="77777777" w:rsidR="003321FA" w:rsidRPr="003321FA" w:rsidRDefault="003321FA">
            <w:pPr>
              <w:pStyle w:val="08-Tabelageral"/>
              <w:ind w:left="113"/>
              <w:jc w:val="left"/>
              <w:rPr>
                <w:rFonts w:cs="Arial"/>
                <w:b w:val="0"/>
                <w:szCs w:val="14"/>
              </w:rPr>
            </w:pPr>
            <w:r w:rsidRPr="003321FA">
              <w:rPr>
                <w:rFonts w:cs="Arial"/>
                <w:b w:val="0"/>
              </w:rPr>
              <w:t>Investimentos em participações societárias</w:t>
            </w:r>
          </w:p>
        </w:tc>
        <w:tc>
          <w:tcPr>
            <w:tcW w:w="2183" w:type="dxa"/>
            <w:tcBorders>
              <w:top w:val="nil"/>
              <w:left w:val="nil"/>
              <w:bottom w:val="nil"/>
              <w:right w:val="nil"/>
            </w:tcBorders>
            <w:shd w:val="clear" w:color="auto" w:fill="auto"/>
            <w:vAlign w:val="center"/>
          </w:tcPr>
          <w:p w14:paraId="1E97A063"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321FA">
              <w:rPr>
                <w:rFonts w:cs="Arial"/>
                <w:color w:val="000000"/>
                <w:szCs w:val="14"/>
              </w:rPr>
              <w:t>12.041</w:t>
            </w:r>
          </w:p>
        </w:tc>
        <w:tc>
          <w:tcPr>
            <w:tcW w:w="2185" w:type="dxa"/>
            <w:tcBorders>
              <w:top w:val="nil"/>
              <w:left w:val="nil"/>
              <w:bottom w:val="nil"/>
              <w:right w:val="nil"/>
            </w:tcBorders>
            <w:shd w:val="clear" w:color="auto" w:fill="auto"/>
            <w:vAlign w:val="center"/>
          </w:tcPr>
          <w:p w14:paraId="39F0B6DA"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321FA">
              <w:rPr>
                <w:rFonts w:cs="Arial"/>
                <w:szCs w:val="14"/>
              </w:rPr>
              <w:t>4.358</w:t>
            </w:r>
          </w:p>
        </w:tc>
      </w:tr>
      <w:tr w:rsidR="003321FA" w:rsidRPr="003321FA" w14:paraId="38E696DF"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3C6D0E07" w14:textId="77777777" w:rsidR="003321FA" w:rsidRPr="003321FA" w:rsidRDefault="003321FA">
            <w:pPr>
              <w:pStyle w:val="08-Tabelageral"/>
              <w:ind w:left="113"/>
              <w:jc w:val="left"/>
              <w:rPr>
                <w:rFonts w:cs="Arial"/>
                <w:b w:val="0"/>
                <w:szCs w:val="14"/>
              </w:rPr>
            </w:pPr>
            <w:r w:rsidRPr="003321FA">
              <w:rPr>
                <w:rFonts w:cs="Arial"/>
                <w:b w:val="0"/>
                <w:szCs w:val="14"/>
              </w:rPr>
              <w:t>Outros ativos</w:t>
            </w:r>
          </w:p>
        </w:tc>
        <w:tc>
          <w:tcPr>
            <w:tcW w:w="2183" w:type="dxa"/>
            <w:tcBorders>
              <w:top w:val="nil"/>
              <w:bottom w:val="nil"/>
            </w:tcBorders>
            <w:shd w:val="clear" w:color="auto" w:fill="auto"/>
            <w:vAlign w:val="center"/>
          </w:tcPr>
          <w:p w14:paraId="3EBFE71A"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321FA">
              <w:rPr>
                <w:rFonts w:cs="Arial"/>
                <w:color w:val="000000"/>
                <w:szCs w:val="14"/>
              </w:rPr>
              <w:t>251.158</w:t>
            </w:r>
          </w:p>
        </w:tc>
        <w:tc>
          <w:tcPr>
            <w:tcW w:w="2185" w:type="dxa"/>
            <w:tcBorders>
              <w:top w:val="nil"/>
              <w:bottom w:val="nil"/>
            </w:tcBorders>
            <w:shd w:val="clear" w:color="auto" w:fill="auto"/>
            <w:vAlign w:val="center"/>
          </w:tcPr>
          <w:p w14:paraId="6311B200"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3321FA">
              <w:rPr>
                <w:rFonts w:cs="Arial"/>
                <w:szCs w:val="14"/>
              </w:rPr>
              <w:t>234.826</w:t>
            </w:r>
          </w:p>
        </w:tc>
      </w:tr>
      <w:tr w:rsidR="003321FA" w:rsidRPr="003321FA" w14:paraId="75872D73" w14:textId="77777777">
        <w:trPr>
          <w:cnfStyle w:val="000000010000" w:firstRow="0" w:lastRow="0" w:firstColumn="0" w:lastColumn="0" w:oddVBand="0" w:evenVBand="0" w:oddHBand="0" w:evenHBand="1" w:firstRowFirstColumn="0" w:firstRowLastColumn="0" w:lastRowFirstColumn="0" w:lastRowLastColumn="0"/>
          <w:trHeight w:val="101"/>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0136BFEF" w14:textId="77777777" w:rsidR="003321FA" w:rsidRPr="003321FA" w:rsidRDefault="003321FA">
            <w:pPr>
              <w:pStyle w:val="08-Tabelageral"/>
              <w:jc w:val="left"/>
              <w:rPr>
                <w:rFonts w:cs="Arial"/>
                <w:szCs w:val="14"/>
              </w:rPr>
            </w:pPr>
            <w:r w:rsidRPr="003321FA">
              <w:rPr>
                <w:rFonts w:cs="Arial"/>
                <w:szCs w:val="14"/>
              </w:rPr>
              <w:t>Total do Ativo</w:t>
            </w:r>
          </w:p>
        </w:tc>
        <w:tc>
          <w:tcPr>
            <w:tcW w:w="2183" w:type="dxa"/>
            <w:tcBorders>
              <w:top w:val="nil"/>
              <w:bottom w:val="nil"/>
            </w:tcBorders>
            <w:shd w:val="clear" w:color="auto" w:fill="auto"/>
            <w:vAlign w:val="center"/>
          </w:tcPr>
          <w:p w14:paraId="2C6DDBEA" w14:textId="77777777" w:rsidR="003321FA" w:rsidRPr="003321FA" w:rsidRDefault="003321FA">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z w:val="14"/>
                <w:szCs w:val="14"/>
              </w:rPr>
            </w:pPr>
            <w:r w:rsidRPr="003321FA">
              <w:rPr>
                <w:rFonts w:ascii="Arial" w:hAnsi="Arial" w:cs="Arial"/>
                <w:b/>
                <w:bCs/>
                <w:color w:val="000000"/>
                <w:sz w:val="14"/>
                <w:szCs w:val="14"/>
              </w:rPr>
              <w:t>8.983.690</w:t>
            </w:r>
          </w:p>
        </w:tc>
        <w:tc>
          <w:tcPr>
            <w:tcW w:w="2185" w:type="dxa"/>
            <w:tcBorders>
              <w:top w:val="nil"/>
              <w:bottom w:val="nil"/>
            </w:tcBorders>
            <w:shd w:val="clear" w:color="auto" w:fill="auto"/>
            <w:vAlign w:val="center"/>
          </w:tcPr>
          <w:p w14:paraId="0D9A5A4E"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3321FA">
              <w:rPr>
                <w:rFonts w:cs="Arial"/>
                <w:b/>
                <w:bCs/>
                <w:color w:val="000000"/>
                <w:szCs w:val="14"/>
              </w:rPr>
              <w:t>7.344.597</w:t>
            </w:r>
          </w:p>
        </w:tc>
      </w:tr>
      <w:tr w:rsidR="003321FA" w:rsidRPr="003321FA" w14:paraId="71C06F5F"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5DE7856E" w14:textId="77777777" w:rsidR="003321FA" w:rsidRPr="003321FA" w:rsidRDefault="003321FA">
            <w:pPr>
              <w:pStyle w:val="08-Tabelageral"/>
              <w:jc w:val="left"/>
              <w:rPr>
                <w:rFonts w:cs="Arial"/>
                <w:b w:val="0"/>
                <w:color w:val="FF0000"/>
                <w:szCs w:val="14"/>
              </w:rPr>
            </w:pPr>
          </w:p>
        </w:tc>
        <w:tc>
          <w:tcPr>
            <w:tcW w:w="2183" w:type="dxa"/>
            <w:tcBorders>
              <w:top w:val="nil"/>
              <w:bottom w:val="nil"/>
            </w:tcBorders>
            <w:shd w:val="clear" w:color="auto" w:fill="auto"/>
            <w:vAlign w:val="center"/>
          </w:tcPr>
          <w:p w14:paraId="15F6BDBB"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2185" w:type="dxa"/>
            <w:tcBorders>
              <w:top w:val="nil"/>
              <w:bottom w:val="nil"/>
            </w:tcBorders>
            <w:shd w:val="clear" w:color="auto" w:fill="auto"/>
            <w:vAlign w:val="center"/>
          </w:tcPr>
          <w:p w14:paraId="35D97092"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rPr>
            </w:pPr>
          </w:p>
        </w:tc>
      </w:tr>
      <w:tr w:rsidR="003321FA" w:rsidRPr="003321FA" w14:paraId="384E452F"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7E7D83A6" w14:textId="77777777" w:rsidR="003321FA" w:rsidRPr="003321FA" w:rsidRDefault="003321FA">
            <w:pPr>
              <w:pStyle w:val="08-Tabelageral"/>
              <w:jc w:val="left"/>
              <w:rPr>
                <w:rFonts w:cs="Arial"/>
              </w:rPr>
            </w:pPr>
            <w:r w:rsidRPr="003321FA">
              <w:rPr>
                <w:rFonts w:cs="Arial"/>
              </w:rPr>
              <w:t>Passivo Circulante</w:t>
            </w:r>
          </w:p>
        </w:tc>
        <w:tc>
          <w:tcPr>
            <w:tcW w:w="2183" w:type="dxa"/>
            <w:tcBorders>
              <w:top w:val="nil"/>
              <w:left w:val="nil"/>
              <w:bottom w:val="nil"/>
              <w:right w:val="nil"/>
            </w:tcBorders>
            <w:shd w:val="clear" w:color="auto" w:fill="auto"/>
            <w:vAlign w:val="center"/>
          </w:tcPr>
          <w:p w14:paraId="30306620"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3321FA">
              <w:rPr>
                <w:rFonts w:cs="Arial"/>
                <w:b/>
                <w:bCs/>
                <w:color w:val="000000"/>
                <w:szCs w:val="14"/>
              </w:rPr>
              <w:t>5.564.989</w:t>
            </w:r>
          </w:p>
        </w:tc>
        <w:tc>
          <w:tcPr>
            <w:tcW w:w="2185" w:type="dxa"/>
            <w:tcBorders>
              <w:top w:val="nil"/>
              <w:left w:val="nil"/>
              <w:bottom w:val="nil"/>
              <w:right w:val="nil"/>
            </w:tcBorders>
            <w:shd w:val="clear" w:color="auto" w:fill="auto"/>
            <w:vAlign w:val="center"/>
          </w:tcPr>
          <w:p w14:paraId="4BCAA5FA"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3321FA">
              <w:rPr>
                <w:rFonts w:cs="Arial"/>
                <w:b/>
                <w:bCs/>
                <w:color w:val="000000"/>
                <w:szCs w:val="14"/>
              </w:rPr>
              <w:t>4.589.865</w:t>
            </w:r>
          </w:p>
        </w:tc>
      </w:tr>
      <w:tr w:rsidR="003321FA" w:rsidRPr="003321FA" w14:paraId="2DCA7304"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2DC0DBFD" w14:textId="77777777" w:rsidR="003321FA" w:rsidRPr="003321FA" w:rsidRDefault="003321FA">
            <w:pPr>
              <w:pStyle w:val="08-Tabelageral"/>
              <w:ind w:left="113"/>
              <w:jc w:val="left"/>
              <w:rPr>
                <w:rFonts w:cs="Arial"/>
                <w:b w:val="0"/>
              </w:rPr>
            </w:pPr>
            <w:r w:rsidRPr="003321FA">
              <w:rPr>
                <w:rFonts w:cs="Arial"/>
                <w:b w:val="0"/>
              </w:rPr>
              <w:t>Dividendos a pagar</w:t>
            </w:r>
          </w:p>
        </w:tc>
        <w:tc>
          <w:tcPr>
            <w:tcW w:w="2183" w:type="dxa"/>
            <w:tcBorders>
              <w:top w:val="nil"/>
              <w:left w:val="nil"/>
              <w:bottom w:val="nil"/>
              <w:right w:val="nil"/>
            </w:tcBorders>
            <w:shd w:val="clear" w:color="auto" w:fill="auto"/>
            <w:vAlign w:val="center"/>
          </w:tcPr>
          <w:p w14:paraId="5AC4506D"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321FA">
              <w:rPr>
                <w:rFonts w:cs="Arial"/>
                <w:color w:val="000000"/>
                <w:szCs w:val="14"/>
              </w:rPr>
              <w:t>1.720.403</w:t>
            </w:r>
          </w:p>
        </w:tc>
        <w:tc>
          <w:tcPr>
            <w:tcW w:w="2185" w:type="dxa"/>
            <w:tcBorders>
              <w:top w:val="nil"/>
              <w:left w:val="nil"/>
              <w:bottom w:val="nil"/>
              <w:right w:val="nil"/>
            </w:tcBorders>
            <w:shd w:val="clear" w:color="auto" w:fill="auto"/>
            <w:vAlign w:val="center"/>
          </w:tcPr>
          <w:p w14:paraId="384E456F"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3321FA">
              <w:rPr>
                <w:rFonts w:cs="Arial"/>
                <w:color w:val="000000"/>
                <w:szCs w:val="14"/>
              </w:rPr>
              <w:t>1.573.893</w:t>
            </w:r>
          </w:p>
        </w:tc>
      </w:tr>
      <w:tr w:rsidR="003321FA" w:rsidRPr="003321FA" w14:paraId="2277D836"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4AAB2310" w14:textId="77777777" w:rsidR="003321FA" w:rsidRPr="003321FA" w:rsidRDefault="003321FA">
            <w:pPr>
              <w:pStyle w:val="08-Tabelageral"/>
              <w:ind w:left="113"/>
              <w:jc w:val="left"/>
              <w:rPr>
                <w:rFonts w:cs="Arial"/>
                <w:b w:val="0"/>
              </w:rPr>
            </w:pPr>
            <w:r w:rsidRPr="003321FA">
              <w:rPr>
                <w:rFonts w:cs="Arial"/>
                <w:b w:val="0"/>
              </w:rPr>
              <w:t>Provisões trabalhistas, fiscais e cíveis</w:t>
            </w:r>
          </w:p>
        </w:tc>
        <w:tc>
          <w:tcPr>
            <w:tcW w:w="2183" w:type="dxa"/>
            <w:tcBorders>
              <w:top w:val="nil"/>
              <w:left w:val="nil"/>
              <w:bottom w:val="nil"/>
              <w:right w:val="nil"/>
            </w:tcBorders>
            <w:shd w:val="clear" w:color="auto" w:fill="auto"/>
            <w:vAlign w:val="center"/>
          </w:tcPr>
          <w:p w14:paraId="226D0903"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321FA">
              <w:rPr>
                <w:rFonts w:cs="Arial"/>
                <w:color w:val="000000"/>
                <w:szCs w:val="14"/>
              </w:rPr>
              <w:t>26.428</w:t>
            </w:r>
          </w:p>
        </w:tc>
        <w:tc>
          <w:tcPr>
            <w:tcW w:w="2185" w:type="dxa"/>
            <w:tcBorders>
              <w:top w:val="nil"/>
              <w:left w:val="nil"/>
              <w:bottom w:val="nil"/>
              <w:right w:val="nil"/>
            </w:tcBorders>
            <w:shd w:val="clear" w:color="auto" w:fill="auto"/>
            <w:vAlign w:val="center"/>
          </w:tcPr>
          <w:p w14:paraId="4BFF76A8"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3321FA">
              <w:rPr>
                <w:rFonts w:cs="Arial"/>
                <w:color w:val="000000"/>
                <w:szCs w:val="14"/>
              </w:rPr>
              <w:t>14.933</w:t>
            </w:r>
          </w:p>
        </w:tc>
      </w:tr>
      <w:tr w:rsidR="003321FA" w:rsidRPr="003321FA" w14:paraId="147DB466"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6AAE468A" w14:textId="77777777" w:rsidR="003321FA" w:rsidRPr="003321FA" w:rsidRDefault="003321FA">
            <w:pPr>
              <w:pStyle w:val="08-Tabelageral"/>
              <w:ind w:left="113"/>
              <w:jc w:val="left"/>
              <w:rPr>
                <w:rFonts w:cs="Arial"/>
                <w:b w:val="0"/>
              </w:rPr>
            </w:pPr>
            <w:r w:rsidRPr="003321FA">
              <w:rPr>
                <w:rFonts w:cs="Arial"/>
                <w:b w:val="0"/>
              </w:rPr>
              <w:t>Passivos por impostos correntes</w:t>
            </w:r>
          </w:p>
        </w:tc>
        <w:tc>
          <w:tcPr>
            <w:tcW w:w="2183" w:type="dxa"/>
            <w:tcBorders>
              <w:top w:val="nil"/>
              <w:left w:val="nil"/>
              <w:bottom w:val="nil"/>
              <w:right w:val="nil"/>
            </w:tcBorders>
            <w:shd w:val="clear" w:color="auto" w:fill="auto"/>
            <w:vAlign w:val="center"/>
          </w:tcPr>
          <w:p w14:paraId="3AD4FB71"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321FA">
              <w:rPr>
                <w:rFonts w:cs="Arial"/>
                <w:color w:val="000000"/>
                <w:szCs w:val="14"/>
              </w:rPr>
              <w:t>1.101.598</w:t>
            </w:r>
          </w:p>
        </w:tc>
        <w:tc>
          <w:tcPr>
            <w:tcW w:w="2185" w:type="dxa"/>
            <w:tcBorders>
              <w:top w:val="nil"/>
              <w:left w:val="nil"/>
              <w:bottom w:val="nil"/>
              <w:right w:val="nil"/>
            </w:tcBorders>
            <w:shd w:val="clear" w:color="auto" w:fill="auto"/>
            <w:vAlign w:val="center"/>
          </w:tcPr>
          <w:p w14:paraId="17BEF9B1"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3321FA">
              <w:rPr>
                <w:rFonts w:cs="Arial"/>
                <w:color w:val="000000"/>
                <w:szCs w:val="14"/>
              </w:rPr>
              <w:t>949.072</w:t>
            </w:r>
          </w:p>
        </w:tc>
      </w:tr>
      <w:tr w:rsidR="003321FA" w:rsidRPr="003321FA" w14:paraId="41C128D6"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357E7044" w14:textId="77777777" w:rsidR="003321FA" w:rsidRPr="003321FA" w:rsidRDefault="003321FA">
            <w:pPr>
              <w:pStyle w:val="08-Tabelageral"/>
              <w:ind w:left="113"/>
              <w:jc w:val="left"/>
              <w:rPr>
                <w:rFonts w:cs="Arial"/>
                <w:b w:val="0"/>
              </w:rPr>
            </w:pPr>
            <w:r w:rsidRPr="003321FA">
              <w:rPr>
                <w:rFonts w:cs="Arial"/>
                <w:b w:val="0"/>
              </w:rPr>
              <w:t>Comissões a apropriar</w:t>
            </w:r>
          </w:p>
        </w:tc>
        <w:tc>
          <w:tcPr>
            <w:tcW w:w="2183" w:type="dxa"/>
            <w:tcBorders>
              <w:top w:val="nil"/>
              <w:left w:val="nil"/>
              <w:bottom w:val="nil"/>
              <w:right w:val="nil"/>
            </w:tcBorders>
            <w:shd w:val="clear" w:color="auto" w:fill="auto"/>
            <w:vAlign w:val="center"/>
          </w:tcPr>
          <w:p w14:paraId="4EA5B7EB"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321FA">
              <w:rPr>
                <w:rFonts w:cs="Arial"/>
                <w:color w:val="000000"/>
                <w:szCs w:val="14"/>
              </w:rPr>
              <w:t>2.627.914</w:t>
            </w:r>
          </w:p>
        </w:tc>
        <w:tc>
          <w:tcPr>
            <w:tcW w:w="2185" w:type="dxa"/>
            <w:tcBorders>
              <w:top w:val="nil"/>
              <w:left w:val="nil"/>
              <w:bottom w:val="nil"/>
              <w:right w:val="nil"/>
            </w:tcBorders>
            <w:shd w:val="clear" w:color="auto" w:fill="auto"/>
            <w:vAlign w:val="center"/>
          </w:tcPr>
          <w:p w14:paraId="468D9CB2"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3321FA">
              <w:rPr>
                <w:rFonts w:cs="Arial"/>
                <w:color w:val="000000"/>
                <w:szCs w:val="14"/>
              </w:rPr>
              <w:t>1.952.798</w:t>
            </w:r>
          </w:p>
        </w:tc>
      </w:tr>
      <w:tr w:rsidR="003321FA" w:rsidRPr="003321FA" w14:paraId="5BF3EA6A"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2A488138" w14:textId="77777777" w:rsidR="003321FA" w:rsidRPr="003321FA" w:rsidRDefault="003321FA">
            <w:pPr>
              <w:pStyle w:val="08-Tabelageral"/>
              <w:ind w:left="113"/>
              <w:jc w:val="left"/>
              <w:rPr>
                <w:rFonts w:cs="Arial"/>
                <w:b w:val="0"/>
              </w:rPr>
            </w:pPr>
            <w:r w:rsidRPr="003321FA">
              <w:rPr>
                <w:rFonts w:cs="Arial"/>
                <w:b w:val="0"/>
              </w:rPr>
              <w:t>Outros passivos</w:t>
            </w:r>
          </w:p>
        </w:tc>
        <w:tc>
          <w:tcPr>
            <w:tcW w:w="2183" w:type="dxa"/>
            <w:tcBorders>
              <w:top w:val="nil"/>
              <w:left w:val="nil"/>
              <w:bottom w:val="nil"/>
              <w:right w:val="nil"/>
            </w:tcBorders>
            <w:shd w:val="clear" w:color="auto" w:fill="auto"/>
            <w:vAlign w:val="center"/>
          </w:tcPr>
          <w:p w14:paraId="3A921544"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321FA">
              <w:rPr>
                <w:rFonts w:cs="Arial"/>
                <w:color w:val="000000"/>
                <w:szCs w:val="14"/>
              </w:rPr>
              <w:t>88.646</w:t>
            </w:r>
          </w:p>
        </w:tc>
        <w:tc>
          <w:tcPr>
            <w:tcW w:w="2185" w:type="dxa"/>
            <w:tcBorders>
              <w:top w:val="nil"/>
              <w:left w:val="nil"/>
              <w:bottom w:val="nil"/>
              <w:right w:val="nil"/>
            </w:tcBorders>
            <w:shd w:val="clear" w:color="auto" w:fill="auto"/>
            <w:vAlign w:val="center"/>
          </w:tcPr>
          <w:p w14:paraId="114695F7"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3321FA">
              <w:rPr>
                <w:rFonts w:cs="Arial"/>
                <w:color w:val="000000"/>
                <w:szCs w:val="14"/>
              </w:rPr>
              <w:t>99.169</w:t>
            </w:r>
          </w:p>
        </w:tc>
      </w:tr>
      <w:tr w:rsidR="003321FA" w:rsidRPr="003321FA" w14:paraId="323193A2"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3774BB80" w14:textId="77777777" w:rsidR="003321FA" w:rsidRPr="003321FA" w:rsidRDefault="003321FA">
            <w:pPr>
              <w:pStyle w:val="08-Tabelageral"/>
              <w:jc w:val="left"/>
              <w:rPr>
                <w:rFonts w:cs="Arial"/>
              </w:rPr>
            </w:pPr>
            <w:r w:rsidRPr="003321FA">
              <w:rPr>
                <w:rFonts w:cs="Arial"/>
              </w:rPr>
              <w:t>Passivo Não Circulante</w:t>
            </w:r>
          </w:p>
        </w:tc>
        <w:tc>
          <w:tcPr>
            <w:tcW w:w="2183" w:type="dxa"/>
            <w:tcBorders>
              <w:top w:val="nil"/>
              <w:bottom w:val="nil"/>
            </w:tcBorders>
            <w:shd w:val="clear" w:color="auto" w:fill="auto"/>
            <w:vAlign w:val="center"/>
          </w:tcPr>
          <w:p w14:paraId="1449F2EC"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3321FA">
              <w:rPr>
                <w:rFonts w:cs="Arial"/>
                <w:b/>
                <w:bCs/>
                <w:color w:val="000000"/>
                <w:szCs w:val="14"/>
              </w:rPr>
              <w:t>3.412.583</w:t>
            </w:r>
          </w:p>
        </w:tc>
        <w:tc>
          <w:tcPr>
            <w:tcW w:w="2185" w:type="dxa"/>
            <w:tcBorders>
              <w:top w:val="nil"/>
              <w:bottom w:val="nil"/>
            </w:tcBorders>
            <w:shd w:val="clear" w:color="auto" w:fill="auto"/>
            <w:vAlign w:val="center"/>
          </w:tcPr>
          <w:p w14:paraId="73F8FDE8"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3321FA">
              <w:rPr>
                <w:rFonts w:cs="Arial"/>
                <w:b/>
                <w:bCs/>
              </w:rPr>
              <w:t>2.748.860</w:t>
            </w:r>
          </w:p>
        </w:tc>
      </w:tr>
      <w:tr w:rsidR="003321FA" w:rsidRPr="003321FA" w14:paraId="3D063709"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32F98C7D" w14:textId="77777777" w:rsidR="003321FA" w:rsidRPr="003321FA" w:rsidRDefault="003321FA">
            <w:pPr>
              <w:pStyle w:val="08-Tabelageral"/>
              <w:ind w:left="113"/>
              <w:jc w:val="left"/>
              <w:rPr>
                <w:rFonts w:cs="Arial"/>
                <w:b w:val="0"/>
              </w:rPr>
            </w:pPr>
            <w:r w:rsidRPr="003321FA">
              <w:rPr>
                <w:rFonts w:cs="Arial"/>
                <w:b w:val="0"/>
              </w:rPr>
              <w:t>Provisões trabalhistas, fiscais e cíveis</w:t>
            </w:r>
          </w:p>
        </w:tc>
        <w:tc>
          <w:tcPr>
            <w:tcW w:w="2183" w:type="dxa"/>
            <w:tcBorders>
              <w:top w:val="nil"/>
              <w:bottom w:val="nil"/>
            </w:tcBorders>
            <w:shd w:val="clear" w:color="auto" w:fill="auto"/>
            <w:vAlign w:val="center"/>
          </w:tcPr>
          <w:p w14:paraId="2A8F5AB3"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321FA">
              <w:rPr>
                <w:rFonts w:cs="Arial"/>
                <w:color w:val="000000"/>
                <w:szCs w:val="14"/>
              </w:rPr>
              <w:t>21.257</w:t>
            </w:r>
          </w:p>
        </w:tc>
        <w:tc>
          <w:tcPr>
            <w:tcW w:w="2185" w:type="dxa"/>
            <w:tcBorders>
              <w:top w:val="nil"/>
              <w:bottom w:val="nil"/>
            </w:tcBorders>
            <w:shd w:val="clear" w:color="auto" w:fill="auto"/>
            <w:vAlign w:val="center"/>
          </w:tcPr>
          <w:p w14:paraId="58973CD9"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3321FA">
              <w:rPr>
                <w:rFonts w:cs="Arial"/>
                <w:color w:val="000000"/>
                <w:szCs w:val="14"/>
              </w:rPr>
              <w:t>13.501</w:t>
            </w:r>
          </w:p>
        </w:tc>
      </w:tr>
      <w:tr w:rsidR="003321FA" w:rsidRPr="003321FA" w14:paraId="7EB32900"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327A24D2" w14:textId="77777777" w:rsidR="003321FA" w:rsidRPr="003321FA" w:rsidRDefault="003321FA">
            <w:pPr>
              <w:pStyle w:val="08-Tabelageral"/>
              <w:ind w:left="113"/>
              <w:jc w:val="left"/>
              <w:rPr>
                <w:rFonts w:cs="Arial"/>
                <w:b w:val="0"/>
              </w:rPr>
            </w:pPr>
            <w:r w:rsidRPr="003321FA">
              <w:rPr>
                <w:rFonts w:cs="Arial"/>
                <w:b w:val="0"/>
              </w:rPr>
              <w:t>Comissões a apropriar</w:t>
            </w:r>
          </w:p>
        </w:tc>
        <w:tc>
          <w:tcPr>
            <w:tcW w:w="2183" w:type="dxa"/>
            <w:tcBorders>
              <w:top w:val="nil"/>
              <w:bottom w:val="nil"/>
            </w:tcBorders>
            <w:shd w:val="clear" w:color="auto" w:fill="auto"/>
            <w:vAlign w:val="center"/>
          </w:tcPr>
          <w:p w14:paraId="12E349E2"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3321FA">
              <w:rPr>
                <w:rFonts w:cs="Arial"/>
                <w:color w:val="000000"/>
                <w:szCs w:val="14"/>
              </w:rPr>
              <w:t>3.391.326</w:t>
            </w:r>
          </w:p>
        </w:tc>
        <w:tc>
          <w:tcPr>
            <w:tcW w:w="2185" w:type="dxa"/>
            <w:tcBorders>
              <w:top w:val="nil"/>
              <w:bottom w:val="nil"/>
            </w:tcBorders>
            <w:shd w:val="clear" w:color="auto" w:fill="auto"/>
            <w:vAlign w:val="center"/>
          </w:tcPr>
          <w:p w14:paraId="3496226B"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3321FA">
              <w:rPr>
                <w:rFonts w:cs="Arial"/>
                <w:color w:val="000000"/>
                <w:szCs w:val="14"/>
              </w:rPr>
              <w:t>2.735.359</w:t>
            </w:r>
          </w:p>
        </w:tc>
      </w:tr>
      <w:tr w:rsidR="003321FA" w:rsidRPr="003321FA" w14:paraId="4EDF4121"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3A38E5CD" w14:textId="77777777" w:rsidR="003321FA" w:rsidRPr="003321FA" w:rsidRDefault="003321FA">
            <w:pPr>
              <w:pStyle w:val="08-Tabelageral"/>
              <w:jc w:val="left"/>
              <w:rPr>
                <w:rFonts w:cs="Arial"/>
              </w:rPr>
            </w:pPr>
            <w:r w:rsidRPr="003321FA">
              <w:rPr>
                <w:rFonts w:cs="Arial"/>
              </w:rPr>
              <w:t>Total do Passivo</w:t>
            </w:r>
          </w:p>
        </w:tc>
        <w:tc>
          <w:tcPr>
            <w:tcW w:w="2183" w:type="dxa"/>
            <w:tcBorders>
              <w:top w:val="nil"/>
              <w:bottom w:val="nil"/>
            </w:tcBorders>
            <w:shd w:val="clear" w:color="auto" w:fill="auto"/>
            <w:vAlign w:val="center"/>
          </w:tcPr>
          <w:p w14:paraId="33D4CC9B" w14:textId="77777777" w:rsidR="003321FA" w:rsidRPr="003321FA" w:rsidRDefault="003321FA">
            <w:pPr>
              <w:jc w:val="right"/>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3321FA">
              <w:rPr>
                <w:rFonts w:ascii="Arial" w:hAnsi="Arial" w:cs="Arial"/>
                <w:b/>
                <w:bCs/>
                <w:color w:val="000000"/>
                <w:sz w:val="14"/>
                <w:szCs w:val="14"/>
              </w:rPr>
              <w:t>8.977.572</w:t>
            </w:r>
          </w:p>
        </w:tc>
        <w:tc>
          <w:tcPr>
            <w:tcW w:w="2185" w:type="dxa"/>
            <w:tcBorders>
              <w:top w:val="nil"/>
              <w:bottom w:val="nil"/>
            </w:tcBorders>
            <w:shd w:val="clear" w:color="auto" w:fill="auto"/>
            <w:vAlign w:val="center"/>
          </w:tcPr>
          <w:p w14:paraId="05BA15B4"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3321FA">
              <w:rPr>
                <w:rFonts w:cs="Arial"/>
                <w:b/>
                <w:bCs/>
                <w:color w:val="000000"/>
                <w:szCs w:val="14"/>
              </w:rPr>
              <w:t>7.338.725</w:t>
            </w:r>
          </w:p>
        </w:tc>
      </w:tr>
      <w:tr w:rsidR="003321FA" w:rsidRPr="003321FA" w14:paraId="70E82E35"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65D2654E" w14:textId="77777777" w:rsidR="003321FA" w:rsidRPr="003321FA" w:rsidRDefault="003321FA">
            <w:pPr>
              <w:pStyle w:val="08-Tabelageral"/>
              <w:jc w:val="left"/>
              <w:rPr>
                <w:rFonts w:cs="Arial"/>
                <w:b w:val="0"/>
              </w:rPr>
            </w:pPr>
          </w:p>
        </w:tc>
        <w:tc>
          <w:tcPr>
            <w:tcW w:w="2183" w:type="dxa"/>
            <w:tcBorders>
              <w:top w:val="nil"/>
              <w:bottom w:val="nil"/>
            </w:tcBorders>
            <w:shd w:val="clear" w:color="auto" w:fill="auto"/>
            <w:vAlign w:val="center"/>
          </w:tcPr>
          <w:p w14:paraId="538544C4"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2185" w:type="dxa"/>
            <w:tcBorders>
              <w:top w:val="nil"/>
              <w:bottom w:val="nil"/>
            </w:tcBorders>
            <w:shd w:val="clear" w:color="auto" w:fill="auto"/>
            <w:vAlign w:val="center"/>
          </w:tcPr>
          <w:p w14:paraId="3AABEE77"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rPr>
            </w:pPr>
          </w:p>
        </w:tc>
      </w:tr>
      <w:tr w:rsidR="003321FA" w:rsidRPr="003321FA" w14:paraId="38AB7390"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1641A570" w14:textId="77777777" w:rsidR="003321FA" w:rsidRPr="003321FA" w:rsidRDefault="003321FA">
            <w:pPr>
              <w:pStyle w:val="08-Tabelageral"/>
              <w:jc w:val="left"/>
              <w:rPr>
                <w:rFonts w:cs="Arial"/>
              </w:rPr>
            </w:pPr>
            <w:r w:rsidRPr="003321FA">
              <w:rPr>
                <w:rFonts w:cs="Arial"/>
              </w:rPr>
              <w:t>Patrimônio Líquido</w:t>
            </w:r>
          </w:p>
        </w:tc>
        <w:tc>
          <w:tcPr>
            <w:tcW w:w="2183" w:type="dxa"/>
            <w:tcBorders>
              <w:top w:val="nil"/>
              <w:left w:val="nil"/>
              <w:bottom w:val="nil"/>
              <w:right w:val="nil"/>
            </w:tcBorders>
            <w:shd w:val="clear" w:color="auto" w:fill="auto"/>
            <w:vAlign w:val="center"/>
          </w:tcPr>
          <w:p w14:paraId="6F7468AA"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3321FA">
              <w:rPr>
                <w:rFonts w:cs="Arial"/>
                <w:b/>
                <w:bCs/>
                <w:color w:val="000000"/>
                <w:szCs w:val="14"/>
              </w:rPr>
              <w:t>6.118</w:t>
            </w:r>
          </w:p>
        </w:tc>
        <w:tc>
          <w:tcPr>
            <w:tcW w:w="2185" w:type="dxa"/>
            <w:tcBorders>
              <w:top w:val="nil"/>
              <w:bottom w:val="nil"/>
            </w:tcBorders>
            <w:shd w:val="clear" w:color="auto" w:fill="auto"/>
            <w:vAlign w:val="center"/>
          </w:tcPr>
          <w:p w14:paraId="5FE03DB0"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3321FA">
              <w:rPr>
                <w:rFonts w:cs="Arial"/>
                <w:b/>
                <w:bCs/>
                <w:color w:val="000000"/>
                <w:szCs w:val="14"/>
              </w:rPr>
              <w:t>5.872</w:t>
            </w:r>
          </w:p>
        </w:tc>
      </w:tr>
      <w:tr w:rsidR="003321FA" w:rsidRPr="003321FA" w14:paraId="0A1A76D2"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247D20FF" w14:textId="77777777" w:rsidR="003321FA" w:rsidRPr="003321FA" w:rsidRDefault="003321FA">
            <w:pPr>
              <w:pStyle w:val="08-Tabelageral"/>
              <w:ind w:left="113"/>
              <w:jc w:val="left"/>
              <w:rPr>
                <w:rFonts w:cs="Arial"/>
                <w:b w:val="0"/>
              </w:rPr>
            </w:pPr>
            <w:r w:rsidRPr="003321FA">
              <w:rPr>
                <w:rFonts w:cs="Arial"/>
                <w:b w:val="0"/>
              </w:rPr>
              <w:t>Capital social</w:t>
            </w:r>
          </w:p>
        </w:tc>
        <w:tc>
          <w:tcPr>
            <w:tcW w:w="2183" w:type="dxa"/>
            <w:tcBorders>
              <w:top w:val="nil"/>
              <w:left w:val="nil"/>
              <w:bottom w:val="nil"/>
              <w:right w:val="nil"/>
            </w:tcBorders>
            <w:shd w:val="clear" w:color="auto" w:fill="auto"/>
            <w:vAlign w:val="center"/>
          </w:tcPr>
          <w:p w14:paraId="6F67ADA0"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3321FA">
              <w:rPr>
                <w:rFonts w:cs="Arial"/>
                <w:color w:val="000000"/>
                <w:szCs w:val="14"/>
              </w:rPr>
              <w:t>1.000</w:t>
            </w:r>
          </w:p>
        </w:tc>
        <w:tc>
          <w:tcPr>
            <w:tcW w:w="2185" w:type="dxa"/>
            <w:tcBorders>
              <w:top w:val="nil"/>
              <w:bottom w:val="nil"/>
            </w:tcBorders>
            <w:shd w:val="clear" w:color="auto" w:fill="auto"/>
            <w:vAlign w:val="center"/>
          </w:tcPr>
          <w:p w14:paraId="777CCEE7"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3321FA">
              <w:rPr>
                <w:rFonts w:cs="Arial"/>
                <w:color w:val="000000"/>
                <w:szCs w:val="14"/>
              </w:rPr>
              <w:t>1.000</w:t>
            </w:r>
          </w:p>
        </w:tc>
      </w:tr>
      <w:tr w:rsidR="003321FA" w:rsidRPr="003321FA" w14:paraId="71F02E7E"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344D165B" w14:textId="77777777" w:rsidR="003321FA" w:rsidRPr="003321FA" w:rsidRDefault="003321FA">
            <w:pPr>
              <w:pStyle w:val="08-Tabelageral"/>
              <w:ind w:left="113"/>
              <w:jc w:val="left"/>
              <w:rPr>
                <w:rFonts w:cs="Arial"/>
                <w:b w:val="0"/>
              </w:rPr>
            </w:pPr>
            <w:r w:rsidRPr="003321FA">
              <w:rPr>
                <w:rFonts w:cs="Arial"/>
                <w:b w:val="0"/>
              </w:rPr>
              <w:t>Reservas de capital</w:t>
            </w:r>
          </w:p>
        </w:tc>
        <w:tc>
          <w:tcPr>
            <w:tcW w:w="2183" w:type="dxa"/>
            <w:tcBorders>
              <w:top w:val="nil"/>
              <w:left w:val="nil"/>
              <w:bottom w:val="nil"/>
              <w:right w:val="nil"/>
            </w:tcBorders>
            <w:shd w:val="clear" w:color="auto" w:fill="auto"/>
            <w:vAlign w:val="center"/>
          </w:tcPr>
          <w:p w14:paraId="0C5F6027"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3321FA">
              <w:rPr>
                <w:rFonts w:cs="Arial"/>
                <w:color w:val="000000"/>
                <w:szCs w:val="14"/>
              </w:rPr>
              <w:t>4.975</w:t>
            </w:r>
          </w:p>
        </w:tc>
        <w:tc>
          <w:tcPr>
            <w:tcW w:w="2185" w:type="dxa"/>
            <w:tcBorders>
              <w:top w:val="nil"/>
              <w:bottom w:val="nil"/>
            </w:tcBorders>
            <w:shd w:val="clear" w:color="auto" w:fill="auto"/>
            <w:vAlign w:val="center"/>
          </w:tcPr>
          <w:p w14:paraId="41F86965"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3321FA">
              <w:rPr>
                <w:rFonts w:cs="Arial"/>
                <w:color w:val="000000"/>
                <w:szCs w:val="14"/>
              </w:rPr>
              <w:t>4.975</w:t>
            </w:r>
          </w:p>
        </w:tc>
      </w:tr>
      <w:tr w:rsidR="003321FA" w:rsidRPr="003321FA" w14:paraId="60D55B74"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263479B5" w14:textId="77777777" w:rsidR="003321FA" w:rsidRPr="003321FA" w:rsidRDefault="003321FA">
            <w:pPr>
              <w:pStyle w:val="08-Tabelageral"/>
              <w:ind w:left="113"/>
              <w:jc w:val="left"/>
              <w:rPr>
                <w:rFonts w:cs="Arial"/>
                <w:b w:val="0"/>
              </w:rPr>
            </w:pPr>
            <w:r w:rsidRPr="003321FA">
              <w:rPr>
                <w:rFonts w:cs="Arial"/>
                <w:b w:val="0"/>
              </w:rPr>
              <w:t>Reservas de lucros</w:t>
            </w:r>
          </w:p>
        </w:tc>
        <w:tc>
          <w:tcPr>
            <w:tcW w:w="2183" w:type="dxa"/>
            <w:tcBorders>
              <w:top w:val="nil"/>
              <w:left w:val="nil"/>
              <w:bottom w:val="nil"/>
              <w:right w:val="nil"/>
            </w:tcBorders>
            <w:shd w:val="clear" w:color="auto" w:fill="auto"/>
            <w:vAlign w:val="center"/>
          </w:tcPr>
          <w:p w14:paraId="462DD7D1"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3321FA">
              <w:rPr>
                <w:rFonts w:cs="Arial"/>
                <w:color w:val="000000"/>
                <w:szCs w:val="14"/>
              </w:rPr>
              <w:t>200</w:t>
            </w:r>
          </w:p>
        </w:tc>
        <w:tc>
          <w:tcPr>
            <w:tcW w:w="2185" w:type="dxa"/>
            <w:tcBorders>
              <w:top w:val="nil"/>
              <w:bottom w:val="nil"/>
            </w:tcBorders>
            <w:shd w:val="clear" w:color="auto" w:fill="auto"/>
            <w:vAlign w:val="center"/>
          </w:tcPr>
          <w:p w14:paraId="67BD3634"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3321FA">
              <w:rPr>
                <w:rFonts w:cs="Arial"/>
                <w:color w:val="000000"/>
                <w:szCs w:val="14"/>
              </w:rPr>
              <w:t>200</w:t>
            </w:r>
          </w:p>
        </w:tc>
      </w:tr>
      <w:tr w:rsidR="003321FA" w:rsidRPr="003321FA" w14:paraId="44818601"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742266ED" w14:textId="77777777" w:rsidR="003321FA" w:rsidRPr="003321FA" w:rsidRDefault="003321FA">
            <w:pPr>
              <w:pStyle w:val="08-Tabelageral"/>
              <w:ind w:left="113"/>
              <w:jc w:val="left"/>
              <w:rPr>
                <w:rFonts w:cs="Arial"/>
                <w:b w:val="0"/>
              </w:rPr>
            </w:pPr>
            <w:r w:rsidRPr="003321FA">
              <w:rPr>
                <w:rFonts w:cs="Arial"/>
                <w:b w:val="0"/>
              </w:rPr>
              <w:t>Outros resultados abrangentes acumulados</w:t>
            </w:r>
          </w:p>
        </w:tc>
        <w:tc>
          <w:tcPr>
            <w:tcW w:w="2183" w:type="dxa"/>
            <w:tcBorders>
              <w:top w:val="nil"/>
              <w:left w:val="nil"/>
              <w:bottom w:val="nil"/>
              <w:right w:val="nil"/>
            </w:tcBorders>
            <w:shd w:val="clear" w:color="auto" w:fill="auto"/>
            <w:vAlign w:val="center"/>
          </w:tcPr>
          <w:p w14:paraId="66D3809D"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3321FA">
              <w:rPr>
                <w:rFonts w:cs="Arial"/>
                <w:color w:val="000000"/>
                <w:szCs w:val="14"/>
              </w:rPr>
              <w:t>(57)</w:t>
            </w:r>
          </w:p>
        </w:tc>
        <w:tc>
          <w:tcPr>
            <w:tcW w:w="2185" w:type="dxa"/>
            <w:tcBorders>
              <w:top w:val="nil"/>
              <w:bottom w:val="nil"/>
            </w:tcBorders>
            <w:shd w:val="clear" w:color="auto" w:fill="auto"/>
            <w:vAlign w:val="center"/>
          </w:tcPr>
          <w:p w14:paraId="5AFA043D"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3321FA">
              <w:rPr>
                <w:rFonts w:cs="Arial"/>
                <w:color w:val="000000"/>
                <w:szCs w:val="14"/>
              </w:rPr>
              <w:t>(303)</w:t>
            </w:r>
          </w:p>
        </w:tc>
      </w:tr>
      <w:tr w:rsidR="003321FA" w:rsidRPr="003321FA" w14:paraId="4CA10038"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37FEB925" w14:textId="77777777" w:rsidR="003321FA" w:rsidRPr="003321FA" w:rsidRDefault="003321FA">
            <w:pPr>
              <w:pStyle w:val="08-Tabelageral"/>
              <w:jc w:val="left"/>
              <w:rPr>
                <w:rFonts w:cs="Arial"/>
              </w:rPr>
            </w:pPr>
            <w:r w:rsidRPr="003321FA">
              <w:rPr>
                <w:rFonts w:cs="Arial"/>
              </w:rPr>
              <w:t>Passivo e Patrimônio Líquido</w:t>
            </w:r>
          </w:p>
        </w:tc>
        <w:tc>
          <w:tcPr>
            <w:tcW w:w="2183" w:type="dxa"/>
            <w:tcBorders>
              <w:top w:val="nil"/>
              <w:bottom w:val="nil"/>
            </w:tcBorders>
            <w:shd w:val="clear" w:color="auto" w:fill="auto"/>
            <w:vAlign w:val="center"/>
          </w:tcPr>
          <w:p w14:paraId="42117FAE"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3321FA">
              <w:rPr>
                <w:rFonts w:cs="Arial"/>
                <w:b/>
                <w:bCs/>
                <w:color w:val="000000"/>
                <w:szCs w:val="14"/>
              </w:rPr>
              <w:t>8.983.690</w:t>
            </w:r>
          </w:p>
        </w:tc>
        <w:tc>
          <w:tcPr>
            <w:tcW w:w="2185" w:type="dxa"/>
            <w:tcBorders>
              <w:top w:val="nil"/>
              <w:bottom w:val="nil"/>
            </w:tcBorders>
            <w:shd w:val="clear" w:color="auto" w:fill="auto"/>
          </w:tcPr>
          <w:p w14:paraId="345C1BBD"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3321FA">
              <w:rPr>
                <w:b/>
                <w:bCs/>
              </w:rPr>
              <w:t>7.344.597</w:t>
            </w:r>
          </w:p>
        </w:tc>
      </w:tr>
      <w:tr w:rsidR="003321FA" w:rsidRPr="003321FA" w14:paraId="46872272"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57924706" w14:textId="77777777" w:rsidR="003321FA" w:rsidRPr="003321FA" w:rsidRDefault="003321FA">
            <w:pPr>
              <w:pStyle w:val="08-Tabelageral"/>
              <w:jc w:val="left"/>
              <w:rPr>
                <w:rFonts w:cs="Arial"/>
              </w:rPr>
            </w:pPr>
            <w:r w:rsidRPr="003321FA">
              <w:rPr>
                <w:rFonts w:cs="Arial"/>
              </w:rPr>
              <w:t>Atribuível à BB Seguridade</w:t>
            </w:r>
          </w:p>
        </w:tc>
        <w:tc>
          <w:tcPr>
            <w:tcW w:w="2183" w:type="dxa"/>
            <w:tcBorders>
              <w:top w:val="nil"/>
              <w:bottom w:val="nil"/>
            </w:tcBorders>
            <w:shd w:val="clear" w:color="auto" w:fill="auto"/>
            <w:vAlign w:val="center"/>
          </w:tcPr>
          <w:p w14:paraId="21BB937D"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3321FA">
              <w:rPr>
                <w:rFonts w:cs="Arial"/>
                <w:b/>
                <w:bCs/>
                <w:szCs w:val="14"/>
              </w:rPr>
              <w:t>6.118</w:t>
            </w:r>
          </w:p>
        </w:tc>
        <w:tc>
          <w:tcPr>
            <w:tcW w:w="2185" w:type="dxa"/>
            <w:tcBorders>
              <w:top w:val="nil"/>
              <w:bottom w:val="nil"/>
            </w:tcBorders>
            <w:shd w:val="clear" w:color="auto" w:fill="auto"/>
          </w:tcPr>
          <w:p w14:paraId="3415E1E0" w14:textId="77777777" w:rsidR="003321FA" w:rsidRPr="003321FA" w:rsidRDefault="003321FA">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3321FA">
              <w:rPr>
                <w:rFonts w:cs="Arial"/>
                <w:b/>
                <w:bCs/>
                <w:color w:val="000000"/>
                <w:szCs w:val="14"/>
              </w:rPr>
              <w:t>5.872</w:t>
            </w:r>
          </w:p>
        </w:tc>
      </w:tr>
      <w:tr w:rsidR="003321FA" w:rsidRPr="00D25D79" w14:paraId="61D97D30"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single" w:sz="2" w:space="0" w:color="1F3864" w:themeColor="accent1" w:themeShade="80"/>
            </w:tcBorders>
            <w:shd w:val="clear" w:color="auto" w:fill="auto"/>
            <w:vAlign w:val="center"/>
          </w:tcPr>
          <w:p w14:paraId="4941419C" w14:textId="77777777" w:rsidR="003321FA" w:rsidRPr="003321FA" w:rsidRDefault="003321FA">
            <w:pPr>
              <w:pStyle w:val="08-Tabelageral"/>
              <w:keepNext w:val="0"/>
              <w:keepLines w:val="0"/>
              <w:widowControl w:val="0"/>
              <w:jc w:val="left"/>
              <w:rPr>
                <w:rFonts w:cs="Arial"/>
              </w:rPr>
            </w:pPr>
            <w:r w:rsidRPr="003321FA">
              <w:rPr>
                <w:rFonts w:cs="Arial"/>
              </w:rPr>
              <w:t>Saldo do investimento</w:t>
            </w:r>
          </w:p>
        </w:tc>
        <w:tc>
          <w:tcPr>
            <w:tcW w:w="2183" w:type="dxa"/>
            <w:tcBorders>
              <w:top w:val="nil"/>
              <w:bottom w:val="single" w:sz="2" w:space="0" w:color="1F3864" w:themeColor="accent1" w:themeShade="80"/>
            </w:tcBorders>
            <w:shd w:val="clear" w:color="auto" w:fill="auto"/>
            <w:vAlign w:val="center"/>
          </w:tcPr>
          <w:p w14:paraId="677EE179" w14:textId="77777777" w:rsidR="003321FA" w:rsidRPr="003321FA"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3321FA">
              <w:rPr>
                <w:rFonts w:cs="Arial"/>
                <w:b/>
                <w:bCs/>
                <w:szCs w:val="14"/>
              </w:rPr>
              <w:t>6.118</w:t>
            </w:r>
          </w:p>
        </w:tc>
        <w:tc>
          <w:tcPr>
            <w:tcW w:w="2185" w:type="dxa"/>
            <w:tcBorders>
              <w:top w:val="nil"/>
              <w:bottom w:val="single" w:sz="2" w:space="0" w:color="1F3864" w:themeColor="accent1" w:themeShade="80"/>
            </w:tcBorders>
            <w:shd w:val="clear" w:color="auto" w:fill="auto"/>
          </w:tcPr>
          <w:p w14:paraId="099CDD11" w14:textId="77777777" w:rsidR="003321FA" w:rsidRPr="00E7744F" w:rsidRDefault="003321FA">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3321FA">
              <w:rPr>
                <w:rFonts w:cs="Arial"/>
                <w:b/>
                <w:bCs/>
                <w:color w:val="000000"/>
                <w:szCs w:val="14"/>
              </w:rPr>
              <w:t>5.872</w:t>
            </w:r>
          </w:p>
        </w:tc>
      </w:tr>
      <w:bookmarkEnd w:id="59"/>
      <w:bookmarkEnd w:id="62"/>
    </w:tbl>
    <w:p w14:paraId="6FA47420" w14:textId="77777777" w:rsidR="002965B6" w:rsidRDefault="002965B6" w:rsidP="003321FA">
      <w:pPr>
        <w:widowControl w:val="0"/>
        <w:spacing w:after="0" w:line="240" w:lineRule="auto"/>
        <w:rPr>
          <w:lang w:eastAsia="pt-BR"/>
        </w:rPr>
      </w:pPr>
    </w:p>
    <w:p w14:paraId="01FACAED" w14:textId="77777777" w:rsidR="00416E1B" w:rsidRPr="00BF2AAF" w:rsidRDefault="00416E1B" w:rsidP="00D30133">
      <w:pPr>
        <w:pStyle w:val="Ttulo1"/>
        <w:pageBreakBefore/>
        <w:rPr>
          <w:rFonts w:ascii="Arial" w:hAnsi="Arial" w:cs="Arial"/>
          <w:b/>
          <w:color w:val="1F3864" w:themeColor="accent1" w:themeShade="80"/>
          <w:sz w:val="20"/>
          <w:szCs w:val="20"/>
        </w:rPr>
      </w:pPr>
      <w:bookmarkStart w:id="82" w:name="_Toc189757074"/>
      <w:bookmarkEnd w:id="58"/>
      <w:r w:rsidRPr="00BF2AAF">
        <w:rPr>
          <w:rFonts w:ascii="Arial" w:hAnsi="Arial" w:cs="Arial"/>
          <w:b/>
          <w:color w:val="1F3864" w:themeColor="accent1" w:themeShade="80"/>
          <w:sz w:val="20"/>
          <w:szCs w:val="20"/>
        </w:rPr>
        <w:lastRenderedPageBreak/>
        <w:t>8 – RECEITAS DE COMISSÕES</w:t>
      </w:r>
      <w:bookmarkEnd w:id="82"/>
    </w:p>
    <w:p w14:paraId="213B9844" w14:textId="77777777" w:rsidR="001667BE" w:rsidRPr="005A1D4C" w:rsidRDefault="001667BE" w:rsidP="001667BE">
      <w:pPr>
        <w:spacing w:before="120" w:after="120"/>
        <w:jc w:val="both"/>
        <w:rPr>
          <w:rFonts w:ascii="Arial" w:hAnsi="Arial" w:cs="Arial"/>
          <w:sz w:val="18"/>
          <w:szCs w:val="18"/>
        </w:rPr>
      </w:pPr>
      <w:r w:rsidRPr="000673D8">
        <w:rPr>
          <w:rFonts w:ascii="Arial" w:hAnsi="Arial" w:cs="Arial"/>
          <w:sz w:val="18"/>
          <w:szCs w:val="18"/>
        </w:rPr>
        <w:t>As receitas de comissões advêm da investida BB Corretora, provenientes das corretagens relativas à comercialização de seguros, planos de previdência aberta, títulos de capitalização e planos de assistência odontológica.</w:t>
      </w:r>
    </w:p>
    <w:p w14:paraId="064D3DD3" w14:textId="77777777" w:rsidR="001667BE" w:rsidRPr="004C777F" w:rsidRDefault="001667BE" w:rsidP="001667BE">
      <w:pPr>
        <w:pStyle w:val="01-TtulodeNota"/>
        <w:spacing w:before="0" w:after="0"/>
        <w:jc w:val="right"/>
        <w:rPr>
          <w:sz w:val="14"/>
          <w:szCs w:val="14"/>
        </w:rPr>
      </w:pPr>
      <w:r>
        <w:rPr>
          <w:sz w:val="14"/>
          <w:szCs w:val="14"/>
        </w:rPr>
        <w:t xml:space="preserve">  </w:t>
      </w:r>
      <w:r>
        <w:rPr>
          <w:sz w:val="14"/>
          <w:szCs w:val="14"/>
        </w:rPr>
        <w:tab/>
        <w:t xml:space="preserve"> </w:t>
      </w:r>
      <w:r w:rsidRPr="004C777F">
        <w:rPr>
          <w:sz w:val="14"/>
          <w:szCs w:val="14"/>
        </w:rPr>
        <w:t>R$ mil</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2467"/>
        <w:gridCol w:w="583"/>
        <w:gridCol w:w="595"/>
        <w:gridCol w:w="56"/>
        <w:gridCol w:w="1341"/>
        <w:gridCol w:w="1400"/>
        <w:gridCol w:w="43"/>
        <w:gridCol w:w="239"/>
        <w:gridCol w:w="1404"/>
        <w:gridCol w:w="1511"/>
      </w:tblGrid>
      <w:tr w:rsidR="001667BE" w:rsidRPr="00A47279" w14:paraId="1B8B2E17" w14:textId="77777777">
        <w:trPr>
          <w:trHeight w:val="238"/>
        </w:trPr>
        <w:tc>
          <w:tcPr>
            <w:tcW w:w="2467" w:type="dxa"/>
            <w:tcBorders>
              <w:top w:val="single" w:sz="2" w:space="0" w:color="1F3864" w:themeColor="accent1" w:themeShade="80"/>
              <w:bottom w:val="nil"/>
            </w:tcBorders>
            <w:shd w:val="clear" w:color="auto" w:fill="auto"/>
          </w:tcPr>
          <w:p w14:paraId="5C498850" w14:textId="77777777" w:rsidR="001667BE" w:rsidRPr="00890AEB" w:rsidRDefault="001667BE">
            <w:pPr>
              <w:keepNext/>
              <w:keepLines/>
              <w:tabs>
                <w:tab w:val="left" w:pos="2244"/>
                <w:tab w:val="center" w:pos="3294"/>
                <w:tab w:val="left" w:pos="4208"/>
                <w:tab w:val="left" w:pos="5816"/>
                <w:tab w:val="left" w:pos="5872"/>
              </w:tabs>
              <w:spacing w:before="40" w:after="40"/>
              <w:jc w:val="right"/>
              <w:rPr>
                <w:rFonts w:ascii="Arial" w:hAnsi="Arial" w:cs="Arial"/>
                <w:bCs/>
                <w:spacing w:val="-2"/>
                <w:sz w:val="14"/>
                <w:szCs w:val="14"/>
              </w:rPr>
            </w:pPr>
          </w:p>
        </w:tc>
        <w:tc>
          <w:tcPr>
            <w:tcW w:w="1234" w:type="dxa"/>
            <w:gridSpan w:val="3"/>
            <w:tcBorders>
              <w:top w:val="single" w:sz="2" w:space="0" w:color="1F3864" w:themeColor="accent1" w:themeShade="80"/>
              <w:bottom w:val="nil"/>
            </w:tcBorders>
            <w:shd w:val="clear" w:color="auto" w:fill="auto"/>
          </w:tcPr>
          <w:p w14:paraId="0BFF5BE7" w14:textId="77777777" w:rsidR="001667BE" w:rsidRPr="00890AEB" w:rsidRDefault="001667BE">
            <w:pPr>
              <w:keepNext/>
              <w:keepLines/>
              <w:spacing w:before="40" w:after="40"/>
              <w:jc w:val="center"/>
              <w:rPr>
                <w:rFonts w:ascii="Arial" w:hAnsi="Arial" w:cs="Arial"/>
                <w:b/>
                <w:spacing w:val="-2"/>
                <w:sz w:val="14"/>
                <w:szCs w:val="14"/>
              </w:rPr>
            </w:pPr>
          </w:p>
        </w:tc>
        <w:tc>
          <w:tcPr>
            <w:tcW w:w="2784" w:type="dxa"/>
            <w:gridSpan w:val="3"/>
            <w:tcBorders>
              <w:top w:val="single" w:sz="2" w:space="0" w:color="1F3864" w:themeColor="accent1" w:themeShade="80"/>
              <w:bottom w:val="nil"/>
            </w:tcBorders>
            <w:shd w:val="clear" w:color="auto" w:fill="auto"/>
            <w:vAlign w:val="center"/>
          </w:tcPr>
          <w:p w14:paraId="5E75638A" w14:textId="77777777" w:rsidR="001667BE" w:rsidRPr="00890AEB" w:rsidRDefault="001667BE">
            <w:pPr>
              <w:keepNext/>
              <w:keepLines/>
              <w:spacing w:before="40" w:after="40"/>
              <w:jc w:val="center"/>
              <w:rPr>
                <w:rFonts w:ascii="Arial" w:hAnsi="Arial" w:cs="Arial"/>
                <w:b/>
                <w:spacing w:val="-2"/>
                <w:sz w:val="14"/>
                <w:szCs w:val="14"/>
              </w:rPr>
            </w:pPr>
          </w:p>
        </w:tc>
        <w:tc>
          <w:tcPr>
            <w:tcW w:w="239" w:type="dxa"/>
            <w:tcBorders>
              <w:top w:val="single" w:sz="2" w:space="0" w:color="1F3864" w:themeColor="accent1" w:themeShade="80"/>
              <w:bottom w:val="nil"/>
            </w:tcBorders>
            <w:shd w:val="clear" w:color="auto" w:fill="auto"/>
            <w:vAlign w:val="center"/>
          </w:tcPr>
          <w:p w14:paraId="58788EEE" w14:textId="77777777" w:rsidR="001667BE" w:rsidRPr="00A47279" w:rsidRDefault="001667BE">
            <w:pPr>
              <w:keepNext/>
              <w:keepLines/>
              <w:spacing w:before="40" w:after="40"/>
              <w:jc w:val="right"/>
              <w:rPr>
                <w:rFonts w:ascii="Arial" w:hAnsi="Arial" w:cs="Arial"/>
                <w:b/>
                <w:spacing w:val="-2"/>
                <w:sz w:val="14"/>
                <w:szCs w:val="14"/>
              </w:rPr>
            </w:pPr>
          </w:p>
        </w:tc>
        <w:tc>
          <w:tcPr>
            <w:tcW w:w="2915" w:type="dxa"/>
            <w:gridSpan w:val="2"/>
            <w:tcBorders>
              <w:top w:val="single" w:sz="2" w:space="0" w:color="1F3864" w:themeColor="accent1" w:themeShade="80"/>
              <w:bottom w:val="single" w:sz="2" w:space="0" w:color="1F3864" w:themeColor="accent1" w:themeShade="80"/>
            </w:tcBorders>
            <w:shd w:val="clear" w:color="auto" w:fill="auto"/>
            <w:vAlign w:val="center"/>
          </w:tcPr>
          <w:p w14:paraId="24102C96" w14:textId="77777777" w:rsidR="001667BE" w:rsidRPr="00A47279" w:rsidRDefault="001667BE">
            <w:pPr>
              <w:keepNext/>
              <w:keepLines/>
              <w:spacing w:before="40" w:after="40"/>
              <w:jc w:val="center"/>
              <w:rPr>
                <w:rFonts w:ascii="Arial" w:hAnsi="Arial" w:cs="Arial"/>
                <w:b/>
                <w:spacing w:val="-2"/>
                <w:sz w:val="14"/>
                <w:szCs w:val="14"/>
              </w:rPr>
            </w:pPr>
            <w:r w:rsidRPr="00A47279">
              <w:rPr>
                <w:rFonts w:ascii="Arial" w:hAnsi="Arial" w:cs="Arial"/>
                <w:b/>
                <w:spacing w:val="-2"/>
                <w:sz w:val="14"/>
                <w:szCs w:val="14"/>
              </w:rPr>
              <w:t>Consolidado</w:t>
            </w:r>
          </w:p>
        </w:tc>
      </w:tr>
      <w:tr w:rsidR="001667BE" w:rsidRPr="00A47279" w14:paraId="0A994093" w14:textId="77777777">
        <w:trPr>
          <w:trHeight w:val="238"/>
        </w:trPr>
        <w:tc>
          <w:tcPr>
            <w:tcW w:w="3050" w:type="dxa"/>
            <w:gridSpan w:val="2"/>
            <w:tcBorders>
              <w:top w:val="nil"/>
              <w:bottom w:val="single" w:sz="2" w:space="0" w:color="1F3864" w:themeColor="accent1" w:themeShade="80"/>
            </w:tcBorders>
            <w:shd w:val="clear" w:color="auto" w:fill="auto"/>
          </w:tcPr>
          <w:p w14:paraId="4573F9A7" w14:textId="77777777" w:rsidR="001667BE" w:rsidRPr="00A47279" w:rsidRDefault="001667BE">
            <w:pPr>
              <w:keepNext/>
              <w:keepLines/>
              <w:spacing w:before="40" w:after="40"/>
              <w:rPr>
                <w:rFonts w:ascii="Arial" w:hAnsi="Arial" w:cs="Arial"/>
                <w:b/>
                <w:spacing w:val="-2"/>
                <w:sz w:val="14"/>
                <w:szCs w:val="14"/>
              </w:rPr>
            </w:pPr>
          </w:p>
        </w:tc>
        <w:tc>
          <w:tcPr>
            <w:tcW w:w="595" w:type="dxa"/>
            <w:tcBorders>
              <w:top w:val="nil"/>
              <w:bottom w:val="single" w:sz="2" w:space="0" w:color="1F3864" w:themeColor="accent1" w:themeShade="80"/>
            </w:tcBorders>
            <w:shd w:val="clear" w:color="auto" w:fill="auto"/>
          </w:tcPr>
          <w:p w14:paraId="0D3D5895" w14:textId="77777777" w:rsidR="001667BE" w:rsidRPr="00890AEB" w:rsidRDefault="001667BE">
            <w:pPr>
              <w:keepNext/>
              <w:keepLines/>
              <w:spacing w:before="40" w:after="40"/>
              <w:jc w:val="right"/>
              <w:rPr>
                <w:rFonts w:ascii="Arial" w:hAnsi="Arial" w:cs="Arial"/>
                <w:bCs/>
                <w:spacing w:val="-2"/>
                <w:sz w:val="14"/>
                <w:szCs w:val="14"/>
              </w:rPr>
            </w:pPr>
          </w:p>
        </w:tc>
        <w:tc>
          <w:tcPr>
            <w:tcW w:w="1397" w:type="dxa"/>
            <w:gridSpan w:val="2"/>
            <w:tcBorders>
              <w:top w:val="nil"/>
              <w:bottom w:val="single" w:sz="2" w:space="0" w:color="1F3864" w:themeColor="accent1" w:themeShade="80"/>
            </w:tcBorders>
            <w:shd w:val="clear" w:color="auto" w:fill="auto"/>
            <w:vAlign w:val="center"/>
          </w:tcPr>
          <w:p w14:paraId="057C089A" w14:textId="77777777" w:rsidR="001667BE" w:rsidRPr="00890AEB" w:rsidRDefault="001667BE">
            <w:pPr>
              <w:keepNext/>
              <w:keepLines/>
              <w:spacing w:before="40" w:after="40"/>
              <w:jc w:val="right"/>
              <w:rPr>
                <w:rFonts w:ascii="Arial" w:hAnsi="Arial" w:cs="Arial"/>
                <w:b/>
                <w:spacing w:val="-2"/>
                <w:sz w:val="14"/>
                <w:szCs w:val="14"/>
              </w:rPr>
            </w:pPr>
          </w:p>
        </w:tc>
        <w:tc>
          <w:tcPr>
            <w:tcW w:w="1400" w:type="dxa"/>
            <w:tcBorders>
              <w:top w:val="nil"/>
              <w:bottom w:val="single" w:sz="2" w:space="0" w:color="1F3864" w:themeColor="accent1" w:themeShade="80"/>
            </w:tcBorders>
            <w:shd w:val="clear" w:color="auto" w:fill="auto"/>
            <w:vAlign w:val="center"/>
          </w:tcPr>
          <w:p w14:paraId="02629F77" w14:textId="77777777" w:rsidR="001667BE" w:rsidRPr="00890AEB" w:rsidRDefault="001667BE">
            <w:pPr>
              <w:keepNext/>
              <w:keepLines/>
              <w:spacing w:before="40" w:after="40"/>
              <w:jc w:val="right"/>
              <w:rPr>
                <w:rFonts w:ascii="Arial" w:hAnsi="Arial" w:cs="Arial"/>
                <w:b/>
                <w:spacing w:val="-2"/>
                <w:sz w:val="14"/>
                <w:szCs w:val="14"/>
              </w:rPr>
            </w:pPr>
          </w:p>
        </w:tc>
        <w:tc>
          <w:tcPr>
            <w:tcW w:w="282" w:type="dxa"/>
            <w:gridSpan w:val="2"/>
            <w:tcBorders>
              <w:top w:val="nil"/>
              <w:bottom w:val="single" w:sz="2" w:space="0" w:color="1F3864" w:themeColor="accent1" w:themeShade="80"/>
            </w:tcBorders>
            <w:shd w:val="clear" w:color="auto" w:fill="auto"/>
            <w:vAlign w:val="center"/>
          </w:tcPr>
          <w:p w14:paraId="1C8C4F75" w14:textId="77777777" w:rsidR="001667BE" w:rsidRPr="00A47279" w:rsidRDefault="001667BE">
            <w:pPr>
              <w:keepNext/>
              <w:keepLines/>
              <w:spacing w:before="40" w:after="40"/>
              <w:jc w:val="right"/>
              <w:rPr>
                <w:rFonts w:ascii="Arial" w:hAnsi="Arial" w:cs="Arial"/>
                <w:b/>
                <w:spacing w:val="-2"/>
                <w:sz w:val="14"/>
                <w:szCs w:val="18"/>
              </w:rPr>
            </w:pPr>
          </w:p>
        </w:tc>
        <w:tc>
          <w:tcPr>
            <w:tcW w:w="1404" w:type="dxa"/>
            <w:tcBorders>
              <w:top w:val="single" w:sz="2" w:space="0" w:color="1F3864" w:themeColor="accent1" w:themeShade="80"/>
              <w:bottom w:val="single" w:sz="2" w:space="0" w:color="1F3864" w:themeColor="accent1" w:themeShade="80"/>
            </w:tcBorders>
            <w:shd w:val="clear" w:color="auto" w:fill="auto"/>
            <w:vAlign w:val="center"/>
          </w:tcPr>
          <w:p w14:paraId="4DD0E9F6" w14:textId="77777777" w:rsidR="001667BE" w:rsidRPr="00A47279" w:rsidRDefault="001667BE">
            <w:pPr>
              <w:keepNext/>
              <w:keepLines/>
              <w:spacing w:before="40" w:after="40"/>
              <w:jc w:val="right"/>
              <w:rPr>
                <w:rFonts w:ascii="Arial" w:hAnsi="Arial" w:cs="Arial"/>
                <w:b/>
                <w:spacing w:val="-2"/>
                <w:sz w:val="14"/>
                <w:szCs w:val="18"/>
              </w:rPr>
            </w:pPr>
            <w:r>
              <w:rPr>
                <w:rFonts w:ascii="Arial" w:hAnsi="Arial" w:cs="Arial"/>
                <w:b/>
                <w:spacing w:val="-2"/>
                <w:sz w:val="14"/>
                <w:szCs w:val="18"/>
              </w:rPr>
              <w:t>Exercício 2024</w:t>
            </w:r>
          </w:p>
        </w:tc>
        <w:tc>
          <w:tcPr>
            <w:tcW w:w="1511" w:type="dxa"/>
            <w:tcBorders>
              <w:top w:val="single" w:sz="2" w:space="0" w:color="1F3864" w:themeColor="accent1" w:themeShade="80"/>
              <w:bottom w:val="single" w:sz="2" w:space="0" w:color="1F3864" w:themeColor="accent1" w:themeShade="80"/>
            </w:tcBorders>
            <w:shd w:val="clear" w:color="auto" w:fill="auto"/>
            <w:vAlign w:val="center"/>
          </w:tcPr>
          <w:p w14:paraId="62AC6485" w14:textId="77777777" w:rsidR="001667BE" w:rsidRPr="00CC0B19" w:rsidRDefault="001667BE">
            <w:pPr>
              <w:keepNext/>
              <w:keepLines/>
              <w:spacing w:before="40" w:after="40"/>
              <w:jc w:val="right"/>
              <w:rPr>
                <w:rFonts w:ascii="Arial" w:hAnsi="Arial" w:cs="Arial"/>
                <w:b/>
                <w:spacing w:val="-2"/>
                <w:sz w:val="14"/>
                <w:szCs w:val="18"/>
              </w:rPr>
            </w:pPr>
            <w:r w:rsidRPr="00CC0B19">
              <w:rPr>
                <w:rFonts w:ascii="Arial" w:hAnsi="Arial" w:cs="Arial"/>
                <w:b/>
                <w:spacing w:val="-2"/>
                <w:sz w:val="14"/>
                <w:szCs w:val="18"/>
              </w:rPr>
              <w:t>Exercício 202</w:t>
            </w:r>
            <w:r>
              <w:rPr>
                <w:rFonts w:ascii="Arial" w:hAnsi="Arial" w:cs="Arial"/>
                <w:b/>
                <w:spacing w:val="-2"/>
                <w:sz w:val="14"/>
                <w:szCs w:val="18"/>
              </w:rPr>
              <w:t>3</w:t>
            </w:r>
          </w:p>
        </w:tc>
      </w:tr>
      <w:tr w:rsidR="001667BE" w:rsidRPr="00A47279" w14:paraId="1270C49A" w14:textId="77777777">
        <w:trPr>
          <w:trHeight w:val="238"/>
        </w:trPr>
        <w:tc>
          <w:tcPr>
            <w:tcW w:w="3050" w:type="dxa"/>
            <w:gridSpan w:val="2"/>
            <w:tcBorders>
              <w:top w:val="single" w:sz="2" w:space="0" w:color="1F3864" w:themeColor="accent1" w:themeShade="80"/>
              <w:bottom w:val="nil"/>
            </w:tcBorders>
            <w:shd w:val="clear" w:color="auto" w:fill="auto"/>
            <w:vAlign w:val="center"/>
          </w:tcPr>
          <w:p w14:paraId="344EFD5A" w14:textId="77777777" w:rsidR="001667BE" w:rsidRPr="00496EA7" w:rsidRDefault="001667BE">
            <w:pPr>
              <w:pStyle w:val="08-Tabelageral"/>
              <w:jc w:val="left"/>
              <w:rPr>
                <w:rFonts w:cs="Arial"/>
                <w:b/>
                <w:szCs w:val="14"/>
                <w:vertAlign w:val="superscript"/>
              </w:rPr>
            </w:pPr>
            <w:r w:rsidRPr="00496EA7">
              <w:rPr>
                <w:b/>
              </w:rPr>
              <w:t>Receitas de comissões bruta</w:t>
            </w:r>
          </w:p>
        </w:tc>
        <w:tc>
          <w:tcPr>
            <w:tcW w:w="595" w:type="dxa"/>
            <w:tcBorders>
              <w:top w:val="single" w:sz="2" w:space="0" w:color="1F3864" w:themeColor="accent1" w:themeShade="80"/>
              <w:bottom w:val="nil"/>
            </w:tcBorders>
            <w:shd w:val="clear" w:color="auto" w:fill="auto"/>
          </w:tcPr>
          <w:p w14:paraId="555A3724" w14:textId="77777777" w:rsidR="001667BE" w:rsidRPr="00890AEB" w:rsidRDefault="001667BE">
            <w:pPr>
              <w:pStyle w:val="08-Tabelageral"/>
              <w:rPr>
                <w:rFonts w:cs="Arial"/>
                <w:bCs/>
                <w:szCs w:val="14"/>
              </w:rPr>
            </w:pPr>
          </w:p>
        </w:tc>
        <w:tc>
          <w:tcPr>
            <w:tcW w:w="1397" w:type="dxa"/>
            <w:gridSpan w:val="2"/>
            <w:tcBorders>
              <w:top w:val="single" w:sz="2" w:space="0" w:color="1F3864" w:themeColor="accent1" w:themeShade="80"/>
              <w:bottom w:val="nil"/>
            </w:tcBorders>
            <w:shd w:val="clear" w:color="auto" w:fill="auto"/>
            <w:vAlign w:val="center"/>
          </w:tcPr>
          <w:p w14:paraId="01024AEE" w14:textId="77777777" w:rsidR="001667BE" w:rsidRPr="00496EA7" w:rsidRDefault="001667BE">
            <w:pPr>
              <w:pStyle w:val="08-Tabelageral"/>
              <w:rPr>
                <w:rFonts w:cs="Arial"/>
              </w:rPr>
            </w:pPr>
          </w:p>
        </w:tc>
        <w:tc>
          <w:tcPr>
            <w:tcW w:w="1400" w:type="dxa"/>
            <w:tcBorders>
              <w:top w:val="single" w:sz="2" w:space="0" w:color="1F3864" w:themeColor="accent1" w:themeShade="80"/>
              <w:bottom w:val="nil"/>
            </w:tcBorders>
            <w:shd w:val="clear" w:color="auto" w:fill="auto"/>
            <w:vAlign w:val="center"/>
          </w:tcPr>
          <w:p w14:paraId="500140AF" w14:textId="77777777" w:rsidR="001667BE" w:rsidRPr="00496EA7" w:rsidRDefault="001667BE">
            <w:pPr>
              <w:pStyle w:val="08-Tabelageral"/>
              <w:rPr>
                <w:rFonts w:cs="Arial"/>
              </w:rPr>
            </w:pPr>
          </w:p>
        </w:tc>
        <w:tc>
          <w:tcPr>
            <w:tcW w:w="282" w:type="dxa"/>
            <w:gridSpan w:val="2"/>
            <w:tcBorders>
              <w:top w:val="single" w:sz="2" w:space="0" w:color="1F3864" w:themeColor="accent1" w:themeShade="80"/>
              <w:bottom w:val="nil"/>
            </w:tcBorders>
            <w:shd w:val="clear" w:color="auto" w:fill="auto"/>
            <w:vAlign w:val="center"/>
          </w:tcPr>
          <w:p w14:paraId="5B1B6A91" w14:textId="77777777" w:rsidR="001667BE" w:rsidRPr="00496EA7" w:rsidRDefault="001667BE">
            <w:pPr>
              <w:pStyle w:val="08-Tabelageral"/>
              <w:rPr>
                <w:rFonts w:cs="Arial"/>
              </w:rPr>
            </w:pPr>
          </w:p>
        </w:tc>
        <w:tc>
          <w:tcPr>
            <w:tcW w:w="1404" w:type="dxa"/>
            <w:tcBorders>
              <w:top w:val="single" w:sz="2" w:space="0" w:color="1F3864" w:themeColor="accent1" w:themeShade="80"/>
              <w:bottom w:val="nil"/>
            </w:tcBorders>
            <w:shd w:val="clear" w:color="auto" w:fill="auto"/>
          </w:tcPr>
          <w:p w14:paraId="45D41EAF" w14:textId="77777777" w:rsidR="001667BE" w:rsidRPr="007C0ADC" w:rsidRDefault="001667BE">
            <w:pPr>
              <w:pStyle w:val="08-Tabelageral"/>
              <w:rPr>
                <w:rFonts w:cs="Arial"/>
                <w:b/>
                <w:bCs/>
              </w:rPr>
            </w:pPr>
            <w:r>
              <w:rPr>
                <w:rFonts w:cs="Arial"/>
                <w:b/>
                <w:bCs/>
              </w:rPr>
              <w:t>5.644.619</w:t>
            </w:r>
          </w:p>
        </w:tc>
        <w:tc>
          <w:tcPr>
            <w:tcW w:w="1511" w:type="dxa"/>
            <w:tcBorders>
              <w:top w:val="single" w:sz="2" w:space="0" w:color="1F3864" w:themeColor="accent1" w:themeShade="80"/>
              <w:bottom w:val="nil"/>
            </w:tcBorders>
            <w:shd w:val="clear" w:color="auto" w:fill="auto"/>
          </w:tcPr>
          <w:p w14:paraId="75A9E987" w14:textId="77777777" w:rsidR="001667BE" w:rsidRPr="00CC0B19" w:rsidRDefault="001667BE">
            <w:pPr>
              <w:pStyle w:val="08-Tabelageral"/>
              <w:rPr>
                <w:rFonts w:cs="Arial"/>
                <w:b/>
                <w:bCs/>
              </w:rPr>
            </w:pPr>
            <w:r>
              <w:rPr>
                <w:rFonts w:cs="Arial"/>
                <w:b/>
                <w:bCs/>
              </w:rPr>
              <w:t>5.145.597</w:t>
            </w:r>
          </w:p>
        </w:tc>
      </w:tr>
      <w:tr w:rsidR="001667BE" w:rsidRPr="00A47279" w14:paraId="5361D23C" w14:textId="77777777">
        <w:trPr>
          <w:trHeight w:val="238"/>
        </w:trPr>
        <w:tc>
          <w:tcPr>
            <w:tcW w:w="3050" w:type="dxa"/>
            <w:gridSpan w:val="2"/>
            <w:tcBorders>
              <w:top w:val="nil"/>
              <w:bottom w:val="nil"/>
            </w:tcBorders>
            <w:shd w:val="clear" w:color="auto" w:fill="auto"/>
            <w:vAlign w:val="center"/>
          </w:tcPr>
          <w:p w14:paraId="0B32F26F" w14:textId="77777777" w:rsidR="001667BE" w:rsidRPr="00A47279" w:rsidRDefault="001667BE">
            <w:pPr>
              <w:pStyle w:val="08-Tabelageral"/>
              <w:ind w:left="113"/>
              <w:jc w:val="left"/>
              <w:rPr>
                <w:rFonts w:cs="Arial"/>
                <w:szCs w:val="14"/>
              </w:rPr>
            </w:pPr>
            <w:proofErr w:type="spellStart"/>
            <w:r w:rsidRPr="00BC5A4F">
              <w:t>B</w:t>
            </w:r>
            <w:r>
              <w:t>rasilseg</w:t>
            </w:r>
            <w:proofErr w:type="spellEnd"/>
            <w:r>
              <w:t>/ABS</w:t>
            </w:r>
          </w:p>
        </w:tc>
        <w:tc>
          <w:tcPr>
            <w:tcW w:w="595" w:type="dxa"/>
            <w:tcBorders>
              <w:top w:val="nil"/>
            </w:tcBorders>
            <w:shd w:val="clear" w:color="auto" w:fill="auto"/>
          </w:tcPr>
          <w:p w14:paraId="3C8B3F6D" w14:textId="77777777" w:rsidR="001667BE" w:rsidRPr="00890AEB" w:rsidRDefault="001667BE">
            <w:pPr>
              <w:pStyle w:val="08-Tabelageral"/>
              <w:rPr>
                <w:rFonts w:cs="Arial"/>
                <w:bCs/>
                <w:szCs w:val="14"/>
              </w:rPr>
            </w:pPr>
          </w:p>
        </w:tc>
        <w:tc>
          <w:tcPr>
            <w:tcW w:w="1397" w:type="dxa"/>
            <w:gridSpan w:val="2"/>
            <w:tcBorders>
              <w:top w:val="nil"/>
              <w:bottom w:val="nil"/>
            </w:tcBorders>
            <w:shd w:val="clear" w:color="auto" w:fill="auto"/>
            <w:vAlign w:val="center"/>
          </w:tcPr>
          <w:p w14:paraId="450D0DCB" w14:textId="77777777" w:rsidR="001667BE" w:rsidRPr="00496EA7" w:rsidRDefault="001667BE">
            <w:pPr>
              <w:pStyle w:val="08-Tabelageral"/>
              <w:rPr>
                <w:rFonts w:cs="Arial"/>
              </w:rPr>
            </w:pPr>
          </w:p>
        </w:tc>
        <w:tc>
          <w:tcPr>
            <w:tcW w:w="1400" w:type="dxa"/>
            <w:tcBorders>
              <w:top w:val="nil"/>
              <w:bottom w:val="nil"/>
            </w:tcBorders>
            <w:shd w:val="clear" w:color="auto" w:fill="auto"/>
            <w:vAlign w:val="center"/>
          </w:tcPr>
          <w:p w14:paraId="20D6EC61" w14:textId="77777777" w:rsidR="001667BE" w:rsidRPr="00496EA7" w:rsidRDefault="001667BE">
            <w:pPr>
              <w:pStyle w:val="08-Tabelageral"/>
              <w:rPr>
                <w:rFonts w:cs="Arial"/>
              </w:rPr>
            </w:pPr>
          </w:p>
        </w:tc>
        <w:tc>
          <w:tcPr>
            <w:tcW w:w="282" w:type="dxa"/>
            <w:gridSpan w:val="2"/>
            <w:tcBorders>
              <w:top w:val="nil"/>
              <w:bottom w:val="nil"/>
            </w:tcBorders>
            <w:shd w:val="clear" w:color="auto" w:fill="auto"/>
            <w:vAlign w:val="center"/>
          </w:tcPr>
          <w:p w14:paraId="70371196" w14:textId="77777777" w:rsidR="001667BE" w:rsidRPr="00496EA7" w:rsidRDefault="001667BE">
            <w:pPr>
              <w:pStyle w:val="08-Tabelageral"/>
              <w:rPr>
                <w:rFonts w:cs="Arial"/>
              </w:rPr>
            </w:pPr>
          </w:p>
        </w:tc>
        <w:tc>
          <w:tcPr>
            <w:tcW w:w="1404" w:type="dxa"/>
            <w:tcBorders>
              <w:top w:val="nil"/>
              <w:bottom w:val="nil"/>
            </w:tcBorders>
            <w:shd w:val="clear" w:color="auto" w:fill="auto"/>
          </w:tcPr>
          <w:p w14:paraId="0BAAAB38" w14:textId="77777777" w:rsidR="001667BE" w:rsidRPr="00244C22" w:rsidRDefault="001667BE">
            <w:pPr>
              <w:pStyle w:val="08-Tabelageral"/>
              <w:rPr>
                <w:rFonts w:cs="Arial"/>
              </w:rPr>
            </w:pPr>
            <w:r w:rsidRPr="00244C22">
              <w:rPr>
                <w:rFonts w:cs="Arial"/>
              </w:rPr>
              <w:t>4.272.027</w:t>
            </w:r>
          </w:p>
        </w:tc>
        <w:tc>
          <w:tcPr>
            <w:tcW w:w="1511" w:type="dxa"/>
            <w:tcBorders>
              <w:top w:val="nil"/>
              <w:bottom w:val="nil"/>
            </w:tcBorders>
            <w:shd w:val="clear" w:color="auto" w:fill="auto"/>
          </w:tcPr>
          <w:p w14:paraId="2D774369" w14:textId="77777777" w:rsidR="001667BE" w:rsidRPr="00CC0B19" w:rsidRDefault="001667BE">
            <w:pPr>
              <w:pStyle w:val="08-Tabelageral"/>
              <w:rPr>
                <w:rFonts w:cs="Arial"/>
              </w:rPr>
            </w:pPr>
            <w:r>
              <w:rPr>
                <w:rFonts w:cs="Arial"/>
              </w:rPr>
              <w:t>3.818.525</w:t>
            </w:r>
          </w:p>
        </w:tc>
      </w:tr>
      <w:tr w:rsidR="001667BE" w:rsidRPr="00A47279" w14:paraId="2B15F585" w14:textId="77777777">
        <w:trPr>
          <w:trHeight w:val="238"/>
        </w:trPr>
        <w:tc>
          <w:tcPr>
            <w:tcW w:w="3050" w:type="dxa"/>
            <w:gridSpan w:val="2"/>
            <w:tcBorders>
              <w:top w:val="nil"/>
              <w:bottom w:val="nil"/>
            </w:tcBorders>
            <w:shd w:val="clear" w:color="auto" w:fill="auto"/>
            <w:vAlign w:val="center"/>
          </w:tcPr>
          <w:p w14:paraId="6ACB1F63" w14:textId="77777777" w:rsidR="001667BE" w:rsidRPr="00A47279" w:rsidRDefault="001667BE">
            <w:pPr>
              <w:pStyle w:val="08-Tabelageral"/>
              <w:ind w:left="113"/>
              <w:jc w:val="left"/>
              <w:rPr>
                <w:rFonts w:cs="Arial"/>
                <w:szCs w:val="14"/>
              </w:rPr>
            </w:pPr>
            <w:r w:rsidRPr="00BC5A4F">
              <w:t>Brasilprev</w:t>
            </w:r>
            <w:r>
              <w:t xml:space="preserve"> </w:t>
            </w:r>
            <w:r w:rsidRPr="00BC5A4F">
              <w:rPr>
                <w:vertAlign w:val="superscript"/>
              </w:rPr>
              <w:t>(1)</w:t>
            </w:r>
          </w:p>
        </w:tc>
        <w:tc>
          <w:tcPr>
            <w:tcW w:w="595" w:type="dxa"/>
            <w:tcBorders>
              <w:top w:val="nil"/>
            </w:tcBorders>
            <w:shd w:val="clear" w:color="auto" w:fill="auto"/>
          </w:tcPr>
          <w:p w14:paraId="0D7FFFC5" w14:textId="77777777" w:rsidR="001667BE" w:rsidRPr="00890AEB" w:rsidRDefault="001667BE">
            <w:pPr>
              <w:pStyle w:val="08-Tabelageral"/>
              <w:rPr>
                <w:rFonts w:cs="Arial"/>
                <w:bCs/>
                <w:szCs w:val="14"/>
              </w:rPr>
            </w:pPr>
          </w:p>
        </w:tc>
        <w:tc>
          <w:tcPr>
            <w:tcW w:w="1397" w:type="dxa"/>
            <w:gridSpan w:val="2"/>
            <w:tcBorders>
              <w:top w:val="nil"/>
              <w:bottom w:val="nil"/>
            </w:tcBorders>
            <w:shd w:val="clear" w:color="auto" w:fill="auto"/>
            <w:vAlign w:val="center"/>
          </w:tcPr>
          <w:p w14:paraId="0283E423" w14:textId="77777777" w:rsidR="001667BE" w:rsidRPr="00496EA7" w:rsidRDefault="001667BE">
            <w:pPr>
              <w:pStyle w:val="08-Tabelageral"/>
              <w:rPr>
                <w:rFonts w:cs="Arial"/>
              </w:rPr>
            </w:pPr>
          </w:p>
        </w:tc>
        <w:tc>
          <w:tcPr>
            <w:tcW w:w="1400" w:type="dxa"/>
            <w:tcBorders>
              <w:top w:val="nil"/>
              <w:bottom w:val="nil"/>
            </w:tcBorders>
            <w:shd w:val="clear" w:color="auto" w:fill="auto"/>
            <w:vAlign w:val="center"/>
          </w:tcPr>
          <w:p w14:paraId="18D3D5B4" w14:textId="77777777" w:rsidR="001667BE" w:rsidRPr="00496EA7" w:rsidRDefault="001667BE">
            <w:pPr>
              <w:pStyle w:val="08-Tabelageral"/>
              <w:rPr>
                <w:rFonts w:cs="Arial"/>
              </w:rPr>
            </w:pPr>
          </w:p>
        </w:tc>
        <w:tc>
          <w:tcPr>
            <w:tcW w:w="282" w:type="dxa"/>
            <w:gridSpan w:val="2"/>
            <w:tcBorders>
              <w:top w:val="nil"/>
              <w:bottom w:val="nil"/>
            </w:tcBorders>
            <w:shd w:val="clear" w:color="auto" w:fill="auto"/>
            <w:vAlign w:val="center"/>
          </w:tcPr>
          <w:p w14:paraId="11BA1CB5" w14:textId="77777777" w:rsidR="001667BE" w:rsidRPr="00496EA7" w:rsidRDefault="001667BE">
            <w:pPr>
              <w:pStyle w:val="08-Tabelageral"/>
              <w:rPr>
                <w:rFonts w:cs="Arial"/>
              </w:rPr>
            </w:pPr>
          </w:p>
        </w:tc>
        <w:tc>
          <w:tcPr>
            <w:tcW w:w="1404" w:type="dxa"/>
            <w:tcBorders>
              <w:top w:val="nil"/>
              <w:bottom w:val="nil"/>
            </w:tcBorders>
            <w:shd w:val="clear" w:color="auto" w:fill="auto"/>
          </w:tcPr>
          <w:p w14:paraId="2BEC0CB8" w14:textId="77777777" w:rsidR="001667BE" w:rsidRPr="00244C22" w:rsidRDefault="001667BE">
            <w:pPr>
              <w:pStyle w:val="08-Tabelageral"/>
              <w:rPr>
                <w:rFonts w:cs="Arial"/>
              </w:rPr>
            </w:pPr>
            <w:r w:rsidRPr="00244C22">
              <w:rPr>
                <w:rFonts w:cs="Arial"/>
              </w:rPr>
              <w:t>689.174</w:t>
            </w:r>
          </w:p>
        </w:tc>
        <w:tc>
          <w:tcPr>
            <w:tcW w:w="1511" w:type="dxa"/>
            <w:tcBorders>
              <w:top w:val="nil"/>
              <w:bottom w:val="nil"/>
            </w:tcBorders>
            <w:shd w:val="clear" w:color="auto" w:fill="auto"/>
          </w:tcPr>
          <w:p w14:paraId="19B0B4D4" w14:textId="77777777" w:rsidR="001667BE" w:rsidRPr="00CC0B19" w:rsidRDefault="001667BE">
            <w:pPr>
              <w:pStyle w:val="08-Tabelageral"/>
              <w:rPr>
                <w:rFonts w:cs="Arial"/>
              </w:rPr>
            </w:pPr>
            <w:r>
              <w:rPr>
                <w:rFonts w:cs="Arial"/>
              </w:rPr>
              <w:t>649.701</w:t>
            </w:r>
          </w:p>
        </w:tc>
      </w:tr>
      <w:tr w:rsidR="00A162F8" w:rsidRPr="00A47279" w14:paraId="2BD69025" w14:textId="77777777">
        <w:trPr>
          <w:trHeight w:val="238"/>
        </w:trPr>
        <w:tc>
          <w:tcPr>
            <w:tcW w:w="3050" w:type="dxa"/>
            <w:gridSpan w:val="2"/>
            <w:tcBorders>
              <w:top w:val="nil"/>
              <w:bottom w:val="nil"/>
            </w:tcBorders>
            <w:shd w:val="clear" w:color="auto" w:fill="auto"/>
            <w:vAlign w:val="center"/>
          </w:tcPr>
          <w:p w14:paraId="0478B441" w14:textId="77777777" w:rsidR="00A162F8" w:rsidRPr="00A47279" w:rsidRDefault="00A162F8" w:rsidP="00A162F8">
            <w:pPr>
              <w:pStyle w:val="08-Tabelageral"/>
              <w:ind w:left="113"/>
              <w:jc w:val="left"/>
              <w:rPr>
                <w:rFonts w:cs="Arial"/>
                <w:szCs w:val="14"/>
              </w:rPr>
            </w:pPr>
            <w:proofErr w:type="spellStart"/>
            <w:r>
              <w:rPr>
                <w:rFonts w:cs="Arial"/>
                <w:szCs w:val="14"/>
              </w:rPr>
              <w:t>Brasilcap</w:t>
            </w:r>
            <w:proofErr w:type="spellEnd"/>
          </w:p>
        </w:tc>
        <w:tc>
          <w:tcPr>
            <w:tcW w:w="595" w:type="dxa"/>
            <w:tcBorders>
              <w:top w:val="nil"/>
            </w:tcBorders>
            <w:shd w:val="clear" w:color="auto" w:fill="auto"/>
          </w:tcPr>
          <w:p w14:paraId="25A7D949" w14:textId="77777777" w:rsidR="00A162F8" w:rsidRPr="00890AEB" w:rsidRDefault="00A162F8" w:rsidP="00A162F8">
            <w:pPr>
              <w:pStyle w:val="08-Tabelageral"/>
              <w:rPr>
                <w:rFonts w:cs="Arial"/>
                <w:bCs/>
                <w:szCs w:val="14"/>
              </w:rPr>
            </w:pPr>
          </w:p>
        </w:tc>
        <w:tc>
          <w:tcPr>
            <w:tcW w:w="1397" w:type="dxa"/>
            <w:gridSpan w:val="2"/>
            <w:tcBorders>
              <w:top w:val="nil"/>
              <w:bottom w:val="nil"/>
            </w:tcBorders>
            <w:shd w:val="clear" w:color="auto" w:fill="auto"/>
          </w:tcPr>
          <w:p w14:paraId="33479DC9" w14:textId="77777777" w:rsidR="00A162F8" w:rsidRPr="00496EA7" w:rsidRDefault="00A162F8" w:rsidP="00A162F8">
            <w:pPr>
              <w:pStyle w:val="08-Tabelageral"/>
              <w:rPr>
                <w:rFonts w:cs="Arial"/>
              </w:rPr>
            </w:pPr>
          </w:p>
        </w:tc>
        <w:tc>
          <w:tcPr>
            <w:tcW w:w="1400" w:type="dxa"/>
            <w:tcBorders>
              <w:top w:val="nil"/>
              <w:bottom w:val="nil"/>
            </w:tcBorders>
            <w:shd w:val="clear" w:color="auto" w:fill="auto"/>
          </w:tcPr>
          <w:p w14:paraId="5D7D00CF" w14:textId="77777777" w:rsidR="00A162F8" w:rsidRPr="00496EA7" w:rsidRDefault="00A162F8" w:rsidP="00A162F8">
            <w:pPr>
              <w:pStyle w:val="08-Tabelageral"/>
              <w:rPr>
                <w:rFonts w:cs="Arial"/>
              </w:rPr>
            </w:pPr>
          </w:p>
        </w:tc>
        <w:tc>
          <w:tcPr>
            <w:tcW w:w="282" w:type="dxa"/>
            <w:gridSpan w:val="2"/>
            <w:tcBorders>
              <w:top w:val="nil"/>
              <w:bottom w:val="nil"/>
            </w:tcBorders>
            <w:shd w:val="clear" w:color="auto" w:fill="auto"/>
            <w:vAlign w:val="center"/>
          </w:tcPr>
          <w:p w14:paraId="1F94E868" w14:textId="77777777" w:rsidR="00A162F8" w:rsidRPr="00496EA7" w:rsidRDefault="00A162F8" w:rsidP="00A162F8">
            <w:pPr>
              <w:pStyle w:val="08-Tabelageral"/>
              <w:rPr>
                <w:rFonts w:cs="Arial"/>
              </w:rPr>
            </w:pPr>
          </w:p>
        </w:tc>
        <w:tc>
          <w:tcPr>
            <w:tcW w:w="1404" w:type="dxa"/>
            <w:tcBorders>
              <w:top w:val="nil"/>
              <w:bottom w:val="nil"/>
            </w:tcBorders>
            <w:shd w:val="clear" w:color="auto" w:fill="auto"/>
          </w:tcPr>
          <w:p w14:paraId="2EA4A424" w14:textId="73C088CD" w:rsidR="00A162F8" w:rsidRPr="00244C22" w:rsidRDefault="00A162F8" w:rsidP="00A162F8">
            <w:pPr>
              <w:pStyle w:val="08-Tabelageral"/>
              <w:rPr>
                <w:rFonts w:cs="Arial"/>
              </w:rPr>
            </w:pPr>
            <w:r w:rsidRPr="00244C22">
              <w:rPr>
                <w:rFonts w:cs="Arial"/>
              </w:rPr>
              <w:t>51</w:t>
            </w:r>
            <w:r>
              <w:rPr>
                <w:rFonts w:cs="Arial"/>
              </w:rPr>
              <w:t>6</w:t>
            </w:r>
            <w:r w:rsidRPr="00244C22">
              <w:rPr>
                <w:rFonts w:cs="Arial"/>
              </w:rPr>
              <w:t>.</w:t>
            </w:r>
            <w:r>
              <w:rPr>
                <w:rFonts w:cs="Arial"/>
              </w:rPr>
              <w:t>088</w:t>
            </w:r>
          </w:p>
        </w:tc>
        <w:tc>
          <w:tcPr>
            <w:tcW w:w="1511" w:type="dxa"/>
            <w:tcBorders>
              <w:top w:val="nil"/>
              <w:bottom w:val="nil"/>
            </w:tcBorders>
            <w:shd w:val="clear" w:color="auto" w:fill="auto"/>
          </w:tcPr>
          <w:p w14:paraId="7D39C20E" w14:textId="77777777" w:rsidR="00A162F8" w:rsidRPr="00CC0B19" w:rsidRDefault="00A162F8" w:rsidP="00A162F8">
            <w:pPr>
              <w:pStyle w:val="08-Tabelageral"/>
              <w:rPr>
                <w:rFonts w:cs="Arial"/>
              </w:rPr>
            </w:pPr>
            <w:r>
              <w:rPr>
                <w:rFonts w:cs="Arial"/>
              </w:rPr>
              <w:t>487.593</w:t>
            </w:r>
          </w:p>
        </w:tc>
      </w:tr>
      <w:tr w:rsidR="00A162F8" w:rsidRPr="00A47279" w14:paraId="02CFCF62" w14:textId="77777777">
        <w:trPr>
          <w:trHeight w:val="238"/>
        </w:trPr>
        <w:tc>
          <w:tcPr>
            <w:tcW w:w="3050" w:type="dxa"/>
            <w:gridSpan w:val="2"/>
            <w:tcBorders>
              <w:top w:val="nil"/>
              <w:bottom w:val="nil"/>
            </w:tcBorders>
            <w:shd w:val="clear" w:color="auto" w:fill="auto"/>
            <w:vAlign w:val="center"/>
          </w:tcPr>
          <w:p w14:paraId="6164950F" w14:textId="77777777" w:rsidR="00A162F8" w:rsidRPr="00A47279" w:rsidRDefault="00A162F8" w:rsidP="00A162F8">
            <w:pPr>
              <w:pStyle w:val="08-Tabelageral"/>
              <w:ind w:left="113"/>
              <w:jc w:val="left"/>
              <w:rPr>
                <w:rFonts w:cs="Arial"/>
                <w:szCs w:val="14"/>
              </w:rPr>
            </w:pPr>
            <w:r w:rsidRPr="00BC5A4F">
              <w:t>M</w:t>
            </w:r>
            <w:r>
              <w:t xml:space="preserve">APFRE Seguros Gerais </w:t>
            </w:r>
            <w:r w:rsidRPr="00BC5A4F">
              <w:rPr>
                <w:vertAlign w:val="superscript"/>
              </w:rPr>
              <w:t>(</w:t>
            </w:r>
            <w:r>
              <w:rPr>
                <w:vertAlign w:val="superscript"/>
              </w:rPr>
              <w:t>2</w:t>
            </w:r>
            <w:r w:rsidRPr="00BC5A4F">
              <w:rPr>
                <w:vertAlign w:val="superscript"/>
              </w:rPr>
              <w:t>)</w:t>
            </w:r>
          </w:p>
        </w:tc>
        <w:tc>
          <w:tcPr>
            <w:tcW w:w="595" w:type="dxa"/>
            <w:tcBorders>
              <w:top w:val="nil"/>
            </w:tcBorders>
            <w:shd w:val="clear" w:color="auto" w:fill="auto"/>
          </w:tcPr>
          <w:p w14:paraId="6AB75470" w14:textId="77777777" w:rsidR="00A162F8" w:rsidRPr="00890AEB" w:rsidRDefault="00A162F8" w:rsidP="00A162F8">
            <w:pPr>
              <w:pStyle w:val="08-Tabelageral"/>
              <w:rPr>
                <w:rFonts w:cs="Arial"/>
                <w:bCs/>
                <w:szCs w:val="14"/>
              </w:rPr>
            </w:pPr>
          </w:p>
        </w:tc>
        <w:tc>
          <w:tcPr>
            <w:tcW w:w="1397" w:type="dxa"/>
            <w:gridSpan w:val="2"/>
            <w:tcBorders>
              <w:top w:val="nil"/>
              <w:bottom w:val="nil"/>
            </w:tcBorders>
            <w:shd w:val="clear" w:color="auto" w:fill="auto"/>
            <w:vAlign w:val="center"/>
          </w:tcPr>
          <w:p w14:paraId="162F2D6C" w14:textId="77777777" w:rsidR="00A162F8" w:rsidRPr="00496EA7" w:rsidRDefault="00A162F8" w:rsidP="00A162F8">
            <w:pPr>
              <w:pStyle w:val="08-Tabelageral"/>
              <w:rPr>
                <w:rFonts w:cs="Arial"/>
              </w:rPr>
            </w:pPr>
          </w:p>
        </w:tc>
        <w:tc>
          <w:tcPr>
            <w:tcW w:w="1400" w:type="dxa"/>
            <w:tcBorders>
              <w:top w:val="nil"/>
              <w:bottom w:val="nil"/>
            </w:tcBorders>
            <w:shd w:val="clear" w:color="auto" w:fill="auto"/>
            <w:vAlign w:val="center"/>
          </w:tcPr>
          <w:p w14:paraId="2AEE4ED2" w14:textId="77777777" w:rsidR="00A162F8" w:rsidRPr="00496EA7" w:rsidRDefault="00A162F8" w:rsidP="00A162F8">
            <w:pPr>
              <w:pStyle w:val="08-Tabelageral"/>
              <w:rPr>
                <w:rFonts w:cs="Arial"/>
              </w:rPr>
            </w:pPr>
          </w:p>
        </w:tc>
        <w:tc>
          <w:tcPr>
            <w:tcW w:w="282" w:type="dxa"/>
            <w:gridSpan w:val="2"/>
            <w:tcBorders>
              <w:top w:val="nil"/>
              <w:bottom w:val="nil"/>
            </w:tcBorders>
            <w:shd w:val="clear" w:color="auto" w:fill="auto"/>
            <w:vAlign w:val="center"/>
          </w:tcPr>
          <w:p w14:paraId="135285D0" w14:textId="77777777" w:rsidR="00A162F8" w:rsidRPr="00496EA7" w:rsidRDefault="00A162F8" w:rsidP="00A162F8">
            <w:pPr>
              <w:pStyle w:val="08-Tabelageral"/>
              <w:rPr>
                <w:rFonts w:cs="Arial"/>
              </w:rPr>
            </w:pPr>
          </w:p>
        </w:tc>
        <w:tc>
          <w:tcPr>
            <w:tcW w:w="1404" w:type="dxa"/>
            <w:tcBorders>
              <w:top w:val="nil"/>
              <w:bottom w:val="nil"/>
            </w:tcBorders>
            <w:shd w:val="clear" w:color="auto" w:fill="auto"/>
          </w:tcPr>
          <w:p w14:paraId="5FE446E4" w14:textId="754D45A1" w:rsidR="00A162F8" w:rsidRPr="00244C22" w:rsidRDefault="00A162F8" w:rsidP="00A162F8">
            <w:pPr>
              <w:pStyle w:val="08-Tabelageral"/>
              <w:rPr>
                <w:rFonts w:cs="Arial"/>
              </w:rPr>
            </w:pPr>
            <w:r>
              <w:rPr>
                <w:rFonts w:cs="Arial"/>
              </w:rPr>
              <w:t>157.019</w:t>
            </w:r>
          </w:p>
        </w:tc>
        <w:tc>
          <w:tcPr>
            <w:tcW w:w="1511" w:type="dxa"/>
            <w:tcBorders>
              <w:top w:val="nil"/>
              <w:bottom w:val="nil"/>
            </w:tcBorders>
            <w:shd w:val="clear" w:color="auto" w:fill="auto"/>
          </w:tcPr>
          <w:p w14:paraId="538079DC" w14:textId="77777777" w:rsidR="00A162F8" w:rsidRPr="00CC0B19" w:rsidRDefault="00A162F8" w:rsidP="00A162F8">
            <w:pPr>
              <w:pStyle w:val="08-Tabelageral"/>
              <w:rPr>
                <w:rFonts w:cs="Arial"/>
              </w:rPr>
            </w:pPr>
            <w:r>
              <w:rPr>
                <w:rFonts w:cs="Arial"/>
              </w:rPr>
              <w:t>180.936</w:t>
            </w:r>
          </w:p>
        </w:tc>
      </w:tr>
      <w:tr w:rsidR="001667BE" w:rsidRPr="00A47279" w14:paraId="45FA06FF" w14:textId="77777777">
        <w:trPr>
          <w:trHeight w:val="238"/>
        </w:trPr>
        <w:tc>
          <w:tcPr>
            <w:tcW w:w="3050" w:type="dxa"/>
            <w:gridSpan w:val="2"/>
            <w:tcBorders>
              <w:top w:val="nil"/>
              <w:bottom w:val="nil"/>
            </w:tcBorders>
            <w:shd w:val="clear" w:color="auto" w:fill="auto"/>
            <w:vAlign w:val="center"/>
          </w:tcPr>
          <w:p w14:paraId="795389A3" w14:textId="77777777" w:rsidR="001667BE" w:rsidRPr="00A47279" w:rsidRDefault="001667BE">
            <w:pPr>
              <w:pStyle w:val="08-Tabelageral"/>
              <w:ind w:left="113"/>
              <w:jc w:val="left"/>
              <w:rPr>
                <w:rFonts w:cs="Arial"/>
                <w:szCs w:val="14"/>
              </w:rPr>
            </w:pPr>
            <w:r w:rsidRPr="00BC5A4F">
              <w:t>Outras empresas</w:t>
            </w:r>
          </w:p>
        </w:tc>
        <w:tc>
          <w:tcPr>
            <w:tcW w:w="595" w:type="dxa"/>
            <w:tcBorders>
              <w:top w:val="nil"/>
            </w:tcBorders>
            <w:shd w:val="clear" w:color="auto" w:fill="auto"/>
          </w:tcPr>
          <w:p w14:paraId="14D42469" w14:textId="77777777" w:rsidR="001667BE" w:rsidRPr="00890AEB" w:rsidRDefault="001667BE">
            <w:pPr>
              <w:pStyle w:val="08-Tabelageral"/>
              <w:rPr>
                <w:rFonts w:cs="Arial"/>
                <w:bCs/>
                <w:szCs w:val="14"/>
              </w:rPr>
            </w:pPr>
          </w:p>
        </w:tc>
        <w:tc>
          <w:tcPr>
            <w:tcW w:w="1397" w:type="dxa"/>
            <w:gridSpan w:val="2"/>
            <w:tcBorders>
              <w:top w:val="nil"/>
              <w:bottom w:val="nil"/>
            </w:tcBorders>
            <w:shd w:val="clear" w:color="auto" w:fill="auto"/>
            <w:vAlign w:val="center"/>
          </w:tcPr>
          <w:p w14:paraId="298593CE" w14:textId="77777777" w:rsidR="001667BE" w:rsidRPr="00496EA7" w:rsidRDefault="001667BE">
            <w:pPr>
              <w:pStyle w:val="08-Tabelageral"/>
              <w:rPr>
                <w:rFonts w:cs="Arial"/>
              </w:rPr>
            </w:pPr>
          </w:p>
        </w:tc>
        <w:tc>
          <w:tcPr>
            <w:tcW w:w="1400" w:type="dxa"/>
            <w:tcBorders>
              <w:top w:val="nil"/>
              <w:bottom w:val="nil"/>
            </w:tcBorders>
            <w:shd w:val="clear" w:color="auto" w:fill="auto"/>
            <w:vAlign w:val="center"/>
          </w:tcPr>
          <w:p w14:paraId="04842081" w14:textId="77777777" w:rsidR="001667BE" w:rsidRPr="00496EA7" w:rsidRDefault="001667BE">
            <w:pPr>
              <w:pStyle w:val="08-Tabelageral"/>
              <w:rPr>
                <w:rFonts w:cs="Arial"/>
              </w:rPr>
            </w:pPr>
          </w:p>
        </w:tc>
        <w:tc>
          <w:tcPr>
            <w:tcW w:w="282" w:type="dxa"/>
            <w:gridSpan w:val="2"/>
            <w:tcBorders>
              <w:top w:val="nil"/>
              <w:bottom w:val="nil"/>
            </w:tcBorders>
            <w:shd w:val="clear" w:color="auto" w:fill="auto"/>
            <w:vAlign w:val="center"/>
          </w:tcPr>
          <w:p w14:paraId="5BDFA018" w14:textId="77777777" w:rsidR="001667BE" w:rsidRPr="00496EA7" w:rsidRDefault="001667BE">
            <w:pPr>
              <w:pStyle w:val="08-Tabelageral"/>
              <w:rPr>
                <w:rFonts w:cs="Arial"/>
              </w:rPr>
            </w:pPr>
          </w:p>
        </w:tc>
        <w:tc>
          <w:tcPr>
            <w:tcW w:w="1404" w:type="dxa"/>
            <w:tcBorders>
              <w:top w:val="nil"/>
              <w:bottom w:val="nil"/>
            </w:tcBorders>
            <w:shd w:val="clear" w:color="auto" w:fill="auto"/>
          </w:tcPr>
          <w:p w14:paraId="2D0DB181" w14:textId="77777777" w:rsidR="001667BE" w:rsidRPr="00244C22" w:rsidRDefault="001667BE">
            <w:pPr>
              <w:pStyle w:val="08-Tabelageral"/>
              <w:rPr>
                <w:rFonts w:cs="Arial"/>
              </w:rPr>
            </w:pPr>
            <w:r w:rsidRPr="00244C22">
              <w:rPr>
                <w:rFonts w:cs="Arial"/>
              </w:rPr>
              <w:t>10.311</w:t>
            </w:r>
          </w:p>
        </w:tc>
        <w:tc>
          <w:tcPr>
            <w:tcW w:w="1511" w:type="dxa"/>
            <w:tcBorders>
              <w:top w:val="nil"/>
              <w:bottom w:val="nil"/>
            </w:tcBorders>
            <w:shd w:val="clear" w:color="auto" w:fill="auto"/>
          </w:tcPr>
          <w:p w14:paraId="015F7437" w14:textId="77777777" w:rsidR="001667BE" w:rsidRPr="00CC0B19" w:rsidRDefault="001667BE">
            <w:pPr>
              <w:pStyle w:val="08-Tabelageral"/>
              <w:rPr>
                <w:rFonts w:cs="Arial"/>
              </w:rPr>
            </w:pPr>
            <w:r>
              <w:rPr>
                <w:rFonts w:cs="Arial"/>
              </w:rPr>
              <w:t>8.842</w:t>
            </w:r>
          </w:p>
        </w:tc>
      </w:tr>
      <w:tr w:rsidR="001667BE" w:rsidRPr="00A47279" w14:paraId="447A7387" w14:textId="77777777">
        <w:trPr>
          <w:trHeight w:val="238"/>
        </w:trPr>
        <w:tc>
          <w:tcPr>
            <w:tcW w:w="3050" w:type="dxa"/>
            <w:gridSpan w:val="2"/>
            <w:tcBorders>
              <w:top w:val="nil"/>
              <w:bottom w:val="nil"/>
            </w:tcBorders>
            <w:shd w:val="clear" w:color="auto" w:fill="auto"/>
            <w:vAlign w:val="center"/>
          </w:tcPr>
          <w:p w14:paraId="23EB3424" w14:textId="77777777" w:rsidR="001667BE" w:rsidRPr="00BC5A4F" w:rsidRDefault="001667BE">
            <w:pPr>
              <w:pStyle w:val="08-Tabelageral"/>
              <w:jc w:val="left"/>
            </w:pPr>
            <w:r>
              <w:rPr>
                <w:b/>
              </w:rPr>
              <w:t>Cancelamentos</w:t>
            </w:r>
          </w:p>
        </w:tc>
        <w:tc>
          <w:tcPr>
            <w:tcW w:w="595" w:type="dxa"/>
            <w:tcBorders>
              <w:top w:val="nil"/>
            </w:tcBorders>
            <w:shd w:val="clear" w:color="auto" w:fill="auto"/>
          </w:tcPr>
          <w:p w14:paraId="113BFD4E" w14:textId="77777777" w:rsidR="001667BE" w:rsidRPr="00890AEB" w:rsidRDefault="001667BE">
            <w:pPr>
              <w:pStyle w:val="08-Tabelageral"/>
              <w:rPr>
                <w:rFonts w:cs="Arial"/>
                <w:bCs/>
                <w:szCs w:val="14"/>
              </w:rPr>
            </w:pPr>
          </w:p>
        </w:tc>
        <w:tc>
          <w:tcPr>
            <w:tcW w:w="1397" w:type="dxa"/>
            <w:gridSpan w:val="2"/>
            <w:tcBorders>
              <w:top w:val="nil"/>
              <w:bottom w:val="nil"/>
            </w:tcBorders>
            <w:shd w:val="clear" w:color="auto" w:fill="auto"/>
            <w:vAlign w:val="center"/>
          </w:tcPr>
          <w:p w14:paraId="457163F7" w14:textId="77777777" w:rsidR="001667BE" w:rsidRPr="00496EA7" w:rsidRDefault="001667BE">
            <w:pPr>
              <w:pStyle w:val="08-Tabelageral"/>
              <w:rPr>
                <w:rFonts w:cs="Arial"/>
              </w:rPr>
            </w:pPr>
          </w:p>
        </w:tc>
        <w:tc>
          <w:tcPr>
            <w:tcW w:w="1400" w:type="dxa"/>
            <w:tcBorders>
              <w:top w:val="nil"/>
              <w:bottom w:val="nil"/>
            </w:tcBorders>
            <w:shd w:val="clear" w:color="auto" w:fill="auto"/>
            <w:vAlign w:val="center"/>
          </w:tcPr>
          <w:p w14:paraId="2A14D146" w14:textId="77777777" w:rsidR="001667BE" w:rsidRPr="00496EA7" w:rsidRDefault="001667BE">
            <w:pPr>
              <w:pStyle w:val="08-Tabelageral"/>
              <w:rPr>
                <w:rFonts w:cs="Arial"/>
              </w:rPr>
            </w:pPr>
          </w:p>
        </w:tc>
        <w:tc>
          <w:tcPr>
            <w:tcW w:w="282" w:type="dxa"/>
            <w:gridSpan w:val="2"/>
            <w:tcBorders>
              <w:top w:val="nil"/>
              <w:bottom w:val="nil"/>
            </w:tcBorders>
            <w:shd w:val="clear" w:color="auto" w:fill="auto"/>
            <w:vAlign w:val="center"/>
          </w:tcPr>
          <w:p w14:paraId="7BAD3C66" w14:textId="77777777" w:rsidR="001667BE" w:rsidRPr="00496EA7" w:rsidRDefault="001667BE">
            <w:pPr>
              <w:pStyle w:val="08-Tabelageral"/>
              <w:rPr>
                <w:rFonts w:cs="Arial"/>
              </w:rPr>
            </w:pPr>
          </w:p>
        </w:tc>
        <w:tc>
          <w:tcPr>
            <w:tcW w:w="1404" w:type="dxa"/>
            <w:tcBorders>
              <w:top w:val="nil"/>
              <w:bottom w:val="nil"/>
            </w:tcBorders>
            <w:shd w:val="clear" w:color="auto" w:fill="auto"/>
          </w:tcPr>
          <w:p w14:paraId="3FF30A51" w14:textId="77777777" w:rsidR="001667BE" w:rsidRPr="005A1D4C" w:rsidRDefault="001667BE">
            <w:pPr>
              <w:pStyle w:val="08-Tabelageral"/>
              <w:rPr>
                <w:rFonts w:cs="Arial"/>
              </w:rPr>
            </w:pPr>
            <w:r w:rsidRPr="005A1D4C">
              <w:rPr>
                <w:rFonts w:cs="Arial"/>
                <w:b/>
                <w:bCs/>
              </w:rPr>
              <w:t>(138.897)</w:t>
            </w:r>
          </w:p>
        </w:tc>
        <w:tc>
          <w:tcPr>
            <w:tcW w:w="1511" w:type="dxa"/>
            <w:tcBorders>
              <w:top w:val="nil"/>
              <w:bottom w:val="nil"/>
            </w:tcBorders>
            <w:shd w:val="clear" w:color="auto" w:fill="auto"/>
          </w:tcPr>
          <w:p w14:paraId="69DFA99A" w14:textId="77777777" w:rsidR="001667BE" w:rsidRPr="00CC0B19" w:rsidRDefault="001667BE">
            <w:pPr>
              <w:pStyle w:val="08-Tabelageral"/>
              <w:rPr>
                <w:rFonts w:cs="Arial"/>
                <w:b/>
                <w:bCs/>
              </w:rPr>
            </w:pPr>
            <w:r w:rsidRPr="00A91B43">
              <w:rPr>
                <w:rFonts w:cs="Arial"/>
                <w:b/>
                <w:bCs/>
              </w:rPr>
              <w:t>(</w:t>
            </w:r>
            <w:r>
              <w:rPr>
                <w:rFonts w:cs="Arial"/>
                <w:b/>
                <w:bCs/>
              </w:rPr>
              <w:t>143.911</w:t>
            </w:r>
            <w:r w:rsidRPr="00A91B43">
              <w:rPr>
                <w:rFonts w:cs="Arial"/>
                <w:b/>
                <w:bCs/>
              </w:rPr>
              <w:t>)</w:t>
            </w:r>
          </w:p>
        </w:tc>
      </w:tr>
      <w:tr w:rsidR="001667BE" w:rsidRPr="00A47279" w14:paraId="6A4D723A" w14:textId="77777777">
        <w:trPr>
          <w:trHeight w:val="238"/>
        </w:trPr>
        <w:tc>
          <w:tcPr>
            <w:tcW w:w="3050" w:type="dxa"/>
            <w:gridSpan w:val="2"/>
            <w:tcBorders>
              <w:top w:val="nil"/>
              <w:bottom w:val="nil"/>
            </w:tcBorders>
            <w:shd w:val="clear" w:color="auto" w:fill="auto"/>
            <w:vAlign w:val="center"/>
          </w:tcPr>
          <w:p w14:paraId="28AEE22D" w14:textId="77777777" w:rsidR="001667BE" w:rsidRPr="00BC5A4F" w:rsidRDefault="001667BE">
            <w:pPr>
              <w:pStyle w:val="08-Tabelageral"/>
              <w:ind w:left="113"/>
              <w:jc w:val="left"/>
            </w:pPr>
            <w:proofErr w:type="spellStart"/>
            <w:r w:rsidRPr="00BC5A4F">
              <w:t>B</w:t>
            </w:r>
            <w:r>
              <w:t>rasilseg</w:t>
            </w:r>
            <w:proofErr w:type="spellEnd"/>
            <w:r>
              <w:t>/ABS</w:t>
            </w:r>
          </w:p>
        </w:tc>
        <w:tc>
          <w:tcPr>
            <w:tcW w:w="595" w:type="dxa"/>
            <w:tcBorders>
              <w:top w:val="nil"/>
            </w:tcBorders>
            <w:shd w:val="clear" w:color="auto" w:fill="auto"/>
          </w:tcPr>
          <w:p w14:paraId="5827B3E9" w14:textId="77777777" w:rsidR="001667BE" w:rsidRPr="00890AEB" w:rsidRDefault="001667BE">
            <w:pPr>
              <w:pStyle w:val="08-Tabelageral"/>
              <w:rPr>
                <w:rFonts w:cs="Arial"/>
                <w:bCs/>
                <w:szCs w:val="14"/>
              </w:rPr>
            </w:pPr>
          </w:p>
        </w:tc>
        <w:tc>
          <w:tcPr>
            <w:tcW w:w="1397" w:type="dxa"/>
            <w:gridSpan w:val="2"/>
            <w:tcBorders>
              <w:top w:val="nil"/>
              <w:bottom w:val="nil"/>
            </w:tcBorders>
            <w:shd w:val="clear" w:color="auto" w:fill="auto"/>
            <w:vAlign w:val="center"/>
          </w:tcPr>
          <w:p w14:paraId="062DCA24" w14:textId="77777777" w:rsidR="001667BE" w:rsidRPr="00496EA7" w:rsidRDefault="001667BE">
            <w:pPr>
              <w:pStyle w:val="08-Tabelageral"/>
              <w:rPr>
                <w:rFonts w:cs="Arial"/>
              </w:rPr>
            </w:pPr>
          </w:p>
        </w:tc>
        <w:tc>
          <w:tcPr>
            <w:tcW w:w="1400" w:type="dxa"/>
            <w:tcBorders>
              <w:top w:val="nil"/>
              <w:bottom w:val="nil"/>
            </w:tcBorders>
            <w:shd w:val="clear" w:color="auto" w:fill="auto"/>
            <w:vAlign w:val="center"/>
          </w:tcPr>
          <w:p w14:paraId="25B0680C" w14:textId="77777777" w:rsidR="001667BE" w:rsidRPr="00496EA7" w:rsidRDefault="001667BE">
            <w:pPr>
              <w:pStyle w:val="08-Tabelageral"/>
              <w:rPr>
                <w:rFonts w:cs="Arial"/>
              </w:rPr>
            </w:pPr>
          </w:p>
        </w:tc>
        <w:tc>
          <w:tcPr>
            <w:tcW w:w="282" w:type="dxa"/>
            <w:gridSpan w:val="2"/>
            <w:tcBorders>
              <w:top w:val="nil"/>
              <w:bottom w:val="nil"/>
            </w:tcBorders>
            <w:shd w:val="clear" w:color="auto" w:fill="auto"/>
            <w:vAlign w:val="center"/>
          </w:tcPr>
          <w:p w14:paraId="7B946B33" w14:textId="77777777" w:rsidR="001667BE" w:rsidRPr="00496EA7" w:rsidRDefault="001667BE">
            <w:pPr>
              <w:pStyle w:val="08-Tabelageral"/>
              <w:rPr>
                <w:rFonts w:cs="Arial"/>
              </w:rPr>
            </w:pPr>
          </w:p>
        </w:tc>
        <w:tc>
          <w:tcPr>
            <w:tcW w:w="1404" w:type="dxa"/>
            <w:tcBorders>
              <w:top w:val="nil"/>
              <w:bottom w:val="nil"/>
            </w:tcBorders>
            <w:shd w:val="clear" w:color="auto" w:fill="auto"/>
          </w:tcPr>
          <w:p w14:paraId="07E17160" w14:textId="77777777" w:rsidR="001667BE" w:rsidRPr="007C0ADC" w:rsidRDefault="001667BE">
            <w:pPr>
              <w:pStyle w:val="08-Tabelageral"/>
              <w:rPr>
                <w:rFonts w:cs="Arial"/>
                <w:highlight w:val="yellow"/>
              </w:rPr>
            </w:pPr>
            <w:r>
              <w:rPr>
                <w:rFonts w:cs="Arial"/>
              </w:rPr>
              <w:t>(82.710)</w:t>
            </w:r>
          </w:p>
        </w:tc>
        <w:tc>
          <w:tcPr>
            <w:tcW w:w="1511" w:type="dxa"/>
            <w:tcBorders>
              <w:top w:val="nil"/>
              <w:bottom w:val="nil"/>
            </w:tcBorders>
            <w:shd w:val="clear" w:color="auto" w:fill="auto"/>
          </w:tcPr>
          <w:p w14:paraId="6EC72E70" w14:textId="77777777" w:rsidR="001667BE" w:rsidRPr="00CC0B19" w:rsidRDefault="001667BE">
            <w:pPr>
              <w:pStyle w:val="08-Tabelageral"/>
              <w:rPr>
                <w:rFonts w:cs="Arial"/>
              </w:rPr>
            </w:pPr>
            <w:r>
              <w:rPr>
                <w:rFonts w:cs="Arial"/>
              </w:rPr>
              <w:t>(66.166)</w:t>
            </w:r>
          </w:p>
        </w:tc>
      </w:tr>
      <w:tr w:rsidR="001667BE" w:rsidRPr="00A47279" w14:paraId="542E01DE" w14:textId="77777777">
        <w:trPr>
          <w:trHeight w:val="238"/>
        </w:trPr>
        <w:tc>
          <w:tcPr>
            <w:tcW w:w="3050" w:type="dxa"/>
            <w:gridSpan w:val="2"/>
            <w:tcBorders>
              <w:top w:val="nil"/>
              <w:bottom w:val="nil"/>
            </w:tcBorders>
            <w:shd w:val="clear" w:color="auto" w:fill="auto"/>
            <w:vAlign w:val="center"/>
          </w:tcPr>
          <w:p w14:paraId="3823F882" w14:textId="77777777" w:rsidR="001667BE" w:rsidRPr="00BC5A4F" w:rsidRDefault="001667BE">
            <w:pPr>
              <w:pStyle w:val="08-Tabelageral"/>
              <w:ind w:left="113"/>
              <w:jc w:val="left"/>
            </w:pPr>
            <w:r w:rsidRPr="00BC5A4F">
              <w:t>Brasilprev</w:t>
            </w:r>
          </w:p>
        </w:tc>
        <w:tc>
          <w:tcPr>
            <w:tcW w:w="595" w:type="dxa"/>
            <w:tcBorders>
              <w:top w:val="nil"/>
            </w:tcBorders>
            <w:shd w:val="clear" w:color="auto" w:fill="auto"/>
          </w:tcPr>
          <w:p w14:paraId="57015A1C" w14:textId="77777777" w:rsidR="001667BE" w:rsidRPr="00890AEB" w:rsidRDefault="001667BE">
            <w:pPr>
              <w:pStyle w:val="08-Tabelageral"/>
              <w:rPr>
                <w:rFonts w:cs="Arial"/>
                <w:bCs/>
                <w:szCs w:val="14"/>
              </w:rPr>
            </w:pPr>
          </w:p>
        </w:tc>
        <w:tc>
          <w:tcPr>
            <w:tcW w:w="1397" w:type="dxa"/>
            <w:gridSpan w:val="2"/>
            <w:tcBorders>
              <w:top w:val="nil"/>
              <w:bottom w:val="nil"/>
            </w:tcBorders>
            <w:shd w:val="clear" w:color="auto" w:fill="auto"/>
            <w:vAlign w:val="center"/>
          </w:tcPr>
          <w:p w14:paraId="69EAB791" w14:textId="77777777" w:rsidR="001667BE" w:rsidRPr="00496EA7" w:rsidRDefault="001667BE">
            <w:pPr>
              <w:pStyle w:val="08-Tabelageral"/>
              <w:rPr>
                <w:rFonts w:cs="Arial"/>
              </w:rPr>
            </w:pPr>
          </w:p>
        </w:tc>
        <w:tc>
          <w:tcPr>
            <w:tcW w:w="1400" w:type="dxa"/>
            <w:tcBorders>
              <w:top w:val="nil"/>
              <w:bottom w:val="nil"/>
            </w:tcBorders>
            <w:shd w:val="clear" w:color="auto" w:fill="auto"/>
            <w:vAlign w:val="center"/>
          </w:tcPr>
          <w:p w14:paraId="6C9115E2" w14:textId="77777777" w:rsidR="001667BE" w:rsidRPr="00496EA7" w:rsidRDefault="001667BE">
            <w:pPr>
              <w:pStyle w:val="08-Tabelageral"/>
              <w:rPr>
                <w:rFonts w:cs="Arial"/>
              </w:rPr>
            </w:pPr>
          </w:p>
        </w:tc>
        <w:tc>
          <w:tcPr>
            <w:tcW w:w="282" w:type="dxa"/>
            <w:gridSpan w:val="2"/>
            <w:tcBorders>
              <w:top w:val="nil"/>
              <w:bottom w:val="nil"/>
            </w:tcBorders>
            <w:shd w:val="clear" w:color="auto" w:fill="auto"/>
            <w:vAlign w:val="center"/>
          </w:tcPr>
          <w:p w14:paraId="150161A3" w14:textId="77777777" w:rsidR="001667BE" w:rsidRPr="00496EA7" w:rsidRDefault="001667BE">
            <w:pPr>
              <w:pStyle w:val="08-Tabelageral"/>
              <w:rPr>
                <w:rFonts w:cs="Arial"/>
              </w:rPr>
            </w:pPr>
          </w:p>
        </w:tc>
        <w:tc>
          <w:tcPr>
            <w:tcW w:w="1404" w:type="dxa"/>
            <w:tcBorders>
              <w:top w:val="nil"/>
              <w:bottom w:val="nil"/>
            </w:tcBorders>
            <w:shd w:val="clear" w:color="auto" w:fill="auto"/>
          </w:tcPr>
          <w:p w14:paraId="710B584B" w14:textId="77777777" w:rsidR="001667BE" w:rsidRPr="007C0ADC" w:rsidRDefault="001667BE">
            <w:pPr>
              <w:pStyle w:val="08-Tabelageral"/>
              <w:rPr>
                <w:rFonts w:cs="Arial"/>
                <w:highlight w:val="yellow"/>
              </w:rPr>
            </w:pPr>
            <w:r>
              <w:rPr>
                <w:rFonts w:cs="Arial"/>
              </w:rPr>
              <w:t>(48.399)</w:t>
            </w:r>
          </w:p>
        </w:tc>
        <w:tc>
          <w:tcPr>
            <w:tcW w:w="1511" w:type="dxa"/>
            <w:tcBorders>
              <w:top w:val="nil"/>
              <w:bottom w:val="nil"/>
            </w:tcBorders>
            <w:shd w:val="clear" w:color="auto" w:fill="auto"/>
          </w:tcPr>
          <w:p w14:paraId="5B472A48" w14:textId="77777777" w:rsidR="001667BE" w:rsidRPr="00CC0B19" w:rsidRDefault="001667BE">
            <w:pPr>
              <w:pStyle w:val="08-Tabelageral"/>
              <w:rPr>
                <w:rFonts w:cs="Arial"/>
              </w:rPr>
            </w:pPr>
            <w:r>
              <w:rPr>
                <w:rFonts w:cs="Arial"/>
              </w:rPr>
              <w:t>(50.832)</w:t>
            </w:r>
          </w:p>
        </w:tc>
      </w:tr>
      <w:tr w:rsidR="001667BE" w:rsidRPr="00A47279" w14:paraId="569C7E96" w14:textId="77777777">
        <w:trPr>
          <w:trHeight w:val="238"/>
        </w:trPr>
        <w:tc>
          <w:tcPr>
            <w:tcW w:w="3050" w:type="dxa"/>
            <w:gridSpan w:val="2"/>
            <w:tcBorders>
              <w:top w:val="nil"/>
              <w:bottom w:val="nil"/>
            </w:tcBorders>
            <w:shd w:val="clear" w:color="auto" w:fill="auto"/>
            <w:vAlign w:val="center"/>
          </w:tcPr>
          <w:p w14:paraId="040A8934" w14:textId="77777777" w:rsidR="001667BE" w:rsidRPr="00BC5A4F" w:rsidRDefault="001667BE">
            <w:pPr>
              <w:pStyle w:val="08-Tabelageral"/>
              <w:ind w:left="113"/>
              <w:jc w:val="left"/>
            </w:pPr>
            <w:proofErr w:type="spellStart"/>
            <w:r>
              <w:rPr>
                <w:rFonts w:cs="Arial"/>
                <w:szCs w:val="14"/>
              </w:rPr>
              <w:t>Brasilcap</w:t>
            </w:r>
            <w:proofErr w:type="spellEnd"/>
          </w:p>
        </w:tc>
        <w:tc>
          <w:tcPr>
            <w:tcW w:w="595" w:type="dxa"/>
            <w:tcBorders>
              <w:top w:val="nil"/>
            </w:tcBorders>
            <w:shd w:val="clear" w:color="auto" w:fill="auto"/>
          </w:tcPr>
          <w:p w14:paraId="233E446B" w14:textId="77777777" w:rsidR="001667BE" w:rsidRPr="00890AEB" w:rsidRDefault="001667BE">
            <w:pPr>
              <w:pStyle w:val="08-Tabelageral"/>
              <w:rPr>
                <w:rFonts w:cs="Arial"/>
                <w:bCs/>
                <w:szCs w:val="14"/>
              </w:rPr>
            </w:pPr>
          </w:p>
        </w:tc>
        <w:tc>
          <w:tcPr>
            <w:tcW w:w="1397" w:type="dxa"/>
            <w:gridSpan w:val="2"/>
            <w:tcBorders>
              <w:top w:val="nil"/>
              <w:bottom w:val="nil"/>
            </w:tcBorders>
            <w:shd w:val="clear" w:color="auto" w:fill="auto"/>
            <w:vAlign w:val="center"/>
          </w:tcPr>
          <w:p w14:paraId="26D37D03" w14:textId="77777777" w:rsidR="001667BE" w:rsidRPr="00496EA7" w:rsidRDefault="001667BE">
            <w:pPr>
              <w:pStyle w:val="08-Tabelageral"/>
              <w:rPr>
                <w:rFonts w:cs="Arial"/>
              </w:rPr>
            </w:pPr>
          </w:p>
        </w:tc>
        <w:tc>
          <w:tcPr>
            <w:tcW w:w="1400" w:type="dxa"/>
            <w:tcBorders>
              <w:top w:val="nil"/>
              <w:bottom w:val="nil"/>
            </w:tcBorders>
            <w:shd w:val="clear" w:color="auto" w:fill="auto"/>
            <w:vAlign w:val="center"/>
          </w:tcPr>
          <w:p w14:paraId="1A6FA227" w14:textId="77777777" w:rsidR="001667BE" w:rsidRPr="00496EA7" w:rsidRDefault="001667BE">
            <w:pPr>
              <w:pStyle w:val="08-Tabelageral"/>
              <w:rPr>
                <w:rFonts w:cs="Arial"/>
              </w:rPr>
            </w:pPr>
          </w:p>
        </w:tc>
        <w:tc>
          <w:tcPr>
            <w:tcW w:w="282" w:type="dxa"/>
            <w:gridSpan w:val="2"/>
            <w:tcBorders>
              <w:top w:val="nil"/>
              <w:bottom w:val="nil"/>
            </w:tcBorders>
            <w:shd w:val="clear" w:color="auto" w:fill="auto"/>
            <w:vAlign w:val="center"/>
          </w:tcPr>
          <w:p w14:paraId="47AC5F46" w14:textId="77777777" w:rsidR="001667BE" w:rsidRPr="00496EA7" w:rsidRDefault="001667BE">
            <w:pPr>
              <w:pStyle w:val="08-Tabelageral"/>
              <w:rPr>
                <w:rFonts w:cs="Arial"/>
              </w:rPr>
            </w:pPr>
          </w:p>
        </w:tc>
        <w:tc>
          <w:tcPr>
            <w:tcW w:w="1404" w:type="dxa"/>
            <w:tcBorders>
              <w:top w:val="nil"/>
              <w:bottom w:val="nil"/>
            </w:tcBorders>
            <w:shd w:val="clear" w:color="auto" w:fill="auto"/>
          </w:tcPr>
          <w:p w14:paraId="3ACFE79B" w14:textId="77777777" w:rsidR="001667BE" w:rsidRPr="007C0ADC" w:rsidRDefault="001667BE">
            <w:pPr>
              <w:pStyle w:val="08-Tabelageral"/>
              <w:rPr>
                <w:rFonts w:cs="Arial"/>
                <w:highlight w:val="yellow"/>
              </w:rPr>
            </w:pPr>
            <w:r>
              <w:rPr>
                <w:rFonts w:cs="Arial"/>
              </w:rPr>
              <w:t>(6.021)</w:t>
            </w:r>
          </w:p>
        </w:tc>
        <w:tc>
          <w:tcPr>
            <w:tcW w:w="1511" w:type="dxa"/>
            <w:tcBorders>
              <w:top w:val="nil"/>
              <w:bottom w:val="nil"/>
            </w:tcBorders>
            <w:shd w:val="clear" w:color="auto" w:fill="auto"/>
          </w:tcPr>
          <w:p w14:paraId="54F503B8" w14:textId="77777777" w:rsidR="001667BE" w:rsidRPr="00CC0B19" w:rsidRDefault="001667BE">
            <w:pPr>
              <w:pStyle w:val="08-Tabelageral"/>
              <w:rPr>
                <w:rFonts w:cs="Arial"/>
              </w:rPr>
            </w:pPr>
            <w:r>
              <w:rPr>
                <w:rFonts w:cs="Arial"/>
              </w:rPr>
              <w:t>(5.855)</w:t>
            </w:r>
          </w:p>
        </w:tc>
      </w:tr>
      <w:tr w:rsidR="001667BE" w:rsidRPr="00A47279" w14:paraId="75BF333A" w14:textId="77777777">
        <w:trPr>
          <w:trHeight w:val="238"/>
        </w:trPr>
        <w:tc>
          <w:tcPr>
            <w:tcW w:w="3050" w:type="dxa"/>
            <w:gridSpan w:val="2"/>
            <w:tcBorders>
              <w:top w:val="nil"/>
              <w:bottom w:val="nil"/>
            </w:tcBorders>
            <w:shd w:val="clear" w:color="auto" w:fill="auto"/>
            <w:vAlign w:val="center"/>
          </w:tcPr>
          <w:p w14:paraId="4CB12B0A" w14:textId="77777777" w:rsidR="001667BE" w:rsidRPr="00BC5A4F" w:rsidRDefault="001667BE">
            <w:pPr>
              <w:pStyle w:val="08-Tabelageral"/>
              <w:ind w:left="113"/>
              <w:jc w:val="left"/>
            </w:pPr>
            <w:r w:rsidRPr="00BC5A4F">
              <w:t>M</w:t>
            </w:r>
            <w:r>
              <w:t xml:space="preserve">APFRE Seguros Gerais </w:t>
            </w:r>
            <w:r w:rsidRPr="00BC5A4F">
              <w:rPr>
                <w:vertAlign w:val="superscript"/>
              </w:rPr>
              <w:t>(</w:t>
            </w:r>
            <w:r>
              <w:rPr>
                <w:vertAlign w:val="superscript"/>
              </w:rPr>
              <w:t>3</w:t>
            </w:r>
            <w:r w:rsidRPr="00BC5A4F">
              <w:rPr>
                <w:vertAlign w:val="superscript"/>
              </w:rPr>
              <w:t>)</w:t>
            </w:r>
          </w:p>
        </w:tc>
        <w:tc>
          <w:tcPr>
            <w:tcW w:w="595" w:type="dxa"/>
            <w:tcBorders>
              <w:top w:val="nil"/>
            </w:tcBorders>
            <w:shd w:val="clear" w:color="auto" w:fill="auto"/>
          </w:tcPr>
          <w:p w14:paraId="43CD03B6" w14:textId="77777777" w:rsidR="001667BE" w:rsidRPr="00890AEB" w:rsidRDefault="001667BE">
            <w:pPr>
              <w:pStyle w:val="08-Tabelageral"/>
              <w:rPr>
                <w:rFonts w:cs="Arial"/>
                <w:bCs/>
                <w:szCs w:val="14"/>
              </w:rPr>
            </w:pPr>
          </w:p>
        </w:tc>
        <w:tc>
          <w:tcPr>
            <w:tcW w:w="1397" w:type="dxa"/>
            <w:gridSpan w:val="2"/>
            <w:tcBorders>
              <w:top w:val="nil"/>
              <w:bottom w:val="nil"/>
            </w:tcBorders>
            <w:shd w:val="clear" w:color="auto" w:fill="auto"/>
            <w:vAlign w:val="center"/>
          </w:tcPr>
          <w:p w14:paraId="2B14383B" w14:textId="77777777" w:rsidR="001667BE" w:rsidRPr="00496EA7" w:rsidRDefault="001667BE">
            <w:pPr>
              <w:pStyle w:val="08-Tabelageral"/>
              <w:rPr>
                <w:rFonts w:cs="Arial"/>
              </w:rPr>
            </w:pPr>
          </w:p>
        </w:tc>
        <w:tc>
          <w:tcPr>
            <w:tcW w:w="1400" w:type="dxa"/>
            <w:tcBorders>
              <w:top w:val="nil"/>
              <w:bottom w:val="nil"/>
            </w:tcBorders>
            <w:shd w:val="clear" w:color="auto" w:fill="auto"/>
            <w:vAlign w:val="center"/>
          </w:tcPr>
          <w:p w14:paraId="41BE047A" w14:textId="77777777" w:rsidR="001667BE" w:rsidRPr="00496EA7" w:rsidRDefault="001667BE">
            <w:pPr>
              <w:pStyle w:val="08-Tabelageral"/>
              <w:rPr>
                <w:rFonts w:cs="Arial"/>
              </w:rPr>
            </w:pPr>
          </w:p>
        </w:tc>
        <w:tc>
          <w:tcPr>
            <w:tcW w:w="282" w:type="dxa"/>
            <w:gridSpan w:val="2"/>
            <w:tcBorders>
              <w:top w:val="nil"/>
              <w:bottom w:val="nil"/>
            </w:tcBorders>
            <w:shd w:val="clear" w:color="auto" w:fill="auto"/>
            <w:vAlign w:val="center"/>
          </w:tcPr>
          <w:p w14:paraId="31BE9C61" w14:textId="77777777" w:rsidR="001667BE" w:rsidRPr="00496EA7" w:rsidRDefault="001667BE">
            <w:pPr>
              <w:pStyle w:val="08-Tabelageral"/>
              <w:rPr>
                <w:rFonts w:cs="Arial"/>
              </w:rPr>
            </w:pPr>
          </w:p>
        </w:tc>
        <w:tc>
          <w:tcPr>
            <w:tcW w:w="1404" w:type="dxa"/>
            <w:tcBorders>
              <w:top w:val="nil"/>
              <w:bottom w:val="nil"/>
            </w:tcBorders>
            <w:shd w:val="clear" w:color="auto" w:fill="auto"/>
          </w:tcPr>
          <w:p w14:paraId="788209D4" w14:textId="77777777" w:rsidR="001667BE" w:rsidRPr="007C0ADC" w:rsidRDefault="001667BE">
            <w:pPr>
              <w:pStyle w:val="08-Tabelageral"/>
              <w:rPr>
                <w:rFonts w:cs="Arial"/>
                <w:highlight w:val="yellow"/>
              </w:rPr>
            </w:pPr>
            <w:r>
              <w:rPr>
                <w:rFonts w:cs="Arial"/>
              </w:rPr>
              <w:t>(1.766)</w:t>
            </w:r>
          </w:p>
        </w:tc>
        <w:tc>
          <w:tcPr>
            <w:tcW w:w="1511" w:type="dxa"/>
            <w:tcBorders>
              <w:top w:val="nil"/>
              <w:bottom w:val="nil"/>
            </w:tcBorders>
            <w:shd w:val="clear" w:color="auto" w:fill="auto"/>
          </w:tcPr>
          <w:p w14:paraId="2FC00CFE" w14:textId="77777777" w:rsidR="001667BE" w:rsidRPr="00CC0B19" w:rsidRDefault="001667BE">
            <w:pPr>
              <w:pStyle w:val="08-Tabelageral"/>
              <w:rPr>
                <w:rFonts w:cs="Arial"/>
              </w:rPr>
            </w:pPr>
            <w:r>
              <w:rPr>
                <w:rFonts w:cs="Arial"/>
              </w:rPr>
              <w:t>(21.057)</w:t>
            </w:r>
          </w:p>
        </w:tc>
      </w:tr>
      <w:tr w:rsidR="001667BE" w:rsidRPr="00A47279" w14:paraId="3F96F020" w14:textId="77777777">
        <w:trPr>
          <w:trHeight w:val="238"/>
        </w:trPr>
        <w:tc>
          <w:tcPr>
            <w:tcW w:w="3050" w:type="dxa"/>
            <w:gridSpan w:val="2"/>
            <w:tcBorders>
              <w:top w:val="nil"/>
              <w:bottom w:val="nil"/>
            </w:tcBorders>
            <w:shd w:val="clear" w:color="auto" w:fill="auto"/>
            <w:vAlign w:val="center"/>
          </w:tcPr>
          <w:p w14:paraId="431D38CC" w14:textId="77777777" w:rsidR="001667BE" w:rsidRPr="00BC5A4F" w:rsidRDefault="001667BE">
            <w:pPr>
              <w:pStyle w:val="08-Tabelageral"/>
              <w:ind w:left="113"/>
              <w:jc w:val="left"/>
            </w:pPr>
            <w:r w:rsidRPr="00BC5A4F">
              <w:t>Outras empresas</w:t>
            </w:r>
          </w:p>
        </w:tc>
        <w:tc>
          <w:tcPr>
            <w:tcW w:w="595" w:type="dxa"/>
            <w:tcBorders>
              <w:top w:val="nil"/>
            </w:tcBorders>
            <w:shd w:val="clear" w:color="auto" w:fill="auto"/>
          </w:tcPr>
          <w:p w14:paraId="5318C658" w14:textId="77777777" w:rsidR="001667BE" w:rsidRPr="00890AEB" w:rsidRDefault="001667BE">
            <w:pPr>
              <w:pStyle w:val="08-Tabelageral"/>
              <w:rPr>
                <w:rFonts w:cs="Arial"/>
                <w:bCs/>
                <w:szCs w:val="14"/>
              </w:rPr>
            </w:pPr>
          </w:p>
        </w:tc>
        <w:tc>
          <w:tcPr>
            <w:tcW w:w="1397" w:type="dxa"/>
            <w:gridSpan w:val="2"/>
            <w:tcBorders>
              <w:top w:val="nil"/>
              <w:bottom w:val="nil"/>
            </w:tcBorders>
            <w:shd w:val="clear" w:color="auto" w:fill="auto"/>
            <w:vAlign w:val="center"/>
          </w:tcPr>
          <w:p w14:paraId="787E0ECF" w14:textId="77777777" w:rsidR="001667BE" w:rsidRPr="00496EA7" w:rsidRDefault="001667BE">
            <w:pPr>
              <w:pStyle w:val="08-Tabelageral"/>
              <w:rPr>
                <w:rFonts w:cs="Arial"/>
              </w:rPr>
            </w:pPr>
          </w:p>
        </w:tc>
        <w:tc>
          <w:tcPr>
            <w:tcW w:w="1400" w:type="dxa"/>
            <w:tcBorders>
              <w:top w:val="nil"/>
              <w:bottom w:val="nil"/>
            </w:tcBorders>
            <w:shd w:val="clear" w:color="auto" w:fill="auto"/>
            <w:vAlign w:val="center"/>
          </w:tcPr>
          <w:p w14:paraId="170B0A2C" w14:textId="77777777" w:rsidR="001667BE" w:rsidRPr="00496EA7" w:rsidRDefault="001667BE">
            <w:pPr>
              <w:pStyle w:val="08-Tabelageral"/>
              <w:rPr>
                <w:rFonts w:cs="Arial"/>
              </w:rPr>
            </w:pPr>
          </w:p>
        </w:tc>
        <w:tc>
          <w:tcPr>
            <w:tcW w:w="282" w:type="dxa"/>
            <w:gridSpan w:val="2"/>
            <w:tcBorders>
              <w:top w:val="nil"/>
              <w:bottom w:val="nil"/>
            </w:tcBorders>
            <w:shd w:val="clear" w:color="auto" w:fill="auto"/>
            <w:vAlign w:val="center"/>
          </w:tcPr>
          <w:p w14:paraId="1D91EDEA" w14:textId="77777777" w:rsidR="001667BE" w:rsidRPr="00496EA7" w:rsidRDefault="001667BE">
            <w:pPr>
              <w:pStyle w:val="08-Tabelageral"/>
              <w:rPr>
                <w:rFonts w:cs="Arial"/>
              </w:rPr>
            </w:pPr>
          </w:p>
        </w:tc>
        <w:tc>
          <w:tcPr>
            <w:tcW w:w="1404" w:type="dxa"/>
            <w:tcBorders>
              <w:top w:val="nil"/>
              <w:bottom w:val="nil"/>
            </w:tcBorders>
            <w:shd w:val="clear" w:color="auto" w:fill="auto"/>
          </w:tcPr>
          <w:p w14:paraId="0260D8C4" w14:textId="77777777" w:rsidR="001667BE" w:rsidRPr="007C0ADC" w:rsidRDefault="001667BE">
            <w:pPr>
              <w:pStyle w:val="08-Tabelageral"/>
              <w:rPr>
                <w:rFonts w:cs="Arial"/>
                <w:highlight w:val="yellow"/>
              </w:rPr>
            </w:pPr>
            <w:r>
              <w:rPr>
                <w:rFonts w:cs="Arial"/>
              </w:rPr>
              <w:t>(1)</w:t>
            </w:r>
          </w:p>
        </w:tc>
        <w:tc>
          <w:tcPr>
            <w:tcW w:w="1511" w:type="dxa"/>
            <w:tcBorders>
              <w:top w:val="nil"/>
              <w:bottom w:val="nil"/>
            </w:tcBorders>
            <w:shd w:val="clear" w:color="auto" w:fill="auto"/>
          </w:tcPr>
          <w:p w14:paraId="586897DD" w14:textId="77777777" w:rsidR="001667BE" w:rsidRPr="00CC0B19" w:rsidRDefault="001667BE">
            <w:pPr>
              <w:pStyle w:val="08-Tabelageral"/>
              <w:rPr>
                <w:rFonts w:cs="Arial"/>
              </w:rPr>
            </w:pPr>
            <w:r>
              <w:rPr>
                <w:rFonts w:cs="Arial"/>
              </w:rPr>
              <w:t>(1)</w:t>
            </w:r>
          </w:p>
        </w:tc>
      </w:tr>
      <w:tr w:rsidR="001667BE" w:rsidRPr="00A47279" w14:paraId="59A5FD70" w14:textId="77777777">
        <w:trPr>
          <w:trHeight w:val="238"/>
        </w:trPr>
        <w:tc>
          <w:tcPr>
            <w:tcW w:w="3050" w:type="dxa"/>
            <w:gridSpan w:val="2"/>
            <w:tcBorders>
              <w:top w:val="nil"/>
              <w:bottom w:val="nil"/>
            </w:tcBorders>
            <w:shd w:val="clear" w:color="auto" w:fill="auto"/>
            <w:vAlign w:val="center"/>
          </w:tcPr>
          <w:p w14:paraId="1C86C941" w14:textId="77777777" w:rsidR="001667BE" w:rsidRPr="00496EA7" w:rsidRDefault="001667BE">
            <w:pPr>
              <w:pStyle w:val="08-Tabelageral"/>
              <w:jc w:val="left"/>
              <w:rPr>
                <w:rFonts w:cs="Arial"/>
                <w:b/>
                <w:szCs w:val="14"/>
              </w:rPr>
            </w:pPr>
            <w:r w:rsidRPr="00496EA7">
              <w:rPr>
                <w:b/>
              </w:rPr>
              <w:t>Deduções das Receitas de comissões</w:t>
            </w:r>
          </w:p>
        </w:tc>
        <w:tc>
          <w:tcPr>
            <w:tcW w:w="595" w:type="dxa"/>
            <w:tcBorders>
              <w:top w:val="nil"/>
            </w:tcBorders>
            <w:shd w:val="clear" w:color="auto" w:fill="auto"/>
          </w:tcPr>
          <w:p w14:paraId="79E37CFB" w14:textId="77777777" w:rsidR="001667BE" w:rsidRPr="00890AEB" w:rsidRDefault="001667BE">
            <w:pPr>
              <w:pStyle w:val="08-Tabelageral"/>
              <w:rPr>
                <w:rFonts w:cs="Arial"/>
                <w:bCs/>
                <w:szCs w:val="14"/>
              </w:rPr>
            </w:pPr>
          </w:p>
        </w:tc>
        <w:tc>
          <w:tcPr>
            <w:tcW w:w="1397" w:type="dxa"/>
            <w:gridSpan w:val="2"/>
            <w:tcBorders>
              <w:top w:val="nil"/>
              <w:bottom w:val="nil"/>
            </w:tcBorders>
            <w:shd w:val="clear" w:color="auto" w:fill="auto"/>
            <w:vAlign w:val="center"/>
          </w:tcPr>
          <w:p w14:paraId="273E9622" w14:textId="77777777" w:rsidR="001667BE" w:rsidRPr="00496EA7" w:rsidRDefault="001667BE">
            <w:pPr>
              <w:pStyle w:val="08-Tabelageral"/>
              <w:rPr>
                <w:rFonts w:cs="Arial"/>
              </w:rPr>
            </w:pPr>
          </w:p>
        </w:tc>
        <w:tc>
          <w:tcPr>
            <w:tcW w:w="1400" w:type="dxa"/>
            <w:tcBorders>
              <w:top w:val="nil"/>
              <w:bottom w:val="nil"/>
            </w:tcBorders>
            <w:shd w:val="clear" w:color="auto" w:fill="auto"/>
            <w:vAlign w:val="center"/>
          </w:tcPr>
          <w:p w14:paraId="27124E06" w14:textId="77777777" w:rsidR="001667BE" w:rsidRPr="00496EA7" w:rsidRDefault="001667BE">
            <w:pPr>
              <w:pStyle w:val="08-Tabelageral"/>
              <w:rPr>
                <w:rFonts w:cs="Arial"/>
              </w:rPr>
            </w:pPr>
          </w:p>
        </w:tc>
        <w:tc>
          <w:tcPr>
            <w:tcW w:w="282" w:type="dxa"/>
            <w:gridSpan w:val="2"/>
            <w:tcBorders>
              <w:top w:val="nil"/>
              <w:bottom w:val="nil"/>
            </w:tcBorders>
            <w:shd w:val="clear" w:color="auto" w:fill="auto"/>
            <w:vAlign w:val="center"/>
          </w:tcPr>
          <w:p w14:paraId="04481473" w14:textId="77777777" w:rsidR="001667BE" w:rsidRPr="00496EA7" w:rsidRDefault="001667BE">
            <w:pPr>
              <w:pStyle w:val="08-Tabelageral"/>
              <w:rPr>
                <w:rFonts w:cs="Arial"/>
              </w:rPr>
            </w:pPr>
          </w:p>
        </w:tc>
        <w:tc>
          <w:tcPr>
            <w:tcW w:w="1404" w:type="dxa"/>
            <w:tcBorders>
              <w:top w:val="nil"/>
              <w:bottom w:val="nil"/>
            </w:tcBorders>
            <w:shd w:val="clear" w:color="auto" w:fill="auto"/>
          </w:tcPr>
          <w:p w14:paraId="5C453234" w14:textId="77777777" w:rsidR="001667BE" w:rsidRPr="002857F3" w:rsidRDefault="001667BE">
            <w:pPr>
              <w:pStyle w:val="08-Tabelageral"/>
              <w:rPr>
                <w:rFonts w:cs="Arial"/>
                <w:b/>
                <w:bCs/>
              </w:rPr>
            </w:pPr>
            <w:r>
              <w:rPr>
                <w:rFonts w:cs="Arial"/>
                <w:b/>
                <w:bCs/>
              </w:rPr>
              <w:t>(637.670)</w:t>
            </w:r>
          </w:p>
        </w:tc>
        <w:tc>
          <w:tcPr>
            <w:tcW w:w="1511" w:type="dxa"/>
            <w:tcBorders>
              <w:top w:val="nil"/>
              <w:bottom w:val="nil"/>
            </w:tcBorders>
            <w:shd w:val="clear" w:color="auto" w:fill="auto"/>
          </w:tcPr>
          <w:p w14:paraId="65A3D818" w14:textId="77777777" w:rsidR="001667BE" w:rsidRPr="00DE2960" w:rsidRDefault="001667BE">
            <w:pPr>
              <w:pStyle w:val="08-Tabelageral"/>
              <w:rPr>
                <w:rFonts w:cs="Arial"/>
              </w:rPr>
            </w:pPr>
            <w:r>
              <w:rPr>
                <w:rFonts w:cs="Arial"/>
                <w:b/>
                <w:bCs/>
              </w:rPr>
              <w:t>(577.284)</w:t>
            </w:r>
          </w:p>
        </w:tc>
      </w:tr>
      <w:tr w:rsidR="001667BE" w:rsidRPr="00A47279" w14:paraId="28C1759D" w14:textId="77777777">
        <w:trPr>
          <w:trHeight w:val="238"/>
        </w:trPr>
        <w:tc>
          <w:tcPr>
            <w:tcW w:w="3050" w:type="dxa"/>
            <w:gridSpan w:val="2"/>
            <w:tcBorders>
              <w:top w:val="nil"/>
              <w:bottom w:val="nil"/>
            </w:tcBorders>
            <w:shd w:val="clear" w:color="auto" w:fill="auto"/>
            <w:vAlign w:val="center"/>
          </w:tcPr>
          <w:p w14:paraId="4FF8A108" w14:textId="77777777" w:rsidR="001667BE" w:rsidRPr="00A47279" w:rsidRDefault="001667BE">
            <w:pPr>
              <w:pStyle w:val="08-Tabelageral"/>
              <w:ind w:left="113"/>
              <w:jc w:val="left"/>
              <w:rPr>
                <w:rFonts w:cs="Arial"/>
                <w:szCs w:val="14"/>
              </w:rPr>
            </w:pPr>
            <w:proofErr w:type="spellStart"/>
            <w:r>
              <w:t>Cofins</w:t>
            </w:r>
            <w:proofErr w:type="spellEnd"/>
          </w:p>
        </w:tc>
        <w:tc>
          <w:tcPr>
            <w:tcW w:w="595" w:type="dxa"/>
            <w:tcBorders>
              <w:top w:val="nil"/>
            </w:tcBorders>
            <w:shd w:val="clear" w:color="auto" w:fill="auto"/>
          </w:tcPr>
          <w:p w14:paraId="1046869A" w14:textId="77777777" w:rsidR="001667BE" w:rsidRPr="00890AEB" w:rsidRDefault="001667BE">
            <w:pPr>
              <w:pStyle w:val="08-Tabelageral"/>
              <w:rPr>
                <w:rFonts w:cs="Arial"/>
                <w:bCs/>
                <w:szCs w:val="14"/>
              </w:rPr>
            </w:pPr>
          </w:p>
        </w:tc>
        <w:tc>
          <w:tcPr>
            <w:tcW w:w="1397" w:type="dxa"/>
            <w:gridSpan w:val="2"/>
            <w:tcBorders>
              <w:top w:val="nil"/>
              <w:bottom w:val="nil"/>
            </w:tcBorders>
            <w:shd w:val="clear" w:color="auto" w:fill="auto"/>
          </w:tcPr>
          <w:p w14:paraId="7CA67B7D" w14:textId="77777777" w:rsidR="001667BE" w:rsidRPr="00496EA7" w:rsidRDefault="001667BE">
            <w:pPr>
              <w:pStyle w:val="08-Tabelageral"/>
              <w:rPr>
                <w:rFonts w:cs="Arial"/>
              </w:rPr>
            </w:pPr>
          </w:p>
        </w:tc>
        <w:tc>
          <w:tcPr>
            <w:tcW w:w="1400" w:type="dxa"/>
            <w:tcBorders>
              <w:top w:val="nil"/>
              <w:bottom w:val="nil"/>
            </w:tcBorders>
            <w:shd w:val="clear" w:color="auto" w:fill="auto"/>
          </w:tcPr>
          <w:p w14:paraId="19DC576F" w14:textId="77777777" w:rsidR="001667BE" w:rsidRPr="00496EA7" w:rsidRDefault="001667BE">
            <w:pPr>
              <w:pStyle w:val="08-Tabelageral"/>
              <w:rPr>
                <w:rFonts w:cs="Arial"/>
              </w:rPr>
            </w:pPr>
          </w:p>
        </w:tc>
        <w:tc>
          <w:tcPr>
            <w:tcW w:w="282" w:type="dxa"/>
            <w:gridSpan w:val="2"/>
            <w:tcBorders>
              <w:top w:val="nil"/>
              <w:bottom w:val="nil"/>
            </w:tcBorders>
            <w:shd w:val="clear" w:color="auto" w:fill="auto"/>
            <w:vAlign w:val="center"/>
          </w:tcPr>
          <w:p w14:paraId="3512FBE4" w14:textId="77777777" w:rsidR="001667BE" w:rsidRPr="00496EA7" w:rsidRDefault="001667BE">
            <w:pPr>
              <w:pStyle w:val="08-Tabelageral"/>
              <w:rPr>
                <w:rFonts w:cs="Arial"/>
              </w:rPr>
            </w:pPr>
          </w:p>
        </w:tc>
        <w:tc>
          <w:tcPr>
            <w:tcW w:w="1404" w:type="dxa"/>
            <w:tcBorders>
              <w:top w:val="nil"/>
              <w:bottom w:val="nil"/>
            </w:tcBorders>
            <w:shd w:val="clear" w:color="auto" w:fill="auto"/>
          </w:tcPr>
          <w:p w14:paraId="34562701" w14:textId="77777777" w:rsidR="001667BE" w:rsidRPr="00496EA7" w:rsidRDefault="001667BE">
            <w:pPr>
              <w:pStyle w:val="08-Tabelageral"/>
              <w:rPr>
                <w:rFonts w:cs="Arial"/>
              </w:rPr>
            </w:pPr>
            <w:r>
              <w:rPr>
                <w:rFonts w:cs="Arial"/>
              </w:rPr>
              <w:t>(419.643)</w:t>
            </w:r>
          </w:p>
        </w:tc>
        <w:tc>
          <w:tcPr>
            <w:tcW w:w="1511" w:type="dxa"/>
            <w:tcBorders>
              <w:top w:val="nil"/>
              <w:bottom w:val="nil"/>
            </w:tcBorders>
            <w:shd w:val="clear" w:color="auto" w:fill="auto"/>
          </w:tcPr>
          <w:p w14:paraId="68232EA6" w14:textId="77777777" w:rsidR="001667BE" w:rsidRPr="00DE2960" w:rsidRDefault="001667BE">
            <w:pPr>
              <w:pStyle w:val="08-Tabelageral"/>
              <w:rPr>
                <w:rFonts w:cs="Arial"/>
              </w:rPr>
            </w:pPr>
            <w:r>
              <w:rPr>
                <w:rFonts w:cs="Arial"/>
              </w:rPr>
              <w:t>(379.349)</w:t>
            </w:r>
          </w:p>
        </w:tc>
      </w:tr>
      <w:tr w:rsidR="001667BE" w:rsidRPr="00A47279" w14:paraId="374CE24E" w14:textId="77777777">
        <w:trPr>
          <w:trHeight w:val="238"/>
        </w:trPr>
        <w:tc>
          <w:tcPr>
            <w:tcW w:w="3050" w:type="dxa"/>
            <w:gridSpan w:val="2"/>
            <w:tcBorders>
              <w:top w:val="nil"/>
              <w:bottom w:val="nil"/>
            </w:tcBorders>
            <w:shd w:val="clear" w:color="auto" w:fill="auto"/>
            <w:vAlign w:val="center"/>
          </w:tcPr>
          <w:p w14:paraId="20C9E3AD" w14:textId="77777777" w:rsidR="001667BE" w:rsidRPr="00A47279" w:rsidRDefault="001667BE">
            <w:pPr>
              <w:pStyle w:val="08-Tabelageral"/>
              <w:ind w:left="113"/>
              <w:jc w:val="left"/>
              <w:rPr>
                <w:rFonts w:cs="Arial"/>
                <w:szCs w:val="14"/>
              </w:rPr>
            </w:pPr>
            <w:r>
              <w:t>ISS</w:t>
            </w:r>
          </w:p>
        </w:tc>
        <w:tc>
          <w:tcPr>
            <w:tcW w:w="595" w:type="dxa"/>
            <w:tcBorders>
              <w:top w:val="nil"/>
            </w:tcBorders>
            <w:shd w:val="clear" w:color="auto" w:fill="auto"/>
          </w:tcPr>
          <w:p w14:paraId="7C301CF1" w14:textId="77777777" w:rsidR="001667BE" w:rsidRPr="00890AEB" w:rsidRDefault="001667BE">
            <w:pPr>
              <w:pStyle w:val="08-Tabelageral"/>
              <w:rPr>
                <w:rFonts w:cs="Arial"/>
                <w:bCs/>
                <w:szCs w:val="14"/>
              </w:rPr>
            </w:pPr>
          </w:p>
        </w:tc>
        <w:tc>
          <w:tcPr>
            <w:tcW w:w="1397" w:type="dxa"/>
            <w:gridSpan w:val="2"/>
            <w:tcBorders>
              <w:top w:val="nil"/>
              <w:bottom w:val="nil"/>
            </w:tcBorders>
            <w:shd w:val="clear" w:color="auto" w:fill="auto"/>
            <w:vAlign w:val="center"/>
          </w:tcPr>
          <w:p w14:paraId="5CD33320" w14:textId="77777777" w:rsidR="001667BE" w:rsidRPr="00496EA7" w:rsidRDefault="001667BE">
            <w:pPr>
              <w:pStyle w:val="08-Tabelageral"/>
              <w:rPr>
                <w:rFonts w:cs="Arial"/>
              </w:rPr>
            </w:pPr>
          </w:p>
        </w:tc>
        <w:tc>
          <w:tcPr>
            <w:tcW w:w="1400" w:type="dxa"/>
            <w:tcBorders>
              <w:top w:val="nil"/>
              <w:bottom w:val="nil"/>
            </w:tcBorders>
            <w:shd w:val="clear" w:color="auto" w:fill="auto"/>
            <w:vAlign w:val="center"/>
          </w:tcPr>
          <w:p w14:paraId="2D5D29EB" w14:textId="77777777" w:rsidR="001667BE" w:rsidRPr="00496EA7" w:rsidRDefault="001667BE">
            <w:pPr>
              <w:pStyle w:val="08-Tabelageral"/>
              <w:rPr>
                <w:rFonts w:cs="Arial"/>
              </w:rPr>
            </w:pPr>
          </w:p>
        </w:tc>
        <w:tc>
          <w:tcPr>
            <w:tcW w:w="282" w:type="dxa"/>
            <w:gridSpan w:val="2"/>
            <w:tcBorders>
              <w:top w:val="nil"/>
              <w:bottom w:val="nil"/>
            </w:tcBorders>
            <w:shd w:val="clear" w:color="auto" w:fill="auto"/>
            <w:vAlign w:val="center"/>
          </w:tcPr>
          <w:p w14:paraId="6A1DE74C" w14:textId="77777777" w:rsidR="001667BE" w:rsidRPr="00496EA7" w:rsidRDefault="001667BE">
            <w:pPr>
              <w:pStyle w:val="08-Tabelageral"/>
              <w:rPr>
                <w:rFonts w:cs="Arial"/>
              </w:rPr>
            </w:pPr>
          </w:p>
        </w:tc>
        <w:tc>
          <w:tcPr>
            <w:tcW w:w="1404" w:type="dxa"/>
            <w:tcBorders>
              <w:top w:val="nil"/>
              <w:bottom w:val="nil"/>
            </w:tcBorders>
            <w:shd w:val="clear" w:color="auto" w:fill="auto"/>
          </w:tcPr>
          <w:p w14:paraId="183F4107" w14:textId="77777777" w:rsidR="001667BE" w:rsidRPr="00496EA7" w:rsidRDefault="001667BE">
            <w:pPr>
              <w:pStyle w:val="08-Tabelageral"/>
              <w:rPr>
                <w:rFonts w:cs="Arial"/>
              </w:rPr>
            </w:pPr>
            <w:r>
              <w:rPr>
                <w:rFonts w:cs="Arial"/>
              </w:rPr>
              <w:t>(126.920)</w:t>
            </w:r>
          </w:p>
        </w:tc>
        <w:tc>
          <w:tcPr>
            <w:tcW w:w="1511" w:type="dxa"/>
            <w:tcBorders>
              <w:top w:val="nil"/>
              <w:bottom w:val="nil"/>
            </w:tcBorders>
            <w:shd w:val="clear" w:color="auto" w:fill="auto"/>
          </w:tcPr>
          <w:p w14:paraId="4DAE6B08" w14:textId="77777777" w:rsidR="001667BE" w:rsidRPr="00DE2960" w:rsidRDefault="001667BE">
            <w:pPr>
              <w:pStyle w:val="08-Tabelageral"/>
              <w:rPr>
                <w:rFonts w:cs="Arial"/>
              </w:rPr>
            </w:pPr>
            <w:r>
              <w:rPr>
                <w:rFonts w:cs="Arial"/>
              </w:rPr>
              <w:t>(115.576)</w:t>
            </w:r>
          </w:p>
        </w:tc>
      </w:tr>
      <w:tr w:rsidR="001667BE" w:rsidRPr="00A47279" w14:paraId="35021505" w14:textId="77777777">
        <w:trPr>
          <w:trHeight w:val="238"/>
        </w:trPr>
        <w:tc>
          <w:tcPr>
            <w:tcW w:w="3050" w:type="dxa"/>
            <w:gridSpan w:val="2"/>
            <w:tcBorders>
              <w:top w:val="nil"/>
              <w:bottom w:val="nil"/>
            </w:tcBorders>
            <w:shd w:val="clear" w:color="auto" w:fill="auto"/>
            <w:vAlign w:val="center"/>
          </w:tcPr>
          <w:p w14:paraId="1B92A05B" w14:textId="77777777" w:rsidR="001667BE" w:rsidRPr="00A47279" w:rsidRDefault="001667BE">
            <w:pPr>
              <w:pStyle w:val="08-Tabelageral"/>
              <w:ind w:left="113"/>
              <w:jc w:val="left"/>
              <w:rPr>
                <w:rFonts w:cs="Arial"/>
                <w:szCs w:val="14"/>
              </w:rPr>
            </w:pPr>
            <w:r>
              <w:t>PIS</w:t>
            </w:r>
          </w:p>
        </w:tc>
        <w:tc>
          <w:tcPr>
            <w:tcW w:w="595" w:type="dxa"/>
            <w:tcBorders>
              <w:bottom w:val="nil"/>
            </w:tcBorders>
            <w:shd w:val="clear" w:color="auto" w:fill="auto"/>
          </w:tcPr>
          <w:p w14:paraId="631E8A9D" w14:textId="77777777" w:rsidR="001667BE" w:rsidRPr="00890AEB" w:rsidRDefault="001667BE">
            <w:pPr>
              <w:pStyle w:val="08-Tabelageral"/>
              <w:rPr>
                <w:rFonts w:cs="Arial"/>
                <w:bCs/>
                <w:szCs w:val="14"/>
              </w:rPr>
            </w:pPr>
          </w:p>
        </w:tc>
        <w:tc>
          <w:tcPr>
            <w:tcW w:w="1397" w:type="dxa"/>
            <w:gridSpan w:val="2"/>
            <w:tcBorders>
              <w:top w:val="nil"/>
              <w:bottom w:val="nil"/>
            </w:tcBorders>
            <w:shd w:val="clear" w:color="auto" w:fill="auto"/>
          </w:tcPr>
          <w:p w14:paraId="25B894C9" w14:textId="77777777" w:rsidR="001667BE" w:rsidRPr="00496EA7" w:rsidRDefault="001667BE">
            <w:pPr>
              <w:pStyle w:val="08-Tabelageral"/>
              <w:rPr>
                <w:rFonts w:cs="Arial"/>
              </w:rPr>
            </w:pPr>
          </w:p>
        </w:tc>
        <w:tc>
          <w:tcPr>
            <w:tcW w:w="1400" w:type="dxa"/>
            <w:tcBorders>
              <w:top w:val="nil"/>
              <w:bottom w:val="nil"/>
            </w:tcBorders>
            <w:shd w:val="clear" w:color="auto" w:fill="auto"/>
          </w:tcPr>
          <w:p w14:paraId="35309E24" w14:textId="77777777" w:rsidR="001667BE" w:rsidRPr="00496EA7" w:rsidRDefault="001667BE">
            <w:pPr>
              <w:pStyle w:val="08-Tabelageral"/>
              <w:rPr>
                <w:rFonts w:cs="Arial"/>
              </w:rPr>
            </w:pPr>
          </w:p>
        </w:tc>
        <w:tc>
          <w:tcPr>
            <w:tcW w:w="282" w:type="dxa"/>
            <w:gridSpan w:val="2"/>
            <w:tcBorders>
              <w:top w:val="nil"/>
              <w:bottom w:val="nil"/>
            </w:tcBorders>
            <w:shd w:val="clear" w:color="auto" w:fill="auto"/>
            <w:vAlign w:val="center"/>
          </w:tcPr>
          <w:p w14:paraId="252F8A9F" w14:textId="77777777" w:rsidR="001667BE" w:rsidRPr="00496EA7" w:rsidRDefault="001667BE">
            <w:pPr>
              <w:pStyle w:val="08-Tabelageral"/>
              <w:rPr>
                <w:rFonts w:cs="Arial"/>
              </w:rPr>
            </w:pPr>
          </w:p>
        </w:tc>
        <w:tc>
          <w:tcPr>
            <w:tcW w:w="1404" w:type="dxa"/>
            <w:tcBorders>
              <w:top w:val="nil"/>
              <w:bottom w:val="nil"/>
            </w:tcBorders>
            <w:shd w:val="clear" w:color="auto" w:fill="auto"/>
          </w:tcPr>
          <w:p w14:paraId="2BE5AA70" w14:textId="77777777" w:rsidR="001667BE" w:rsidRPr="00496EA7" w:rsidRDefault="001667BE">
            <w:pPr>
              <w:pStyle w:val="08-Tabelageral"/>
              <w:rPr>
                <w:rFonts w:cs="Arial"/>
              </w:rPr>
            </w:pPr>
            <w:r>
              <w:rPr>
                <w:rFonts w:cs="Arial"/>
              </w:rPr>
              <w:t>(91.107)</w:t>
            </w:r>
          </w:p>
        </w:tc>
        <w:tc>
          <w:tcPr>
            <w:tcW w:w="1511" w:type="dxa"/>
            <w:tcBorders>
              <w:top w:val="nil"/>
              <w:bottom w:val="nil"/>
            </w:tcBorders>
            <w:shd w:val="clear" w:color="auto" w:fill="auto"/>
          </w:tcPr>
          <w:p w14:paraId="24C858C4" w14:textId="77777777" w:rsidR="001667BE" w:rsidRPr="00DE2960" w:rsidRDefault="001667BE">
            <w:pPr>
              <w:pStyle w:val="08-Tabelageral"/>
              <w:rPr>
                <w:rFonts w:cs="Arial"/>
              </w:rPr>
            </w:pPr>
            <w:r>
              <w:rPr>
                <w:rFonts w:cs="Arial"/>
              </w:rPr>
              <w:t>(82.359)</w:t>
            </w:r>
          </w:p>
        </w:tc>
      </w:tr>
      <w:tr w:rsidR="001667BE" w:rsidRPr="00A47279" w14:paraId="67E82BF4" w14:textId="77777777">
        <w:trPr>
          <w:trHeight w:val="238"/>
        </w:trPr>
        <w:tc>
          <w:tcPr>
            <w:tcW w:w="3050" w:type="dxa"/>
            <w:gridSpan w:val="2"/>
            <w:tcBorders>
              <w:top w:val="nil"/>
              <w:bottom w:val="single" w:sz="2" w:space="0" w:color="1F3864" w:themeColor="accent1" w:themeShade="80"/>
            </w:tcBorders>
            <w:shd w:val="clear" w:color="auto" w:fill="auto"/>
            <w:vAlign w:val="center"/>
          </w:tcPr>
          <w:p w14:paraId="2BED350A" w14:textId="77777777" w:rsidR="001667BE" w:rsidRPr="00496EA7" w:rsidRDefault="001667BE">
            <w:pPr>
              <w:keepNext/>
              <w:keepLines/>
              <w:spacing w:before="40" w:after="40" w:line="240" w:lineRule="auto"/>
              <w:rPr>
                <w:rFonts w:ascii="Arial" w:hAnsi="Arial" w:cs="Arial"/>
                <w:b/>
                <w:spacing w:val="-2"/>
                <w:sz w:val="14"/>
                <w:szCs w:val="14"/>
              </w:rPr>
            </w:pPr>
            <w:r w:rsidRPr="00496EA7">
              <w:rPr>
                <w:rFonts w:ascii="Arial" w:hAnsi="Arial" w:cs="Arial"/>
                <w:b/>
                <w:spacing w:val="-2"/>
                <w:sz w:val="14"/>
                <w:szCs w:val="14"/>
              </w:rPr>
              <w:t>Receitas de comissões líquida</w:t>
            </w:r>
          </w:p>
        </w:tc>
        <w:tc>
          <w:tcPr>
            <w:tcW w:w="595" w:type="dxa"/>
            <w:tcBorders>
              <w:top w:val="nil"/>
              <w:bottom w:val="single" w:sz="2" w:space="0" w:color="1F3864" w:themeColor="accent1" w:themeShade="80"/>
            </w:tcBorders>
            <w:shd w:val="clear" w:color="auto" w:fill="auto"/>
          </w:tcPr>
          <w:p w14:paraId="46187A67" w14:textId="77777777" w:rsidR="001667BE" w:rsidRPr="00890AEB" w:rsidRDefault="001667BE">
            <w:pPr>
              <w:keepNext/>
              <w:keepLines/>
              <w:spacing w:before="40" w:after="40"/>
              <w:jc w:val="right"/>
              <w:rPr>
                <w:rFonts w:ascii="Arial" w:hAnsi="Arial" w:cs="Arial"/>
                <w:bCs/>
                <w:spacing w:val="-2"/>
                <w:sz w:val="14"/>
                <w:szCs w:val="14"/>
              </w:rPr>
            </w:pPr>
          </w:p>
        </w:tc>
        <w:tc>
          <w:tcPr>
            <w:tcW w:w="1397" w:type="dxa"/>
            <w:gridSpan w:val="2"/>
            <w:tcBorders>
              <w:top w:val="nil"/>
              <w:bottom w:val="single" w:sz="2" w:space="0" w:color="1F3864" w:themeColor="accent1" w:themeShade="80"/>
            </w:tcBorders>
            <w:shd w:val="clear" w:color="auto" w:fill="auto"/>
            <w:vAlign w:val="center"/>
          </w:tcPr>
          <w:p w14:paraId="341C9CFB" w14:textId="77777777" w:rsidR="001667BE" w:rsidRPr="00496EA7" w:rsidRDefault="001667BE">
            <w:pPr>
              <w:pStyle w:val="08-Tabelageral"/>
              <w:rPr>
                <w:rFonts w:cs="Arial"/>
                <w:b/>
              </w:rPr>
            </w:pPr>
          </w:p>
        </w:tc>
        <w:tc>
          <w:tcPr>
            <w:tcW w:w="1400" w:type="dxa"/>
            <w:tcBorders>
              <w:top w:val="nil"/>
              <w:bottom w:val="single" w:sz="2" w:space="0" w:color="1F3864" w:themeColor="accent1" w:themeShade="80"/>
            </w:tcBorders>
            <w:shd w:val="clear" w:color="auto" w:fill="auto"/>
            <w:vAlign w:val="center"/>
          </w:tcPr>
          <w:p w14:paraId="48BF21AC" w14:textId="77777777" w:rsidR="001667BE" w:rsidRPr="00496EA7" w:rsidRDefault="001667BE">
            <w:pPr>
              <w:pStyle w:val="08-Tabelageral"/>
              <w:rPr>
                <w:rFonts w:cs="Arial"/>
                <w:b/>
              </w:rPr>
            </w:pPr>
          </w:p>
        </w:tc>
        <w:tc>
          <w:tcPr>
            <w:tcW w:w="282" w:type="dxa"/>
            <w:gridSpan w:val="2"/>
            <w:tcBorders>
              <w:top w:val="nil"/>
              <w:bottom w:val="single" w:sz="2" w:space="0" w:color="1F3864" w:themeColor="accent1" w:themeShade="80"/>
            </w:tcBorders>
            <w:shd w:val="clear" w:color="auto" w:fill="auto"/>
            <w:vAlign w:val="center"/>
          </w:tcPr>
          <w:p w14:paraId="677BB12D" w14:textId="77777777" w:rsidR="001667BE" w:rsidRPr="00496EA7" w:rsidRDefault="001667BE">
            <w:pPr>
              <w:pStyle w:val="08-Tabelageral"/>
              <w:rPr>
                <w:rFonts w:cs="Arial"/>
                <w:b/>
              </w:rPr>
            </w:pPr>
          </w:p>
        </w:tc>
        <w:tc>
          <w:tcPr>
            <w:tcW w:w="1404" w:type="dxa"/>
            <w:tcBorders>
              <w:top w:val="nil"/>
              <w:bottom w:val="single" w:sz="2" w:space="0" w:color="1F3864" w:themeColor="accent1" w:themeShade="80"/>
            </w:tcBorders>
            <w:shd w:val="clear" w:color="auto" w:fill="auto"/>
          </w:tcPr>
          <w:p w14:paraId="0F49088E" w14:textId="77777777" w:rsidR="001667BE" w:rsidRPr="00496EA7" w:rsidRDefault="001667BE">
            <w:pPr>
              <w:pStyle w:val="08-Tabelageral"/>
              <w:rPr>
                <w:rFonts w:cs="Arial"/>
                <w:b/>
              </w:rPr>
            </w:pPr>
            <w:r>
              <w:rPr>
                <w:rFonts w:cs="Arial"/>
                <w:b/>
              </w:rPr>
              <w:t>4.868.052</w:t>
            </w:r>
          </w:p>
        </w:tc>
        <w:tc>
          <w:tcPr>
            <w:tcW w:w="1511" w:type="dxa"/>
            <w:tcBorders>
              <w:top w:val="nil"/>
              <w:bottom w:val="single" w:sz="2" w:space="0" w:color="1F3864" w:themeColor="accent1" w:themeShade="80"/>
            </w:tcBorders>
            <w:shd w:val="clear" w:color="auto" w:fill="auto"/>
          </w:tcPr>
          <w:p w14:paraId="7FD9F710" w14:textId="77777777" w:rsidR="001667BE" w:rsidRPr="00DE2960" w:rsidRDefault="001667BE">
            <w:pPr>
              <w:pStyle w:val="08-Tabelageral"/>
              <w:rPr>
                <w:rFonts w:cs="Arial"/>
                <w:b/>
              </w:rPr>
            </w:pPr>
            <w:r>
              <w:rPr>
                <w:rFonts w:cs="Arial"/>
                <w:b/>
              </w:rPr>
              <w:t>4.424.402</w:t>
            </w:r>
          </w:p>
        </w:tc>
      </w:tr>
    </w:tbl>
    <w:p w14:paraId="50EB1551" w14:textId="77777777" w:rsidR="002B4EBC" w:rsidRDefault="002B4EBC" w:rsidP="002C3B56">
      <w:pPr>
        <w:pStyle w:val="07-Legenda"/>
        <w:numPr>
          <w:ilvl w:val="0"/>
          <w:numId w:val="15"/>
        </w:numPr>
        <w:tabs>
          <w:tab w:val="clear" w:pos="284"/>
          <w:tab w:val="left" w:pos="0"/>
        </w:tabs>
        <w:ind w:left="284" w:hanging="284"/>
      </w:pPr>
      <w:bookmarkStart w:id="83" w:name="_Hlk188542953"/>
      <w:r>
        <w:t xml:space="preserve">No </w:t>
      </w:r>
      <w:r w:rsidRPr="008D6F2C">
        <w:t>exercício de 2024, houve redução de R$ 25.741 mil referente à constituição de provisão para devolução de corretagens à Brasilprev em decorrência de cancelamentos de planos, no âmbito do novo modelo de comissionamento implementado em março de 2024. O reconhecimento da despesa foi efetuado em dezembro, em contrapartida a um passivo relativo aos valores estimados de devolução.</w:t>
      </w:r>
    </w:p>
    <w:p w14:paraId="659DB0EC" w14:textId="77777777" w:rsidR="001667BE" w:rsidRDefault="001667BE" w:rsidP="002C3B56">
      <w:pPr>
        <w:pStyle w:val="07-Legenda"/>
        <w:numPr>
          <w:ilvl w:val="0"/>
          <w:numId w:val="15"/>
        </w:numPr>
        <w:tabs>
          <w:tab w:val="clear" w:pos="284"/>
          <w:tab w:val="left" w:pos="0"/>
        </w:tabs>
        <w:ind w:left="284" w:hanging="284"/>
      </w:pPr>
      <w:r>
        <w:t>Seguros de Automóvel e Grandes Riscos.</w:t>
      </w:r>
    </w:p>
    <w:p w14:paraId="6D99282C" w14:textId="77777777" w:rsidR="001667BE" w:rsidRDefault="002B4EBC" w:rsidP="002C3B56">
      <w:pPr>
        <w:pStyle w:val="07-Legenda"/>
        <w:numPr>
          <w:ilvl w:val="0"/>
          <w:numId w:val="15"/>
        </w:numPr>
        <w:tabs>
          <w:tab w:val="clear" w:pos="284"/>
          <w:tab w:val="left" w:pos="0"/>
        </w:tabs>
        <w:ind w:left="284" w:hanging="284"/>
      </w:pPr>
      <w:r>
        <w:t xml:space="preserve">No exercício de 2023, </w:t>
      </w:r>
      <w:r w:rsidR="001667BE">
        <w:t>R$ 12.129 mil refere-se à devolução de comissão de corretagem de produtos relacionados ao ramo de automóvel à MAPFRE Seguros Gerais, em função da alteração no percentual de comissão de 17,3% para 14,3%, no período compreendido entre 01/2023 e 06/2023.</w:t>
      </w:r>
    </w:p>
    <w:bookmarkEnd w:id="83"/>
    <w:p w14:paraId="27A7030B" w14:textId="77777777" w:rsidR="005C6C41" w:rsidRPr="001667BE" w:rsidRDefault="001667BE" w:rsidP="00416E1B">
      <w:pPr>
        <w:pStyle w:val="07-Legenda"/>
        <w:tabs>
          <w:tab w:val="left" w:pos="4797"/>
        </w:tabs>
        <w:spacing w:before="120" w:after="120" w:line="276" w:lineRule="auto"/>
        <w:ind w:left="0" w:firstLine="0"/>
        <w:rPr>
          <w:sz w:val="18"/>
        </w:rPr>
      </w:pPr>
      <w:r w:rsidRPr="007F2DCA">
        <w:rPr>
          <w:sz w:val="18"/>
        </w:rPr>
        <w:t>Não há</w:t>
      </w:r>
      <w:r>
        <w:rPr>
          <w:sz w:val="18"/>
        </w:rPr>
        <w:t xml:space="preserve"> </w:t>
      </w:r>
      <w:r w:rsidRPr="007F2DCA">
        <w:rPr>
          <w:sz w:val="18"/>
        </w:rPr>
        <w:t>saldo de receitas de comissões no controlador.</w:t>
      </w:r>
    </w:p>
    <w:p w14:paraId="0D49F3E9" w14:textId="77777777" w:rsidR="00CC10B5" w:rsidRDefault="00CC10B5" w:rsidP="00CC10B5">
      <w:pPr>
        <w:pStyle w:val="02-TtulodeNota"/>
      </w:pPr>
      <w:bookmarkStart w:id="84" w:name="_Toc146905622"/>
    </w:p>
    <w:p w14:paraId="7B557962" w14:textId="77777777" w:rsidR="005C6C41" w:rsidRPr="00BF2AAF" w:rsidRDefault="005C6C41" w:rsidP="00CC10B5">
      <w:pPr>
        <w:pStyle w:val="02-TtulodeNota"/>
        <w:rPr>
          <w:rFonts w:cs="Arial"/>
          <w:b w:val="0"/>
        </w:rPr>
      </w:pPr>
      <w:bookmarkStart w:id="85" w:name="_Toc189757075"/>
      <w:r w:rsidRPr="00CC10B5">
        <w:t>9 – CUSTOS DOS SERVIÇOS PRESTADOS</w:t>
      </w:r>
      <w:bookmarkEnd w:id="84"/>
      <w:bookmarkEnd w:id="85"/>
    </w:p>
    <w:p w14:paraId="663B88AC" w14:textId="2C2750DA" w:rsidR="00D57767" w:rsidRPr="00BF2AAF" w:rsidRDefault="00D57767" w:rsidP="00133829">
      <w:pPr>
        <w:pStyle w:val="01-TtulodeNota"/>
        <w:spacing w:before="0" w:after="0"/>
        <w:jc w:val="right"/>
        <w:rPr>
          <w:rFonts w:cs="Arial"/>
          <w:b w:val="0"/>
          <w:sz w:val="14"/>
          <w:szCs w:val="14"/>
        </w:rPr>
      </w:pPr>
      <w:r w:rsidRPr="00133829">
        <w:rPr>
          <w:sz w:val="14"/>
          <w:szCs w:val="14"/>
        </w:rPr>
        <w:t>R$ mil</w:t>
      </w:r>
    </w:p>
    <w:tbl>
      <w:tblPr>
        <w:tblW w:w="9639" w:type="dxa"/>
        <w:jc w:val="center"/>
        <w:tblBorders>
          <w:top w:val="single" w:sz="2" w:space="0" w:color="8EAADB"/>
          <w:bottom w:val="single" w:sz="2" w:space="0" w:color="8EAADB"/>
        </w:tblBorders>
        <w:tblLook w:val="04A0" w:firstRow="1" w:lastRow="0" w:firstColumn="1" w:lastColumn="0" w:noHBand="0" w:noVBand="1"/>
      </w:tblPr>
      <w:tblGrid>
        <w:gridCol w:w="2467"/>
        <w:gridCol w:w="583"/>
        <w:gridCol w:w="779"/>
        <w:gridCol w:w="1213"/>
        <w:gridCol w:w="1400"/>
        <w:gridCol w:w="43"/>
        <w:gridCol w:w="239"/>
        <w:gridCol w:w="1404"/>
        <w:gridCol w:w="1511"/>
      </w:tblGrid>
      <w:tr w:rsidR="00D57767" w:rsidRPr="00BF2AAF" w14:paraId="638D4C3B" w14:textId="77777777" w:rsidTr="00882B6B">
        <w:trPr>
          <w:trHeight w:val="238"/>
          <w:jc w:val="center"/>
        </w:trPr>
        <w:tc>
          <w:tcPr>
            <w:tcW w:w="2467" w:type="dxa"/>
            <w:tcBorders>
              <w:top w:val="single" w:sz="2" w:space="0" w:color="1F4E79"/>
              <w:bottom w:val="nil"/>
            </w:tcBorders>
            <w:shd w:val="clear" w:color="auto" w:fill="auto"/>
          </w:tcPr>
          <w:p w14:paraId="14F70CD2" w14:textId="77777777" w:rsidR="00D57767" w:rsidRPr="00BF2AAF" w:rsidRDefault="00D57767">
            <w:pPr>
              <w:keepNext/>
              <w:keepLines/>
              <w:tabs>
                <w:tab w:val="left" w:pos="2244"/>
                <w:tab w:val="center" w:pos="3294"/>
                <w:tab w:val="left" w:pos="4208"/>
                <w:tab w:val="left" w:pos="5816"/>
                <w:tab w:val="left" w:pos="5872"/>
              </w:tabs>
              <w:spacing w:before="40" w:after="40" w:line="259" w:lineRule="auto"/>
              <w:jc w:val="right"/>
              <w:rPr>
                <w:rFonts w:ascii="Arial" w:eastAsia="Calibri" w:hAnsi="Arial" w:cs="Arial"/>
                <w:bCs/>
                <w:spacing w:val="-2"/>
                <w:sz w:val="14"/>
                <w:szCs w:val="14"/>
              </w:rPr>
            </w:pPr>
          </w:p>
        </w:tc>
        <w:tc>
          <w:tcPr>
            <w:tcW w:w="1362" w:type="dxa"/>
            <w:gridSpan w:val="2"/>
            <w:tcBorders>
              <w:top w:val="single" w:sz="2" w:space="0" w:color="1F4E79"/>
              <w:bottom w:val="nil"/>
            </w:tcBorders>
            <w:shd w:val="clear" w:color="auto" w:fill="auto"/>
          </w:tcPr>
          <w:p w14:paraId="64B3A210" w14:textId="77777777" w:rsidR="00D57767" w:rsidRPr="00BF2AAF" w:rsidRDefault="00D57767">
            <w:pPr>
              <w:keepNext/>
              <w:keepLines/>
              <w:spacing w:before="40" w:after="40" w:line="259" w:lineRule="auto"/>
              <w:jc w:val="center"/>
              <w:rPr>
                <w:rFonts w:ascii="Arial" w:eastAsia="Calibri" w:hAnsi="Arial" w:cs="Arial"/>
                <w:b/>
                <w:spacing w:val="-2"/>
                <w:sz w:val="14"/>
                <w:szCs w:val="14"/>
              </w:rPr>
            </w:pPr>
          </w:p>
        </w:tc>
        <w:tc>
          <w:tcPr>
            <w:tcW w:w="2656" w:type="dxa"/>
            <w:gridSpan w:val="3"/>
            <w:tcBorders>
              <w:top w:val="single" w:sz="2" w:space="0" w:color="1F4E79"/>
              <w:bottom w:val="nil"/>
            </w:tcBorders>
            <w:shd w:val="clear" w:color="auto" w:fill="auto"/>
            <w:vAlign w:val="center"/>
          </w:tcPr>
          <w:p w14:paraId="5A5D2E7B" w14:textId="77777777" w:rsidR="00D57767" w:rsidRPr="00BF2AAF" w:rsidRDefault="00D57767" w:rsidP="007E7B17">
            <w:pPr>
              <w:keepNext/>
              <w:keepLines/>
              <w:tabs>
                <w:tab w:val="left" w:pos="2244"/>
                <w:tab w:val="center" w:pos="3294"/>
                <w:tab w:val="left" w:pos="4208"/>
                <w:tab w:val="left" w:pos="5816"/>
                <w:tab w:val="left" w:pos="5872"/>
              </w:tabs>
              <w:spacing w:before="40" w:after="40" w:line="259" w:lineRule="auto"/>
              <w:jc w:val="right"/>
              <w:rPr>
                <w:rFonts w:ascii="Arial" w:eastAsia="Calibri" w:hAnsi="Arial" w:cs="Arial"/>
                <w:b/>
                <w:spacing w:val="-2"/>
                <w:sz w:val="14"/>
                <w:szCs w:val="14"/>
              </w:rPr>
            </w:pPr>
          </w:p>
        </w:tc>
        <w:tc>
          <w:tcPr>
            <w:tcW w:w="239" w:type="dxa"/>
            <w:tcBorders>
              <w:top w:val="single" w:sz="2" w:space="0" w:color="1F4E79"/>
              <w:bottom w:val="nil"/>
            </w:tcBorders>
            <w:shd w:val="clear" w:color="auto" w:fill="auto"/>
            <w:vAlign w:val="center"/>
          </w:tcPr>
          <w:p w14:paraId="43CD0963" w14:textId="77777777" w:rsidR="00D57767" w:rsidRPr="00BF2AAF" w:rsidRDefault="00D57767">
            <w:pPr>
              <w:keepNext/>
              <w:keepLines/>
              <w:spacing w:before="40" w:after="40" w:line="259" w:lineRule="auto"/>
              <w:jc w:val="center"/>
              <w:rPr>
                <w:rFonts w:ascii="Arial" w:eastAsia="Calibri" w:hAnsi="Arial" w:cs="Arial"/>
                <w:b/>
                <w:spacing w:val="-2"/>
                <w:sz w:val="14"/>
                <w:szCs w:val="14"/>
              </w:rPr>
            </w:pPr>
          </w:p>
        </w:tc>
        <w:tc>
          <w:tcPr>
            <w:tcW w:w="2915" w:type="dxa"/>
            <w:gridSpan w:val="2"/>
            <w:tcBorders>
              <w:top w:val="single" w:sz="2" w:space="0" w:color="1F4E79"/>
              <w:bottom w:val="single" w:sz="2" w:space="0" w:color="1F4E79"/>
            </w:tcBorders>
            <w:shd w:val="clear" w:color="auto" w:fill="auto"/>
            <w:vAlign w:val="center"/>
          </w:tcPr>
          <w:p w14:paraId="2BEDF99A" w14:textId="77777777" w:rsidR="00D57767" w:rsidRPr="00BF2AAF" w:rsidRDefault="00D57767">
            <w:pPr>
              <w:keepNext/>
              <w:keepLines/>
              <w:spacing w:before="40" w:after="40" w:line="259" w:lineRule="auto"/>
              <w:jc w:val="center"/>
              <w:rPr>
                <w:rFonts w:ascii="Arial" w:eastAsia="Calibri" w:hAnsi="Arial" w:cs="Arial"/>
                <w:b/>
                <w:spacing w:val="-2"/>
                <w:sz w:val="14"/>
                <w:szCs w:val="14"/>
              </w:rPr>
            </w:pPr>
            <w:r w:rsidRPr="00BF2AAF">
              <w:rPr>
                <w:rFonts w:ascii="Arial" w:eastAsia="Calibri" w:hAnsi="Arial" w:cs="Arial"/>
                <w:b/>
                <w:spacing w:val="-2"/>
                <w:sz w:val="14"/>
                <w:szCs w:val="14"/>
              </w:rPr>
              <w:t>Consolidado</w:t>
            </w:r>
          </w:p>
        </w:tc>
      </w:tr>
      <w:tr w:rsidR="00D57767" w:rsidRPr="00BF2AAF" w14:paraId="5EF64BB0" w14:textId="77777777" w:rsidTr="00882B6B">
        <w:trPr>
          <w:trHeight w:val="238"/>
          <w:jc w:val="center"/>
        </w:trPr>
        <w:tc>
          <w:tcPr>
            <w:tcW w:w="3050" w:type="dxa"/>
            <w:gridSpan w:val="2"/>
            <w:tcBorders>
              <w:top w:val="nil"/>
              <w:bottom w:val="single" w:sz="2" w:space="0" w:color="1F4E79"/>
            </w:tcBorders>
            <w:shd w:val="clear" w:color="auto" w:fill="auto"/>
          </w:tcPr>
          <w:p w14:paraId="3EB2519E" w14:textId="77777777" w:rsidR="00D57767" w:rsidRPr="00BF2AAF" w:rsidRDefault="00D57767">
            <w:pPr>
              <w:keepNext/>
              <w:keepLines/>
              <w:spacing w:before="40" w:after="40" w:line="259" w:lineRule="auto"/>
              <w:rPr>
                <w:rFonts w:ascii="Arial" w:eastAsia="Calibri" w:hAnsi="Arial" w:cs="Arial"/>
                <w:b/>
                <w:spacing w:val="-2"/>
                <w:sz w:val="14"/>
                <w:szCs w:val="14"/>
              </w:rPr>
            </w:pPr>
          </w:p>
        </w:tc>
        <w:tc>
          <w:tcPr>
            <w:tcW w:w="779" w:type="dxa"/>
            <w:tcBorders>
              <w:top w:val="nil"/>
              <w:bottom w:val="single" w:sz="2" w:space="0" w:color="1F4E79"/>
            </w:tcBorders>
            <w:shd w:val="clear" w:color="auto" w:fill="auto"/>
          </w:tcPr>
          <w:p w14:paraId="59F20099" w14:textId="77777777" w:rsidR="00D57767" w:rsidRPr="00BF2AAF" w:rsidRDefault="00D57767">
            <w:pPr>
              <w:keepNext/>
              <w:keepLines/>
              <w:spacing w:before="40" w:after="40" w:line="259" w:lineRule="auto"/>
              <w:jc w:val="right"/>
              <w:rPr>
                <w:rFonts w:ascii="Arial" w:eastAsia="Calibri" w:hAnsi="Arial" w:cs="Arial"/>
                <w:bCs/>
                <w:spacing w:val="-2"/>
                <w:sz w:val="14"/>
                <w:szCs w:val="14"/>
              </w:rPr>
            </w:pPr>
          </w:p>
        </w:tc>
        <w:tc>
          <w:tcPr>
            <w:tcW w:w="1213" w:type="dxa"/>
            <w:tcBorders>
              <w:top w:val="nil"/>
              <w:bottom w:val="single" w:sz="2" w:space="0" w:color="1F4E79"/>
            </w:tcBorders>
            <w:shd w:val="clear" w:color="auto" w:fill="auto"/>
          </w:tcPr>
          <w:p w14:paraId="340DE47F" w14:textId="77777777" w:rsidR="00D57767" w:rsidRPr="00BF2AAF" w:rsidRDefault="00D57767">
            <w:pPr>
              <w:keepNext/>
              <w:keepLines/>
              <w:spacing w:before="40" w:after="40" w:line="259" w:lineRule="auto"/>
              <w:jc w:val="right"/>
              <w:rPr>
                <w:rFonts w:ascii="Arial" w:eastAsia="Calibri" w:hAnsi="Arial" w:cs="Arial"/>
                <w:bCs/>
                <w:spacing w:val="-2"/>
                <w:sz w:val="14"/>
                <w:szCs w:val="14"/>
              </w:rPr>
            </w:pPr>
          </w:p>
        </w:tc>
        <w:tc>
          <w:tcPr>
            <w:tcW w:w="1400" w:type="dxa"/>
            <w:tcBorders>
              <w:top w:val="nil"/>
              <w:bottom w:val="single" w:sz="2" w:space="0" w:color="1F4E79"/>
            </w:tcBorders>
            <w:shd w:val="clear" w:color="auto" w:fill="auto"/>
          </w:tcPr>
          <w:p w14:paraId="140399BB" w14:textId="77777777" w:rsidR="00D57767" w:rsidRPr="00BF2AAF" w:rsidRDefault="00D57767">
            <w:pPr>
              <w:keepNext/>
              <w:keepLines/>
              <w:spacing w:before="40" w:after="40" w:line="259" w:lineRule="auto"/>
              <w:jc w:val="right"/>
              <w:rPr>
                <w:rFonts w:ascii="Arial" w:eastAsia="Calibri" w:hAnsi="Arial" w:cs="Arial"/>
                <w:bCs/>
                <w:spacing w:val="-2"/>
                <w:sz w:val="14"/>
                <w:szCs w:val="14"/>
              </w:rPr>
            </w:pPr>
          </w:p>
        </w:tc>
        <w:tc>
          <w:tcPr>
            <w:tcW w:w="282" w:type="dxa"/>
            <w:gridSpan w:val="2"/>
            <w:tcBorders>
              <w:top w:val="nil"/>
              <w:bottom w:val="single" w:sz="2" w:space="0" w:color="1F4E79"/>
            </w:tcBorders>
            <w:shd w:val="clear" w:color="auto" w:fill="auto"/>
            <w:vAlign w:val="center"/>
          </w:tcPr>
          <w:p w14:paraId="692D5A3F" w14:textId="77777777" w:rsidR="00D57767" w:rsidRPr="00BF2AAF" w:rsidRDefault="00D57767">
            <w:pPr>
              <w:keepNext/>
              <w:keepLines/>
              <w:spacing w:before="40" w:after="40" w:line="259" w:lineRule="auto"/>
              <w:jc w:val="right"/>
              <w:rPr>
                <w:rFonts w:ascii="Arial" w:eastAsia="Calibri" w:hAnsi="Arial" w:cs="Arial"/>
                <w:b/>
                <w:spacing w:val="-2"/>
                <w:sz w:val="14"/>
                <w:szCs w:val="18"/>
              </w:rPr>
            </w:pPr>
          </w:p>
        </w:tc>
        <w:tc>
          <w:tcPr>
            <w:tcW w:w="1404" w:type="dxa"/>
            <w:tcBorders>
              <w:top w:val="single" w:sz="2" w:space="0" w:color="1F4E79"/>
              <w:bottom w:val="single" w:sz="2" w:space="0" w:color="1F4E79"/>
            </w:tcBorders>
            <w:shd w:val="clear" w:color="auto" w:fill="auto"/>
            <w:vAlign w:val="center"/>
          </w:tcPr>
          <w:p w14:paraId="0BEC0F63" w14:textId="681E7D92" w:rsidR="00D57767" w:rsidRPr="00BF2AAF" w:rsidRDefault="00D57767">
            <w:pPr>
              <w:keepNext/>
              <w:keepLines/>
              <w:spacing w:before="40" w:after="40" w:line="259" w:lineRule="auto"/>
              <w:jc w:val="right"/>
              <w:rPr>
                <w:rFonts w:ascii="Arial" w:eastAsia="Calibri" w:hAnsi="Arial" w:cs="Arial"/>
                <w:b/>
                <w:spacing w:val="-2"/>
                <w:sz w:val="14"/>
                <w:szCs w:val="18"/>
              </w:rPr>
            </w:pPr>
            <w:r w:rsidRPr="00BF2AAF">
              <w:rPr>
                <w:rFonts w:ascii="Arial" w:eastAsia="Calibri" w:hAnsi="Arial" w:cs="Arial"/>
                <w:b/>
                <w:spacing w:val="-2"/>
                <w:sz w:val="14"/>
                <w:szCs w:val="18"/>
              </w:rPr>
              <w:t>Exercício 202</w:t>
            </w:r>
            <w:r w:rsidR="00061B5B">
              <w:rPr>
                <w:rFonts w:ascii="Arial" w:eastAsia="Calibri" w:hAnsi="Arial" w:cs="Arial"/>
                <w:b/>
                <w:spacing w:val="-2"/>
                <w:sz w:val="14"/>
                <w:szCs w:val="18"/>
              </w:rPr>
              <w:t>4</w:t>
            </w:r>
          </w:p>
        </w:tc>
        <w:tc>
          <w:tcPr>
            <w:tcW w:w="1511" w:type="dxa"/>
            <w:tcBorders>
              <w:top w:val="single" w:sz="2" w:space="0" w:color="1F4E79"/>
              <w:bottom w:val="single" w:sz="2" w:space="0" w:color="1F4E79"/>
            </w:tcBorders>
            <w:shd w:val="clear" w:color="auto" w:fill="auto"/>
            <w:vAlign w:val="center"/>
          </w:tcPr>
          <w:p w14:paraId="7A16FD09" w14:textId="257B8B13" w:rsidR="00D57767" w:rsidRPr="00BF2AAF" w:rsidRDefault="00D57767">
            <w:pPr>
              <w:keepNext/>
              <w:keepLines/>
              <w:spacing w:before="40" w:after="40" w:line="259" w:lineRule="auto"/>
              <w:jc w:val="right"/>
              <w:rPr>
                <w:rFonts w:ascii="Arial" w:eastAsia="Calibri" w:hAnsi="Arial" w:cs="Arial"/>
                <w:b/>
                <w:spacing w:val="-2"/>
                <w:sz w:val="14"/>
                <w:szCs w:val="18"/>
              </w:rPr>
            </w:pPr>
            <w:r w:rsidRPr="00BF2AAF">
              <w:rPr>
                <w:rFonts w:ascii="Arial" w:eastAsia="Calibri" w:hAnsi="Arial" w:cs="Arial"/>
                <w:b/>
                <w:spacing w:val="-2"/>
                <w:sz w:val="14"/>
                <w:szCs w:val="18"/>
              </w:rPr>
              <w:t>Exercício 202</w:t>
            </w:r>
            <w:r w:rsidR="00061B5B">
              <w:rPr>
                <w:rFonts w:ascii="Arial" w:eastAsia="Calibri" w:hAnsi="Arial" w:cs="Arial"/>
                <w:b/>
                <w:spacing w:val="-2"/>
                <w:sz w:val="14"/>
                <w:szCs w:val="18"/>
              </w:rPr>
              <w:t>3</w:t>
            </w:r>
          </w:p>
        </w:tc>
      </w:tr>
      <w:tr w:rsidR="008106C0" w:rsidRPr="00BF2AAF" w14:paraId="7CD36D7F" w14:textId="77777777">
        <w:trPr>
          <w:trHeight w:val="238"/>
          <w:jc w:val="center"/>
        </w:trPr>
        <w:tc>
          <w:tcPr>
            <w:tcW w:w="3050" w:type="dxa"/>
            <w:gridSpan w:val="2"/>
            <w:tcBorders>
              <w:top w:val="single" w:sz="2" w:space="0" w:color="1F4E79"/>
              <w:bottom w:val="nil"/>
            </w:tcBorders>
            <w:shd w:val="clear" w:color="auto" w:fill="auto"/>
            <w:vAlign w:val="center"/>
          </w:tcPr>
          <w:p w14:paraId="29C27DE0" w14:textId="77777777" w:rsidR="008106C0" w:rsidRPr="00BF2AAF" w:rsidRDefault="008106C0" w:rsidP="008106C0">
            <w:pPr>
              <w:keepNext/>
              <w:keepLines/>
              <w:spacing w:before="40" w:after="40" w:line="240" w:lineRule="auto"/>
              <w:rPr>
                <w:rFonts w:ascii="Arial" w:eastAsia="Times New Roman" w:hAnsi="Arial" w:cs="Arial"/>
                <w:spacing w:val="-2"/>
                <w:sz w:val="14"/>
                <w:szCs w:val="14"/>
                <w:vertAlign w:val="superscript"/>
                <w:lang w:eastAsia="pt-BR"/>
              </w:rPr>
            </w:pPr>
            <w:r w:rsidRPr="00BF2AAF">
              <w:rPr>
                <w:rFonts w:ascii="Arial" w:eastAsia="Times New Roman" w:hAnsi="Arial" w:cs="Arial"/>
                <w:spacing w:val="-2"/>
                <w:sz w:val="14"/>
                <w:szCs w:val="14"/>
                <w:lang w:eastAsia="pt-BR"/>
              </w:rPr>
              <w:t>Custo administrativo de produtos</w:t>
            </w:r>
          </w:p>
        </w:tc>
        <w:tc>
          <w:tcPr>
            <w:tcW w:w="779" w:type="dxa"/>
            <w:tcBorders>
              <w:top w:val="single" w:sz="2" w:space="0" w:color="1F4E79"/>
              <w:bottom w:val="nil"/>
            </w:tcBorders>
            <w:shd w:val="clear" w:color="auto" w:fill="auto"/>
          </w:tcPr>
          <w:p w14:paraId="2563B32C" w14:textId="77777777" w:rsidR="008106C0" w:rsidRPr="00BF2AAF" w:rsidRDefault="008106C0" w:rsidP="008106C0">
            <w:pPr>
              <w:keepNext/>
              <w:keepLines/>
              <w:spacing w:before="40" w:after="40" w:line="240" w:lineRule="auto"/>
              <w:jc w:val="right"/>
              <w:rPr>
                <w:rFonts w:ascii="Arial" w:eastAsia="Times New Roman" w:hAnsi="Arial" w:cs="Arial"/>
                <w:bCs/>
                <w:spacing w:val="-2"/>
                <w:sz w:val="14"/>
                <w:szCs w:val="14"/>
                <w:lang w:eastAsia="pt-BR"/>
              </w:rPr>
            </w:pPr>
          </w:p>
        </w:tc>
        <w:tc>
          <w:tcPr>
            <w:tcW w:w="1213" w:type="dxa"/>
            <w:tcBorders>
              <w:top w:val="single" w:sz="2" w:space="0" w:color="1F4E79"/>
            </w:tcBorders>
            <w:shd w:val="clear" w:color="auto" w:fill="auto"/>
            <w:vAlign w:val="center"/>
          </w:tcPr>
          <w:p w14:paraId="7CDD6CAE" w14:textId="77777777" w:rsidR="008106C0" w:rsidRPr="00BF2AAF" w:rsidRDefault="008106C0" w:rsidP="008106C0">
            <w:pPr>
              <w:keepNext/>
              <w:keepLines/>
              <w:spacing w:before="40" w:after="40" w:line="240" w:lineRule="auto"/>
              <w:jc w:val="right"/>
              <w:rPr>
                <w:rFonts w:ascii="Arial" w:eastAsia="Times New Roman" w:hAnsi="Arial" w:cs="Arial"/>
                <w:spacing w:val="-2"/>
                <w:sz w:val="14"/>
                <w:szCs w:val="18"/>
                <w:lang w:eastAsia="pt-BR"/>
              </w:rPr>
            </w:pPr>
          </w:p>
        </w:tc>
        <w:tc>
          <w:tcPr>
            <w:tcW w:w="1400" w:type="dxa"/>
            <w:tcBorders>
              <w:top w:val="single" w:sz="2" w:space="0" w:color="1F4E79"/>
            </w:tcBorders>
            <w:shd w:val="clear" w:color="auto" w:fill="auto"/>
            <w:vAlign w:val="center"/>
          </w:tcPr>
          <w:p w14:paraId="559F5D46" w14:textId="77777777" w:rsidR="008106C0" w:rsidRPr="00BF2AAF" w:rsidRDefault="008106C0" w:rsidP="008106C0">
            <w:pPr>
              <w:keepNext/>
              <w:keepLines/>
              <w:spacing w:before="40" w:after="40" w:line="240" w:lineRule="auto"/>
              <w:jc w:val="right"/>
              <w:rPr>
                <w:rFonts w:ascii="Arial" w:eastAsia="Times New Roman" w:hAnsi="Arial" w:cs="Arial"/>
                <w:spacing w:val="-2"/>
                <w:sz w:val="14"/>
                <w:szCs w:val="18"/>
                <w:lang w:eastAsia="pt-BR"/>
              </w:rPr>
            </w:pPr>
          </w:p>
        </w:tc>
        <w:tc>
          <w:tcPr>
            <w:tcW w:w="282" w:type="dxa"/>
            <w:gridSpan w:val="2"/>
            <w:tcBorders>
              <w:top w:val="single" w:sz="2" w:space="0" w:color="1F4E79"/>
              <w:bottom w:val="nil"/>
            </w:tcBorders>
            <w:shd w:val="clear" w:color="auto" w:fill="auto"/>
            <w:vAlign w:val="center"/>
          </w:tcPr>
          <w:p w14:paraId="5DCA2F41" w14:textId="77777777" w:rsidR="008106C0" w:rsidRPr="00BF2AAF" w:rsidRDefault="008106C0" w:rsidP="008106C0">
            <w:pPr>
              <w:keepNext/>
              <w:keepLines/>
              <w:spacing w:before="40" w:after="40" w:line="240" w:lineRule="auto"/>
              <w:jc w:val="right"/>
              <w:rPr>
                <w:rFonts w:ascii="Arial" w:eastAsia="Times New Roman" w:hAnsi="Arial" w:cs="Arial"/>
                <w:spacing w:val="-2"/>
                <w:sz w:val="14"/>
                <w:szCs w:val="18"/>
                <w:lang w:eastAsia="pt-BR"/>
              </w:rPr>
            </w:pPr>
          </w:p>
        </w:tc>
        <w:tc>
          <w:tcPr>
            <w:tcW w:w="1404" w:type="dxa"/>
            <w:tcBorders>
              <w:top w:val="single" w:sz="2" w:space="0" w:color="1F4E79"/>
            </w:tcBorders>
            <w:shd w:val="clear" w:color="auto" w:fill="auto"/>
            <w:vAlign w:val="bottom"/>
          </w:tcPr>
          <w:p w14:paraId="3083AEE0" w14:textId="08FD9005" w:rsidR="008106C0" w:rsidRPr="00BF2AAF" w:rsidRDefault="008106C0" w:rsidP="008106C0">
            <w:pPr>
              <w:keepNext/>
              <w:keepLines/>
              <w:spacing w:before="40" w:after="40" w:line="240" w:lineRule="auto"/>
              <w:jc w:val="right"/>
              <w:rPr>
                <w:rFonts w:ascii="Arial" w:eastAsia="Times New Roman" w:hAnsi="Arial" w:cs="Arial"/>
                <w:spacing w:val="-2"/>
                <w:sz w:val="14"/>
                <w:szCs w:val="18"/>
                <w:lang w:eastAsia="pt-BR"/>
              </w:rPr>
            </w:pPr>
            <w:r w:rsidRPr="008106C0">
              <w:rPr>
                <w:rFonts w:ascii="Arial" w:eastAsia="Times New Roman" w:hAnsi="Arial" w:cs="Arial"/>
                <w:spacing w:val="-2"/>
                <w:sz w:val="14"/>
                <w:szCs w:val="18"/>
                <w:lang w:eastAsia="pt-BR"/>
              </w:rPr>
              <w:t>(101.861)</w:t>
            </w:r>
          </w:p>
        </w:tc>
        <w:tc>
          <w:tcPr>
            <w:tcW w:w="1511" w:type="dxa"/>
            <w:tcBorders>
              <w:top w:val="single" w:sz="2" w:space="0" w:color="1F4E79"/>
              <w:bottom w:val="nil"/>
            </w:tcBorders>
            <w:shd w:val="clear" w:color="auto" w:fill="auto"/>
            <w:vAlign w:val="center"/>
          </w:tcPr>
          <w:p w14:paraId="46D88E2F" w14:textId="059B8DD6" w:rsidR="008106C0" w:rsidRPr="00BF2AAF" w:rsidRDefault="008106C0" w:rsidP="008106C0">
            <w:pPr>
              <w:keepNext/>
              <w:keepLines/>
              <w:spacing w:before="40" w:after="40" w:line="240" w:lineRule="auto"/>
              <w:jc w:val="right"/>
              <w:rPr>
                <w:rFonts w:ascii="Arial" w:eastAsia="Times New Roman" w:hAnsi="Arial" w:cs="Arial"/>
                <w:spacing w:val="-2"/>
                <w:sz w:val="14"/>
                <w:szCs w:val="18"/>
                <w:lang w:eastAsia="pt-BR"/>
              </w:rPr>
            </w:pPr>
            <w:r w:rsidRPr="00BF2AAF">
              <w:rPr>
                <w:rFonts w:ascii="Arial" w:eastAsia="Times New Roman" w:hAnsi="Arial" w:cs="Arial"/>
                <w:spacing w:val="-2"/>
                <w:sz w:val="14"/>
                <w:szCs w:val="18"/>
                <w:lang w:eastAsia="pt-BR"/>
              </w:rPr>
              <w:t>(116.634)</w:t>
            </w:r>
          </w:p>
        </w:tc>
      </w:tr>
      <w:tr w:rsidR="008106C0" w:rsidRPr="00BF2AAF" w14:paraId="6586E435" w14:textId="77777777">
        <w:trPr>
          <w:trHeight w:val="238"/>
          <w:jc w:val="center"/>
        </w:trPr>
        <w:tc>
          <w:tcPr>
            <w:tcW w:w="3050" w:type="dxa"/>
            <w:gridSpan w:val="2"/>
            <w:tcBorders>
              <w:top w:val="nil"/>
            </w:tcBorders>
            <w:shd w:val="clear" w:color="auto" w:fill="auto"/>
            <w:vAlign w:val="center"/>
          </w:tcPr>
          <w:p w14:paraId="561CABD4" w14:textId="77777777" w:rsidR="008106C0" w:rsidRPr="00BF2AAF" w:rsidRDefault="008106C0" w:rsidP="008106C0">
            <w:pPr>
              <w:keepNext/>
              <w:keepLines/>
              <w:spacing w:before="40" w:after="40" w:line="240" w:lineRule="auto"/>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Custo suporte operacional</w:t>
            </w:r>
          </w:p>
        </w:tc>
        <w:tc>
          <w:tcPr>
            <w:tcW w:w="779" w:type="dxa"/>
            <w:tcBorders>
              <w:top w:val="nil"/>
            </w:tcBorders>
            <w:shd w:val="clear" w:color="auto" w:fill="auto"/>
          </w:tcPr>
          <w:p w14:paraId="24F8C640" w14:textId="77777777" w:rsidR="008106C0" w:rsidRPr="00BF2AAF" w:rsidRDefault="008106C0" w:rsidP="008106C0">
            <w:pPr>
              <w:keepNext/>
              <w:keepLines/>
              <w:spacing w:before="40" w:after="40" w:line="240" w:lineRule="auto"/>
              <w:jc w:val="right"/>
              <w:rPr>
                <w:rFonts w:ascii="Arial" w:eastAsia="Times New Roman" w:hAnsi="Arial" w:cs="Arial"/>
                <w:bCs/>
                <w:spacing w:val="-2"/>
                <w:sz w:val="14"/>
                <w:szCs w:val="14"/>
                <w:lang w:eastAsia="pt-BR"/>
              </w:rPr>
            </w:pPr>
          </w:p>
        </w:tc>
        <w:tc>
          <w:tcPr>
            <w:tcW w:w="1213" w:type="dxa"/>
            <w:shd w:val="clear" w:color="auto" w:fill="auto"/>
            <w:vAlign w:val="center"/>
          </w:tcPr>
          <w:p w14:paraId="76DA3DBE" w14:textId="77777777" w:rsidR="008106C0" w:rsidRPr="00BF2AAF" w:rsidRDefault="008106C0" w:rsidP="008106C0">
            <w:pPr>
              <w:keepNext/>
              <w:keepLines/>
              <w:spacing w:before="40" w:after="40" w:line="240" w:lineRule="auto"/>
              <w:jc w:val="right"/>
              <w:rPr>
                <w:rFonts w:ascii="Arial" w:eastAsia="Times New Roman" w:hAnsi="Arial" w:cs="Arial"/>
                <w:spacing w:val="-2"/>
                <w:sz w:val="14"/>
                <w:szCs w:val="18"/>
                <w:lang w:eastAsia="pt-BR"/>
              </w:rPr>
            </w:pPr>
          </w:p>
        </w:tc>
        <w:tc>
          <w:tcPr>
            <w:tcW w:w="1400" w:type="dxa"/>
            <w:shd w:val="clear" w:color="auto" w:fill="auto"/>
            <w:vAlign w:val="center"/>
          </w:tcPr>
          <w:p w14:paraId="2D7FA094" w14:textId="77777777" w:rsidR="008106C0" w:rsidRPr="00BF2AAF" w:rsidRDefault="008106C0" w:rsidP="008106C0">
            <w:pPr>
              <w:keepNext/>
              <w:keepLines/>
              <w:spacing w:before="40" w:after="40" w:line="240" w:lineRule="auto"/>
              <w:jc w:val="right"/>
              <w:rPr>
                <w:rFonts w:ascii="Arial" w:eastAsia="Times New Roman" w:hAnsi="Arial" w:cs="Arial"/>
                <w:spacing w:val="-2"/>
                <w:sz w:val="14"/>
                <w:szCs w:val="18"/>
                <w:lang w:eastAsia="pt-BR"/>
              </w:rPr>
            </w:pPr>
          </w:p>
        </w:tc>
        <w:tc>
          <w:tcPr>
            <w:tcW w:w="282" w:type="dxa"/>
            <w:gridSpan w:val="2"/>
            <w:tcBorders>
              <w:top w:val="nil"/>
            </w:tcBorders>
            <w:shd w:val="clear" w:color="auto" w:fill="auto"/>
            <w:vAlign w:val="center"/>
          </w:tcPr>
          <w:p w14:paraId="14401FAA" w14:textId="77777777" w:rsidR="008106C0" w:rsidRPr="00BF2AAF" w:rsidRDefault="008106C0" w:rsidP="008106C0">
            <w:pPr>
              <w:keepNext/>
              <w:keepLines/>
              <w:spacing w:before="40" w:after="40" w:line="240" w:lineRule="auto"/>
              <w:jc w:val="right"/>
              <w:rPr>
                <w:rFonts w:ascii="Arial" w:eastAsia="Times New Roman" w:hAnsi="Arial" w:cs="Arial"/>
                <w:spacing w:val="-2"/>
                <w:sz w:val="14"/>
                <w:szCs w:val="18"/>
                <w:lang w:eastAsia="pt-BR"/>
              </w:rPr>
            </w:pPr>
          </w:p>
        </w:tc>
        <w:tc>
          <w:tcPr>
            <w:tcW w:w="1404" w:type="dxa"/>
            <w:shd w:val="clear" w:color="auto" w:fill="auto"/>
            <w:vAlign w:val="bottom"/>
          </w:tcPr>
          <w:p w14:paraId="7B0B84B0" w14:textId="2235AFFC" w:rsidR="008106C0" w:rsidRPr="00BF2AAF" w:rsidRDefault="008106C0" w:rsidP="008106C0">
            <w:pPr>
              <w:keepNext/>
              <w:keepLines/>
              <w:spacing w:before="40" w:after="40" w:line="240" w:lineRule="auto"/>
              <w:jc w:val="right"/>
              <w:rPr>
                <w:rFonts w:ascii="Arial" w:eastAsia="Times New Roman" w:hAnsi="Arial" w:cs="Arial"/>
                <w:spacing w:val="-2"/>
                <w:sz w:val="14"/>
                <w:szCs w:val="18"/>
                <w:lang w:eastAsia="pt-BR"/>
              </w:rPr>
            </w:pPr>
            <w:r w:rsidRPr="008106C0">
              <w:rPr>
                <w:rFonts w:ascii="Arial" w:eastAsia="Times New Roman" w:hAnsi="Arial" w:cs="Arial"/>
                <w:spacing w:val="-2"/>
                <w:sz w:val="14"/>
                <w:szCs w:val="18"/>
                <w:lang w:eastAsia="pt-BR"/>
              </w:rPr>
              <w:t>(42.275)</w:t>
            </w:r>
          </w:p>
        </w:tc>
        <w:tc>
          <w:tcPr>
            <w:tcW w:w="1511" w:type="dxa"/>
            <w:tcBorders>
              <w:top w:val="nil"/>
            </w:tcBorders>
            <w:shd w:val="clear" w:color="auto" w:fill="auto"/>
            <w:vAlign w:val="center"/>
          </w:tcPr>
          <w:p w14:paraId="03EE3C2B" w14:textId="12D404DF" w:rsidR="008106C0" w:rsidRPr="00BF2AAF" w:rsidRDefault="008106C0" w:rsidP="008106C0">
            <w:pPr>
              <w:keepNext/>
              <w:keepLines/>
              <w:spacing w:before="40" w:after="40" w:line="240" w:lineRule="auto"/>
              <w:jc w:val="right"/>
              <w:rPr>
                <w:rFonts w:ascii="Arial" w:eastAsia="Times New Roman" w:hAnsi="Arial" w:cs="Arial"/>
                <w:spacing w:val="-2"/>
                <w:sz w:val="14"/>
                <w:szCs w:val="18"/>
                <w:lang w:eastAsia="pt-BR"/>
              </w:rPr>
            </w:pPr>
            <w:r w:rsidRPr="00BF2AAF">
              <w:rPr>
                <w:rFonts w:ascii="Arial" w:eastAsia="Times New Roman" w:hAnsi="Arial" w:cs="Arial"/>
                <w:spacing w:val="-2"/>
                <w:sz w:val="14"/>
                <w:szCs w:val="18"/>
                <w:lang w:eastAsia="pt-BR"/>
              </w:rPr>
              <w:t>(49.692)</w:t>
            </w:r>
          </w:p>
        </w:tc>
      </w:tr>
      <w:tr w:rsidR="008106C0" w:rsidRPr="00BF2AAF" w14:paraId="171F3593" w14:textId="77777777">
        <w:trPr>
          <w:trHeight w:val="238"/>
          <w:jc w:val="center"/>
        </w:trPr>
        <w:tc>
          <w:tcPr>
            <w:tcW w:w="3050" w:type="dxa"/>
            <w:gridSpan w:val="2"/>
            <w:tcBorders>
              <w:bottom w:val="nil"/>
            </w:tcBorders>
            <w:shd w:val="clear" w:color="auto" w:fill="auto"/>
            <w:vAlign w:val="center"/>
          </w:tcPr>
          <w:p w14:paraId="02EDB401" w14:textId="77777777" w:rsidR="008106C0" w:rsidRPr="00BF2AAF" w:rsidRDefault="008106C0" w:rsidP="008106C0">
            <w:pPr>
              <w:keepNext/>
              <w:keepLines/>
              <w:spacing w:before="40" w:after="40" w:line="240" w:lineRule="auto"/>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Custo processamento de dados</w:t>
            </w:r>
          </w:p>
        </w:tc>
        <w:tc>
          <w:tcPr>
            <w:tcW w:w="779" w:type="dxa"/>
            <w:tcBorders>
              <w:bottom w:val="nil"/>
            </w:tcBorders>
            <w:shd w:val="clear" w:color="auto" w:fill="auto"/>
          </w:tcPr>
          <w:p w14:paraId="741F294E" w14:textId="77777777" w:rsidR="008106C0" w:rsidRPr="00BF2AAF" w:rsidRDefault="008106C0" w:rsidP="008106C0">
            <w:pPr>
              <w:keepNext/>
              <w:keepLines/>
              <w:spacing w:before="40" w:after="40" w:line="240" w:lineRule="auto"/>
              <w:jc w:val="right"/>
              <w:rPr>
                <w:rFonts w:ascii="Arial" w:eastAsia="Times New Roman" w:hAnsi="Arial" w:cs="Arial"/>
                <w:bCs/>
                <w:spacing w:val="-2"/>
                <w:sz w:val="14"/>
                <w:szCs w:val="14"/>
                <w:lang w:eastAsia="pt-BR"/>
              </w:rPr>
            </w:pPr>
          </w:p>
        </w:tc>
        <w:tc>
          <w:tcPr>
            <w:tcW w:w="1213" w:type="dxa"/>
            <w:tcBorders>
              <w:bottom w:val="nil"/>
            </w:tcBorders>
            <w:shd w:val="clear" w:color="auto" w:fill="auto"/>
            <w:vAlign w:val="center"/>
          </w:tcPr>
          <w:p w14:paraId="6A809636" w14:textId="77777777" w:rsidR="008106C0" w:rsidRPr="00BF2AAF" w:rsidRDefault="008106C0" w:rsidP="008106C0">
            <w:pPr>
              <w:keepNext/>
              <w:keepLines/>
              <w:spacing w:before="40" w:after="40" w:line="240" w:lineRule="auto"/>
              <w:jc w:val="right"/>
              <w:rPr>
                <w:rFonts w:ascii="Arial" w:eastAsia="Times New Roman" w:hAnsi="Arial" w:cs="Arial"/>
                <w:spacing w:val="-2"/>
                <w:sz w:val="14"/>
                <w:szCs w:val="18"/>
                <w:lang w:eastAsia="pt-BR"/>
              </w:rPr>
            </w:pPr>
          </w:p>
        </w:tc>
        <w:tc>
          <w:tcPr>
            <w:tcW w:w="1400" w:type="dxa"/>
            <w:tcBorders>
              <w:bottom w:val="nil"/>
            </w:tcBorders>
            <w:shd w:val="clear" w:color="auto" w:fill="auto"/>
            <w:vAlign w:val="center"/>
          </w:tcPr>
          <w:p w14:paraId="620F96B8" w14:textId="77777777" w:rsidR="008106C0" w:rsidRPr="00BF2AAF" w:rsidRDefault="008106C0" w:rsidP="008106C0">
            <w:pPr>
              <w:keepNext/>
              <w:keepLines/>
              <w:spacing w:before="40" w:after="40" w:line="240" w:lineRule="auto"/>
              <w:jc w:val="right"/>
              <w:rPr>
                <w:rFonts w:ascii="Arial" w:eastAsia="Times New Roman" w:hAnsi="Arial" w:cs="Arial"/>
                <w:spacing w:val="-2"/>
                <w:sz w:val="14"/>
                <w:szCs w:val="18"/>
                <w:lang w:eastAsia="pt-BR"/>
              </w:rPr>
            </w:pPr>
          </w:p>
        </w:tc>
        <w:tc>
          <w:tcPr>
            <w:tcW w:w="282" w:type="dxa"/>
            <w:gridSpan w:val="2"/>
            <w:tcBorders>
              <w:bottom w:val="nil"/>
            </w:tcBorders>
            <w:shd w:val="clear" w:color="auto" w:fill="auto"/>
            <w:vAlign w:val="center"/>
          </w:tcPr>
          <w:p w14:paraId="0B15E96A" w14:textId="77777777" w:rsidR="008106C0" w:rsidRPr="00BF2AAF" w:rsidRDefault="008106C0" w:rsidP="008106C0">
            <w:pPr>
              <w:keepNext/>
              <w:keepLines/>
              <w:spacing w:before="40" w:after="40" w:line="240" w:lineRule="auto"/>
              <w:jc w:val="right"/>
              <w:rPr>
                <w:rFonts w:ascii="Arial" w:eastAsia="Times New Roman" w:hAnsi="Arial" w:cs="Arial"/>
                <w:spacing w:val="-2"/>
                <w:sz w:val="14"/>
                <w:szCs w:val="18"/>
                <w:lang w:eastAsia="pt-BR"/>
              </w:rPr>
            </w:pPr>
          </w:p>
        </w:tc>
        <w:tc>
          <w:tcPr>
            <w:tcW w:w="1404" w:type="dxa"/>
            <w:tcBorders>
              <w:bottom w:val="nil"/>
            </w:tcBorders>
            <w:shd w:val="clear" w:color="auto" w:fill="auto"/>
            <w:vAlign w:val="center"/>
          </w:tcPr>
          <w:p w14:paraId="62A82F71" w14:textId="0E69D01C" w:rsidR="008106C0" w:rsidRPr="00BF2AAF" w:rsidRDefault="008106C0" w:rsidP="008106C0">
            <w:pPr>
              <w:keepNext/>
              <w:keepLines/>
              <w:spacing w:before="40" w:after="40" w:line="240" w:lineRule="auto"/>
              <w:jc w:val="right"/>
              <w:rPr>
                <w:rFonts w:ascii="Arial" w:eastAsia="Times New Roman" w:hAnsi="Arial" w:cs="Arial"/>
                <w:spacing w:val="-2"/>
                <w:sz w:val="14"/>
                <w:szCs w:val="18"/>
                <w:lang w:eastAsia="pt-BR"/>
              </w:rPr>
            </w:pPr>
            <w:r w:rsidRPr="008106C0">
              <w:rPr>
                <w:rFonts w:ascii="Arial" w:eastAsia="Times New Roman" w:hAnsi="Arial" w:cs="Arial"/>
                <w:spacing w:val="-2"/>
                <w:sz w:val="14"/>
                <w:szCs w:val="18"/>
                <w:lang w:eastAsia="pt-BR"/>
              </w:rPr>
              <w:t>(28.062)</w:t>
            </w:r>
          </w:p>
        </w:tc>
        <w:tc>
          <w:tcPr>
            <w:tcW w:w="1511" w:type="dxa"/>
            <w:tcBorders>
              <w:bottom w:val="nil"/>
            </w:tcBorders>
            <w:shd w:val="clear" w:color="auto" w:fill="auto"/>
            <w:vAlign w:val="center"/>
          </w:tcPr>
          <w:p w14:paraId="6930FB22" w14:textId="1D5E06FE" w:rsidR="008106C0" w:rsidRPr="00BF2AAF" w:rsidRDefault="008106C0" w:rsidP="008106C0">
            <w:pPr>
              <w:keepNext/>
              <w:keepLines/>
              <w:spacing w:before="40" w:after="40" w:line="240" w:lineRule="auto"/>
              <w:jc w:val="right"/>
              <w:rPr>
                <w:rFonts w:ascii="Arial" w:eastAsia="Times New Roman" w:hAnsi="Arial" w:cs="Arial"/>
                <w:spacing w:val="-2"/>
                <w:sz w:val="14"/>
                <w:szCs w:val="18"/>
                <w:lang w:eastAsia="pt-BR"/>
              </w:rPr>
            </w:pPr>
            <w:r w:rsidRPr="00BF2AAF">
              <w:rPr>
                <w:rFonts w:ascii="Arial" w:eastAsia="Times New Roman" w:hAnsi="Arial" w:cs="Arial"/>
                <w:spacing w:val="-2"/>
                <w:sz w:val="14"/>
                <w:szCs w:val="18"/>
                <w:lang w:eastAsia="pt-BR"/>
              </w:rPr>
              <w:t>(22.466)</w:t>
            </w:r>
          </w:p>
        </w:tc>
      </w:tr>
      <w:tr w:rsidR="008106C0" w:rsidRPr="00BF2AAF" w14:paraId="185D2541" w14:textId="77777777">
        <w:trPr>
          <w:trHeight w:val="238"/>
          <w:jc w:val="center"/>
        </w:trPr>
        <w:tc>
          <w:tcPr>
            <w:tcW w:w="3050" w:type="dxa"/>
            <w:gridSpan w:val="2"/>
            <w:tcBorders>
              <w:top w:val="nil"/>
              <w:bottom w:val="single" w:sz="2" w:space="0" w:color="1F4E79"/>
            </w:tcBorders>
            <w:shd w:val="clear" w:color="auto" w:fill="auto"/>
            <w:vAlign w:val="center"/>
          </w:tcPr>
          <w:p w14:paraId="2357034C" w14:textId="77777777" w:rsidR="008106C0" w:rsidRPr="00BF2AAF" w:rsidRDefault="008106C0" w:rsidP="008106C0">
            <w:pPr>
              <w:keepNext/>
              <w:keepLines/>
              <w:spacing w:before="40" w:after="40" w:line="259" w:lineRule="auto"/>
              <w:rPr>
                <w:rFonts w:ascii="Arial" w:eastAsia="Calibri" w:hAnsi="Arial" w:cs="Arial"/>
                <w:b/>
                <w:spacing w:val="-2"/>
                <w:sz w:val="14"/>
                <w:szCs w:val="14"/>
              </w:rPr>
            </w:pPr>
            <w:r w:rsidRPr="00BF2AAF">
              <w:rPr>
                <w:rFonts w:ascii="Arial" w:eastAsia="Calibri" w:hAnsi="Arial" w:cs="Arial"/>
                <w:b/>
                <w:spacing w:val="-2"/>
                <w:sz w:val="14"/>
                <w:szCs w:val="14"/>
              </w:rPr>
              <w:t>Total</w:t>
            </w:r>
          </w:p>
        </w:tc>
        <w:tc>
          <w:tcPr>
            <w:tcW w:w="779" w:type="dxa"/>
            <w:tcBorders>
              <w:top w:val="nil"/>
              <w:bottom w:val="single" w:sz="2" w:space="0" w:color="1F4E79"/>
            </w:tcBorders>
            <w:shd w:val="clear" w:color="auto" w:fill="auto"/>
          </w:tcPr>
          <w:p w14:paraId="5C264B9B" w14:textId="77777777" w:rsidR="008106C0" w:rsidRPr="00BF2AAF" w:rsidRDefault="008106C0" w:rsidP="008106C0">
            <w:pPr>
              <w:keepNext/>
              <w:keepLines/>
              <w:spacing w:before="40" w:after="40" w:line="259" w:lineRule="auto"/>
              <w:jc w:val="right"/>
              <w:rPr>
                <w:rFonts w:ascii="Arial" w:eastAsia="Calibri" w:hAnsi="Arial" w:cs="Arial"/>
                <w:b/>
                <w:spacing w:val="-2"/>
                <w:sz w:val="14"/>
                <w:szCs w:val="14"/>
              </w:rPr>
            </w:pPr>
          </w:p>
        </w:tc>
        <w:tc>
          <w:tcPr>
            <w:tcW w:w="1213" w:type="dxa"/>
            <w:tcBorders>
              <w:top w:val="nil"/>
              <w:bottom w:val="single" w:sz="2" w:space="0" w:color="1F4E79"/>
            </w:tcBorders>
            <w:shd w:val="clear" w:color="auto" w:fill="auto"/>
            <w:vAlign w:val="center"/>
          </w:tcPr>
          <w:p w14:paraId="442F60B6" w14:textId="77777777" w:rsidR="008106C0" w:rsidRPr="00BF2AAF" w:rsidRDefault="008106C0" w:rsidP="008106C0">
            <w:pPr>
              <w:keepNext/>
              <w:keepLines/>
              <w:spacing w:before="40" w:after="40" w:line="240" w:lineRule="auto"/>
              <w:jc w:val="right"/>
              <w:rPr>
                <w:rFonts w:ascii="Arial" w:eastAsia="Times New Roman" w:hAnsi="Arial" w:cs="Arial"/>
                <w:b/>
                <w:spacing w:val="-2"/>
                <w:sz w:val="14"/>
                <w:szCs w:val="18"/>
                <w:lang w:eastAsia="pt-BR"/>
              </w:rPr>
            </w:pPr>
          </w:p>
        </w:tc>
        <w:tc>
          <w:tcPr>
            <w:tcW w:w="1400" w:type="dxa"/>
            <w:tcBorders>
              <w:top w:val="nil"/>
              <w:bottom w:val="single" w:sz="2" w:space="0" w:color="1F4E79"/>
            </w:tcBorders>
            <w:shd w:val="clear" w:color="auto" w:fill="auto"/>
            <w:vAlign w:val="center"/>
          </w:tcPr>
          <w:p w14:paraId="689DF311" w14:textId="77777777" w:rsidR="008106C0" w:rsidRPr="00BF2AAF" w:rsidRDefault="008106C0" w:rsidP="008106C0">
            <w:pPr>
              <w:keepNext/>
              <w:keepLines/>
              <w:spacing w:before="40" w:after="40" w:line="240" w:lineRule="auto"/>
              <w:jc w:val="right"/>
              <w:rPr>
                <w:rFonts w:ascii="Arial" w:eastAsia="Times New Roman" w:hAnsi="Arial" w:cs="Arial"/>
                <w:b/>
                <w:spacing w:val="-2"/>
                <w:sz w:val="14"/>
                <w:szCs w:val="18"/>
                <w:lang w:eastAsia="pt-BR"/>
              </w:rPr>
            </w:pPr>
          </w:p>
        </w:tc>
        <w:tc>
          <w:tcPr>
            <w:tcW w:w="282" w:type="dxa"/>
            <w:gridSpan w:val="2"/>
            <w:tcBorders>
              <w:top w:val="nil"/>
              <w:bottom w:val="single" w:sz="2" w:space="0" w:color="1F4E79"/>
            </w:tcBorders>
            <w:shd w:val="clear" w:color="auto" w:fill="auto"/>
            <w:vAlign w:val="center"/>
          </w:tcPr>
          <w:p w14:paraId="0E82C1EC" w14:textId="77777777" w:rsidR="008106C0" w:rsidRPr="00BF2AAF" w:rsidRDefault="008106C0" w:rsidP="008106C0">
            <w:pPr>
              <w:keepNext/>
              <w:keepLines/>
              <w:spacing w:before="40" w:after="40" w:line="240" w:lineRule="auto"/>
              <w:jc w:val="right"/>
              <w:rPr>
                <w:rFonts w:ascii="Arial" w:eastAsia="Times New Roman" w:hAnsi="Arial" w:cs="Arial"/>
                <w:b/>
                <w:spacing w:val="-2"/>
                <w:sz w:val="14"/>
                <w:szCs w:val="18"/>
                <w:lang w:eastAsia="pt-BR"/>
              </w:rPr>
            </w:pPr>
          </w:p>
        </w:tc>
        <w:tc>
          <w:tcPr>
            <w:tcW w:w="1404" w:type="dxa"/>
            <w:tcBorders>
              <w:top w:val="nil"/>
              <w:bottom w:val="single" w:sz="2" w:space="0" w:color="1F4E79"/>
            </w:tcBorders>
            <w:shd w:val="clear" w:color="auto" w:fill="auto"/>
            <w:vAlign w:val="center"/>
          </w:tcPr>
          <w:p w14:paraId="4956400B" w14:textId="5E663017" w:rsidR="008106C0" w:rsidRPr="009F5FD6" w:rsidRDefault="008106C0" w:rsidP="008106C0">
            <w:pPr>
              <w:keepNext/>
              <w:keepLines/>
              <w:spacing w:before="40" w:after="40" w:line="240" w:lineRule="auto"/>
              <w:jc w:val="right"/>
              <w:rPr>
                <w:rFonts w:ascii="Arial" w:eastAsia="Times New Roman" w:hAnsi="Arial" w:cs="Arial"/>
                <w:b/>
                <w:bCs/>
                <w:spacing w:val="-2"/>
                <w:sz w:val="14"/>
                <w:szCs w:val="18"/>
                <w:lang w:eastAsia="pt-BR"/>
              </w:rPr>
            </w:pPr>
            <w:r w:rsidRPr="009F5FD6">
              <w:rPr>
                <w:rFonts w:ascii="Arial" w:eastAsia="Times New Roman" w:hAnsi="Arial" w:cs="Arial"/>
                <w:b/>
                <w:bCs/>
                <w:spacing w:val="-2"/>
                <w:sz w:val="14"/>
                <w:szCs w:val="18"/>
                <w:lang w:eastAsia="pt-BR"/>
              </w:rPr>
              <w:t>(172.198)</w:t>
            </w:r>
          </w:p>
        </w:tc>
        <w:tc>
          <w:tcPr>
            <w:tcW w:w="1511" w:type="dxa"/>
            <w:tcBorders>
              <w:top w:val="nil"/>
              <w:bottom w:val="single" w:sz="2" w:space="0" w:color="1F4E79"/>
            </w:tcBorders>
            <w:shd w:val="clear" w:color="auto" w:fill="auto"/>
            <w:vAlign w:val="center"/>
          </w:tcPr>
          <w:p w14:paraId="0CE3C083" w14:textId="79F816F8" w:rsidR="008106C0" w:rsidRPr="00BF2AAF" w:rsidRDefault="008106C0" w:rsidP="008106C0">
            <w:pPr>
              <w:keepNext/>
              <w:keepLines/>
              <w:spacing w:before="40" w:after="40" w:line="240" w:lineRule="auto"/>
              <w:jc w:val="right"/>
              <w:rPr>
                <w:rFonts w:ascii="Arial" w:eastAsia="Times New Roman" w:hAnsi="Arial" w:cs="Arial"/>
                <w:b/>
                <w:spacing w:val="-2"/>
                <w:sz w:val="14"/>
                <w:szCs w:val="18"/>
                <w:lang w:eastAsia="pt-BR"/>
              </w:rPr>
            </w:pPr>
            <w:r w:rsidRPr="00BF2AAF">
              <w:rPr>
                <w:rFonts w:ascii="Arial" w:eastAsia="Times New Roman" w:hAnsi="Arial" w:cs="Arial"/>
                <w:b/>
                <w:spacing w:val="-2"/>
                <w:sz w:val="14"/>
                <w:szCs w:val="18"/>
                <w:lang w:eastAsia="pt-BR"/>
              </w:rPr>
              <w:t>(188.792)</w:t>
            </w:r>
          </w:p>
        </w:tc>
      </w:tr>
    </w:tbl>
    <w:p w14:paraId="0705172C" w14:textId="486AE2EA" w:rsidR="000254E5" w:rsidRPr="00BF2AAF" w:rsidRDefault="00D57767" w:rsidP="000254E5">
      <w:pPr>
        <w:pStyle w:val="05-Textonormal"/>
        <w:rPr>
          <w:rFonts w:cs="Arial"/>
          <w:b/>
        </w:rPr>
      </w:pPr>
      <w:r w:rsidRPr="00BF2AAF">
        <w:rPr>
          <w:rFonts w:cs="Arial"/>
        </w:rPr>
        <w:t>Não há custos de serviços prestados no Controlador.</w:t>
      </w:r>
    </w:p>
    <w:p w14:paraId="3CA04B7C" w14:textId="77777777" w:rsidR="00C47468" w:rsidRDefault="00C47468" w:rsidP="00C47468">
      <w:pPr>
        <w:pStyle w:val="02-TtulodeNota"/>
      </w:pPr>
      <w:bookmarkStart w:id="86" w:name="_Toc146905623"/>
      <w:bookmarkStart w:id="87" w:name="_Toc189757076"/>
      <w:bookmarkStart w:id="88" w:name="OLE_LINK22"/>
    </w:p>
    <w:p w14:paraId="7AE42E3F" w14:textId="20C18F39" w:rsidR="005C6C41" w:rsidRDefault="005C6C41" w:rsidP="00C47468">
      <w:pPr>
        <w:pStyle w:val="02-TtulodeNota"/>
      </w:pPr>
      <w:r w:rsidRPr="00BF2AAF">
        <w:t>10 – DESPESAS COM PESSOAL</w:t>
      </w:r>
      <w:bookmarkEnd w:id="86"/>
      <w:bookmarkEnd w:id="87"/>
    </w:p>
    <w:p w14:paraId="0F4057C0" w14:textId="77777777" w:rsidR="005A60BF" w:rsidRPr="008F095B" w:rsidRDefault="005A60BF" w:rsidP="005A60BF">
      <w:pPr>
        <w:pStyle w:val="01-TtulodeNota"/>
        <w:spacing w:before="0" w:after="0"/>
        <w:jc w:val="right"/>
        <w:rPr>
          <w:sz w:val="14"/>
          <w:szCs w:val="14"/>
        </w:rPr>
      </w:pPr>
      <w:r w:rsidRPr="008F095B">
        <w:rPr>
          <w:sz w:val="14"/>
          <w:szCs w:val="14"/>
        </w:rPr>
        <w:t>R$ mil</w:t>
      </w: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850"/>
        <w:gridCol w:w="2244"/>
        <w:gridCol w:w="604"/>
        <w:gridCol w:w="1411"/>
        <w:gridCol w:w="1412"/>
        <w:gridCol w:w="283"/>
        <w:gridCol w:w="1417"/>
        <w:gridCol w:w="1418"/>
      </w:tblGrid>
      <w:tr w:rsidR="005A60BF" w:rsidRPr="008F095B" w14:paraId="7A177AAA" w14:textId="77777777">
        <w:trPr>
          <w:trHeight w:val="238"/>
          <w:jc w:val="center"/>
        </w:trPr>
        <w:tc>
          <w:tcPr>
            <w:tcW w:w="850" w:type="dxa"/>
            <w:tcBorders>
              <w:top w:val="single" w:sz="2" w:space="0" w:color="1F3864" w:themeColor="accent1" w:themeShade="80"/>
              <w:bottom w:val="nil"/>
            </w:tcBorders>
            <w:shd w:val="clear" w:color="auto" w:fill="auto"/>
          </w:tcPr>
          <w:p w14:paraId="32731F77" w14:textId="77777777" w:rsidR="005A60BF" w:rsidRPr="008F095B" w:rsidRDefault="005A60BF">
            <w:pPr>
              <w:keepNext/>
              <w:keepLines/>
              <w:spacing w:before="40" w:after="40"/>
              <w:rPr>
                <w:rFonts w:ascii="Arial" w:hAnsi="Arial" w:cs="Arial"/>
                <w:b/>
                <w:bCs/>
                <w:spacing w:val="-2"/>
                <w:sz w:val="14"/>
                <w:szCs w:val="14"/>
              </w:rPr>
            </w:pPr>
          </w:p>
        </w:tc>
        <w:tc>
          <w:tcPr>
            <w:tcW w:w="2848" w:type="dxa"/>
            <w:gridSpan w:val="2"/>
            <w:tcBorders>
              <w:top w:val="single" w:sz="2" w:space="0" w:color="1F3864" w:themeColor="accent1" w:themeShade="80"/>
              <w:bottom w:val="nil"/>
            </w:tcBorders>
            <w:shd w:val="clear" w:color="auto" w:fill="auto"/>
          </w:tcPr>
          <w:p w14:paraId="058AF359" w14:textId="77777777" w:rsidR="005A60BF" w:rsidRPr="008F095B" w:rsidRDefault="005A60BF">
            <w:pPr>
              <w:keepNext/>
              <w:keepLines/>
              <w:spacing w:before="40" w:after="40"/>
              <w:rPr>
                <w:rFonts w:ascii="Arial" w:hAnsi="Arial" w:cs="Arial"/>
                <w:b/>
                <w:spacing w:val="-2"/>
                <w:sz w:val="14"/>
                <w:szCs w:val="14"/>
              </w:rPr>
            </w:pPr>
          </w:p>
        </w:tc>
        <w:tc>
          <w:tcPr>
            <w:tcW w:w="2823" w:type="dxa"/>
            <w:gridSpan w:val="2"/>
            <w:tcBorders>
              <w:top w:val="single" w:sz="2" w:space="0" w:color="1F3864" w:themeColor="accent1" w:themeShade="80"/>
              <w:bottom w:val="single" w:sz="2" w:space="0" w:color="1F3864" w:themeColor="accent1" w:themeShade="80"/>
            </w:tcBorders>
            <w:shd w:val="clear" w:color="auto" w:fill="auto"/>
            <w:vAlign w:val="center"/>
          </w:tcPr>
          <w:p w14:paraId="3EA64C03" w14:textId="77777777" w:rsidR="005A60BF" w:rsidRPr="008F095B" w:rsidRDefault="005A60BF">
            <w:pPr>
              <w:keepNext/>
              <w:keepLines/>
              <w:spacing w:before="40" w:after="40"/>
              <w:jc w:val="center"/>
              <w:rPr>
                <w:rFonts w:ascii="Arial" w:hAnsi="Arial" w:cs="Arial"/>
                <w:b/>
                <w:spacing w:val="-2"/>
                <w:sz w:val="14"/>
                <w:szCs w:val="14"/>
              </w:rPr>
            </w:pPr>
            <w:r w:rsidRPr="008F095B">
              <w:rPr>
                <w:rFonts w:ascii="Arial" w:hAnsi="Arial" w:cs="Arial"/>
                <w:b/>
                <w:spacing w:val="-2"/>
                <w:sz w:val="14"/>
                <w:szCs w:val="14"/>
              </w:rPr>
              <w:t>Controlador</w:t>
            </w:r>
          </w:p>
        </w:tc>
        <w:tc>
          <w:tcPr>
            <w:tcW w:w="283" w:type="dxa"/>
            <w:tcBorders>
              <w:top w:val="single" w:sz="2" w:space="0" w:color="1F3864" w:themeColor="accent1" w:themeShade="80"/>
              <w:bottom w:val="nil"/>
            </w:tcBorders>
            <w:shd w:val="clear" w:color="auto" w:fill="auto"/>
            <w:vAlign w:val="center"/>
          </w:tcPr>
          <w:p w14:paraId="0CBEEF27" w14:textId="77777777" w:rsidR="005A60BF" w:rsidRPr="008F095B" w:rsidRDefault="005A60BF">
            <w:pPr>
              <w:keepNext/>
              <w:keepLines/>
              <w:spacing w:before="40" w:after="40"/>
              <w:jc w:val="center"/>
              <w:rPr>
                <w:rFonts w:ascii="Arial" w:hAnsi="Arial" w:cs="Arial"/>
                <w:b/>
                <w:bCs/>
                <w:spacing w:val="-2"/>
                <w:sz w:val="14"/>
                <w:szCs w:val="14"/>
              </w:rPr>
            </w:pPr>
          </w:p>
        </w:tc>
        <w:tc>
          <w:tcPr>
            <w:tcW w:w="2835" w:type="dxa"/>
            <w:gridSpan w:val="2"/>
            <w:tcBorders>
              <w:top w:val="single" w:sz="2" w:space="0" w:color="1F3864" w:themeColor="accent1" w:themeShade="80"/>
              <w:bottom w:val="single" w:sz="2" w:space="0" w:color="1F3864" w:themeColor="accent1" w:themeShade="80"/>
            </w:tcBorders>
            <w:shd w:val="clear" w:color="auto" w:fill="auto"/>
            <w:vAlign w:val="center"/>
          </w:tcPr>
          <w:p w14:paraId="13E95967" w14:textId="77777777" w:rsidR="005A60BF" w:rsidRPr="008F095B" w:rsidRDefault="005A60BF">
            <w:pPr>
              <w:keepNext/>
              <w:keepLines/>
              <w:spacing w:before="40" w:after="40"/>
              <w:jc w:val="center"/>
              <w:rPr>
                <w:rFonts w:ascii="Arial" w:hAnsi="Arial" w:cs="Arial"/>
                <w:b/>
                <w:spacing w:val="-2"/>
                <w:sz w:val="14"/>
                <w:szCs w:val="14"/>
              </w:rPr>
            </w:pPr>
            <w:r w:rsidRPr="008F095B">
              <w:rPr>
                <w:rFonts w:ascii="Arial" w:hAnsi="Arial" w:cs="Arial"/>
                <w:b/>
                <w:spacing w:val="-2"/>
                <w:sz w:val="14"/>
                <w:szCs w:val="14"/>
              </w:rPr>
              <w:t>Consolidado</w:t>
            </w:r>
          </w:p>
        </w:tc>
      </w:tr>
      <w:tr w:rsidR="005A60BF" w:rsidRPr="008F095B" w14:paraId="367B9D06" w14:textId="77777777">
        <w:trPr>
          <w:trHeight w:val="238"/>
          <w:jc w:val="center"/>
        </w:trPr>
        <w:tc>
          <w:tcPr>
            <w:tcW w:w="3094" w:type="dxa"/>
            <w:gridSpan w:val="2"/>
            <w:tcBorders>
              <w:top w:val="nil"/>
              <w:bottom w:val="single" w:sz="2" w:space="0" w:color="1F3864" w:themeColor="accent1" w:themeShade="80"/>
            </w:tcBorders>
            <w:shd w:val="clear" w:color="auto" w:fill="auto"/>
          </w:tcPr>
          <w:p w14:paraId="71C9B913" w14:textId="77777777" w:rsidR="005A60BF" w:rsidRPr="008F095B" w:rsidRDefault="005A60BF">
            <w:pPr>
              <w:keepNext/>
              <w:keepLines/>
              <w:spacing w:before="40" w:after="40"/>
              <w:rPr>
                <w:rFonts w:ascii="Arial" w:hAnsi="Arial" w:cs="Arial"/>
                <w:b/>
                <w:spacing w:val="-2"/>
                <w:sz w:val="14"/>
                <w:szCs w:val="14"/>
              </w:rPr>
            </w:pPr>
          </w:p>
        </w:tc>
        <w:tc>
          <w:tcPr>
            <w:tcW w:w="604" w:type="dxa"/>
            <w:tcBorders>
              <w:top w:val="nil"/>
              <w:bottom w:val="single" w:sz="2" w:space="0" w:color="1F3864" w:themeColor="accent1" w:themeShade="80"/>
            </w:tcBorders>
            <w:shd w:val="clear" w:color="auto" w:fill="auto"/>
          </w:tcPr>
          <w:p w14:paraId="62CE0EB4" w14:textId="77777777" w:rsidR="005A60BF" w:rsidRPr="008F095B" w:rsidRDefault="005A60BF">
            <w:pPr>
              <w:keepNext/>
              <w:keepLines/>
              <w:spacing w:before="40" w:after="40"/>
              <w:rPr>
                <w:rFonts w:ascii="Arial" w:hAnsi="Arial" w:cs="Arial"/>
                <w:b/>
                <w:spacing w:val="-2"/>
                <w:sz w:val="14"/>
                <w:szCs w:val="14"/>
              </w:rPr>
            </w:pPr>
          </w:p>
        </w:tc>
        <w:tc>
          <w:tcPr>
            <w:tcW w:w="1411" w:type="dxa"/>
            <w:tcBorders>
              <w:top w:val="single" w:sz="2" w:space="0" w:color="1F3864" w:themeColor="accent1" w:themeShade="80"/>
              <w:bottom w:val="single" w:sz="2" w:space="0" w:color="1F3864" w:themeColor="accent1" w:themeShade="80"/>
            </w:tcBorders>
            <w:shd w:val="clear" w:color="auto" w:fill="auto"/>
            <w:vAlign w:val="center"/>
          </w:tcPr>
          <w:p w14:paraId="1616F286" w14:textId="77777777" w:rsidR="005A60BF" w:rsidRPr="008F095B" w:rsidRDefault="005A60BF">
            <w:pPr>
              <w:keepNext/>
              <w:keepLines/>
              <w:spacing w:before="40" w:after="40"/>
              <w:jc w:val="right"/>
              <w:rPr>
                <w:rFonts w:ascii="Arial" w:hAnsi="Arial" w:cs="Arial"/>
                <w:b/>
                <w:spacing w:val="-2"/>
                <w:sz w:val="14"/>
                <w:szCs w:val="14"/>
              </w:rPr>
            </w:pPr>
            <w:r>
              <w:rPr>
                <w:rFonts w:ascii="Arial" w:hAnsi="Arial" w:cs="Arial"/>
                <w:b/>
                <w:spacing w:val="-2"/>
                <w:sz w:val="14"/>
                <w:szCs w:val="14"/>
              </w:rPr>
              <w:t>Exercício 2024</w:t>
            </w:r>
          </w:p>
        </w:tc>
        <w:tc>
          <w:tcPr>
            <w:tcW w:w="1412" w:type="dxa"/>
            <w:tcBorders>
              <w:top w:val="single" w:sz="2" w:space="0" w:color="1F3864" w:themeColor="accent1" w:themeShade="80"/>
              <w:bottom w:val="single" w:sz="2" w:space="0" w:color="1F3864" w:themeColor="accent1" w:themeShade="80"/>
            </w:tcBorders>
            <w:shd w:val="clear" w:color="auto" w:fill="auto"/>
            <w:vAlign w:val="center"/>
          </w:tcPr>
          <w:p w14:paraId="0962BE13" w14:textId="77777777" w:rsidR="005A60BF" w:rsidRPr="008F095B" w:rsidRDefault="005A60BF">
            <w:pPr>
              <w:keepNext/>
              <w:keepLines/>
              <w:spacing w:before="40" w:after="40"/>
              <w:jc w:val="right"/>
              <w:rPr>
                <w:rFonts w:ascii="Arial" w:hAnsi="Arial" w:cs="Arial"/>
                <w:b/>
                <w:spacing w:val="-2"/>
                <w:sz w:val="14"/>
                <w:szCs w:val="14"/>
              </w:rPr>
            </w:pPr>
            <w:r>
              <w:rPr>
                <w:rFonts w:ascii="Arial" w:hAnsi="Arial" w:cs="Arial"/>
                <w:b/>
                <w:spacing w:val="-2"/>
                <w:sz w:val="14"/>
                <w:szCs w:val="14"/>
              </w:rPr>
              <w:t>Exercício 2023</w:t>
            </w:r>
          </w:p>
        </w:tc>
        <w:tc>
          <w:tcPr>
            <w:tcW w:w="283" w:type="dxa"/>
            <w:tcBorders>
              <w:top w:val="nil"/>
              <w:bottom w:val="single" w:sz="2" w:space="0" w:color="1F3864" w:themeColor="accent1" w:themeShade="80"/>
            </w:tcBorders>
            <w:shd w:val="clear" w:color="auto" w:fill="auto"/>
            <w:vAlign w:val="center"/>
          </w:tcPr>
          <w:p w14:paraId="2C2285A4" w14:textId="77777777" w:rsidR="005A60BF" w:rsidRPr="008F095B" w:rsidRDefault="005A60BF">
            <w:pPr>
              <w:keepNext/>
              <w:keepLines/>
              <w:spacing w:before="40" w:after="40"/>
              <w:jc w:val="right"/>
              <w:rPr>
                <w:rFonts w:ascii="Arial" w:hAnsi="Arial" w:cs="Arial"/>
                <w:b/>
                <w:spacing w:val="-2"/>
                <w:sz w:val="14"/>
                <w:szCs w:val="14"/>
              </w:rPr>
            </w:pPr>
          </w:p>
        </w:tc>
        <w:tc>
          <w:tcPr>
            <w:tcW w:w="1417" w:type="dxa"/>
            <w:tcBorders>
              <w:top w:val="single" w:sz="2" w:space="0" w:color="1F3864" w:themeColor="accent1" w:themeShade="80"/>
              <w:bottom w:val="single" w:sz="2" w:space="0" w:color="1F3864" w:themeColor="accent1" w:themeShade="80"/>
            </w:tcBorders>
            <w:shd w:val="clear" w:color="auto" w:fill="auto"/>
            <w:vAlign w:val="center"/>
          </w:tcPr>
          <w:p w14:paraId="436DBAE5" w14:textId="77777777" w:rsidR="005A60BF" w:rsidRPr="008F095B" w:rsidRDefault="005A60BF">
            <w:pPr>
              <w:keepNext/>
              <w:keepLines/>
              <w:spacing w:before="40" w:after="40"/>
              <w:jc w:val="right"/>
              <w:rPr>
                <w:rFonts w:ascii="Arial" w:hAnsi="Arial" w:cs="Arial"/>
                <w:b/>
                <w:spacing w:val="-2"/>
                <w:sz w:val="14"/>
                <w:szCs w:val="14"/>
              </w:rPr>
            </w:pPr>
            <w:r>
              <w:rPr>
                <w:rFonts w:ascii="Arial" w:hAnsi="Arial" w:cs="Arial"/>
                <w:b/>
                <w:spacing w:val="-2"/>
                <w:sz w:val="14"/>
                <w:szCs w:val="14"/>
              </w:rPr>
              <w:t>Exercício 2024</w:t>
            </w:r>
          </w:p>
        </w:tc>
        <w:tc>
          <w:tcPr>
            <w:tcW w:w="1418" w:type="dxa"/>
            <w:tcBorders>
              <w:top w:val="single" w:sz="2" w:space="0" w:color="1F3864" w:themeColor="accent1" w:themeShade="80"/>
              <w:bottom w:val="single" w:sz="2" w:space="0" w:color="1F3864" w:themeColor="accent1" w:themeShade="80"/>
            </w:tcBorders>
            <w:shd w:val="clear" w:color="auto" w:fill="auto"/>
            <w:vAlign w:val="center"/>
          </w:tcPr>
          <w:p w14:paraId="63A7C69F" w14:textId="77777777" w:rsidR="005A60BF" w:rsidRPr="008F095B" w:rsidRDefault="005A60BF">
            <w:pPr>
              <w:keepNext/>
              <w:keepLines/>
              <w:spacing w:before="40" w:after="40"/>
              <w:jc w:val="right"/>
              <w:rPr>
                <w:rFonts w:ascii="Arial" w:hAnsi="Arial" w:cs="Arial"/>
                <w:b/>
                <w:spacing w:val="-2"/>
                <w:sz w:val="14"/>
                <w:szCs w:val="14"/>
              </w:rPr>
            </w:pPr>
            <w:r>
              <w:rPr>
                <w:rFonts w:ascii="Arial" w:hAnsi="Arial" w:cs="Arial"/>
                <w:b/>
                <w:spacing w:val="-2"/>
                <w:sz w:val="14"/>
                <w:szCs w:val="14"/>
              </w:rPr>
              <w:t>Exercício 2023</w:t>
            </w:r>
          </w:p>
        </w:tc>
      </w:tr>
      <w:tr w:rsidR="005A60BF" w:rsidRPr="00EB359C" w14:paraId="0A809E70" w14:textId="77777777">
        <w:trPr>
          <w:trHeight w:val="238"/>
          <w:jc w:val="center"/>
        </w:trPr>
        <w:tc>
          <w:tcPr>
            <w:tcW w:w="3094" w:type="dxa"/>
            <w:gridSpan w:val="2"/>
            <w:tcBorders>
              <w:top w:val="single" w:sz="2" w:space="0" w:color="1F3864" w:themeColor="accent1" w:themeShade="80"/>
              <w:bottom w:val="nil"/>
            </w:tcBorders>
            <w:shd w:val="clear" w:color="auto" w:fill="auto"/>
          </w:tcPr>
          <w:p w14:paraId="3F43D229" w14:textId="77777777" w:rsidR="005A60BF" w:rsidRPr="008F095B" w:rsidRDefault="005A60BF">
            <w:pPr>
              <w:pStyle w:val="08-Tabelageral"/>
              <w:jc w:val="left"/>
              <w:rPr>
                <w:rFonts w:cs="Arial"/>
                <w:szCs w:val="14"/>
              </w:rPr>
            </w:pPr>
            <w:r w:rsidRPr="008F095B">
              <w:rPr>
                <w:rFonts w:cs="Arial"/>
                <w:szCs w:val="14"/>
              </w:rPr>
              <w:t xml:space="preserve">Proventos </w:t>
            </w:r>
            <w:r>
              <w:rPr>
                <w:rFonts w:cs="Arial"/>
                <w:szCs w:val="14"/>
                <w:vertAlign w:val="superscript"/>
              </w:rPr>
              <w:t>(1)</w:t>
            </w:r>
          </w:p>
        </w:tc>
        <w:tc>
          <w:tcPr>
            <w:tcW w:w="604" w:type="dxa"/>
            <w:tcBorders>
              <w:top w:val="single" w:sz="2" w:space="0" w:color="1F3864" w:themeColor="accent1" w:themeShade="80"/>
              <w:bottom w:val="nil"/>
            </w:tcBorders>
            <w:shd w:val="clear" w:color="auto" w:fill="auto"/>
          </w:tcPr>
          <w:p w14:paraId="27E246B6" w14:textId="77777777" w:rsidR="005A60BF" w:rsidRPr="00EB359C" w:rsidRDefault="005A60BF">
            <w:pPr>
              <w:pStyle w:val="08-Tabelageral"/>
              <w:jc w:val="left"/>
              <w:rPr>
                <w:rFonts w:cs="Arial"/>
                <w:color w:val="FF0000"/>
                <w:szCs w:val="14"/>
              </w:rPr>
            </w:pPr>
          </w:p>
        </w:tc>
        <w:tc>
          <w:tcPr>
            <w:tcW w:w="1411" w:type="dxa"/>
            <w:tcBorders>
              <w:top w:val="single" w:sz="2" w:space="0" w:color="1F3864" w:themeColor="accent1" w:themeShade="80"/>
              <w:bottom w:val="nil"/>
            </w:tcBorders>
            <w:shd w:val="clear" w:color="auto" w:fill="auto"/>
          </w:tcPr>
          <w:p w14:paraId="2EBF8976" w14:textId="77777777" w:rsidR="005A60BF" w:rsidRPr="00E07AD9" w:rsidRDefault="005A60BF">
            <w:pPr>
              <w:pStyle w:val="08-Tabelageral"/>
            </w:pPr>
            <w:r>
              <w:t>(6.640)</w:t>
            </w:r>
          </w:p>
        </w:tc>
        <w:tc>
          <w:tcPr>
            <w:tcW w:w="1412" w:type="dxa"/>
            <w:tcBorders>
              <w:top w:val="single" w:sz="2" w:space="0" w:color="1F3864" w:themeColor="accent1" w:themeShade="80"/>
              <w:bottom w:val="nil"/>
            </w:tcBorders>
            <w:shd w:val="clear" w:color="auto" w:fill="auto"/>
          </w:tcPr>
          <w:p w14:paraId="05094970" w14:textId="77777777" w:rsidR="005A60BF" w:rsidRPr="00EB359C" w:rsidRDefault="005A60BF">
            <w:pPr>
              <w:pStyle w:val="08-Tabelageral"/>
              <w:rPr>
                <w:color w:val="FF0000"/>
              </w:rPr>
            </w:pPr>
            <w:r>
              <w:t>(7.061)</w:t>
            </w:r>
          </w:p>
        </w:tc>
        <w:tc>
          <w:tcPr>
            <w:tcW w:w="283" w:type="dxa"/>
            <w:tcBorders>
              <w:top w:val="single" w:sz="2" w:space="0" w:color="1F3864" w:themeColor="accent1" w:themeShade="80"/>
              <w:bottom w:val="nil"/>
            </w:tcBorders>
            <w:shd w:val="clear" w:color="auto" w:fill="auto"/>
            <w:vAlign w:val="center"/>
          </w:tcPr>
          <w:p w14:paraId="505311CC" w14:textId="77777777" w:rsidR="005A60BF" w:rsidRPr="00EB359C" w:rsidRDefault="005A60BF">
            <w:pPr>
              <w:pStyle w:val="08-Tabelageral"/>
              <w:rPr>
                <w:color w:val="FF0000"/>
              </w:rPr>
            </w:pPr>
          </w:p>
        </w:tc>
        <w:tc>
          <w:tcPr>
            <w:tcW w:w="1417" w:type="dxa"/>
            <w:tcBorders>
              <w:top w:val="single" w:sz="2" w:space="0" w:color="1F3864" w:themeColor="accent1" w:themeShade="80"/>
              <w:bottom w:val="nil"/>
            </w:tcBorders>
            <w:shd w:val="clear" w:color="auto" w:fill="auto"/>
            <w:vAlign w:val="center"/>
          </w:tcPr>
          <w:p w14:paraId="1DDE9D39" w14:textId="77777777" w:rsidR="005A60BF" w:rsidRPr="00E07AD9" w:rsidRDefault="005A60BF">
            <w:pPr>
              <w:pStyle w:val="08-Tabelageral"/>
            </w:pPr>
            <w:r>
              <w:t>(50.594)</w:t>
            </w:r>
          </w:p>
        </w:tc>
        <w:tc>
          <w:tcPr>
            <w:tcW w:w="1418" w:type="dxa"/>
            <w:tcBorders>
              <w:top w:val="single" w:sz="2" w:space="0" w:color="1F3864" w:themeColor="accent1" w:themeShade="80"/>
              <w:bottom w:val="nil"/>
            </w:tcBorders>
            <w:shd w:val="clear" w:color="auto" w:fill="auto"/>
            <w:vAlign w:val="center"/>
          </w:tcPr>
          <w:p w14:paraId="00424C95" w14:textId="77777777" w:rsidR="005A60BF" w:rsidRPr="00EB359C" w:rsidRDefault="005A60BF">
            <w:pPr>
              <w:pStyle w:val="08-Tabelageral"/>
              <w:rPr>
                <w:color w:val="FF0000"/>
              </w:rPr>
            </w:pPr>
            <w:r>
              <w:t>(48.574)</w:t>
            </w:r>
          </w:p>
        </w:tc>
      </w:tr>
      <w:tr w:rsidR="005A60BF" w:rsidRPr="00EB359C" w14:paraId="025A3F11" w14:textId="77777777">
        <w:trPr>
          <w:trHeight w:val="238"/>
          <w:jc w:val="center"/>
        </w:trPr>
        <w:tc>
          <w:tcPr>
            <w:tcW w:w="3094" w:type="dxa"/>
            <w:gridSpan w:val="2"/>
            <w:tcBorders>
              <w:top w:val="nil"/>
            </w:tcBorders>
            <w:shd w:val="clear" w:color="auto" w:fill="auto"/>
          </w:tcPr>
          <w:p w14:paraId="034AEBE9" w14:textId="77777777" w:rsidR="005A60BF" w:rsidRPr="008F095B" w:rsidRDefault="005A60BF">
            <w:pPr>
              <w:pStyle w:val="08-Tabelageral"/>
              <w:jc w:val="left"/>
              <w:rPr>
                <w:rFonts w:cs="Arial"/>
                <w:szCs w:val="14"/>
              </w:rPr>
            </w:pPr>
            <w:r w:rsidRPr="008F095B">
              <w:rPr>
                <w:rFonts w:cs="Arial"/>
                <w:szCs w:val="14"/>
              </w:rPr>
              <w:t>Encargos</w:t>
            </w:r>
          </w:p>
        </w:tc>
        <w:tc>
          <w:tcPr>
            <w:tcW w:w="604" w:type="dxa"/>
            <w:tcBorders>
              <w:top w:val="nil"/>
            </w:tcBorders>
            <w:shd w:val="clear" w:color="auto" w:fill="auto"/>
          </w:tcPr>
          <w:p w14:paraId="6C48F47E" w14:textId="77777777" w:rsidR="005A60BF" w:rsidRPr="00EB359C" w:rsidRDefault="005A60BF">
            <w:pPr>
              <w:pStyle w:val="08-Tabelageral"/>
              <w:jc w:val="left"/>
              <w:rPr>
                <w:rFonts w:cs="Arial"/>
                <w:color w:val="FF0000"/>
                <w:szCs w:val="14"/>
              </w:rPr>
            </w:pPr>
          </w:p>
        </w:tc>
        <w:tc>
          <w:tcPr>
            <w:tcW w:w="1411" w:type="dxa"/>
            <w:tcBorders>
              <w:top w:val="nil"/>
            </w:tcBorders>
            <w:shd w:val="clear" w:color="auto" w:fill="auto"/>
          </w:tcPr>
          <w:p w14:paraId="45D872D3" w14:textId="77777777" w:rsidR="005A60BF" w:rsidRPr="00E07AD9" w:rsidRDefault="005A60BF">
            <w:pPr>
              <w:pStyle w:val="08-Tabelageral"/>
            </w:pPr>
            <w:r>
              <w:t>(3.294)</w:t>
            </w:r>
          </w:p>
        </w:tc>
        <w:tc>
          <w:tcPr>
            <w:tcW w:w="1412" w:type="dxa"/>
            <w:tcBorders>
              <w:top w:val="nil"/>
            </w:tcBorders>
            <w:shd w:val="clear" w:color="auto" w:fill="auto"/>
          </w:tcPr>
          <w:p w14:paraId="1BB9E5A4" w14:textId="77777777" w:rsidR="005A60BF" w:rsidRPr="00EB359C" w:rsidRDefault="005A60BF">
            <w:pPr>
              <w:pStyle w:val="08-Tabelageral"/>
              <w:rPr>
                <w:color w:val="FF0000"/>
              </w:rPr>
            </w:pPr>
            <w:r>
              <w:t>(3.844)</w:t>
            </w:r>
          </w:p>
        </w:tc>
        <w:tc>
          <w:tcPr>
            <w:tcW w:w="283" w:type="dxa"/>
            <w:tcBorders>
              <w:top w:val="nil"/>
            </w:tcBorders>
            <w:shd w:val="clear" w:color="auto" w:fill="auto"/>
            <w:vAlign w:val="center"/>
          </w:tcPr>
          <w:p w14:paraId="45AB8803" w14:textId="77777777" w:rsidR="005A60BF" w:rsidRPr="00EB359C" w:rsidRDefault="005A60BF">
            <w:pPr>
              <w:pStyle w:val="08-Tabelageral"/>
              <w:rPr>
                <w:color w:val="FF0000"/>
              </w:rPr>
            </w:pPr>
          </w:p>
        </w:tc>
        <w:tc>
          <w:tcPr>
            <w:tcW w:w="1417" w:type="dxa"/>
            <w:tcBorders>
              <w:top w:val="nil"/>
            </w:tcBorders>
            <w:shd w:val="clear" w:color="auto" w:fill="auto"/>
            <w:vAlign w:val="center"/>
          </w:tcPr>
          <w:p w14:paraId="608DC736" w14:textId="77777777" w:rsidR="005A60BF" w:rsidRPr="00E07AD9" w:rsidRDefault="005A60BF">
            <w:pPr>
              <w:pStyle w:val="08-Tabelageral"/>
            </w:pPr>
            <w:r>
              <w:t>(25.266)</w:t>
            </w:r>
          </w:p>
        </w:tc>
        <w:tc>
          <w:tcPr>
            <w:tcW w:w="1418" w:type="dxa"/>
            <w:tcBorders>
              <w:top w:val="nil"/>
            </w:tcBorders>
            <w:shd w:val="clear" w:color="auto" w:fill="auto"/>
            <w:vAlign w:val="center"/>
          </w:tcPr>
          <w:p w14:paraId="3A204094" w14:textId="77777777" w:rsidR="005A60BF" w:rsidRPr="00EB359C" w:rsidRDefault="005A60BF">
            <w:pPr>
              <w:pStyle w:val="08-Tabelageral"/>
              <w:rPr>
                <w:color w:val="FF0000"/>
              </w:rPr>
            </w:pPr>
            <w:r>
              <w:t>(24.370)</w:t>
            </w:r>
          </w:p>
        </w:tc>
      </w:tr>
      <w:tr w:rsidR="005A60BF" w:rsidRPr="00EB359C" w14:paraId="38637C3B" w14:textId="77777777">
        <w:trPr>
          <w:trHeight w:val="238"/>
          <w:jc w:val="center"/>
        </w:trPr>
        <w:tc>
          <w:tcPr>
            <w:tcW w:w="3094" w:type="dxa"/>
            <w:gridSpan w:val="2"/>
            <w:shd w:val="clear" w:color="auto" w:fill="auto"/>
          </w:tcPr>
          <w:p w14:paraId="5B3225B9" w14:textId="77777777" w:rsidR="005A60BF" w:rsidRPr="008F095B" w:rsidRDefault="005A60BF">
            <w:pPr>
              <w:pStyle w:val="08-Tabelageral"/>
              <w:jc w:val="left"/>
              <w:rPr>
                <w:rFonts w:cs="Arial"/>
                <w:szCs w:val="14"/>
              </w:rPr>
            </w:pPr>
            <w:r w:rsidRPr="008F095B">
              <w:rPr>
                <w:rFonts w:cs="Arial"/>
                <w:szCs w:val="14"/>
              </w:rPr>
              <w:t>Benefícios</w:t>
            </w:r>
          </w:p>
        </w:tc>
        <w:tc>
          <w:tcPr>
            <w:tcW w:w="604" w:type="dxa"/>
            <w:shd w:val="clear" w:color="auto" w:fill="auto"/>
          </w:tcPr>
          <w:p w14:paraId="2DDE0D0B" w14:textId="77777777" w:rsidR="005A60BF" w:rsidRPr="00EB359C" w:rsidRDefault="005A60BF">
            <w:pPr>
              <w:pStyle w:val="08-Tabelageral"/>
              <w:jc w:val="left"/>
              <w:rPr>
                <w:rFonts w:cs="Arial"/>
                <w:color w:val="FF0000"/>
                <w:szCs w:val="14"/>
              </w:rPr>
            </w:pPr>
          </w:p>
        </w:tc>
        <w:tc>
          <w:tcPr>
            <w:tcW w:w="1411" w:type="dxa"/>
            <w:shd w:val="clear" w:color="auto" w:fill="auto"/>
          </w:tcPr>
          <w:p w14:paraId="3AA71984" w14:textId="77777777" w:rsidR="005A60BF" w:rsidRPr="00E07AD9" w:rsidRDefault="005A60BF">
            <w:pPr>
              <w:pStyle w:val="08-Tabelageral"/>
            </w:pPr>
            <w:r>
              <w:t>(1.039)</w:t>
            </w:r>
          </w:p>
        </w:tc>
        <w:tc>
          <w:tcPr>
            <w:tcW w:w="1412" w:type="dxa"/>
            <w:shd w:val="clear" w:color="auto" w:fill="auto"/>
          </w:tcPr>
          <w:p w14:paraId="378AB179" w14:textId="77777777" w:rsidR="005A60BF" w:rsidRPr="00EB359C" w:rsidRDefault="005A60BF">
            <w:pPr>
              <w:pStyle w:val="08-Tabelageral"/>
              <w:rPr>
                <w:color w:val="FF0000"/>
              </w:rPr>
            </w:pPr>
            <w:r>
              <w:t>(1.100)</w:t>
            </w:r>
          </w:p>
        </w:tc>
        <w:tc>
          <w:tcPr>
            <w:tcW w:w="283" w:type="dxa"/>
            <w:shd w:val="clear" w:color="auto" w:fill="auto"/>
            <w:vAlign w:val="center"/>
          </w:tcPr>
          <w:p w14:paraId="5EC74499" w14:textId="77777777" w:rsidR="005A60BF" w:rsidRPr="00EB359C" w:rsidRDefault="005A60BF">
            <w:pPr>
              <w:pStyle w:val="08-Tabelageral"/>
              <w:rPr>
                <w:color w:val="FF0000"/>
              </w:rPr>
            </w:pPr>
          </w:p>
        </w:tc>
        <w:tc>
          <w:tcPr>
            <w:tcW w:w="1417" w:type="dxa"/>
            <w:shd w:val="clear" w:color="auto" w:fill="auto"/>
            <w:vAlign w:val="center"/>
          </w:tcPr>
          <w:p w14:paraId="1D9F9307" w14:textId="77777777" w:rsidR="005A60BF" w:rsidRPr="00E07AD9" w:rsidRDefault="005A60BF">
            <w:pPr>
              <w:pStyle w:val="08-Tabelageral"/>
            </w:pPr>
            <w:r>
              <w:t>(8.664)</w:t>
            </w:r>
          </w:p>
        </w:tc>
        <w:tc>
          <w:tcPr>
            <w:tcW w:w="1418" w:type="dxa"/>
            <w:shd w:val="clear" w:color="auto" w:fill="auto"/>
            <w:vAlign w:val="center"/>
          </w:tcPr>
          <w:p w14:paraId="0DD8272C" w14:textId="77777777" w:rsidR="005A60BF" w:rsidRPr="00EB359C" w:rsidRDefault="005A60BF">
            <w:pPr>
              <w:pStyle w:val="08-Tabelageral"/>
              <w:rPr>
                <w:color w:val="FF0000"/>
              </w:rPr>
            </w:pPr>
            <w:r>
              <w:t>(7.883)</w:t>
            </w:r>
          </w:p>
        </w:tc>
      </w:tr>
      <w:tr w:rsidR="005A60BF" w:rsidRPr="00EB359C" w14:paraId="1D82F312" w14:textId="77777777">
        <w:trPr>
          <w:trHeight w:val="238"/>
          <w:jc w:val="center"/>
        </w:trPr>
        <w:tc>
          <w:tcPr>
            <w:tcW w:w="3094" w:type="dxa"/>
            <w:gridSpan w:val="2"/>
            <w:shd w:val="clear" w:color="auto" w:fill="auto"/>
          </w:tcPr>
          <w:p w14:paraId="5BA1B494" w14:textId="77777777" w:rsidR="005A60BF" w:rsidRPr="008F095B" w:rsidRDefault="005A60BF">
            <w:pPr>
              <w:pStyle w:val="08-Tabelageral"/>
              <w:jc w:val="left"/>
              <w:rPr>
                <w:rFonts w:cs="Arial"/>
                <w:szCs w:val="14"/>
              </w:rPr>
            </w:pPr>
            <w:r w:rsidRPr="008F095B">
              <w:rPr>
                <w:rFonts w:cs="Arial"/>
                <w:szCs w:val="14"/>
              </w:rPr>
              <w:t>Honorários</w:t>
            </w:r>
          </w:p>
        </w:tc>
        <w:tc>
          <w:tcPr>
            <w:tcW w:w="604" w:type="dxa"/>
            <w:shd w:val="clear" w:color="auto" w:fill="auto"/>
          </w:tcPr>
          <w:p w14:paraId="6599871A" w14:textId="77777777" w:rsidR="005A60BF" w:rsidRPr="00EB359C" w:rsidRDefault="005A60BF">
            <w:pPr>
              <w:pStyle w:val="08-Tabelageral"/>
              <w:jc w:val="left"/>
              <w:rPr>
                <w:rFonts w:cs="Arial"/>
                <w:color w:val="FF0000"/>
                <w:szCs w:val="14"/>
              </w:rPr>
            </w:pPr>
          </w:p>
        </w:tc>
        <w:tc>
          <w:tcPr>
            <w:tcW w:w="1411" w:type="dxa"/>
            <w:shd w:val="clear" w:color="auto" w:fill="auto"/>
          </w:tcPr>
          <w:p w14:paraId="4DE0DB84" w14:textId="77777777" w:rsidR="005A60BF" w:rsidRPr="00E07AD9" w:rsidRDefault="005A60BF">
            <w:pPr>
              <w:pStyle w:val="08-Tabelageral"/>
            </w:pPr>
            <w:r>
              <w:t>(811)</w:t>
            </w:r>
          </w:p>
        </w:tc>
        <w:tc>
          <w:tcPr>
            <w:tcW w:w="1412" w:type="dxa"/>
            <w:shd w:val="clear" w:color="auto" w:fill="auto"/>
          </w:tcPr>
          <w:p w14:paraId="46524672" w14:textId="77777777" w:rsidR="005A60BF" w:rsidRPr="00EB359C" w:rsidRDefault="005A60BF">
            <w:pPr>
              <w:pStyle w:val="08-Tabelageral"/>
              <w:rPr>
                <w:color w:val="FF0000"/>
              </w:rPr>
            </w:pPr>
            <w:r>
              <w:t>(980)</w:t>
            </w:r>
          </w:p>
        </w:tc>
        <w:tc>
          <w:tcPr>
            <w:tcW w:w="283" w:type="dxa"/>
            <w:shd w:val="clear" w:color="auto" w:fill="auto"/>
            <w:vAlign w:val="center"/>
          </w:tcPr>
          <w:p w14:paraId="5D65680B" w14:textId="77777777" w:rsidR="005A60BF" w:rsidRPr="00EB359C" w:rsidRDefault="005A60BF">
            <w:pPr>
              <w:pStyle w:val="08-Tabelageral"/>
              <w:rPr>
                <w:color w:val="FF0000"/>
              </w:rPr>
            </w:pPr>
          </w:p>
        </w:tc>
        <w:tc>
          <w:tcPr>
            <w:tcW w:w="1417" w:type="dxa"/>
            <w:shd w:val="clear" w:color="auto" w:fill="auto"/>
            <w:vAlign w:val="center"/>
          </w:tcPr>
          <w:p w14:paraId="165545AA" w14:textId="77777777" w:rsidR="005A60BF" w:rsidRPr="00E07AD9" w:rsidRDefault="005A60BF">
            <w:pPr>
              <w:pStyle w:val="08-Tabelageral"/>
            </w:pPr>
            <w:r>
              <w:t>(4.534)</w:t>
            </w:r>
          </w:p>
        </w:tc>
        <w:tc>
          <w:tcPr>
            <w:tcW w:w="1418" w:type="dxa"/>
            <w:shd w:val="clear" w:color="auto" w:fill="auto"/>
            <w:vAlign w:val="center"/>
          </w:tcPr>
          <w:p w14:paraId="605E522A" w14:textId="77777777" w:rsidR="005A60BF" w:rsidRPr="00EB359C" w:rsidRDefault="005A60BF">
            <w:pPr>
              <w:pStyle w:val="08-Tabelageral"/>
              <w:rPr>
                <w:color w:val="FF0000"/>
              </w:rPr>
            </w:pPr>
            <w:r>
              <w:t>(4.467)</w:t>
            </w:r>
          </w:p>
        </w:tc>
      </w:tr>
      <w:tr w:rsidR="005A60BF" w:rsidRPr="00EB359C" w14:paraId="290CCE6F" w14:textId="77777777">
        <w:trPr>
          <w:trHeight w:val="238"/>
          <w:jc w:val="center"/>
        </w:trPr>
        <w:tc>
          <w:tcPr>
            <w:tcW w:w="3094" w:type="dxa"/>
            <w:gridSpan w:val="2"/>
            <w:tcBorders>
              <w:bottom w:val="nil"/>
            </w:tcBorders>
            <w:shd w:val="clear" w:color="auto" w:fill="auto"/>
          </w:tcPr>
          <w:p w14:paraId="43B3BCE6" w14:textId="77777777" w:rsidR="005A60BF" w:rsidRPr="008F095B" w:rsidRDefault="005A60BF">
            <w:pPr>
              <w:pStyle w:val="08-Tabelageral"/>
              <w:jc w:val="left"/>
              <w:rPr>
                <w:rFonts w:cs="Arial"/>
                <w:szCs w:val="14"/>
              </w:rPr>
            </w:pPr>
            <w:r w:rsidRPr="008F095B">
              <w:rPr>
                <w:rFonts w:cs="Arial"/>
                <w:szCs w:val="14"/>
              </w:rPr>
              <w:t>Capacitação</w:t>
            </w:r>
          </w:p>
        </w:tc>
        <w:tc>
          <w:tcPr>
            <w:tcW w:w="604" w:type="dxa"/>
            <w:tcBorders>
              <w:bottom w:val="nil"/>
            </w:tcBorders>
            <w:shd w:val="clear" w:color="auto" w:fill="auto"/>
          </w:tcPr>
          <w:p w14:paraId="6162A8B5" w14:textId="77777777" w:rsidR="005A60BF" w:rsidRPr="00EB359C" w:rsidRDefault="005A60BF">
            <w:pPr>
              <w:pStyle w:val="08-Tabelageral"/>
              <w:jc w:val="left"/>
              <w:rPr>
                <w:rFonts w:cs="Arial"/>
                <w:color w:val="FF0000"/>
                <w:szCs w:val="14"/>
              </w:rPr>
            </w:pPr>
          </w:p>
        </w:tc>
        <w:tc>
          <w:tcPr>
            <w:tcW w:w="1411" w:type="dxa"/>
            <w:tcBorders>
              <w:bottom w:val="nil"/>
            </w:tcBorders>
            <w:shd w:val="clear" w:color="auto" w:fill="auto"/>
          </w:tcPr>
          <w:p w14:paraId="20EF09D6" w14:textId="77777777" w:rsidR="005A60BF" w:rsidRPr="00E07AD9" w:rsidRDefault="005A60BF">
            <w:pPr>
              <w:pStyle w:val="08-Tabelageral"/>
            </w:pPr>
            <w:r>
              <w:t>(69)</w:t>
            </w:r>
          </w:p>
        </w:tc>
        <w:tc>
          <w:tcPr>
            <w:tcW w:w="1412" w:type="dxa"/>
            <w:tcBorders>
              <w:bottom w:val="nil"/>
            </w:tcBorders>
            <w:shd w:val="clear" w:color="auto" w:fill="auto"/>
          </w:tcPr>
          <w:p w14:paraId="0D5927AB" w14:textId="77777777" w:rsidR="005A60BF" w:rsidRPr="00EB359C" w:rsidRDefault="005A60BF">
            <w:pPr>
              <w:pStyle w:val="08-Tabelageral"/>
              <w:rPr>
                <w:color w:val="FF0000"/>
              </w:rPr>
            </w:pPr>
            <w:r>
              <w:t>(144)</w:t>
            </w:r>
          </w:p>
        </w:tc>
        <w:tc>
          <w:tcPr>
            <w:tcW w:w="283" w:type="dxa"/>
            <w:tcBorders>
              <w:bottom w:val="nil"/>
            </w:tcBorders>
            <w:shd w:val="clear" w:color="auto" w:fill="auto"/>
            <w:vAlign w:val="center"/>
          </w:tcPr>
          <w:p w14:paraId="30538531" w14:textId="77777777" w:rsidR="005A60BF" w:rsidRPr="00EB359C" w:rsidRDefault="005A60BF">
            <w:pPr>
              <w:pStyle w:val="08-Tabelageral"/>
              <w:rPr>
                <w:color w:val="FF0000"/>
              </w:rPr>
            </w:pPr>
          </w:p>
        </w:tc>
        <w:tc>
          <w:tcPr>
            <w:tcW w:w="1417" w:type="dxa"/>
            <w:tcBorders>
              <w:bottom w:val="nil"/>
            </w:tcBorders>
            <w:shd w:val="clear" w:color="auto" w:fill="auto"/>
            <w:vAlign w:val="center"/>
          </w:tcPr>
          <w:p w14:paraId="0F2979E0" w14:textId="77777777" w:rsidR="005A60BF" w:rsidRPr="00E07AD9" w:rsidRDefault="005A60BF">
            <w:pPr>
              <w:pStyle w:val="08-Tabelageral"/>
            </w:pPr>
            <w:r>
              <w:t>(607)</w:t>
            </w:r>
          </w:p>
        </w:tc>
        <w:tc>
          <w:tcPr>
            <w:tcW w:w="1418" w:type="dxa"/>
            <w:tcBorders>
              <w:bottom w:val="nil"/>
            </w:tcBorders>
            <w:shd w:val="clear" w:color="auto" w:fill="auto"/>
            <w:vAlign w:val="center"/>
          </w:tcPr>
          <w:p w14:paraId="45354E62" w14:textId="77777777" w:rsidR="005A60BF" w:rsidRPr="00EB359C" w:rsidRDefault="005A60BF">
            <w:pPr>
              <w:pStyle w:val="08-Tabelageral"/>
              <w:rPr>
                <w:color w:val="FF0000"/>
              </w:rPr>
            </w:pPr>
            <w:r>
              <w:t>(828)</w:t>
            </w:r>
          </w:p>
        </w:tc>
      </w:tr>
      <w:tr w:rsidR="005A60BF" w:rsidRPr="00EB359C" w14:paraId="6F606432" w14:textId="77777777">
        <w:trPr>
          <w:trHeight w:val="238"/>
          <w:jc w:val="center"/>
        </w:trPr>
        <w:tc>
          <w:tcPr>
            <w:tcW w:w="3094" w:type="dxa"/>
            <w:gridSpan w:val="2"/>
            <w:tcBorders>
              <w:top w:val="nil"/>
              <w:bottom w:val="single" w:sz="2" w:space="0" w:color="1F3864" w:themeColor="accent1" w:themeShade="80"/>
            </w:tcBorders>
            <w:shd w:val="clear" w:color="auto" w:fill="auto"/>
          </w:tcPr>
          <w:p w14:paraId="6B584114" w14:textId="77777777" w:rsidR="005A60BF" w:rsidRPr="008F095B" w:rsidRDefault="005A60BF">
            <w:pPr>
              <w:keepNext/>
              <w:keepLines/>
              <w:spacing w:before="40" w:after="40" w:line="240" w:lineRule="auto"/>
              <w:rPr>
                <w:rFonts w:ascii="Arial" w:hAnsi="Arial" w:cs="Arial"/>
                <w:b/>
                <w:spacing w:val="-2"/>
                <w:sz w:val="14"/>
                <w:szCs w:val="14"/>
              </w:rPr>
            </w:pPr>
            <w:r w:rsidRPr="008F095B">
              <w:rPr>
                <w:rFonts w:ascii="Arial" w:hAnsi="Arial" w:cs="Arial"/>
                <w:b/>
                <w:spacing w:val="-2"/>
                <w:sz w:val="14"/>
                <w:szCs w:val="14"/>
              </w:rPr>
              <w:t>Total</w:t>
            </w:r>
          </w:p>
        </w:tc>
        <w:tc>
          <w:tcPr>
            <w:tcW w:w="604" w:type="dxa"/>
            <w:tcBorders>
              <w:top w:val="nil"/>
              <w:bottom w:val="single" w:sz="2" w:space="0" w:color="1F3864" w:themeColor="accent1" w:themeShade="80"/>
            </w:tcBorders>
            <w:shd w:val="clear" w:color="auto" w:fill="auto"/>
          </w:tcPr>
          <w:p w14:paraId="33C5846B" w14:textId="77777777" w:rsidR="005A60BF" w:rsidRPr="00EB359C" w:rsidRDefault="005A60BF">
            <w:pPr>
              <w:pStyle w:val="08-Tabelageral"/>
              <w:jc w:val="left"/>
              <w:rPr>
                <w:rFonts w:cs="Arial"/>
                <w:b/>
                <w:color w:val="FF0000"/>
                <w:szCs w:val="14"/>
              </w:rPr>
            </w:pPr>
          </w:p>
        </w:tc>
        <w:tc>
          <w:tcPr>
            <w:tcW w:w="1411" w:type="dxa"/>
            <w:tcBorders>
              <w:top w:val="nil"/>
              <w:bottom w:val="single" w:sz="2" w:space="0" w:color="1F3864" w:themeColor="accent1" w:themeShade="80"/>
            </w:tcBorders>
            <w:shd w:val="clear" w:color="auto" w:fill="auto"/>
          </w:tcPr>
          <w:p w14:paraId="3B75C2EE" w14:textId="77777777" w:rsidR="005A60BF" w:rsidRPr="00E07AD9" w:rsidRDefault="005A60BF">
            <w:pPr>
              <w:pStyle w:val="08-Tabelageral"/>
              <w:rPr>
                <w:b/>
              </w:rPr>
            </w:pPr>
            <w:r>
              <w:rPr>
                <w:b/>
              </w:rPr>
              <w:t>(11.853)</w:t>
            </w:r>
          </w:p>
        </w:tc>
        <w:tc>
          <w:tcPr>
            <w:tcW w:w="1412" w:type="dxa"/>
            <w:tcBorders>
              <w:top w:val="nil"/>
              <w:bottom w:val="single" w:sz="2" w:space="0" w:color="1F3864" w:themeColor="accent1" w:themeShade="80"/>
            </w:tcBorders>
            <w:shd w:val="clear" w:color="auto" w:fill="auto"/>
          </w:tcPr>
          <w:p w14:paraId="2FC3F7EF" w14:textId="77777777" w:rsidR="005A60BF" w:rsidRPr="00EB359C" w:rsidRDefault="005A60BF">
            <w:pPr>
              <w:pStyle w:val="08-Tabelageral"/>
              <w:rPr>
                <w:b/>
                <w:color w:val="FF0000"/>
              </w:rPr>
            </w:pPr>
            <w:r>
              <w:rPr>
                <w:b/>
              </w:rPr>
              <w:t>(13.129)</w:t>
            </w:r>
          </w:p>
        </w:tc>
        <w:tc>
          <w:tcPr>
            <w:tcW w:w="283" w:type="dxa"/>
            <w:tcBorders>
              <w:top w:val="nil"/>
              <w:bottom w:val="single" w:sz="2" w:space="0" w:color="1F3864" w:themeColor="accent1" w:themeShade="80"/>
            </w:tcBorders>
            <w:shd w:val="clear" w:color="auto" w:fill="auto"/>
            <w:vAlign w:val="center"/>
          </w:tcPr>
          <w:p w14:paraId="0C0B4CA4" w14:textId="77777777" w:rsidR="005A60BF" w:rsidRPr="00EB359C" w:rsidRDefault="005A60BF">
            <w:pPr>
              <w:pStyle w:val="08-Tabelageral"/>
              <w:rPr>
                <w:b/>
                <w:color w:val="FF0000"/>
              </w:rPr>
            </w:pPr>
          </w:p>
        </w:tc>
        <w:tc>
          <w:tcPr>
            <w:tcW w:w="1417" w:type="dxa"/>
            <w:tcBorders>
              <w:top w:val="nil"/>
              <w:bottom w:val="single" w:sz="2" w:space="0" w:color="1F3864" w:themeColor="accent1" w:themeShade="80"/>
            </w:tcBorders>
            <w:shd w:val="clear" w:color="auto" w:fill="auto"/>
            <w:vAlign w:val="center"/>
          </w:tcPr>
          <w:p w14:paraId="2887E7A0" w14:textId="77777777" w:rsidR="005A60BF" w:rsidRPr="00E07AD9" w:rsidRDefault="005A60BF">
            <w:pPr>
              <w:pStyle w:val="08-Tabelageral"/>
              <w:rPr>
                <w:b/>
              </w:rPr>
            </w:pPr>
            <w:r>
              <w:rPr>
                <w:b/>
              </w:rPr>
              <w:t>(89.665)</w:t>
            </w:r>
          </w:p>
        </w:tc>
        <w:tc>
          <w:tcPr>
            <w:tcW w:w="1418" w:type="dxa"/>
            <w:tcBorders>
              <w:top w:val="nil"/>
              <w:bottom w:val="single" w:sz="2" w:space="0" w:color="1F3864" w:themeColor="accent1" w:themeShade="80"/>
            </w:tcBorders>
            <w:shd w:val="clear" w:color="auto" w:fill="auto"/>
            <w:vAlign w:val="center"/>
          </w:tcPr>
          <w:p w14:paraId="00CDB9E0" w14:textId="77777777" w:rsidR="005A60BF" w:rsidRPr="00EB359C" w:rsidRDefault="005A60BF">
            <w:pPr>
              <w:pStyle w:val="08-Tabelageral"/>
              <w:rPr>
                <w:b/>
                <w:color w:val="FF0000"/>
              </w:rPr>
            </w:pPr>
            <w:r>
              <w:rPr>
                <w:b/>
              </w:rPr>
              <w:t>(86.122)</w:t>
            </w:r>
          </w:p>
        </w:tc>
      </w:tr>
    </w:tbl>
    <w:p w14:paraId="5FF0B73E" w14:textId="7B87481D" w:rsidR="005A60BF" w:rsidRPr="00922C6D" w:rsidRDefault="005A60BF" w:rsidP="005A60BF">
      <w:pPr>
        <w:pStyle w:val="07-Legenda"/>
        <w:numPr>
          <w:ilvl w:val="0"/>
          <w:numId w:val="3"/>
        </w:numPr>
        <w:ind w:left="284" w:hanging="284"/>
        <w:rPr>
          <w:rFonts w:cs="Arial"/>
          <w:color w:val="000000" w:themeColor="text1"/>
          <w:szCs w:val="14"/>
        </w:rPr>
      </w:pPr>
      <w:r w:rsidRPr="00922C6D">
        <w:rPr>
          <w:rFonts w:cs="Arial"/>
          <w:color w:val="000000" w:themeColor="text1"/>
          <w:szCs w:val="14"/>
        </w:rPr>
        <w:t xml:space="preserve">A BB Seguridade possui um programa de premiação dos funcionários, criado em 2019 e atualizado em 28 de outubro de 2022, ambos com aprovação do Conselho de Administração, que tem por objetivo reconhecer funcionários de cargos não-estatutários da Companhia, com desempenho destacado na Comissão de Desenvolvimento e Carreira. Considerando a redação do § 4º do art. 457 da CLT, alterado pela Lei nº 13.467/2017, o programa é enquadrado como premiação e não há incidência de encargos trabalhistas e previdenciários. A ativação do programa ocorre anualmente e está condicionada ao atingimento da pontuação definida no acordo de trabalho definido pela Companhia. </w:t>
      </w:r>
      <w:r w:rsidR="002F0ADD">
        <w:rPr>
          <w:rFonts w:cs="Arial"/>
          <w:color w:val="000000" w:themeColor="text1"/>
          <w:szCs w:val="14"/>
        </w:rPr>
        <w:t>No programa de 2024,</w:t>
      </w:r>
      <w:r w:rsidRPr="00922C6D">
        <w:rPr>
          <w:rFonts w:cs="Arial"/>
          <w:color w:val="000000" w:themeColor="text1"/>
          <w:szCs w:val="14"/>
        </w:rPr>
        <w:t xml:space="preserve"> </w:t>
      </w:r>
      <w:r w:rsidR="002F0ADD">
        <w:rPr>
          <w:rFonts w:cs="Arial"/>
          <w:color w:val="000000" w:themeColor="text1"/>
          <w:szCs w:val="14"/>
        </w:rPr>
        <w:t>o</w:t>
      </w:r>
      <w:r w:rsidRPr="00922C6D">
        <w:rPr>
          <w:rFonts w:cs="Arial"/>
          <w:color w:val="000000" w:themeColor="text1"/>
          <w:szCs w:val="14"/>
        </w:rPr>
        <w:t xml:space="preserve"> público-alvo é limitado a </w:t>
      </w:r>
      <w:r w:rsidR="007532DD">
        <w:rPr>
          <w:rFonts w:cs="Arial"/>
          <w:color w:val="000000" w:themeColor="text1"/>
          <w:szCs w:val="14"/>
        </w:rPr>
        <w:t>5</w:t>
      </w:r>
      <w:r w:rsidRPr="00922C6D">
        <w:rPr>
          <w:rFonts w:cs="Arial"/>
          <w:color w:val="000000" w:themeColor="text1"/>
          <w:szCs w:val="14"/>
        </w:rPr>
        <w:t xml:space="preserve">0% dos funcionários por cargo, no caso de funções gerenciais ou equivalentes, e por cargo e por diretoria, no caso de funções técnicas. O critério envolve avaliação de competências técnicas e comportamentais, atingimento de metas e estilo de gestão. O </w:t>
      </w:r>
      <w:r w:rsidRPr="001A4574">
        <w:rPr>
          <w:rFonts w:cs="Arial"/>
          <w:szCs w:val="14"/>
        </w:rPr>
        <w:t xml:space="preserve">crédito do prêmio é realizado em espécie, em parcela única, em até 30 dias após a divulgação dos resultados da Comissão de Desenvolvimento e Carreira. No exercício de 2024 </w:t>
      </w:r>
      <w:r w:rsidRPr="001A4574">
        <w:rPr>
          <w:rFonts w:cs="Arial"/>
        </w:rPr>
        <w:t>houve o pagamento no montante de R$ 254,3 mil a título de premiações a funcionário no controlador, no mesmo período de 2023 o pagamento foi no montante de R$ 216,7 mil.</w:t>
      </w:r>
      <w:r w:rsidRPr="001A4574">
        <w:rPr>
          <w:rFonts w:cs="Arial"/>
          <w:szCs w:val="14"/>
        </w:rPr>
        <w:t xml:space="preserve"> </w:t>
      </w:r>
    </w:p>
    <w:p w14:paraId="02697A81" w14:textId="77777777" w:rsidR="001F0256" w:rsidRPr="001F0256" w:rsidRDefault="001F0256" w:rsidP="001F0256"/>
    <w:p w14:paraId="205FB632" w14:textId="77777777" w:rsidR="005C6C41" w:rsidRDefault="005C6C41" w:rsidP="00133829">
      <w:pPr>
        <w:pStyle w:val="02-TtulodeNota"/>
        <w:rPr>
          <w:rFonts w:cs="Arial"/>
          <w:b w:val="0"/>
        </w:rPr>
      </w:pPr>
      <w:bookmarkStart w:id="89" w:name="_Toc189757077"/>
      <w:bookmarkEnd w:id="88"/>
      <w:r w:rsidRPr="00133829">
        <w:t>11 – DESPESAS ADMINISTRATIVAS E COM VENDAS</w:t>
      </w:r>
      <w:bookmarkEnd w:id="89"/>
    </w:p>
    <w:p w14:paraId="6A31F99D" w14:textId="77777777" w:rsidR="00E12DD5" w:rsidRPr="00901BC6" w:rsidRDefault="00E12DD5" w:rsidP="00E12DD5">
      <w:pPr>
        <w:pStyle w:val="06-Rmil"/>
        <w:rPr>
          <w:rFonts w:cs="Arial"/>
          <w:szCs w:val="14"/>
        </w:rPr>
      </w:pPr>
      <w:bookmarkStart w:id="90" w:name="_Hlk75863166"/>
      <w:r w:rsidRPr="00901BC6">
        <w:rPr>
          <w:rFonts w:cs="Arial"/>
          <w:szCs w:val="14"/>
        </w:rPr>
        <w:t>R$ mil</w:t>
      </w:r>
    </w:p>
    <w:bookmarkEnd w:id="90"/>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742"/>
        <w:gridCol w:w="2244"/>
        <w:gridCol w:w="604"/>
        <w:gridCol w:w="1411"/>
        <w:gridCol w:w="1412"/>
        <w:gridCol w:w="283"/>
        <w:gridCol w:w="1417"/>
        <w:gridCol w:w="1526"/>
      </w:tblGrid>
      <w:tr w:rsidR="00E12DD5" w:rsidRPr="004078D0" w14:paraId="1641B1A9" w14:textId="77777777">
        <w:trPr>
          <w:trHeight w:val="238"/>
          <w:jc w:val="center"/>
        </w:trPr>
        <w:tc>
          <w:tcPr>
            <w:tcW w:w="742" w:type="dxa"/>
            <w:tcBorders>
              <w:top w:val="single" w:sz="2" w:space="0" w:color="1F3864" w:themeColor="accent1" w:themeShade="80"/>
              <w:bottom w:val="nil"/>
            </w:tcBorders>
            <w:shd w:val="clear" w:color="auto" w:fill="auto"/>
          </w:tcPr>
          <w:p w14:paraId="1A41ECE1" w14:textId="77777777" w:rsidR="00E12DD5" w:rsidRPr="004078D0" w:rsidRDefault="00E12DD5">
            <w:pPr>
              <w:keepNext/>
              <w:keepLines/>
              <w:spacing w:before="40" w:after="40"/>
              <w:jc w:val="center"/>
              <w:rPr>
                <w:rFonts w:ascii="Arial" w:hAnsi="Arial" w:cs="Arial"/>
                <w:b/>
                <w:bCs/>
                <w:spacing w:val="-2"/>
                <w:sz w:val="14"/>
                <w:szCs w:val="14"/>
              </w:rPr>
            </w:pPr>
          </w:p>
        </w:tc>
        <w:tc>
          <w:tcPr>
            <w:tcW w:w="2848" w:type="dxa"/>
            <w:gridSpan w:val="2"/>
            <w:tcBorders>
              <w:top w:val="single" w:sz="2" w:space="0" w:color="1F3864" w:themeColor="accent1" w:themeShade="80"/>
              <w:bottom w:val="nil"/>
            </w:tcBorders>
            <w:shd w:val="clear" w:color="auto" w:fill="auto"/>
          </w:tcPr>
          <w:p w14:paraId="6E293C57" w14:textId="77777777" w:rsidR="00E12DD5" w:rsidRPr="004078D0" w:rsidRDefault="00E12DD5">
            <w:pPr>
              <w:keepNext/>
              <w:keepLines/>
              <w:spacing w:before="40" w:after="40"/>
              <w:jc w:val="center"/>
              <w:rPr>
                <w:rFonts w:ascii="Arial" w:hAnsi="Arial" w:cs="Arial"/>
                <w:b/>
                <w:spacing w:val="-2"/>
                <w:sz w:val="14"/>
                <w:szCs w:val="14"/>
              </w:rPr>
            </w:pPr>
          </w:p>
        </w:tc>
        <w:tc>
          <w:tcPr>
            <w:tcW w:w="2823" w:type="dxa"/>
            <w:gridSpan w:val="2"/>
            <w:tcBorders>
              <w:top w:val="single" w:sz="2" w:space="0" w:color="1F3864" w:themeColor="accent1" w:themeShade="80"/>
              <w:bottom w:val="single" w:sz="2" w:space="0" w:color="1F3864" w:themeColor="accent1" w:themeShade="80"/>
            </w:tcBorders>
            <w:shd w:val="clear" w:color="auto" w:fill="auto"/>
            <w:vAlign w:val="center"/>
          </w:tcPr>
          <w:p w14:paraId="3EFCD62F" w14:textId="77777777" w:rsidR="00E12DD5" w:rsidRPr="004078D0" w:rsidRDefault="00E12DD5">
            <w:pPr>
              <w:keepNext/>
              <w:keepLines/>
              <w:spacing w:before="40" w:after="40"/>
              <w:jc w:val="center"/>
              <w:rPr>
                <w:rFonts w:ascii="Arial" w:hAnsi="Arial" w:cs="Arial"/>
                <w:b/>
                <w:spacing w:val="-2"/>
                <w:sz w:val="14"/>
                <w:szCs w:val="14"/>
              </w:rPr>
            </w:pPr>
            <w:r w:rsidRPr="004078D0">
              <w:rPr>
                <w:rFonts w:ascii="Arial" w:hAnsi="Arial" w:cs="Arial"/>
                <w:b/>
                <w:spacing w:val="-2"/>
                <w:sz w:val="14"/>
                <w:szCs w:val="14"/>
              </w:rPr>
              <w:t>Controlador</w:t>
            </w:r>
          </w:p>
        </w:tc>
        <w:tc>
          <w:tcPr>
            <w:tcW w:w="283" w:type="dxa"/>
            <w:tcBorders>
              <w:top w:val="single" w:sz="2" w:space="0" w:color="1F3864" w:themeColor="accent1" w:themeShade="80"/>
              <w:bottom w:val="nil"/>
            </w:tcBorders>
            <w:shd w:val="clear" w:color="auto" w:fill="auto"/>
            <w:vAlign w:val="center"/>
          </w:tcPr>
          <w:p w14:paraId="04B1973A" w14:textId="77777777" w:rsidR="00E12DD5" w:rsidRPr="004078D0" w:rsidRDefault="00E12DD5">
            <w:pPr>
              <w:keepNext/>
              <w:keepLines/>
              <w:spacing w:before="40" w:after="40"/>
              <w:jc w:val="center"/>
              <w:rPr>
                <w:rFonts w:ascii="Arial" w:hAnsi="Arial" w:cs="Arial"/>
                <w:b/>
                <w:bCs/>
                <w:spacing w:val="-2"/>
                <w:sz w:val="14"/>
                <w:szCs w:val="14"/>
              </w:rPr>
            </w:pPr>
          </w:p>
        </w:tc>
        <w:tc>
          <w:tcPr>
            <w:tcW w:w="2943" w:type="dxa"/>
            <w:gridSpan w:val="2"/>
            <w:tcBorders>
              <w:top w:val="single" w:sz="2" w:space="0" w:color="1F3864" w:themeColor="accent1" w:themeShade="80"/>
              <w:bottom w:val="single" w:sz="2" w:space="0" w:color="1F3864" w:themeColor="accent1" w:themeShade="80"/>
            </w:tcBorders>
            <w:shd w:val="clear" w:color="auto" w:fill="auto"/>
            <w:vAlign w:val="center"/>
          </w:tcPr>
          <w:p w14:paraId="2C0350DB" w14:textId="77777777" w:rsidR="00E12DD5" w:rsidRPr="004078D0" w:rsidRDefault="00E12DD5">
            <w:pPr>
              <w:keepNext/>
              <w:keepLines/>
              <w:spacing w:before="40" w:after="40"/>
              <w:jc w:val="center"/>
              <w:rPr>
                <w:rFonts w:ascii="Arial" w:hAnsi="Arial" w:cs="Arial"/>
                <w:b/>
                <w:spacing w:val="-2"/>
                <w:sz w:val="14"/>
                <w:szCs w:val="14"/>
              </w:rPr>
            </w:pPr>
            <w:r w:rsidRPr="004078D0">
              <w:rPr>
                <w:rFonts w:ascii="Arial" w:hAnsi="Arial" w:cs="Arial"/>
                <w:b/>
                <w:spacing w:val="-2"/>
                <w:sz w:val="14"/>
                <w:szCs w:val="14"/>
              </w:rPr>
              <w:t>Consolidado</w:t>
            </w:r>
          </w:p>
        </w:tc>
      </w:tr>
      <w:tr w:rsidR="00E12DD5" w:rsidRPr="004078D0" w14:paraId="4D2F40C3" w14:textId="77777777">
        <w:trPr>
          <w:trHeight w:val="238"/>
          <w:jc w:val="center"/>
        </w:trPr>
        <w:tc>
          <w:tcPr>
            <w:tcW w:w="2986" w:type="dxa"/>
            <w:gridSpan w:val="2"/>
            <w:tcBorders>
              <w:top w:val="nil"/>
              <w:bottom w:val="single" w:sz="2" w:space="0" w:color="1F3864" w:themeColor="accent1" w:themeShade="80"/>
            </w:tcBorders>
            <w:shd w:val="clear" w:color="auto" w:fill="auto"/>
          </w:tcPr>
          <w:p w14:paraId="71495A89" w14:textId="77777777" w:rsidR="00E12DD5" w:rsidRPr="004078D0" w:rsidRDefault="00E12DD5">
            <w:pPr>
              <w:keepNext/>
              <w:keepLines/>
              <w:spacing w:before="40" w:after="40"/>
              <w:rPr>
                <w:rFonts w:ascii="Arial" w:hAnsi="Arial" w:cs="Arial"/>
                <w:b/>
                <w:spacing w:val="-2"/>
                <w:sz w:val="14"/>
                <w:szCs w:val="14"/>
              </w:rPr>
            </w:pPr>
          </w:p>
        </w:tc>
        <w:tc>
          <w:tcPr>
            <w:tcW w:w="604" w:type="dxa"/>
            <w:tcBorders>
              <w:top w:val="nil"/>
              <w:bottom w:val="single" w:sz="2" w:space="0" w:color="1F3864" w:themeColor="accent1" w:themeShade="80"/>
            </w:tcBorders>
            <w:shd w:val="clear" w:color="auto" w:fill="auto"/>
          </w:tcPr>
          <w:p w14:paraId="2623382D" w14:textId="77777777" w:rsidR="00E12DD5" w:rsidRPr="004078D0" w:rsidRDefault="00E12DD5">
            <w:pPr>
              <w:keepNext/>
              <w:keepLines/>
              <w:spacing w:before="40" w:after="40"/>
              <w:rPr>
                <w:rFonts w:ascii="Arial" w:hAnsi="Arial" w:cs="Arial"/>
                <w:b/>
                <w:spacing w:val="-2"/>
                <w:sz w:val="14"/>
                <w:szCs w:val="14"/>
              </w:rPr>
            </w:pPr>
          </w:p>
        </w:tc>
        <w:tc>
          <w:tcPr>
            <w:tcW w:w="1411" w:type="dxa"/>
            <w:tcBorders>
              <w:top w:val="single" w:sz="2" w:space="0" w:color="1F3864" w:themeColor="accent1" w:themeShade="80"/>
              <w:bottom w:val="single" w:sz="2" w:space="0" w:color="1F3864" w:themeColor="accent1" w:themeShade="80"/>
            </w:tcBorders>
            <w:shd w:val="clear" w:color="auto" w:fill="auto"/>
            <w:vAlign w:val="center"/>
          </w:tcPr>
          <w:p w14:paraId="302EDA4F" w14:textId="77777777" w:rsidR="00E12DD5" w:rsidRPr="004078D0" w:rsidRDefault="00E12DD5">
            <w:pPr>
              <w:keepNext/>
              <w:keepLines/>
              <w:spacing w:before="40" w:after="40"/>
              <w:jc w:val="right"/>
              <w:rPr>
                <w:rFonts w:ascii="Arial" w:hAnsi="Arial" w:cs="Arial"/>
                <w:b/>
                <w:spacing w:val="-2"/>
                <w:sz w:val="14"/>
                <w:szCs w:val="18"/>
              </w:rPr>
            </w:pPr>
            <w:r>
              <w:rPr>
                <w:rFonts w:ascii="Arial" w:hAnsi="Arial" w:cs="Arial"/>
                <w:b/>
                <w:spacing w:val="-2"/>
                <w:sz w:val="14"/>
                <w:szCs w:val="14"/>
              </w:rPr>
              <w:t>Exercício 2024</w:t>
            </w:r>
          </w:p>
        </w:tc>
        <w:tc>
          <w:tcPr>
            <w:tcW w:w="1412" w:type="dxa"/>
            <w:tcBorders>
              <w:top w:val="single" w:sz="2" w:space="0" w:color="1F3864" w:themeColor="accent1" w:themeShade="80"/>
              <w:bottom w:val="single" w:sz="2" w:space="0" w:color="1F3864" w:themeColor="accent1" w:themeShade="80"/>
            </w:tcBorders>
            <w:shd w:val="clear" w:color="auto" w:fill="auto"/>
            <w:vAlign w:val="center"/>
          </w:tcPr>
          <w:p w14:paraId="1079D8E0" w14:textId="77777777" w:rsidR="00E12DD5" w:rsidRPr="004078D0" w:rsidRDefault="00E12DD5">
            <w:pPr>
              <w:keepNext/>
              <w:keepLines/>
              <w:spacing w:before="40" w:after="40"/>
              <w:jc w:val="right"/>
              <w:rPr>
                <w:rFonts w:ascii="Arial" w:hAnsi="Arial" w:cs="Arial"/>
                <w:b/>
                <w:spacing w:val="-2"/>
                <w:sz w:val="14"/>
                <w:szCs w:val="18"/>
              </w:rPr>
            </w:pPr>
            <w:r>
              <w:rPr>
                <w:rFonts w:ascii="Arial" w:hAnsi="Arial" w:cs="Arial"/>
                <w:b/>
                <w:spacing w:val="-2"/>
                <w:sz w:val="14"/>
                <w:szCs w:val="14"/>
              </w:rPr>
              <w:t>Exercício 2023</w:t>
            </w:r>
          </w:p>
        </w:tc>
        <w:tc>
          <w:tcPr>
            <w:tcW w:w="283" w:type="dxa"/>
            <w:tcBorders>
              <w:top w:val="nil"/>
              <w:bottom w:val="single" w:sz="2" w:space="0" w:color="1F3864" w:themeColor="accent1" w:themeShade="80"/>
            </w:tcBorders>
            <w:shd w:val="clear" w:color="auto" w:fill="auto"/>
            <w:vAlign w:val="center"/>
          </w:tcPr>
          <w:p w14:paraId="2D81CA7D" w14:textId="77777777" w:rsidR="00E12DD5" w:rsidRPr="004078D0" w:rsidRDefault="00E12DD5">
            <w:pPr>
              <w:keepNext/>
              <w:keepLines/>
              <w:spacing w:before="40" w:after="40"/>
              <w:jc w:val="right"/>
              <w:rPr>
                <w:rFonts w:ascii="Arial" w:hAnsi="Arial" w:cs="Arial"/>
                <w:b/>
                <w:spacing w:val="-2"/>
                <w:sz w:val="14"/>
                <w:szCs w:val="18"/>
              </w:rPr>
            </w:pPr>
          </w:p>
        </w:tc>
        <w:tc>
          <w:tcPr>
            <w:tcW w:w="1417" w:type="dxa"/>
            <w:tcBorders>
              <w:top w:val="single" w:sz="2" w:space="0" w:color="1F3864" w:themeColor="accent1" w:themeShade="80"/>
              <w:bottom w:val="single" w:sz="2" w:space="0" w:color="1F3864" w:themeColor="accent1" w:themeShade="80"/>
            </w:tcBorders>
            <w:shd w:val="clear" w:color="auto" w:fill="auto"/>
            <w:vAlign w:val="center"/>
          </w:tcPr>
          <w:p w14:paraId="6741F154" w14:textId="77777777" w:rsidR="00E12DD5" w:rsidRPr="004078D0" w:rsidRDefault="00E12DD5">
            <w:pPr>
              <w:keepNext/>
              <w:keepLines/>
              <w:spacing w:before="40" w:after="40"/>
              <w:jc w:val="right"/>
              <w:rPr>
                <w:rFonts w:ascii="Arial" w:hAnsi="Arial" w:cs="Arial"/>
                <w:b/>
                <w:spacing w:val="-2"/>
                <w:sz w:val="14"/>
                <w:szCs w:val="18"/>
              </w:rPr>
            </w:pPr>
            <w:r>
              <w:rPr>
                <w:rFonts w:ascii="Arial" w:hAnsi="Arial" w:cs="Arial"/>
                <w:b/>
                <w:spacing w:val="-2"/>
                <w:sz w:val="14"/>
                <w:szCs w:val="14"/>
              </w:rPr>
              <w:t>Exercício 2024</w:t>
            </w:r>
          </w:p>
        </w:tc>
        <w:tc>
          <w:tcPr>
            <w:tcW w:w="1526" w:type="dxa"/>
            <w:tcBorders>
              <w:top w:val="single" w:sz="2" w:space="0" w:color="1F3864" w:themeColor="accent1" w:themeShade="80"/>
              <w:bottom w:val="single" w:sz="2" w:space="0" w:color="1F3864" w:themeColor="accent1" w:themeShade="80"/>
            </w:tcBorders>
            <w:shd w:val="clear" w:color="auto" w:fill="auto"/>
            <w:vAlign w:val="center"/>
          </w:tcPr>
          <w:p w14:paraId="67D40E23" w14:textId="77777777" w:rsidR="00E12DD5" w:rsidRPr="004078D0" w:rsidRDefault="00E12DD5">
            <w:pPr>
              <w:keepNext/>
              <w:keepLines/>
              <w:spacing w:before="40" w:after="40"/>
              <w:jc w:val="right"/>
              <w:rPr>
                <w:rFonts w:ascii="Arial" w:hAnsi="Arial" w:cs="Arial"/>
                <w:b/>
                <w:spacing w:val="-2"/>
                <w:sz w:val="14"/>
                <w:szCs w:val="18"/>
              </w:rPr>
            </w:pPr>
            <w:r>
              <w:rPr>
                <w:rFonts w:ascii="Arial" w:hAnsi="Arial" w:cs="Arial"/>
                <w:b/>
                <w:spacing w:val="-2"/>
                <w:sz w:val="14"/>
                <w:szCs w:val="14"/>
              </w:rPr>
              <w:t>Exercício 2023</w:t>
            </w:r>
          </w:p>
        </w:tc>
      </w:tr>
      <w:tr w:rsidR="00E12DD5" w:rsidRPr="004078D0" w14:paraId="502BD3F8" w14:textId="77777777">
        <w:trPr>
          <w:trHeight w:val="238"/>
          <w:jc w:val="center"/>
        </w:trPr>
        <w:tc>
          <w:tcPr>
            <w:tcW w:w="2986" w:type="dxa"/>
            <w:gridSpan w:val="2"/>
            <w:tcBorders>
              <w:top w:val="nil"/>
              <w:left w:val="nil"/>
              <w:bottom w:val="nil"/>
              <w:right w:val="nil"/>
            </w:tcBorders>
            <w:shd w:val="clear" w:color="auto" w:fill="auto"/>
            <w:vAlign w:val="center"/>
          </w:tcPr>
          <w:p w14:paraId="28D44FD5" w14:textId="77777777" w:rsidR="00E12DD5" w:rsidRPr="006468C2" w:rsidRDefault="00E12DD5">
            <w:pPr>
              <w:pStyle w:val="08-Tabelageral"/>
              <w:jc w:val="left"/>
            </w:pPr>
            <w:r>
              <w:rPr>
                <w:rFonts w:cs="Arial"/>
                <w:color w:val="000000"/>
                <w:szCs w:val="14"/>
              </w:rPr>
              <w:t xml:space="preserve">Doação e Patrocínio </w:t>
            </w:r>
            <w:r w:rsidRPr="00074B3C">
              <w:rPr>
                <w:rFonts w:cs="Arial"/>
                <w:color w:val="000000"/>
                <w:szCs w:val="14"/>
                <w:vertAlign w:val="superscript"/>
              </w:rPr>
              <w:t>(</w:t>
            </w:r>
            <w:r>
              <w:rPr>
                <w:rFonts w:cs="Arial"/>
                <w:color w:val="000000"/>
                <w:szCs w:val="14"/>
                <w:vertAlign w:val="superscript"/>
              </w:rPr>
              <w:t>1</w:t>
            </w:r>
            <w:r w:rsidRPr="00074B3C">
              <w:rPr>
                <w:rFonts w:cs="Arial"/>
                <w:color w:val="000000"/>
                <w:szCs w:val="14"/>
                <w:vertAlign w:val="superscript"/>
              </w:rPr>
              <w:t>)</w:t>
            </w:r>
          </w:p>
        </w:tc>
        <w:tc>
          <w:tcPr>
            <w:tcW w:w="604" w:type="dxa"/>
            <w:tcBorders>
              <w:top w:val="nil"/>
            </w:tcBorders>
            <w:shd w:val="clear" w:color="auto" w:fill="auto"/>
            <w:vAlign w:val="center"/>
          </w:tcPr>
          <w:p w14:paraId="740773CB" w14:textId="77777777" w:rsidR="00E12DD5" w:rsidRPr="006468C2" w:rsidRDefault="00E12DD5">
            <w:pPr>
              <w:pStyle w:val="08-Tabelageral"/>
              <w:rPr>
                <w:rFonts w:cs="Arial"/>
                <w:szCs w:val="14"/>
              </w:rPr>
            </w:pPr>
          </w:p>
        </w:tc>
        <w:tc>
          <w:tcPr>
            <w:tcW w:w="1411" w:type="dxa"/>
            <w:tcBorders>
              <w:top w:val="nil"/>
            </w:tcBorders>
            <w:shd w:val="clear" w:color="auto" w:fill="auto"/>
            <w:vAlign w:val="center"/>
          </w:tcPr>
          <w:p w14:paraId="5CF235A5" w14:textId="77777777" w:rsidR="00E12DD5" w:rsidRPr="006468C2" w:rsidRDefault="00E12DD5">
            <w:pPr>
              <w:pStyle w:val="08-Tabelageral"/>
              <w:rPr>
                <w:rFonts w:cs="Arial"/>
                <w:szCs w:val="14"/>
              </w:rPr>
            </w:pPr>
            <w:r>
              <w:rPr>
                <w:rFonts w:cs="Arial"/>
                <w:szCs w:val="14"/>
              </w:rPr>
              <w:t>--</w:t>
            </w:r>
          </w:p>
        </w:tc>
        <w:tc>
          <w:tcPr>
            <w:tcW w:w="1412" w:type="dxa"/>
            <w:tcBorders>
              <w:top w:val="nil"/>
            </w:tcBorders>
            <w:shd w:val="clear" w:color="auto" w:fill="auto"/>
            <w:vAlign w:val="center"/>
          </w:tcPr>
          <w:p w14:paraId="5300E15E" w14:textId="77777777" w:rsidR="00E12DD5" w:rsidRPr="006468C2" w:rsidRDefault="00E12DD5">
            <w:pPr>
              <w:pStyle w:val="08-Tabelageral"/>
            </w:pPr>
            <w:r>
              <w:t>--</w:t>
            </w:r>
          </w:p>
        </w:tc>
        <w:tc>
          <w:tcPr>
            <w:tcW w:w="283" w:type="dxa"/>
            <w:tcBorders>
              <w:top w:val="nil"/>
            </w:tcBorders>
            <w:shd w:val="clear" w:color="auto" w:fill="auto"/>
            <w:vAlign w:val="center"/>
          </w:tcPr>
          <w:p w14:paraId="63D2B899" w14:textId="77777777" w:rsidR="00E12DD5" w:rsidRPr="006468C2" w:rsidRDefault="00E12DD5">
            <w:pPr>
              <w:pStyle w:val="08-Tabelageral"/>
              <w:rPr>
                <w:rFonts w:cs="Arial"/>
                <w:szCs w:val="14"/>
              </w:rPr>
            </w:pPr>
          </w:p>
        </w:tc>
        <w:tc>
          <w:tcPr>
            <w:tcW w:w="1417" w:type="dxa"/>
            <w:tcBorders>
              <w:top w:val="nil"/>
            </w:tcBorders>
            <w:shd w:val="clear" w:color="auto" w:fill="auto"/>
            <w:vAlign w:val="center"/>
          </w:tcPr>
          <w:p w14:paraId="2600C38A" w14:textId="77777777" w:rsidR="00E12DD5" w:rsidRPr="00BD28AF" w:rsidRDefault="00E12DD5">
            <w:pPr>
              <w:pStyle w:val="08-Tabelageral"/>
              <w:rPr>
                <w:rFonts w:cs="Arial"/>
                <w:szCs w:val="14"/>
              </w:rPr>
            </w:pPr>
            <w:r w:rsidRPr="00BD28AF">
              <w:rPr>
                <w:rFonts w:cs="Arial"/>
                <w:szCs w:val="14"/>
              </w:rPr>
              <w:t>(39.900)</w:t>
            </w:r>
          </w:p>
        </w:tc>
        <w:tc>
          <w:tcPr>
            <w:tcW w:w="1526" w:type="dxa"/>
            <w:tcBorders>
              <w:top w:val="nil"/>
            </w:tcBorders>
            <w:shd w:val="clear" w:color="auto" w:fill="auto"/>
            <w:vAlign w:val="center"/>
          </w:tcPr>
          <w:p w14:paraId="065A4593" w14:textId="77777777" w:rsidR="00E12DD5" w:rsidRPr="004078D0" w:rsidRDefault="00E12DD5">
            <w:pPr>
              <w:pStyle w:val="08-Tabelageral"/>
              <w:rPr>
                <w:rFonts w:cs="Arial"/>
                <w:szCs w:val="14"/>
              </w:rPr>
            </w:pPr>
            <w:r>
              <w:t>(29.571)</w:t>
            </w:r>
          </w:p>
        </w:tc>
      </w:tr>
      <w:tr w:rsidR="00E12DD5" w:rsidRPr="004078D0" w14:paraId="3508A6F7" w14:textId="77777777">
        <w:trPr>
          <w:trHeight w:val="238"/>
          <w:jc w:val="center"/>
        </w:trPr>
        <w:tc>
          <w:tcPr>
            <w:tcW w:w="2986" w:type="dxa"/>
            <w:gridSpan w:val="2"/>
            <w:tcBorders>
              <w:top w:val="nil"/>
              <w:left w:val="nil"/>
              <w:bottom w:val="nil"/>
              <w:right w:val="nil"/>
            </w:tcBorders>
            <w:shd w:val="clear" w:color="auto" w:fill="auto"/>
            <w:vAlign w:val="center"/>
          </w:tcPr>
          <w:p w14:paraId="3C6FBA72" w14:textId="77777777" w:rsidR="00E12DD5" w:rsidRPr="00C53E95" w:rsidRDefault="00E12DD5">
            <w:pPr>
              <w:pStyle w:val="08-Tabelageral"/>
              <w:jc w:val="left"/>
              <w:rPr>
                <w:vertAlign w:val="superscript"/>
              </w:rPr>
            </w:pPr>
            <w:r>
              <w:rPr>
                <w:rFonts w:cs="Arial"/>
                <w:color w:val="000000"/>
                <w:szCs w:val="14"/>
              </w:rPr>
              <w:t xml:space="preserve">Despesas com vendas </w:t>
            </w:r>
            <w:r w:rsidRPr="00074B3C">
              <w:rPr>
                <w:rFonts w:cs="Arial"/>
                <w:color w:val="000000"/>
                <w:szCs w:val="14"/>
                <w:vertAlign w:val="superscript"/>
              </w:rPr>
              <w:t>(</w:t>
            </w:r>
            <w:r>
              <w:rPr>
                <w:rFonts w:cs="Arial"/>
                <w:color w:val="000000"/>
                <w:szCs w:val="14"/>
                <w:vertAlign w:val="superscript"/>
              </w:rPr>
              <w:t>2</w:t>
            </w:r>
            <w:r w:rsidRPr="00074B3C">
              <w:rPr>
                <w:rFonts w:cs="Arial"/>
                <w:color w:val="000000"/>
                <w:szCs w:val="14"/>
                <w:vertAlign w:val="superscript"/>
              </w:rPr>
              <w:t>)</w:t>
            </w:r>
          </w:p>
        </w:tc>
        <w:tc>
          <w:tcPr>
            <w:tcW w:w="604" w:type="dxa"/>
            <w:shd w:val="clear" w:color="auto" w:fill="auto"/>
            <w:vAlign w:val="center"/>
          </w:tcPr>
          <w:p w14:paraId="255069BA" w14:textId="77777777" w:rsidR="00E12DD5" w:rsidRPr="004078D0" w:rsidRDefault="00E12DD5">
            <w:pPr>
              <w:pStyle w:val="08-Tabelageral"/>
              <w:rPr>
                <w:rFonts w:cs="Arial"/>
                <w:szCs w:val="14"/>
              </w:rPr>
            </w:pPr>
          </w:p>
        </w:tc>
        <w:tc>
          <w:tcPr>
            <w:tcW w:w="1411" w:type="dxa"/>
            <w:shd w:val="clear" w:color="auto" w:fill="auto"/>
            <w:vAlign w:val="center"/>
          </w:tcPr>
          <w:p w14:paraId="18F4D4E5" w14:textId="77777777" w:rsidR="00E12DD5" w:rsidRPr="004078D0" w:rsidRDefault="00E12DD5">
            <w:pPr>
              <w:pStyle w:val="08-Tabelageral"/>
              <w:rPr>
                <w:rFonts w:cs="Arial"/>
                <w:szCs w:val="14"/>
              </w:rPr>
            </w:pPr>
            <w:r>
              <w:rPr>
                <w:rFonts w:cs="Arial"/>
                <w:szCs w:val="14"/>
              </w:rPr>
              <w:t>--</w:t>
            </w:r>
          </w:p>
        </w:tc>
        <w:tc>
          <w:tcPr>
            <w:tcW w:w="1412" w:type="dxa"/>
            <w:shd w:val="clear" w:color="auto" w:fill="auto"/>
            <w:vAlign w:val="center"/>
          </w:tcPr>
          <w:p w14:paraId="0398243F" w14:textId="77777777" w:rsidR="00E12DD5" w:rsidRPr="004078D0" w:rsidRDefault="00E12DD5">
            <w:pPr>
              <w:pStyle w:val="08-Tabelageral"/>
            </w:pPr>
            <w:r>
              <w:t>--</w:t>
            </w:r>
          </w:p>
        </w:tc>
        <w:tc>
          <w:tcPr>
            <w:tcW w:w="283" w:type="dxa"/>
            <w:shd w:val="clear" w:color="auto" w:fill="auto"/>
            <w:vAlign w:val="center"/>
          </w:tcPr>
          <w:p w14:paraId="7EB32A33" w14:textId="77777777" w:rsidR="00E12DD5" w:rsidRPr="004078D0" w:rsidRDefault="00E12DD5">
            <w:pPr>
              <w:pStyle w:val="08-Tabelageral"/>
              <w:rPr>
                <w:rFonts w:cs="Arial"/>
                <w:szCs w:val="14"/>
              </w:rPr>
            </w:pPr>
          </w:p>
        </w:tc>
        <w:tc>
          <w:tcPr>
            <w:tcW w:w="1417" w:type="dxa"/>
            <w:shd w:val="clear" w:color="auto" w:fill="auto"/>
            <w:vAlign w:val="center"/>
          </w:tcPr>
          <w:p w14:paraId="3A66D1E6" w14:textId="77777777" w:rsidR="00E12DD5" w:rsidRPr="00BD28AF" w:rsidRDefault="00E12DD5">
            <w:pPr>
              <w:pStyle w:val="08-Tabelageral"/>
              <w:tabs>
                <w:tab w:val="left" w:pos="1080"/>
              </w:tabs>
              <w:rPr>
                <w:rFonts w:cs="Arial"/>
                <w:szCs w:val="14"/>
              </w:rPr>
            </w:pPr>
            <w:r w:rsidRPr="00BD28AF">
              <w:rPr>
                <w:rFonts w:cs="Arial"/>
                <w:szCs w:val="14"/>
              </w:rPr>
              <w:t>(29.757)</w:t>
            </w:r>
          </w:p>
        </w:tc>
        <w:tc>
          <w:tcPr>
            <w:tcW w:w="1526" w:type="dxa"/>
            <w:shd w:val="clear" w:color="auto" w:fill="auto"/>
            <w:vAlign w:val="center"/>
          </w:tcPr>
          <w:p w14:paraId="158F49A3" w14:textId="77777777" w:rsidR="00E12DD5" w:rsidRPr="004078D0" w:rsidRDefault="00E12DD5">
            <w:pPr>
              <w:pStyle w:val="08-Tabelageral"/>
              <w:rPr>
                <w:rFonts w:cs="Arial"/>
                <w:szCs w:val="14"/>
              </w:rPr>
            </w:pPr>
            <w:r>
              <w:t>(22.410)</w:t>
            </w:r>
          </w:p>
        </w:tc>
      </w:tr>
      <w:tr w:rsidR="00E12DD5" w:rsidRPr="004078D0" w14:paraId="2A42FD32" w14:textId="77777777">
        <w:trPr>
          <w:trHeight w:val="238"/>
          <w:jc w:val="center"/>
        </w:trPr>
        <w:tc>
          <w:tcPr>
            <w:tcW w:w="2986" w:type="dxa"/>
            <w:gridSpan w:val="2"/>
            <w:tcBorders>
              <w:top w:val="nil"/>
              <w:left w:val="nil"/>
              <w:bottom w:val="nil"/>
              <w:right w:val="nil"/>
            </w:tcBorders>
            <w:shd w:val="clear" w:color="auto" w:fill="auto"/>
            <w:vAlign w:val="center"/>
          </w:tcPr>
          <w:p w14:paraId="27FA26C7" w14:textId="77777777" w:rsidR="00E12DD5" w:rsidRPr="004078D0" w:rsidRDefault="00E12DD5">
            <w:pPr>
              <w:pStyle w:val="08-Tabelageral"/>
              <w:jc w:val="left"/>
            </w:pPr>
            <w:r>
              <w:rPr>
                <w:rFonts w:cs="Arial"/>
                <w:color w:val="000000"/>
                <w:szCs w:val="14"/>
              </w:rPr>
              <w:t>Processamento de dados</w:t>
            </w:r>
          </w:p>
        </w:tc>
        <w:tc>
          <w:tcPr>
            <w:tcW w:w="604" w:type="dxa"/>
            <w:shd w:val="clear" w:color="auto" w:fill="auto"/>
            <w:vAlign w:val="center"/>
          </w:tcPr>
          <w:p w14:paraId="42AE59FD" w14:textId="77777777" w:rsidR="00E12DD5" w:rsidRPr="004078D0" w:rsidRDefault="00E12DD5">
            <w:pPr>
              <w:pStyle w:val="08-Tabelageral"/>
              <w:rPr>
                <w:rFonts w:cs="Arial"/>
                <w:szCs w:val="14"/>
              </w:rPr>
            </w:pPr>
          </w:p>
        </w:tc>
        <w:tc>
          <w:tcPr>
            <w:tcW w:w="1411" w:type="dxa"/>
            <w:shd w:val="clear" w:color="auto" w:fill="auto"/>
            <w:vAlign w:val="center"/>
          </w:tcPr>
          <w:p w14:paraId="35BF1381" w14:textId="77777777" w:rsidR="00E12DD5" w:rsidRPr="00217CF4" w:rsidRDefault="00E12DD5">
            <w:pPr>
              <w:pStyle w:val="08-Tabelageral"/>
              <w:rPr>
                <w:rFonts w:cs="Arial"/>
                <w:szCs w:val="14"/>
              </w:rPr>
            </w:pPr>
            <w:r>
              <w:rPr>
                <w:rFonts w:cs="Arial"/>
                <w:szCs w:val="14"/>
              </w:rPr>
              <w:t>(647)</w:t>
            </w:r>
          </w:p>
        </w:tc>
        <w:tc>
          <w:tcPr>
            <w:tcW w:w="1412" w:type="dxa"/>
            <w:shd w:val="clear" w:color="auto" w:fill="auto"/>
            <w:vAlign w:val="center"/>
          </w:tcPr>
          <w:p w14:paraId="7E5C1879" w14:textId="77777777" w:rsidR="00E12DD5" w:rsidRPr="004078D0" w:rsidRDefault="00E12DD5">
            <w:pPr>
              <w:pStyle w:val="08-Tabelageral"/>
            </w:pPr>
            <w:r>
              <w:t>(693)</w:t>
            </w:r>
          </w:p>
        </w:tc>
        <w:tc>
          <w:tcPr>
            <w:tcW w:w="283" w:type="dxa"/>
            <w:shd w:val="clear" w:color="auto" w:fill="auto"/>
            <w:vAlign w:val="center"/>
          </w:tcPr>
          <w:p w14:paraId="2E23C747" w14:textId="77777777" w:rsidR="00E12DD5" w:rsidRPr="004078D0" w:rsidRDefault="00E12DD5">
            <w:pPr>
              <w:pStyle w:val="08-Tabelageral"/>
              <w:rPr>
                <w:rFonts w:cs="Arial"/>
                <w:szCs w:val="14"/>
              </w:rPr>
            </w:pPr>
          </w:p>
        </w:tc>
        <w:tc>
          <w:tcPr>
            <w:tcW w:w="1417" w:type="dxa"/>
            <w:shd w:val="clear" w:color="auto" w:fill="auto"/>
            <w:vAlign w:val="center"/>
          </w:tcPr>
          <w:p w14:paraId="2DA0C93C" w14:textId="77777777" w:rsidR="00E12DD5" w:rsidRPr="00BD28AF" w:rsidRDefault="00E12DD5">
            <w:pPr>
              <w:pStyle w:val="08-Tabelageral"/>
              <w:rPr>
                <w:rFonts w:cs="Arial"/>
                <w:szCs w:val="14"/>
              </w:rPr>
            </w:pPr>
            <w:r w:rsidRPr="00BD28AF">
              <w:rPr>
                <w:rFonts w:cs="Arial"/>
                <w:szCs w:val="14"/>
              </w:rPr>
              <w:t>(18.067)</w:t>
            </w:r>
          </w:p>
        </w:tc>
        <w:tc>
          <w:tcPr>
            <w:tcW w:w="1526" w:type="dxa"/>
            <w:shd w:val="clear" w:color="auto" w:fill="auto"/>
            <w:vAlign w:val="center"/>
          </w:tcPr>
          <w:p w14:paraId="0C54BF7E" w14:textId="77777777" w:rsidR="00E12DD5" w:rsidRPr="004078D0" w:rsidRDefault="00E12DD5">
            <w:pPr>
              <w:pStyle w:val="08-Tabelageral"/>
              <w:rPr>
                <w:rFonts w:cs="Arial"/>
                <w:szCs w:val="14"/>
              </w:rPr>
            </w:pPr>
            <w:r>
              <w:t>(13.814)</w:t>
            </w:r>
          </w:p>
        </w:tc>
      </w:tr>
      <w:tr w:rsidR="00E12DD5" w:rsidRPr="004078D0" w14:paraId="4B64DD6D" w14:textId="77777777">
        <w:trPr>
          <w:trHeight w:val="238"/>
          <w:jc w:val="center"/>
        </w:trPr>
        <w:tc>
          <w:tcPr>
            <w:tcW w:w="2986" w:type="dxa"/>
            <w:gridSpan w:val="2"/>
            <w:tcBorders>
              <w:top w:val="nil"/>
              <w:left w:val="nil"/>
              <w:bottom w:val="nil"/>
              <w:right w:val="nil"/>
            </w:tcBorders>
            <w:shd w:val="clear" w:color="auto" w:fill="auto"/>
            <w:vAlign w:val="center"/>
          </w:tcPr>
          <w:p w14:paraId="66F83862" w14:textId="77777777" w:rsidR="00E12DD5" w:rsidRPr="00A46030" w:rsidRDefault="00E12DD5">
            <w:pPr>
              <w:pStyle w:val="08-Tabelageral"/>
              <w:jc w:val="left"/>
            </w:pPr>
            <w:r>
              <w:rPr>
                <w:rFonts w:cs="Arial"/>
                <w:color w:val="000000"/>
                <w:szCs w:val="14"/>
              </w:rPr>
              <w:t>Aluguéis e taxa condominial</w:t>
            </w:r>
          </w:p>
        </w:tc>
        <w:tc>
          <w:tcPr>
            <w:tcW w:w="604" w:type="dxa"/>
            <w:shd w:val="clear" w:color="auto" w:fill="auto"/>
            <w:vAlign w:val="center"/>
          </w:tcPr>
          <w:p w14:paraId="5B9803E8" w14:textId="77777777" w:rsidR="00E12DD5" w:rsidRPr="00B636F4" w:rsidRDefault="00E12DD5">
            <w:pPr>
              <w:pStyle w:val="08-Tabelageral"/>
              <w:rPr>
                <w:rFonts w:cs="Arial"/>
                <w:szCs w:val="14"/>
              </w:rPr>
            </w:pPr>
          </w:p>
        </w:tc>
        <w:tc>
          <w:tcPr>
            <w:tcW w:w="1411" w:type="dxa"/>
            <w:shd w:val="clear" w:color="auto" w:fill="auto"/>
            <w:vAlign w:val="center"/>
          </w:tcPr>
          <w:p w14:paraId="71DAC23B" w14:textId="77777777" w:rsidR="00E12DD5" w:rsidRDefault="00E12DD5">
            <w:pPr>
              <w:pStyle w:val="08-Tabelageral"/>
              <w:rPr>
                <w:rFonts w:cs="Arial"/>
                <w:szCs w:val="14"/>
              </w:rPr>
            </w:pPr>
            <w:r>
              <w:rPr>
                <w:rFonts w:cs="Arial"/>
                <w:szCs w:val="14"/>
              </w:rPr>
              <w:t>(989)</w:t>
            </w:r>
          </w:p>
        </w:tc>
        <w:tc>
          <w:tcPr>
            <w:tcW w:w="1412" w:type="dxa"/>
            <w:shd w:val="clear" w:color="auto" w:fill="auto"/>
            <w:vAlign w:val="center"/>
          </w:tcPr>
          <w:p w14:paraId="705A414D" w14:textId="77777777" w:rsidR="00E12DD5" w:rsidRPr="00306AF6" w:rsidRDefault="00E12DD5">
            <w:pPr>
              <w:pStyle w:val="08-Tabelageral"/>
            </w:pPr>
            <w:r>
              <w:t>(1.063)</w:t>
            </w:r>
          </w:p>
        </w:tc>
        <w:tc>
          <w:tcPr>
            <w:tcW w:w="283" w:type="dxa"/>
            <w:shd w:val="clear" w:color="auto" w:fill="auto"/>
            <w:vAlign w:val="center"/>
          </w:tcPr>
          <w:p w14:paraId="51880827" w14:textId="77777777" w:rsidR="00E12DD5" w:rsidRPr="00B636F4" w:rsidRDefault="00E12DD5">
            <w:pPr>
              <w:pStyle w:val="08-Tabelageral"/>
              <w:rPr>
                <w:rFonts w:cs="Arial"/>
                <w:szCs w:val="14"/>
              </w:rPr>
            </w:pPr>
          </w:p>
        </w:tc>
        <w:tc>
          <w:tcPr>
            <w:tcW w:w="1417" w:type="dxa"/>
            <w:shd w:val="clear" w:color="auto" w:fill="auto"/>
            <w:vAlign w:val="center"/>
          </w:tcPr>
          <w:p w14:paraId="6AADB0A2" w14:textId="77777777" w:rsidR="00E12DD5" w:rsidRPr="00BD28AF" w:rsidRDefault="00E12DD5">
            <w:pPr>
              <w:pStyle w:val="08-Tabelageral"/>
              <w:rPr>
                <w:rFonts w:cs="Arial"/>
                <w:szCs w:val="14"/>
              </w:rPr>
            </w:pPr>
            <w:r w:rsidRPr="00BD28AF">
              <w:rPr>
                <w:rFonts w:cs="Arial"/>
                <w:szCs w:val="14"/>
              </w:rPr>
              <w:t>(5.459)</w:t>
            </w:r>
          </w:p>
        </w:tc>
        <w:tc>
          <w:tcPr>
            <w:tcW w:w="1526" w:type="dxa"/>
            <w:shd w:val="clear" w:color="auto" w:fill="auto"/>
            <w:vAlign w:val="center"/>
          </w:tcPr>
          <w:p w14:paraId="245E2958" w14:textId="77777777" w:rsidR="00E12DD5" w:rsidRPr="00C27607" w:rsidRDefault="00E12DD5">
            <w:pPr>
              <w:pStyle w:val="08-Tabelageral"/>
            </w:pPr>
            <w:r>
              <w:t>(5.263)</w:t>
            </w:r>
          </w:p>
        </w:tc>
      </w:tr>
      <w:tr w:rsidR="00E12DD5" w:rsidRPr="004078D0" w14:paraId="3B79E82E" w14:textId="77777777">
        <w:trPr>
          <w:trHeight w:val="238"/>
          <w:jc w:val="center"/>
        </w:trPr>
        <w:tc>
          <w:tcPr>
            <w:tcW w:w="2986" w:type="dxa"/>
            <w:gridSpan w:val="2"/>
            <w:tcBorders>
              <w:top w:val="nil"/>
              <w:left w:val="nil"/>
              <w:bottom w:val="nil"/>
              <w:right w:val="nil"/>
            </w:tcBorders>
            <w:shd w:val="clear" w:color="auto" w:fill="auto"/>
            <w:vAlign w:val="center"/>
          </w:tcPr>
          <w:p w14:paraId="778F6ADF" w14:textId="77777777" w:rsidR="00E12DD5" w:rsidRPr="00531062" w:rsidRDefault="00E12DD5">
            <w:pPr>
              <w:pStyle w:val="08-Tabelageral"/>
              <w:jc w:val="left"/>
            </w:pPr>
            <w:r>
              <w:rPr>
                <w:rFonts w:cs="Arial"/>
                <w:color w:val="000000"/>
                <w:szCs w:val="14"/>
              </w:rPr>
              <w:t>Serviços técnicos especializados</w:t>
            </w:r>
          </w:p>
        </w:tc>
        <w:tc>
          <w:tcPr>
            <w:tcW w:w="604" w:type="dxa"/>
            <w:shd w:val="clear" w:color="auto" w:fill="auto"/>
            <w:vAlign w:val="center"/>
          </w:tcPr>
          <w:p w14:paraId="5403E9C4" w14:textId="77777777" w:rsidR="00E12DD5" w:rsidRPr="00B636F4" w:rsidRDefault="00E12DD5">
            <w:pPr>
              <w:pStyle w:val="08-Tabelageral"/>
              <w:rPr>
                <w:rFonts w:cs="Arial"/>
                <w:szCs w:val="14"/>
              </w:rPr>
            </w:pPr>
          </w:p>
        </w:tc>
        <w:tc>
          <w:tcPr>
            <w:tcW w:w="1411" w:type="dxa"/>
            <w:shd w:val="clear" w:color="auto" w:fill="auto"/>
            <w:vAlign w:val="center"/>
          </w:tcPr>
          <w:p w14:paraId="352BEEAD" w14:textId="21DA6299" w:rsidR="00E12DD5" w:rsidRDefault="00E12DD5">
            <w:pPr>
              <w:pStyle w:val="08-Tabelageral"/>
              <w:rPr>
                <w:rFonts w:cs="Arial"/>
                <w:szCs w:val="14"/>
              </w:rPr>
            </w:pPr>
            <w:r>
              <w:rPr>
                <w:rFonts w:cs="Arial"/>
                <w:szCs w:val="14"/>
              </w:rPr>
              <w:t>(72</w:t>
            </w:r>
            <w:r w:rsidR="006A1D92">
              <w:rPr>
                <w:rFonts w:cs="Arial"/>
                <w:szCs w:val="14"/>
              </w:rPr>
              <w:t>1</w:t>
            </w:r>
            <w:r>
              <w:rPr>
                <w:rFonts w:cs="Arial"/>
                <w:szCs w:val="14"/>
              </w:rPr>
              <w:t>)</w:t>
            </w:r>
          </w:p>
        </w:tc>
        <w:tc>
          <w:tcPr>
            <w:tcW w:w="1412" w:type="dxa"/>
            <w:shd w:val="clear" w:color="auto" w:fill="auto"/>
            <w:vAlign w:val="center"/>
          </w:tcPr>
          <w:p w14:paraId="717040F4" w14:textId="646AA4FD" w:rsidR="00E12DD5" w:rsidRPr="009D6773" w:rsidRDefault="00E12DD5">
            <w:pPr>
              <w:pStyle w:val="08-Tabelageral"/>
              <w:rPr>
                <w:rFonts w:cs="Arial"/>
                <w:szCs w:val="14"/>
              </w:rPr>
            </w:pPr>
            <w:r>
              <w:t>(</w:t>
            </w:r>
            <w:r w:rsidR="00684F2F">
              <w:t>901</w:t>
            </w:r>
            <w:r>
              <w:t>)</w:t>
            </w:r>
          </w:p>
        </w:tc>
        <w:tc>
          <w:tcPr>
            <w:tcW w:w="283" w:type="dxa"/>
            <w:shd w:val="clear" w:color="auto" w:fill="auto"/>
            <w:vAlign w:val="center"/>
          </w:tcPr>
          <w:p w14:paraId="7A78D63C" w14:textId="77777777" w:rsidR="00E12DD5" w:rsidRPr="00B636F4" w:rsidRDefault="00E12DD5">
            <w:pPr>
              <w:pStyle w:val="08-Tabelageral"/>
              <w:rPr>
                <w:rFonts w:cs="Arial"/>
                <w:szCs w:val="14"/>
              </w:rPr>
            </w:pPr>
          </w:p>
        </w:tc>
        <w:tc>
          <w:tcPr>
            <w:tcW w:w="1417" w:type="dxa"/>
            <w:shd w:val="clear" w:color="auto" w:fill="auto"/>
            <w:vAlign w:val="center"/>
          </w:tcPr>
          <w:p w14:paraId="08BFB6E8" w14:textId="0B8B2D41" w:rsidR="00E12DD5" w:rsidRPr="00BD28AF" w:rsidRDefault="00E12DD5">
            <w:pPr>
              <w:pStyle w:val="08-Tabelageral"/>
              <w:rPr>
                <w:rFonts w:cs="Arial"/>
                <w:szCs w:val="14"/>
              </w:rPr>
            </w:pPr>
            <w:r w:rsidRPr="00BD28AF">
              <w:rPr>
                <w:rFonts w:cs="Arial"/>
                <w:szCs w:val="14"/>
              </w:rPr>
              <w:t>(4.2</w:t>
            </w:r>
            <w:r w:rsidR="00B639A6">
              <w:rPr>
                <w:rFonts w:cs="Arial"/>
                <w:szCs w:val="14"/>
              </w:rPr>
              <w:t>59</w:t>
            </w:r>
            <w:r w:rsidRPr="00BD28AF">
              <w:rPr>
                <w:rFonts w:cs="Arial"/>
                <w:szCs w:val="14"/>
              </w:rPr>
              <w:t>)</w:t>
            </w:r>
          </w:p>
        </w:tc>
        <w:tc>
          <w:tcPr>
            <w:tcW w:w="1526" w:type="dxa"/>
            <w:shd w:val="clear" w:color="auto" w:fill="auto"/>
            <w:vAlign w:val="center"/>
          </w:tcPr>
          <w:p w14:paraId="3DD8A68B" w14:textId="02C017C3" w:rsidR="00E12DD5" w:rsidRPr="00410E8D" w:rsidRDefault="00E12DD5">
            <w:pPr>
              <w:pStyle w:val="08-Tabelageral"/>
              <w:rPr>
                <w:rFonts w:cs="Arial"/>
                <w:szCs w:val="14"/>
              </w:rPr>
            </w:pPr>
            <w:r>
              <w:t>(4.10</w:t>
            </w:r>
            <w:r w:rsidR="00892417">
              <w:t>7</w:t>
            </w:r>
            <w:r>
              <w:t>)</w:t>
            </w:r>
          </w:p>
        </w:tc>
      </w:tr>
      <w:tr w:rsidR="00E12DD5" w:rsidRPr="004078D0" w14:paraId="4CF38EE5" w14:textId="77777777">
        <w:trPr>
          <w:trHeight w:val="238"/>
          <w:jc w:val="center"/>
        </w:trPr>
        <w:tc>
          <w:tcPr>
            <w:tcW w:w="2986" w:type="dxa"/>
            <w:gridSpan w:val="2"/>
            <w:tcBorders>
              <w:top w:val="nil"/>
              <w:left w:val="nil"/>
              <w:bottom w:val="nil"/>
              <w:right w:val="nil"/>
            </w:tcBorders>
            <w:shd w:val="clear" w:color="auto" w:fill="auto"/>
            <w:vAlign w:val="center"/>
          </w:tcPr>
          <w:p w14:paraId="4ECD03B4" w14:textId="77777777" w:rsidR="00E12DD5" w:rsidRDefault="00E12DD5">
            <w:pPr>
              <w:pStyle w:val="08-Tabelageral"/>
              <w:jc w:val="left"/>
              <w:rPr>
                <w:rFonts w:cs="Arial"/>
                <w:color w:val="000000"/>
                <w:szCs w:val="14"/>
              </w:rPr>
            </w:pPr>
            <w:r>
              <w:rPr>
                <w:rFonts w:cs="Arial"/>
                <w:color w:val="000000"/>
                <w:szCs w:val="14"/>
              </w:rPr>
              <w:t>Comunicação digital</w:t>
            </w:r>
          </w:p>
        </w:tc>
        <w:tc>
          <w:tcPr>
            <w:tcW w:w="604" w:type="dxa"/>
            <w:shd w:val="clear" w:color="auto" w:fill="auto"/>
            <w:vAlign w:val="center"/>
          </w:tcPr>
          <w:p w14:paraId="2A13E5CF" w14:textId="77777777" w:rsidR="00E12DD5" w:rsidRPr="00B636F4" w:rsidRDefault="00E12DD5">
            <w:pPr>
              <w:pStyle w:val="08-Tabelageral"/>
              <w:rPr>
                <w:rFonts w:cs="Arial"/>
                <w:szCs w:val="14"/>
              </w:rPr>
            </w:pPr>
          </w:p>
        </w:tc>
        <w:tc>
          <w:tcPr>
            <w:tcW w:w="1411" w:type="dxa"/>
            <w:shd w:val="clear" w:color="auto" w:fill="auto"/>
            <w:vAlign w:val="center"/>
          </w:tcPr>
          <w:p w14:paraId="586412BC" w14:textId="77777777" w:rsidR="00E12DD5" w:rsidRDefault="00E12DD5">
            <w:pPr>
              <w:pStyle w:val="08-Tabelageral"/>
              <w:rPr>
                <w:rFonts w:cs="Arial"/>
                <w:szCs w:val="14"/>
              </w:rPr>
            </w:pPr>
            <w:r>
              <w:rPr>
                <w:rFonts w:cs="Arial"/>
                <w:szCs w:val="14"/>
              </w:rPr>
              <w:t>--</w:t>
            </w:r>
          </w:p>
        </w:tc>
        <w:tc>
          <w:tcPr>
            <w:tcW w:w="1412" w:type="dxa"/>
            <w:shd w:val="clear" w:color="auto" w:fill="auto"/>
            <w:vAlign w:val="center"/>
          </w:tcPr>
          <w:p w14:paraId="122F9CA7" w14:textId="77777777" w:rsidR="00E12DD5" w:rsidRDefault="00E12DD5">
            <w:pPr>
              <w:pStyle w:val="08-Tabelageral"/>
            </w:pPr>
            <w:r>
              <w:rPr>
                <w:rFonts w:cs="Arial"/>
                <w:szCs w:val="14"/>
              </w:rPr>
              <w:t>--</w:t>
            </w:r>
          </w:p>
        </w:tc>
        <w:tc>
          <w:tcPr>
            <w:tcW w:w="283" w:type="dxa"/>
            <w:shd w:val="clear" w:color="auto" w:fill="auto"/>
            <w:vAlign w:val="center"/>
          </w:tcPr>
          <w:p w14:paraId="47996ACA" w14:textId="77777777" w:rsidR="00E12DD5" w:rsidRPr="00B636F4" w:rsidRDefault="00E12DD5">
            <w:pPr>
              <w:pStyle w:val="08-Tabelageral"/>
              <w:rPr>
                <w:rFonts w:cs="Arial"/>
                <w:szCs w:val="14"/>
              </w:rPr>
            </w:pPr>
          </w:p>
        </w:tc>
        <w:tc>
          <w:tcPr>
            <w:tcW w:w="1417" w:type="dxa"/>
            <w:shd w:val="clear" w:color="auto" w:fill="auto"/>
            <w:vAlign w:val="center"/>
          </w:tcPr>
          <w:p w14:paraId="63A2A318" w14:textId="77777777" w:rsidR="00E12DD5" w:rsidRPr="00BD28AF" w:rsidRDefault="00E12DD5">
            <w:pPr>
              <w:pStyle w:val="08-Tabelageral"/>
              <w:rPr>
                <w:rFonts w:cs="Arial"/>
                <w:szCs w:val="14"/>
              </w:rPr>
            </w:pPr>
            <w:r w:rsidRPr="00BD28AF">
              <w:rPr>
                <w:rFonts w:cs="Arial"/>
                <w:szCs w:val="14"/>
              </w:rPr>
              <w:t>(2.278)</w:t>
            </w:r>
          </w:p>
        </w:tc>
        <w:tc>
          <w:tcPr>
            <w:tcW w:w="1526" w:type="dxa"/>
            <w:shd w:val="clear" w:color="auto" w:fill="auto"/>
            <w:vAlign w:val="center"/>
          </w:tcPr>
          <w:p w14:paraId="7157B625" w14:textId="77777777" w:rsidR="00E12DD5" w:rsidRDefault="00E12DD5">
            <w:pPr>
              <w:pStyle w:val="08-Tabelageral"/>
            </w:pPr>
            <w:r>
              <w:t>(596)</w:t>
            </w:r>
          </w:p>
        </w:tc>
      </w:tr>
      <w:tr w:rsidR="00E12DD5" w:rsidRPr="004078D0" w14:paraId="7C5B9136" w14:textId="77777777">
        <w:trPr>
          <w:trHeight w:val="238"/>
          <w:jc w:val="center"/>
        </w:trPr>
        <w:tc>
          <w:tcPr>
            <w:tcW w:w="2986" w:type="dxa"/>
            <w:gridSpan w:val="2"/>
            <w:tcBorders>
              <w:top w:val="nil"/>
              <w:left w:val="nil"/>
              <w:bottom w:val="nil"/>
              <w:right w:val="nil"/>
            </w:tcBorders>
            <w:shd w:val="clear" w:color="auto" w:fill="auto"/>
            <w:vAlign w:val="center"/>
          </w:tcPr>
          <w:p w14:paraId="36BDBEEF" w14:textId="77777777" w:rsidR="00E12DD5" w:rsidRDefault="00E12DD5">
            <w:pPr>
              <w:pStyle w:val="08-Tabelageral"/>
              <w:jc w:val="left"/>
              <w:rPr>
                <w:rFonts w:cs="Arial"/>
                <w:color w:val="000000"/>
                <w:szCs w:val="14"/>
              </w:rPr>
            </w:pPr>
            <w:r>
              <w:rPr>
                <w:rFonts w:cs="Arial"/>
                <w:color w:val="000000"/>
                <w:szCs w:val="14"/>
              </w:rPr>
              <w:t>Processos judiciais</w:t>
            </w:r>
          </w:p>
        </w:tc>
        <w:tc>
          <w:tcPr>
            <w:tcW w:w="604" w:type="dxa"/>
            <w:shd w:val="clear" w:color="auto" w:fill="auto"/>
            <w:vAlign w:val="center"/>
          </w:tcPr>
          <w:p w14:paraId="2852A533" w14:textId="77777777" w:rsidR="00E12DD5" w:rsidRPr="00B636F4" w:rsidRDefault="00E12DD5">
            <w:pPr>
              <w:pStyle w:val="08-Tabelageral"/>
              <w:rPr>
                <w:rFonts w:cs="Arial"/>
                <w:szCs w:val="14"/>
              </w:rPr>
            </w:pPr>
          </w:p>
        </w:tc>
        <w:tc>
          <w:tcPr>
            <w:tcW w:w="1411" w:type="dxa"/>
            <w:shd w:val="clear" w:color="auto" w:fill="auto"/>
            <w:vAlign w:val="center"/>
          </w:tcPr>
          <w:p w14:paraId="05986F38" w14:textId="77777777" w:rsidR="00E12DD5" w:rsidRDefault="00E12DD5">
            <w:pPr>
              <w:pStyle w:val="08-Tabelageral"/>
              <w:rPr>
                <w:rFonts w:cs="Arial"/>
                <w:szCs w:val="14"/>
              </w:rPr>
            </w:pPr>
            <w:r>
              <w:rPr>
                <w:rFonts w:cs="Arial"/>
                <w:szCs w:val="14"/>
              </w:rPr>
              <w:t>(103)</w:t>
            </w:r>
          </w:p>
        </w:tc>
        <w:tc>
          <w:tcPr>
            <w:tcW w:w="1412" w:type="dxa"/>
            <w:shd w:val="clear" w:color="auto" w:fill="auto"/>
            <w:vAlign w:val="center"/>
          </w:tcPr>
          <w:p w14:paraId="43EF7B14" w14:textId="77777777" w:rsidR="00E12DD5" w:rsidRDefault="00E12DD5">
            <w:pPr>
              <w:pStyle w:val="08-Tabelageral"/>
            </w:pPr>
            <w:r>
              <w:rPr>
                <w:rFonts w:cs="Arial"/>
                <w:szCs w:val="14"/>
              </w:rPr>
              <w:t>--</w:t>
            </w:r>
          </w:p>
        </w:tc>
        <w:tc>
          <w:tcPr>
            <w:tcW w:w="283" w:type="dxa"/>
            <w:shd w:val="clear" w:color="auto" w:fill="auto"/>
            <w:vAlign w:val="center"/>
          </w:tcPr>
          <w:p w14:paraId="55518FE5" w14:textId="77777777" w:rsidR="00E12DD5" w:rsidRPr="00B636F4" w:rsidRDefault="00E12DD5">
            <w:pPr>
              <w:pStyle w:val="08-Tabelageral"/>
              <w:rPr>
                <w:rFonts w:cs="Arial"/>
                <w:szCs w:val="14"/>
              </w:rPr>
            </w:pPr>
          </w:p>
        </w:tc>
        <w:tc>
          <w:tcPr>
            <w:tcW w:w="1417" w:type="dxa"/>
            <w:shd w:val="clear" w:color="auto" w:fill="auto"/>
            <w:vAlign w:val="center"/>
          </w:tcPr>
          <w:p w14:paraId="350A3808" w14:textId="77777777" w:rsidR="00E12DD5" w:rsidRPr="00BD28AF" w:rsidRDefault="00E12DD5">
            <w:pPr>
              <w:pStyle w:val="08-Tabelageral"/>
              <w:rPr>
                <w:rFonts w:cs="Arial"/>
                <w:szCs w:val="14"/>
              </w:rPr>
            </w:pPr>
            <w:r w:rsidRPr="00BD28AF">
              <w:rPr>
                <w:rFonts w:cs="Arial"/>
                <w:szCs w:val="14"/>
              </w:rPr>
              <w:t>(1.996)</w:t>
            </w:r>
          </w:p>
        </w:tc>
        <w:tc>
          <w:tcPr>
            <w:tcW w:w="1526" w:type="dxa"/>
            <w:shd w:val="clear" w:color="auto" w:fill="auto"/>
            <w:vAlign w:val="center"/>
          </w:tcPr>
          <w:p w14:paraId="64145DB3" w14:textId="77777777" w:rsidR="00E12DD5" w:rsidRDefault="00E12DD5">
            <w:pPr>
              <w:pStyle w:val="08-Tabelageral"/>
            </w:pPr>
            <w:r>
              <w:t>(1.600)</w:t>
            </w:r>
          </w:p>
        </w:tc>
      </w:tr>
      <w:tr w:rsidR="00E12DD5" w:rsidRPr="004078D0" w14:paraId="61EE28D5" w14:textId="77777777">
        <w:trPr>
          <w:trHeight w:val="238"/>
          <w:jc w:val="center"/>
        </w:trPr>
        <w:tc>
          <w:tcPr>
            <w:tcW w:w="2986" w:type="dxa"/>
            <w:gridSpan w:val="2"/>
            <w:tcBorders>
              <w:top w:val="nil"/>
              <w:left w:val="nil"/>
              <w:bottom w:val="nil"/>
              <w:right w:val="nil"/>
            </w:tcBorders>
            <w:shd w:val="clear" w:color="auto" w:fill="auto"/>
            <w:vAlign w:val="center"/>
          </w:tcPr>
          <w:p w14:paraId="5FDEC81D" w14:textId="77777777" w:rsidR="00E12DD5" w:rsidRPr="00531062" w:rsidRDefault="00E12DD5">
            <w:pPr>
              <w:pStyle w:val="08-Tabelageral"/>
              <w:jc w:val="left"/>
            </w:pPr>
            <w:r>
              <w:rPr>
                <w:rFonts w:cs="Arial"/>
                <w:color w:val="000000"/>
                <w:szCs w:val="14"/>
              </w:rPr>
              <w:t>Viagens a serviço</w:t>
            </w:r>
          </w:p>
        </w:tc>
        <w:tc>
          <w:tcPr>
            <w:tcW w:w="604" w:type="dxa"/>
            <w:shd w:val="clear" w:color="auto" w:fill="auto"/>
            <w:vAlign w:val="center"/>
          </w:tcPr>
          <w:p w14:paraId="00AFF85A" w14:textId="77777777" w:rsidR="00E12DD5" w:rsidRPr="00B636F4" w:rsidRDefault="00E12DD5">
            <w:pPr>
              <w:pStyle w:val="08-Tabelageral"/>
              <w:rPr>
                <w:rFonts w:cs="Arial"/>
                <w:szCs w:val="14"/>
              </w:rPr>
            </w:pPr>
          </w:p>
        </w:tc>
        <w:tc>
          <w:tcPr>
            <w:tcW w:w="1411" w:type="dxa"/>
            <w:shd w:val="clear" w:color="auto" w:fill="auto"/>
            <w:vAlign w:val="center"/>
          </w:tcPr>
          <w:p w14:paraId="79D732D0" w14:textId="77777777" w:rsidR="00E12DD5" w:rsidRDefault="00E12DD5">
            <w:pPr>
              <w:pStyle w:val="08-Tabelageral"/>
              <w:rPr>
                <w:rFonts w:cs="Arial"/>
                <w:szCs w:val="14"/>
              </w:rPr>
            </w:pPr>
            <w:r>
              <w:rPr>
                <w:rFonts w:cs="Arial"/>
                <w:szCs w:val="14"/>
              </w:rPr>
              <w:t>(689)</w:t>
            </w:r>
          </w:p>
        </w:tc>
        <w:tc>
          <w:tcPr>
            <w:tcW w:w="1412" w:type="dxa"/>
            <w:shd w:val="clear" w:color="auto" w:fill="auto"/>
            <w:vAlign w:val="center"/>
          </w:tcPr>
          <w:p w14:paraId="4FC55684" w14:textId="77777777" w:rsidR="00E12DD5" w:rsidRPr="009D6773" w:rsidRDefault="00E12DD5">
            <w:pPr>
              <w:pStyle w:val="08-Tabelageral"/>
              <w:rPr>
                <w:rFonts w:cs="Arial"/>
                <w:szCs w:val="14"/>
              </w:rPr>
            </w:pPr>
            <w:r>
              <w:t>(448)</w:t>
            </w:r>
          </w:p>
        </w:tc>
        <w:tc>
          <w:tcPr>
            <w:tcW w:w="283" w:type="dxa"/>
            <w:shd w:val="clear" w:color="auto" w:fill="auto"/>
            <w:vAlign w:val="center"/>
          </w:tcPr>
          <w:p w14:paraId="6094DC32" w14:textId="77777777" w:rsidR="00E12DD5" w:rsidRPr="00B636F4" w:rsidRDefault="00E12DD5">
            <w:pPr>
              <w:pStyle w:val="08-Tabelageral"/>
              <w:rPr>
                <w:rFonts w:cs="Arial"/>
                <w:szCs w:val="14"/>
              </w:rPr>
            </w:pPr>
          </w:p>
        </w:tc>
        <w:tc>
          <w:tcPr>
            <w:tcW w:w="1417" w:type="dxa"/>
            <w:shd w:val="clear" w:color="auto" w:fill="auto"/>
            <w:vAlign w:val="center"/>
          </w:tcPr>
          <w:p w14:paraId="49D046A0" w14:textId="77777777" w:rsidR="00E12DD5" w:rsidRPr="00BD28AF" w:rsidRDefault="00E12DD5">
            <w:pPr>
              <w:pStyle w:val="08-Tabelageral"/>
              <w:rPr>
                <w:rFonts w:cs="Arial"/>
                <w:szCs w:val="14"/>
              </w:rPr>
            </w:pPr>
            <w:r w:rsidRPr="00BD28AF">
              <w:rPr>
                <w:rFonts w:cs="Arial"/>
                <w:szCs w:val="14"/>
              </w:rPr>
              <w:t>(1.942)</w:t>
            </w:r>
          </w:p>
        </w:tc>
        <w:tc>
          <w:tcPr>
            <w:tcW w:w="1526" w:type="dxa"/>
            <w:shd w:val="clear" w:color="auto" w:fill="auto"/>
            <w:vAlign w:val="center"/>
          </w:tcPr>
          <w:p w14:paraId="56324782" w14:textId="77777777" w:rsidR="00E12DD5" w:rsidRPr="00410E8D" w:rsidRDefault="00E12DD5">
            <w:pPr>
              <w:pStyle w:val="08-Tabelageral"/>
              <w:rPr>
                <w:rFonts w:cs="Arial"/>
                <w:szCs w:val="14"/>
              </w:rPr>
            </w:pPr>
            <w:r>
              <w:t>(1.798)</w:t>
            </w:r>
          </w:p>
        </w:tc>
      </w:tr>
      <w:tr w:rsidR="00E12DD5" w:rsidRPr="004078D0" w14:paraId="47394D76" w14:textId="77777777">
        <w:trPr>
          <w:trHeight w:val="238"/>
          <w:jc w:val="center"/>
        </w:trPr>
        <w:tc>
          <w:tcPr>
            <w:tcW w:w="2986" w:type="dxa"/>
            <w:gridSpan w:val="2"/>
            <w:tcBorders>
              <w:top w:val="nil"/>
              <w:left w:val="nil"/>
              <w:bottom w:val="nil"/>
              <w:right w:val="nil"/>
            </w:tcBorders>
            <w:shd w:val="clear" w:color="auto" w:fill="auto"/>
            <w:vAlign w:val="center"/>
          </w:tcPr>
          <w:p w14:paraId="08A14EB8" w14:textId="77777777" w:rsidR="00E12DD5" w:rsidRDefault="00E12DD5">
            <w:pPr>
              <w:pStyle w:val="08-Tabelageral"/>
              <w:jc w:val="left"/>
              <w:rPr>
                <w:rFonts w:cs="Arial"/>
                <w:color w:val="000000"/>
                <w:szCs w:val="14"/>
              </w:rPr>
            </w:pPr>
            <w:r w:rsidRPr="00C337C8">
              <w:rPr>
                <w:rFonts w:cs="Arial"/>
                <w:color w:val="000000"/>
                <w:szCs w:val="14"/>
              </w:rPr>
              <w:t>Promoções e relações públicas</w:t>
            </w:r>
          </w:p>
        </w:tc>
        <w:tc>
          <w:tcPr>
            <w:tcW w:w="604" w:type="dxa"/>
            <w:tcBorders>
              <w:bottom w:val="nil"/>
            </w:tcBorders>
            <w:shd w:val="clear" w:color="auto" w:fill="auto"/>
            <w:vAlign w:val="center"/>
          </w:tcPr>
          <w:p w14:paraId="2F55AC6E" w14:textId="77777777" w:rsidR="00E12DD5" w:rsidRPr="00B636F4" w:rsidRDefault="00E12DD5">
            <w:pPr>
              <w:pStyle w:val="08-Tabelageral"/>
              <w:rPr>
                <w:rFonts w:cs="Arial"/>
                <w:szCs w:val="14"/>
              </w:rPr>
            </w:pPr>
          </w:p>
        </w:tc>
        <w:tc>
          <w:tcPr>
            <w:tcW w:w="1411" w:type="dxa"/>
            <w:tcBorders>
              <w:bottom w:val="nil"/>
            </w:tcBorders>
            <w:shd w:val="clear" w:color="auto" w:fill="auto"/>
            <w:vAlign w:val="center"/>
          </w:tcPr>
          <w:p w14:paraId="04C4CBA9" w14:textId="77777777" w:rsidR="00E12DD5" w:rsidRDefault="00E12DD5">
            <w:pPr>
              <w:pStyle w:val="08-Tabelageral"/>
              <w:rPr>
                <w:rFonts w:cs="Arial"/>
                <w:szCs w:val="14"/>
              </w:rPr>
            </w:pPr>
            <w:r>
              <w:rPr>
                <w:rFonts w:cs="Arial"/>
                <w:szCs w:val="14"/>
              </w:rPr>
              <w:t>(222)</w:t>
            </w:r>
          </w:p>
        </w:tc>
        <w:tc>
          <w:tcPr>
            <w:tcW w:w="1412" w:type="dxa"/>
            <w:tcBorders>
              <w:bottom w:val="nil"/>
            </w:tcBorders>
            <w:shd w:val="clear" w:color="auto" w:fill="auto"/>
            <w:vAlign w:val="center"/>
          </w:tcPr>
          <w:p w14:paraId="0CC5C1C1" w14:textId="77777777" w:rsidR="00E12DD5" w:rsidRDefault="00E12DD5">
            <w:pPr>
              <w:pStyle w:val="08-Tabelageral"/>
            </w:pPr>
            <w:r>
              <w:t>(54)</w:t>
            </w:r>
          </w:p>
        </w:tc>
        <w:tc>
          <w:tcPr>
            <w:tcW w:w="283" w:type="dxa"/>
            <w:tcBorders>
              <w:bottom w:val="nil"/>
            </w:tcBorders>
            <w:shd w:val="clear" w:color="auto" w:fill="auto"/>
            <w:vAlign w:val="center"/>
          </w:tcPr>
          <w:p w14:paraId="19A6B4CD" w14:textId="77777777" w:rsidR="00E12DD5" w:rsidRPr="00B636F4" w:rsidRDefault="00E12DD5">
            <w:pPr>
              <w:pStyle w:val="08-Tabelageral"/>
              <w:rPr>
                <w:rFonts w:cs="Arial"/>
                <w:szCs w:val="14"/>
              </w:rPr>
            </w:pPr>
          </w:p>
        </w:tc>
        <w:tc>
          <w:tcPr>
            <w:tcW w:w="1417" w:type="dxa"/>
            <w:tcBorders>
              <w:bottom w:val="nil"/>
            </w:tcBorders>
            <w:shd w:val="clear" w:color="auto" w:fill="auto"/>
            <w:vAlign w:val="center"/>
          </w:tcPr>
          <w:p w14:paraId="2B72CBFB" w14:textId="77777777" w:rsidR="00E12DD5" w:rsidRPr="00BD28AF" w:rsidRDefault="00E12DD5">
            <w:pPr>
              <w:pStyle w:val="08-Tabelageral"/>
              <w:rPr>
                <w:rFonts w:cs="Arial"/>
                <w:szCs w:val="14"/>
              </w:rPr>
            </w:pPr>
            <w:r w:rsidRPr="00BD28AF">
              <w:rPr>
                <w:rFonts w:cs="Arial"/>
                <w:szCs w:val="14"/>
              </w:rPr>
              <w:t>(596)</w:t>
            </w:r>
          </w:p>
        </w:tc>
        <w:tc>
          <w:tcPr>
            <w:tcW w:w="1526" w:type="dxa"/>
            <w:tcBorders>
              <w:bottom w:val="nil"/>
            </w:tcBorders>
            <w:shd w:val="clear" w:color="auto" w:fill="auto"/>
            <w:vAlign w:val="center"/>
          </w:tcPr>
          <w:p w14:paraId="6E0815CD" w14:textId="77777777" w:rsidR="00E12DD5" w:rsidRDefault="00E12DD5">
            <w:pPr>
              <w:pStyle w:val="08-Tabelageral"/>
            </w:pPr>
            <w:r>
              <w:t>(6.193)</w:t>
            </w:r>
          </w:p>
        </w:tc>
      </w:tr>
      <w:tr w:rsidR="00E12DD5" w:rsidRPr="00DD0324" w14:paraId="5129F766" w14:textId="77777777">
        <w:trPr>
          <w:trHeight w:val="238"/>
          <w:jc w:val="center"/>
        </w:trPr>
        <w:tc>
          <w:tcPr>
            <w:tcW w:w="2986" w:type="dxa"/>
            <w:gridSpan w:val="2"/>
            <w:tcBorders>
              <w:top w:val="nil"/>
              <w:left w:val="nil"/>
              <w:bottom w:val="nil"/>
              <w:right w:val="nil"/>
            </w:tcBorders>
            <w:shd w:val="clear" w:color="auto" w:fill="auto"/>
            <w:vAlign w:val="center"/>
          </w:tcPr>
          <w:p w14:paraId="7C5D8899" w14:textId="77777777" w:rsidR="00E12DD5" w:rsidRPr="00DD0324" w:rsidRDefault="00E12DD5">
            <w:pPr>
              <w:pStyle w:val="08-Tabelageral"/>
              <w:jc w:val="left"/>
            </w:pPr>
            <w:r w:rsidRPr="00A46030">
              <w:t>Outras</w:t>
            </w:r>
          </w:p>
        </w:tc>
        <w:tc>
          <w:tcPr>
            <w:tcW w:w="604" w:type="dxa"/>
            <w:tcBorders>
              <w:top w:val="nil"/>
              <w:bottom w:val="nil"/>
            </w:tcBorders>
            <w:shd w:val="clear" w:color="auto" w:fill="auto"/>
            <w:vAlign w:val="center"/>
          </w:tcPr>
          <w:p w14:paraId="2B4E4288" w14:textId="77777777" w:rsidR="00E12DD5" w:rsidRPr="00DD0324" w:rsidRDefault="00E12DD5">
            <w:pPr>
              <w:pStyle w:val="08-Tabelageral"/>
              <w:rPr>
                <w:rFonts w:cs="Arial"/>
                <w:szCs w:val="14"/>
              </w:rPr>
            </w:pPr>
          </w:p>
        </w:tc>
        <w:tc>
          <w:tcPr>
            <w:tcW w:w="1411" w:type="dxa"/>
            <w:tcBorders>
              <w:top w:val="nil"/>
              <w:bottom w:val="nil"/>
            </w:tcBorders>
            <w:shd w:val="clear" w:color="auto" w:fill="auto"/>
            <w:vAlign w:val="center"/>
          </w:tcPr>
          <w:p w14:paraId="745B1313" w14:textId="77777777" w:rsidR="00E12DD5" w:rsidRPr="00DD0324" w:rsidRDefault="00E12DD5">
            <w:pPr>
              <w:pStyle w:val="08-Tabelageral"/>
              <w:rPr>
                <w:rFonts w:cs="Arial"/>
                <w:szCs w:val="14"/>
              </w:rPr>
            </w:pPr>
            <w:r>
              <w:rPr>
                <w:rFonts w:cs="Arial"/>
                <w:szCs w:val="14"/>
              </w:rPr>
              <w:t>(519)</w:t>
            </w:r>
          </w:p>
        </w:tc>
        <w:tc>
          <w:tcPr>
            <w:tcW w:w="1412" w:type="dxa"/>
            <w:tcBorders>
              <w:top w:val="nil"/>
              <w:bottom w:val="nil"/>
            </w:tcBorders>
            <w:shd w:val="clear" w:color="auto" w:fill="auto"/>
            <w:vAlign w:val="center"/>
          </w:tcPr>
          <w:p w14:paraId="64F7BE87" w14:textId="7466B1E7" w:rsidR="00E12DD5" w:rsidRPr="00DD0324" w:rsidRDefault="00E12DD5">
            <w:pPr>
              <w:pStyle w:val="08-Tabelageral"/>
            </w:pPr>
            <w:r>
              <w:t>(43</w:t>
            </w:r>
            <w:r w:rsidR="00684F2F">
              <w:t>0</w:t>
            </w:r>
            <w:r>
              <w:t>)</w:t>
            </w:r>
          </w:p>
        </w:tc>
        <w:tc>
          <w:tcPr>
            <w:tcW w:w="283" w:type="dxa"/>
            <w:tcBorders>
              <w:top w:val="nil"/>
              <w:bottom w:val="nil"/>
            </w:tcBorders>
            <w:shd w:val="clear" w:color="auto" w:fill="auto"/>
            <w:vAlign w:val="center"/>
          </w:tcPr>
          <w:p w14:paraId="0F554059" w14:textId="77777777" w:rsidR="00E12DD5" w:rsidRPr="00DD0324" w:rsidRDefault="00E12DD5">
            <w:pPr>
              <w:pStyle w:val="08-Tabelageral"/>
              <w:rPr>
                <w:rFonts w:cs="Arial"/>
                <w:szCs w:val="14"/>
              </w:rPr>
            </w:pPr>
          </w:p>
        </w:tc>
        <w:tc>
          <w:tcPr>
            <w:tcW w:w="1417" w:type="dxa"/>
            <w:tcBorders>
              <w:top w:val="nil"/>
              <w:bottom w:val="nil"/>
            </w:tcBorders>
            <w:shd w:val="clear" w:color="auto" w:fill="auto"/>
            <w:vAlign w:val="center"/>
          </w:tcPr>
          <w:p w14:paraId="5492611C" w14:textId="69F9AD9C" w:rsidR="00E12DD5" w:rsidRPr="00BD28AF" w:rsidRDefault="00E12DD5">
            <w:pPr>
              <w:pStyle w:val="08-Tabelageral"/>
              <w:rPr>
                <w:rFonts w:cs="Arial"/>
                <w:szCs w:val="14"/>
              </w:rPr>
            </w:pPr>
            <w:r w:rsidRPr="00BD28AF">
              <w:rPr>
                <w:rFonts w:cs="Arial"/>
                <w:szCs w:val="14"/>
              </w:rPr>
              <w:t>(3.2</w:t>
            </w:r>
            <w:r w:rsidR="00B639A6">
              <w:rPr>
                <w:rFonts w:cs="Arial"/>
                <w:szCs w:val="14"/>
              </w:rPr>
              <w:t>4</w:t>
            </w:r>
            <w:r w:rsidR="00A34232">
              <w:rPr>
                <w:rFonts w:cs="Arial"/>
                <w:szCs w:val="14"/>
              </w:rPr>
              <w:t>4</w:t>
            </w:r>
            <w:r w:rsidRPr="00BD28AF">
              <w:rPr>
                <w:rFonts w:cs="Arial"/>
                <w:szCs w:val="14"/>
              </w:rPr>
              <w:t>)</w:t>
            </w:r>
          </w:p>
        </w:tc>
        <w:tc>
          <w:tcPr>
            <w:tcW w:w="1526" w:type="dxa"/>
            <w:tcBorders>
              <w:top w:val="nil"/>
              <w:bottom w:val="nil"/>
            </w:tcBorders>
            <w:shd w:val="clear" w:color="auto" w:fill="auto"/>
            <w:vAlign w:val="center"/>
          </w:tcPr>
          <w:p w14:paraId="0EA453A7" w14:textId="4F2A94DF" w:rsidR="00E12DD5" w:rsidRPr="00DD0324" w:rsidRDefault="00E12DD5">
            <w:pPr>
              <w:pStyle w:val="08-Tabelageral"/>
              <w:rPr>
                <w:rFonts w:cs="Arial"/>
                <w:szCs w:val="14"/>
              </w:rPr>
            </w:pPr>
            <w:r>
              <w:t>(3.20</w:t>
            </w:r>
            <w:r w:rsidR="00BF7FCC">
              <w:t>2</w:t>
            </w:r>
            <w:r>
              <w:t>)</w:t>
            </w:r>
          </w:p>
        </w:tc>
      </w:tr>
      <w:tr w:rsidR="00E12DD5" w:rsidRPr="00C53E95" w14:paraId="53FC2EA6" w14:textId="77777777">
        <w:trPr>
          <w:trHeight w:val="238"/>
          <w:jc w:val="center"/>
        </w:trPr>
        <w:tc>
          <w:tcPr>
            <w:tcW w:w="2986" w:type="dxa"/>
            <w:gridSpan w:val="2"/>
            <w:tcBorders>
              <w:top w:val="nil"/>
              <w:left w:val="nil"/>
              <w:bottom w:val="single" w:sz="2" w:space="0" w:color="1F3864" w:themeColor="accent1" w:themeShade="80"/>
              <w:right w:val="nil"/>
            </w:tcBorders>
            <w:shd w:val="clear" w:color="auto" w:fill="auto"/>
            <w:vAlign w:val="center"/>
          </w:tcPr>
          <w:p w14:paraId="5204D3B4" w14:textId="77777777" w:rsidR="00E12DD5" w:rsidRPr="00C53E95" w:rsidRDefault="00E12DD5">
            <w:pPr>
              <w:pStyle w:val="08-Tabelageral"/>
              <w:jc w:val="left"/>
              <w:rPr>
                <w:b/>
                <w:bCs/>
              </w:rPr>
            </w:pPr>
            <w:r w:rsidRPr="00D21E4E">
              <w:rPr>
                <w:b/>
                <w:bCs/>
              </w:rPr>
              <w:t>Total</w:t>
            </w:r>
          </w:p>
        </w:tc>
        <w:tc>
          <w:tcPr>
            <w:tcW w:w="604" w:type="dxa"/>
            <w:tcBorders>
              <w:top w:val="nil"/>
              <w:bottom w:val="single" w:sz="2" w:space="0" w:color="1F3864" w:themeColor="accent1" w:themeShade="80"/>
            </w:tcBorders>
            <w:shd w:val="clear" w:color="auto" w:fill="auto"/>
            <w:vAlign w:val="center"/>
          </w:tcPr>
          <w:p w14:paraId="1E3A7D74" w14:textId="77777777" w:rsidR="00E12DD5" w:rsidRPr="00C53E95" w:rsidRDefault="00E12DD5">
            <w:pPr>
              <w:pStyle w:val="08-Tabelageral"/>
              <w:rPr>
                <w:rFonts w:cs="Arial"/>
                <w:b/>
                <w:bCs/>
                <w:szCs w:val="14"/>
              </w:rPr>
            </w:pPr>
          </w:p>
        </w:tc>
        <w:tc>
          <w:tcPr>
            <w:tcW w:w="1411" w:type="dxa"/>
            <w:tcBorders>
              <w:top w:val="nil"/>
              <w:bottom w:val="single" w:sz="2" w:space="0" w:color="1F3864" w:themeColor="accent1" w:themeShade="80"/>
            </w:tcBorders>
            <w:shd w:val="clear" w:color="auto" w:fill="auto"/>
            <w:vAlign w:val="center"/>
          </w:tcPr>
          <w:p w14:paraId="44EB958B" w14:textId="77777777" w:rsidR="00E12DD5" w:rsidRPr="00C53E95" w:rsidRDefault="00E12DD5">
            <w:pPr>
              <w:pStyle w:val="08-Tabelageral"/>
              <w:rPr>
                <w:rFonts w:cs="Arial"/>
                <w:b/>
                <w:bCs/>
                <w:szCs w:val="14"/>
              </w:rPr>
            </w:pPr>
            <w:r w:rsidRPr="00C337C8">
              <w:rPr>
                <w:rFonts w:cs="Arial"/>
                <w:b/>
                <w:bCs/>
                <w:szCs w:val="14"/>
              </w:rPr>
              <w:t>(</w:t>
            </w:r>
            <w:r>
              <w:rPr>
                <w:rFonts w:cs="Arial"/>
                <w:b/>
                <w:bCs/>
                <w:szCs w:val="14"/>
              </w:rPr>
              <w:t>3.890</w:t>
            </w:r>
            <w:r w:rsidRPr="00C337C8">
              <w:rPr>
                <w:rFonts w:cs="Arial"/>
                <w:b/>
                <w:bCs/>
                <w:szCs w:val="14"/>
              </w:rPr>
              <w:t>)</w:t>
            </w:r>
          </w:p>
        </w:tc>
        <w:tc>
          <w:tcPr>
            <w:tcW w:w="1412" w:type="dxa"/>
            <w:tcBorders>
              <w:top w:val="nil"/>
              <w:bottom w:val="single" w:sz="2" w:space="0" w:color="1F3864" w:themeColor="accent1" w:themeShade="80"/>
            </w:tcBorders>
            <w:shd w:val="clear" w:color="auto" w:fill="auto"/>
            <w:vAlign w:val="center"/>
          </w:tcPr>
          <w:p w14:paraId="1CD4DD80" w14:textId="77777777" w:rsidR="00E12DD5" w:rsidRPr="00C53E95" w:rsidRDefault="00E12DD5">
            <w:pPr>
              <w:pStyle w:val="08-Tabelageral"/>
              <w:rPr>
                <w:rFonts w:cs="Arial"/>
                <w:b/>
                <w:bCs/>
                <w:szCs w:val="14"/>
              </w:rPr>
            </w:pPr>
            <w:r>
              <w:rPr>
                <w:b/>
                <w:bCs/>
              </w:rPr>
              <w:t>(3.589)</w:t>
            </w:r>
          </w:p>
        </w:tc>
        <w:tc>
          <w:tcPr>
            <w:tcW w:w="283" w:type="dxa"/>
            <w:tcBorders>
              <w:top w:val="nil"/>
              <w:bottom w:val="single" w:sz="2" w:space="0" w:color="1F3864" w:themeColor="accent1" w:themeShade="80"/>
            </w:tcBorders>
            <w:shd w:val="clear" w:color="auto" w:fill="auto"/>
            <w:vAlign w:val="center"/>
          </w:tcPr>
          <w:p w14:paraId="2D422F79" w14:textId="77777777" w:rsidR="00E12DD5" w:rsidRPr="00C53E95" w:rsidRDefault="00E12DD5">
            <w:pPr>
              <w:pStyle w:val="08-Tabelageral"/>
              <w:rPr>
                <w:rFonts w:cs="Arial"/>
                <w:b/>
                <w:bCs/>
                <w:szCs w:val="14"/>
              </w:rPr>
            </w:pPr>
          </w:p>
        </w:tc>
        <w:tc>
          <w:tcPr>
            <w:tcW w:w="1417" w:type="dxa"/>
            <w:tcBorders>
              <w:top w:val="nil"/>
              <w:bottom w:val="single" w:sz="2" w:space="0" w:color="1F3864" w:themeColor="accent1" w:themeShade="80"/>
            </w:tcBorders>
            <w:shd w:val="clear" w:color="auto" w:fill="auto"/>
            <w:vAlign w:val="center"/>
          </w:tcPr>
          <w:p w14:paraId="5F2402BB" w14:textId="77777777" w:rsidR="00E12DD5" w:rsidRPr="00C53E95" w:rsidRDefault="00E12DD5">
            <w:pPr>
              <w:pStyle w:val="08-Tabelageral"/>
              <w:rPr>
                <w:rFonts w:cs="Arial"/>
                <w:b/>
                <w:bCs/>
                <w:szCs w:val="14"/>
              </w:rPr>
            </w:pPr>
            <w:r>
              <w:rPr>
                <w:rFonts w:cs="Arial"/>
                <w:b/>
                <w:bCs/>
                <w:szCs w:val="14"/>
              </w:rPr>
              <w:t>(107.498)</w:t>
            </w:r>
          </w:p>
        </w:tc>
        <w:tc>
          <w:tcPr>
            <w:tcW w:w="1526" w:type="dxa"/>
            <w:tcBorders>
              <w:top w:val="nil"/>
              <w:bottom w:val="single" w:sz="2" w:space="0" w:color="1F3864" w:themeColor="accent1" w:themeShade="80"/>
            </w:tcBorders>
            <w:shd w:val="clear" w:color="auto" w:fill="auto"/>
            <w:vAlign w:val="center"/>
          </w:tcPr>
          <w:p w14:paraId="0389AE9B" w14:textId="77777777" w:rsidR="00E12DD5" w:rsidRPr="00C53E95" w:rsidRDefault="00E12DD5">
            <w:pPr>
              <w:pStyle w:val="08-Tabelageral"/>
              <w:rPr>
                <w:rFonts w:cs="Arial"/>
                <w:b/>
                <w:bCs/>
                <w:szCs w:val="14"/>
              </w:rPr>
            </w:pPr>
            <w:r>
              <w:rPr>
                <w:b/>
                <w:bCs/>
              </w:rPr>
              <w:t>(88.554)</w:t>
            </w:r>
          </w:p>
        </w:tc>
      </w:tr>
    </w:tbl>
    <w:p w14:paraId="0C9674F1" w14:textId="1C661235" w:rsidR="00E12DD5" w:rsidRDefault="00E12DD5" w:rsidP="002C3B56">
      <w:pPr>
        <w:pStyle w:val="07-Legenda"/>
        <w:numPr>
          <w:ilvl w:val="0"/>
          <w:numId w:val="14"/>
        </w:numPr>
        <w:tabs>
          <w:tab w:val="clear" w:pos="284"/>
        </w:tabs>
        <w:ind w:left="284" w:hanging="284"/>
        <w:rPr>
          <w:rFonts w:cs="Arial"/>
          <w:szCs w:val="14"/>
        </w:rPr>
      </w:pPr>
      <w:bookmarkStart w:id="91" w:name="_Hlk126341878"/>
      <w:r w:rsidRPr="008B2299">
        <w:rPr>
          <w:rFonts w:cs="Arial"/>
          <w:szCs w:val="14"/>
        </w:rPr>
        <w:t xml:space="preserve">Refere-se a </w:t>
      </w:r>
      <w:r>
        <w:rPr>
          <w:rFonts w:cs="Arial"/>
          <w:szCs w:val="14"/>
        </w:rPr>
        <w:t xml:space="preserve">doações e </w:t>
      </w:r>
      <w:r w:rsidRPr="008B2299">
        <w:rPr>
          <w:rFonts w:cs="Arial"/>
          <w:szCs w:val="14"/>
        </w:rPr>
        <w:t>patrocínio</w:t>
      </w:r>
      <w:r>
        <w:rPr>
          <w:rFonts w:cs="Arial"/>
          <w:szCs w:val="14"/>
        </w:rPr>
        <w:t>s no âmbito das l</w:t>
      </w:r>
      <w:r w:rsidRPr="008B2299">
        <w:rPr>
          <w:rFonts w:cs="Arial"/>
          <w:szCs w:val="14"/>
        </w:rPr>
        <w:t>eis 8.313/91 (Programa de Apoio à Cultura)</w:t>
      </w:r>
      <w:r w:rsidR="004447AD">
        <w:rPr>
          <w:rFonts w:cs="Arial"/>
          <w:szCs w:val="14"/>
        </w:rPr>
        <w:t xml:space="preserve">, </w:t>
      </w:r>
      <w:r w:rsidR="00B42FDE">
        <w:rPr>
          <w:rFonts w:cs="Arial"/>
          <w:szCs w:val="14"/>
        </w:rPr>
        <w:t>12.213/10 (Fundo Nacional do Idoso)</w:t>
      </w:r>
      <w:r>
        <w:rPr>
          <w:rFonts w:cs="Arial"/>
          <w:szCs w:val="14"/>
        </w:rPr>
        <w:t xml:space="preserve"> e </w:t>
      </w:r>
      <w:r w:rsidRPr="008B2299">
        <w:rPr>
          <w:rFonts w:cs="Arial"/>
          <w:szCs w:val="14"/>
        </w:rPr>
        <w:t>11.438/06 (Incentivo ao Esporte</w:t>
      </w:r>
      <w:r>
        <w:rPr>
          <w:rFonts w:cs="Arial"/>
          <w:szCs w:val="14"/>
        </w:rPr>
        <w:t>).</w:t>
      </w:r>
    </w:p>
    <w:p w14:paraId="031104D7" w14:textId="77777777" w:rsidR="00E12DD5" w:rsidRDefault="00E12DD5" w:rsidP="002C3B56">
      <w:pPr>
        <w:pStyle w:val="07-Legenda"/>
        <w:numPr>
          <w:ilvl w:val="0"/>
          <w:numId w:val="14"/>
        </w:numPr>
        <w:tabs>
          <w:tab w:val="clear" w:pos="284"/>
        </w:tabs>
        <w:ind w:left="284" w:hanging="284"/>
        <w:rPr>
          <w:rFonts w:cs="Arial"/>
          <w:szCs w:val="14"/>
        </w:rPr>
      </w:pPr>
      <w:r>
        <w:rPr>
          <w:rFonts w:cs="Arial"/>
          <w:szCs w:val="14"/>
        </w:rPr>
        <w:t>P</w:t>
      </w:r>
      <w:r w:rsidRPr="00C8590C">
        <w:rPr>
          <w:rFonts w:cs="Arial"/>
          <w:szCs w:val="14"/>
        </w:rPr>
        <w:t xml:space="preserve">arcerias firmadas </w:t>
      </w:r>
      <w:r>
        <w:rPr>
          <w:rFonts w:cs="Arial"/>
          <w:szCs w:val="14"/>
        </w:rPr>
        <w:t>junto a</w:t>
      </w:r>
      <w:r w:rsidRPr="00C8590C">
        <w:rPr>
          <w:rFonts w:cs="Arial"/>
          <w:szCs w:val="14"/>
        </w:rPr>
        <w:t xml:space="preserve"> correspondentes bancários, em novos canais, para comercializaç</w:t>
      </w:r>
      <w:r>
        <w:rPr>
          <w:rFonts w:cs="Arial"/>
          <w:szCs w:val="14"/>
        </w:rPr>
        <w:t>ão</w:t>
      </w:r>
      <w:r w:rsidRPr="00C8590C">
        <w:rPr>
          <w:rFonts w:cs="Arial"/>
          <w:szCs w:val="14"/>
        </w:rPr>
        <w:t xml:space="preserve"> de produtos de seguridade</w:t>
      </w:r>
      <w:r>
        <w:rPr>
          <w:rFonts w:cs="Arial"/>
          <w:szCs w:val="14"/>
        </w:rPr>
        <w:t>;</w:t>
      </w:r>
      <w:r w:rsidRPr="00C8590C">
        <w:rPr>
          <w:rFonts w:cs="Arial"/>
          <w:szCs w:val="14"/>
        </w:rPr>
        <w:t xml:space="preserve"> e c</w:t>
      </w:r>
      <w:r>
        <w:rPr>
          <w:rFonts w:cs="Arial"/>
          <w:szCs w:val="14"/>
        </w:rPr>
        <w:t>a</w:t>
      </w:r>
      <w:r w:rsidRPr="00C8590C">
        <w:rPr>
          <w:rFonts w:cs="Arial"/>
          <w:szCs w:val="14"/>
        </w:rPr>
        <w:t xml:space="preserve">mpanhas comerciais de incentivo </w:t>
      </w:r>
      <w:r>
        <w:rPr>
          <w:rFonts w:cs="Arial"/>
          <w:szCs w:val="14"/>
        </w:rPr>
        <w:t>às</w:t>
      </w:r>
      <w:r w:rsidRPr="00C8590C">
        <w:rPr>
          <w:rFonts w:cs="Arial"/>
          <w:szCs w:val="14"/>
        </w:rPr>
        <w:t xml:space="preserve"> venda</w:t>
      </w:r>
      <w:r>
        <w:rPr>
          <w:rFonts w:cs="Arial"/>
          <w:szCs w:val="14"/>
        </w:rPr>
        <w:t>s</w:t>
      </w:r>
      <w:r w:rsidRPr="00C8590C">
        <w:rPr>
          <w:rFonts w:cs="Arial"/>
          <w:szCs w:val="14"/>
        </w:rPr>
        <w:t>.</w:t>
      </w:r>
      <w:bookmarkEnd w:id="91"/>
    </w:p>
    <w:p w14:paraId="0E22DAD6" w14:textId="77777777" w:rsidR="00E12DD5" w:rsidRPr="00E12DD5" w:rsidRDefault="00E12DD5" w:rsidP="00E12DD5"/>
    <w:p w14:paraId="794B4F56" w14:textId="7D681270" w:rsidR="005C6C41" w:rsidRPr="00BF2AAF" w:rsidRDefault="005C6C41" w:rsidP="00D5649F">
      <w:pPr>
        <w:pStyle w:val="02-TtulodeNota"/>
        <w:keepNext/>
        <w:keepLines/>
        <w:rPr>
          <w:rFonts w:cs="Arial"/>
        </w:rPr>
      </w:pPr>
      <w:bookmarkStart w:id="92" w:name="_Toc189757078"/>
      <w:r w:rsidRPr="00BF2AAF">
        <w:rPr>
          <w:rFonts w:cs="Arial"/>
        </w:rPr>
        <w:t>12 – TRIBUTOS</w:t>
      </w:r>
      <w:bookmarkEnd w:id="92"/>
    </w:p>
    <w:p w14:paraId="415AD5AD" w14:textId="77777777" w:rsidR="00C37757" w:rsidRPr="00C37757" w:rsidRDefault="00C37757" w:rsidP="00C37757">
      <w:pPr>
        <w:spacing w:after="40" w:line="276" w:lineRule="auto"/>
        <w:rPr>
          <w:rFonts w:ascii="Arial" w:eastAsia="MS Mincho" w:hAnsi="Arial" w:cs="Arial"/>
          <w:b/>
          <w:color w:val="1F4E79"/>
          <w:sz w:val="20"/>
          <w:szCs w:val="20"/>
        </w:rPr>
      </w:pPr>
      <w:r w:rsidRPr="00C37757">
        <w:rPr>
          <w:rFonts w:ascii="Arial" w:eastAsia="MS Mincho" w:hAnsi="Arial" w:cs="Arial"/>
          <w:b/>
          <w:color w:val="1F4E79"/>
          <w:sz w:val="20"/>
          <w:szCs w:val="20"/>
        </w:rPr>
        <w:t>a</w:t>
      </w:r>
      <w:r w:rsidRPr="00C37757">
        <w:rPr>
          <w:rFonts w:ascii="Arial" w:eastAsia="MS Mincho" w:hAnsi="Arial" w:cs="Arial"/>
          <w:b/>
          <w:color w:val="1F4E79"/>
          <w:sz w:val="18"/>
          <w:szCs w:val="18"/>
        </w:rPr>
        <w:t>) Demonstração da Despesa de IR e CS</w:t>
      </w:r>
    </w:p>
    <w:p w14:paraId="54C4340D" w14:textId="77777777" w:rsidR="00C37757" w:rsidRPr="00C37757" w:rsidRDefault="00C37757" w:rsidP="00C37757">
      <w:pPr>
        <w:spacing w:after="0" w:line="240" w:lineRule="auto"/>
        <w:jc w:val="right"/>
        <w:rPr>
          <w:rFonts w:ascii="Arial" w:eastAsia="MS Mincho" w:hAnsi="Arial" w:cs="Arial"/>
          <w:b/>
          <w:sz w:val="14"/>
          <w:szCs w:val="22"/>
          <w:lang w:eastAsia="pt-BR"/>
        </w:rPr>
      </w:pPr>
      <w:r w:rsidRPr="00C37757">
        <w:rPr>
          <w:rFonts w:ascii="Arial" w:eastAsia="MS Mincho" w:hAnsi="Arial" w:cs="Arial"/>
          <w:b/>
          <w:sz w:val="14"/>
          <w:szCs w:val="22"/>
          <w:lang w:eastAsia="pt-BR"/>
        </w:rPr>
        <w:t>R$ mil</w:t>
      </w:r>
    </w:p>
    <w:tbl>
      <w:tblPr>
        <w:tblW w:w="9639" w:type="dxa"/>
        <w:tblBorders>
          <w:top w:val="single" w:sz="2" w:space="0" w:color="8EAADB"/>
          <w:bottom w:val="single" w:sz="2" w:space="0" w:color="8EAADB"/>
        </w:tblBorders>
        <w:tblLook w:val="04A0" w:firstRow="1" w:lastRow="0" w:firstColumn="1" w:lastColumn="0" w:noHBand="0" w:noVBand="1"/>
      </w:tblPr>
      <w:tblGrid>
        <w:gridCol w:w="3094"/>
        <w:gridCol w:w="604"/>
        <w:gridCol w:w="1411"/>
        <w:gridCol w:w="1412"/>
        <w:gridCol w:w="283"/>
        <w:gridCol w:w="1417"/>
        <w:gridCol w:w="1418"/>
      </w:tblGrid>
      <w:tr w:rsidR="00C37757" w:rsidRPr="00C37757" w14:paraId="0609C1EC" w14:textId="77777777" w:rsidTr="00C37757">
        <w:trPr>
          <w:trHeight w:val="238"/>
        </w:trPr>
        <w:tc>
          <w:tcPr>
            <w:tcW w:w="3094" w:type="dxa"/>
            <w:tcBorders>
              <w:top w:val="single" w:sz="2" w:space="0" w:color="1F4E79"/>
              <w:bottom w:val="nil"/>
            </w:tcBorders>
            <w:shd w:val="clear" w:color="auto" w:fill="auto"/>
            <w:vAlign w:val="center"/>
          </w:tcPr>
          <w:p w14:paraId="060DA746" w14:textId="77777777" w:rsidR="00C37757" w:rsidRPr="00C37757" w:rsidRDefault="00C37757" w:rsidP="00C37757">
            <w:pPr>
              <w:spacing w:after="0" w:line="276" w:lineRule="auto"/>
              <w:jc w:val="center"/>
              <w:rPr>
                <w:rFonts w:ascii="Arial" w:eastAsia="MS Mincho" w:hAnsi="Arial" w:cs="Arial"/>
                <w:b/>
                <w:sz w:val="18"/>
                <w:szCs w:val="18"/>
              </w:rPr>
            </w:pPr>
          </w:p>
        </w:tc>
        <w:tc>
          <w:tcPr>
            <w:tcW w:w="604" w:type="dxa"/>
            <w:tcBorders>
              <w:top w:val="single" w:sz="2" w:space="0" w:color="1F4E79"/>
              <w:bottom w:val="nil"/>
            </w:tcBorders>
            <w:shd w:val="clear" w:color="auto" w:fill="auto"/>
            <w:vAlign w:val="center"/>
          </w:tcPr>
          <w:p w14:paraId="54D6E605" w14:textId="77777777" w:rsidR="00C37757" w:rsidRPr="00C37757" w:rsidRDefault="00C37757" w:rsidP="00C37757">
            <w:pPr>
              <w:spacing w:after="0" w:line="276" w:lineRule="auto"/>
              <w:jc w:val="center"/>
              <w:rPr>
                <w:rFonts w:ascii="Arial" w:eastAsia="MS Mincho" w:hAnsi="Arial" w:cs="Arial"/>
                <w:b/>
                <w:sz w:val="18"/>
                <w:szCs w:val="18"/>
              </w:rPr>
            </w:pPr>
          </w:p>
        </w:tc>
        <w:tc>
          <w:tcPr>
            <w:tcW w:w="2823" w:type="dxa"/>
            <w:gridSpan w:val="2"/>
            <w:tcBorders>
              <w:top w:val="single" w:sz="2" w:space="0" w:color="1F4E79"/>
              <w:bottom w:val="single" w:sz="2" w:space="0" w:color="1F4E79"/>
            </w:tcBorders>
            <w:shd w:val="clear" w:color="auto" w:fill="auto"/>
            <w:vAlign w:val="center"/>
          </w:tcPr>
          <w:p w14:paraId="5343337E" w14:textId="77777777" w:rsidR="00C37757" w:rsidRPr="00C37757" w:rsidRDefault="00C37757" w:rsidP="00C37757">
            <w:pPr>
              <w:spacing w:after="0" w:line="276" w:lineRule="auto"/>
              <w:jc w:val="center"/>
              <w:rPr>
                <w:rFonts w:ascii="Arial" w:eastAsia="MS Mincho" w:hAnsi="Arial" w:cs="Arial"/>
                <w:b/>
                <w:sz w:val="14"/>
                <w:szCs w:val="18"/>
              </w:rPr>
            </w:pPr>
            <w:r w:rsidRPr="00C37757">
              <w:rPr>
                <w:rFonts w:ascii="Arial" w:eastAsia="MS Mincho" w:hAnsi="Arial" w:cs="Arial"/>
                <w:b/>
                <w:sz w:val="14"/>
                <w:szCs w:val="18"/>
              </w:rPr>
              <w:t>Controlador</w:t>
            </w:r>
          </w:p>
        </w:tc>
        <w:tc>
          <w:tcPr>
            <w:tcW w:w="283" w:type="dxa"/>
            <w:tcBorders>
              <w:top w:val="single" w:sz="2" w:space="0" w:color="1F4E79"/>
              <w:bottom w:val="nil"/>
            </w:tcBorders>
            <w:shd w:val="clear" w:color="auto" w:fill="auto"/>
            <w:vAlign w:val="center"/>
          </w:tcPr>
          <w:p w14:paraId="541B5545" w14:textId="77777777" w:rsidR="00C37757" w:rsidRPr="00C37757" w:rsidRDefault="00C37757" w:rsidP="00C37757">
            <w:pPr>
              <w:spacing w:after="0" w:line="276" w:lineRule="auto"/>
              <w:jc w:val="center"/>
              <w:rPr>
                <w:rFonts w:ascii="Arial" w:eastAsia="MS Mincho" w:hAnsi="Arial" w:cs="Arial"/>
                <w:b/>
                <w:sz w:val="18"/>
                <w:szCs w:val="18"/>
              </w:rPr>
            </w:pPr>
          </w:p>
        </w:tc>
        <w:tc>
          <w:tcPr>
            <w:tcW w:w="2835" w:type="dxa"/>
            <w:gridSpan w:val="2"/>
            <w:tcBorders>
              <w:top w:val="single" w:sz="2" w:space="0" w:color="1F4E79"/>
              <w:bottom w:val="single" w:sz="2" w:space="0" w:color="1F4E79"/>
            </w:tcBorders>
            <w:shd w:val="clear" w:color="auto" w:fill="auto"/>
            <w:vAlign w:val="center"/>
          </w:tcPr>
          <w:p w14:paraId="37A31281" w14:textId="77777777" w:rsidR="00C37757" w:rsidRPr="00C37757" w:rsidRDefault="00C37757" w:rsidP="00C37757">
            <w:pPr>
              <w:spacing w:after="0" w:line="276" w:lineRule="auto"/>
              <w:jc w:val="center"/>
              <w:rPr>
                <w:rFonts w:ascii="Arial" w:eastAsia="MS Mincho" w:hAnsi="Arial" w:cs="Arial"/>
                <w:b/>
                <w:sz w:val="18"/>
                <w:szCs w:val="18"/>
              </w:rPr>
            </w:pPr>
            <w:r w:rsidRPr="00C37757">
              <w:rPr>
                <w:rFonts w:ascii="Arial" w:eastAsia="MS Mincho" w:hAnsi="Arial" w:cs="Arial"/>
                <w:b/>
                <w:sz w:val="14"/>
                <w:szCs w:val="18"/>
              </w:rPr>
              <w:t>Consolidado</w:t>
            </w:r>
          </w:p>
        </w:tc>
      </w:tr>
      <w:tr w:rsidR="00C37757" w:rsidRPr="00C37757" w14:paraId="137CA0A7" w14:textId="77777777" w:rsidTr="00C37757">
        <w:trPr>
          <w:trHeight w:val="238"/>
        </w:trPr>
        <w:tc>
          <w:tcPr>
            <w:tcW w:w="3094" w:type="dxa"/>
            <w:tcBorders>
              <w:top w:val="nil"/>
              <w:bottom w:val="single" w:sz="2" w:space="0" w:color="1F4E79"/>
            </w:tcBorders>
            <w:shd w:val="clear" w:color="auto" w:fill="auto"/>
            <w:vAlign w:val="center"/>
          </w:tcPr>
          <w:p w14:paraId="3F613328" w14:textId="77777777" w:rsidR="00C37757" w:rsidRPr="00C37757" w:rsidRDefault="00C37757" w:rsidP="00C37757">
            <w:pPr>
              <w:keepNext/>
              <w:keepLines/>
              <w:spacing w:before="40" w:after="40" w:line="240" w:lineRule="auto"/>
              <w:jc w:val="right"/>
              <w:rPr>
                <w:rFonts w:ascii="Arial" w:eastAsia="Times New Roman" w:hAnsi="Arial" w:cs="Arial"/>
                <w:b/>
                <w:spacing w:val="-2"/>
                <w:sz w:val="14"/>
                <w:szCs w:val="18"/>
                <w:lang w:eastAsia="pt-BR"/>
              </w:rPr>
            </w:pPr>
          </w:p>
        </w:tc>
        <w:tc>
          <w:tcPr>
            <w:tcW w:w="604" w:type="dxa"/>
            <w:tcBorders>
              <w:top w:val="nil"/>
              <w:bottom w:val="single" w:sz="2" w:space="0" w:color="1F4E79"/>
            </w:tcBorders>
            <w:shd w:val="clear" w:color="auto" w:fill="auto"/>
            <w:vAlign w:val="center"/>
          </w:tcPr>
          <w:p w14:paraId="0EF456C2" w14:textId="77777777" w:rsidR="00C37757" w:rsidRPr="00C37757" w:rsidRDefault="00C37757" w:rsidP="00C37757">
            <w:pPr>
              <w:keepNext/>
              <w:keepLines/>
              <w:spacing w:before="40" w:after="40" w:line="240" w:lineRule="auto"/>
              <w:jc w:val="right"/>
              <w:rPr>
                <w:rFonts w:ascii="Arial" w:eastAsia="Times New Roman" w:hAnsi="Arial" w:cs="Arial"/>
                <w:b/>
                <w:spacing w:val="-2"/>
                <w:sz w:val="14"/>
                <w:szCs w:val="18"/>
                <w:lang w:eastAsia="pt-BR"/>
              </w:rPr>
            </w:pPr>
          </w:p>
        </w:tc>
        <w:tc>
          <w:tcPr>
            <w:tcW w:w="1411" w:type="dxa"/>
            <w:tcBorders>
              <w:top w:val="single" w:sz="2" w:space="0" w:color="1F4E79"/>
              <w:bottom w:val="single" w:sz="2" w:space="0" w:color="1F4E79"/>
            </w:tcBorders>
            <w:shd w:val="clear" w:color="auto" w:fill="auto"/>
          </w:tcPr>
          <w:p w14:paraId="4EB1000E" w14:textId="77777777" w:rsidR="00C37757" w:rsidRPr="00C37757" w:rsidRDefault="00C37757" w:rsidP="00C37757">
            <w:pPr>
              <w:keepNext/>
              <w:keepLines/>
              <w:spacing w:before="40" w:after="40" w:line="240" w:lineRule="auto"/>
              <w:jc w:val="right"/>
              <w:rPr>
                <w:rFonts w:ascii="Arial" w:eastAsia="Times New Roman" w:hAnsi="Arial" w:cs="Arial"/>
                <w:b/>
                <w:spacing w:val="-2"/>
                <w:sz w:val="14"/>
                <w:szCs w:val="18"/>
                <w:lang w:eastAsia="pt-BR"/>
              </w:rPr>
            </w:pPr>
            <w:r w:rsidRPr="00C37757">
              <w:rPr>
                <w:rFonts w:ascii="Arial" w:eastAsia="Times New Roman" w:hAnsi="Arial" w:cs="Times New Roman"/>
                <w:b/>
                <w:spacing w:val="-2"/>
                <w:sz w:val="14"/>
                <w:szCs w:val="18"/>
                <w:lang w:eastAsia="pt-BR"/>
              </w:rPr>
              <w:t>Exercício 2024</w:t>
            </w:r>
          </w:p>
        </w:tc>
        <w:tc>
          <w:tcPr>
            <w:tcW w:w="1412" w:type="dxa"/>
            <w:tcBorders>
              <w:top w:val="single" w:sz="2" w:space="0" w:color="1F4E79"/>
              <w:bottom w:val="single" w:sz="2" w:space="0" w:color="1F4E79"/>
            </w:tcBorders>
            <w:shd w:val="clear" w:color="auto" w:fill="auto"/>
          </w:tcPr>
          <w:p w14:paraId="775C0009" w14:textId="77777777" w:rsidR="00C37757" w:rsidRPr="00C37757" w:rsidRDefault="00C37757" w:rsidP="00C37757">
            <w:pPr>
              <w:keepNext/>
              <w:keepLines/>
              <w:spacing w:before="40" w:after="40" w:line="240" w:lineRule="auto"/>
              <w:jc w:val="right"/>
              <w:rPr>
                <w:rFonts w:ascii="Arial" w:eastAsia="Times New Roman" w:hAnsi="Arial" w:cs="Arial"/>
                <w:b/>
                <w:spacing w:val="-2"/>
                <w:sz w:val="14"/>
                <w:szCs w:val="18"/>
                <w:lang w:eastAsia="pt-BR"/>
              </w:rPr>
            </w:pPr>
            <w:r w:rsidRPr="00C37757">
              <w:rPr>
                <w:rFonts w:ascii="Arial" w:eastAsia="Times New Roman" w:hAnsi="Arial" w:cs="Times New Roman"/>
                <w:b/>
                <w:spacing w:val="-2"/>
                <w:sz w:val="14"/>
                <w:szCs w:val="18"/>
                <w:lang w:eastAsia="pt-BR"/>
              </w:rPr>
              <w:t>Exercício 2023</w:t>
            </w:r>
          </w:p>
        </w:tc>
        <w:tc>
          <w:tcPr>
            <w:tcW w:w="283" w:type="dxa"/>
            <w:tcBorders>
              <w:top w:val="nil"/>
              <w:bottom w:val="single" w:sz="2" w:space="0" w:color="1F4E79"/>
            </w:tcBorders>
            <w:shd w:val="clear" w:color="auto" w:fill="auto"/>
          </w:tcPr>
          <w:p w14:paraId="1F7A4924" w14:textId="77777777" w:rsidR="00C37757" w:rsidRPr="00C37757" w:rsidRDefault="00C37757" w:rsidP="00C37757">
            <w:pPr>
              <w:keepNext/>
              <w:keepLines/>
              <w:spacing w:before="40" w:after="40" w:line="240" w:lineRule="auto"/>
              <w:jc w:val="right"/>
              <w:rPr>
                <w:rFonts w:ascii="Arial" w:eastAsia="Times New Roman" w:hAnsi="Arial" w:cs="Arial"/>
                <w:b/>
                <w:spacing w:val="-2"/>
                <w:sz w:val="14"/>
                <w:szCs w:val="18"/>
                <w:lang w:eastAsia="pt-BR"/>
              </w:rPr>
            </w:pPr>
          </w:p>
        </w:tc>
        <w:tc>
          <w:tcPr>
            <w:tcW w:w="1417" w:type="dxa"/>
            <w:tcBorders>
              <w:top w:val="single" w:sz="2" w:space="0" w:color="1F4E79"/>
              <w:bottom w:val="single" w:sz="2" w:space="0" w:color="1F4E79"/>
            </w:tcBorders>
            <w:shd w:val="clear" w:color="auto" w:fill="auto"/>
          </w:tcPr>
          <w:p w14:paraId="3154A4E6" w14:textId="77777777" w:rsidR="00C37757" w:rsidRPr="00C37757" w:rsidRDefault="00C37757" w:rsidP="00C37757">
            <w:pPr>
              <w:keepNext/>
              <w:keepLines/>
              <w:spacing w:before="40" w:after="40" w:line="240" w:lineRule="auto"/>
              <w:jc w:val="right"/>
              <w:rPr>
                <w:rFonts w:ascii="Arial" w:eastAsia="Times New Roman" w:hAnsi="Arial" w:cs="Arial"/>
                <w:b/>
                <w:spacing w:val="-2"/>
                <w:sz w:val="14"/>
                <w:szCs w:val="18"/>
                <w:lang w:eastAsia="pt-BR"/>
              </w:rPr>
            </w:pPr>
            <w:r w:rsidRPr="00C37757">
              <w:rPr>
                <w:rFonts w:ascii="Arial" w:eastAsia="Times New Roman" w:hAnsi="Arial" w:cs="Times New Roman"/>
                <w:b/>
                <w:spacing w:val="-2"/>
                <w:sz w:val="14"/>
                <w:szCs w:val="18"/>
                <w:lang w:eastAsia="pt-BR"/>
              </w:rPr>
              <w:t>Exercício 2024</w:t>
            </w:r>
          </w:p>
        </w:tc>
        <w:tc>
          <w:tcPr>
            <w:tcW w:w="1418" w:type="dxa"/>
            <w:tcBorders>
              <w:top w:val="single" w:sz="2" w:space="0" w:color="1F4E79"/>
              <w:bottom w:val="single" w:sz="2" w:space="0" w:color="1F4E79"/>
            </w:tcBorders>
            <w:shd w:val="clear" w:color="auto" w:fill="auto"/>
          </w:tcPr>
          <w:p w14:paraId="1746D596" w14:textId="77777777" w:rsidR="00C37757" w:rsidRPr="00C37757" w:rsidRDefault="00C37757" w:rsidP="00C37757">
            <w:pPr>
              <w:keepNext/>
              <w:keepLines/>
              <w:spacing w:before="40" w:after="40" w:line="240" w:lineRule="auto"/>
              <w:jc w:val="right"/>
              <w:rPr>
                <w:rFonts w:ascii="Arial" w:eastAsia="Times New Roman" w:hAnsi="Arial" w:cs="Arial"/>
                <w:b/>
                <w:spacing w:val="-2"/>
                <w:sz w:val="14"/>
                <w:szCs w:val="18"/>
                <w:lang w:eastAsia="pt-BR"/>
              </w:rPr>
            </w:pPr>
            <w:r w:rsidRPr="00C37757">
              <w:rPr>
                <w:rFonts w:ascii="Arial" w:eastAsia="Times New Roman" w:hAnsi="Arial" w:cs="Times New Roman"/>
                <w:b/>
                <w:spacing w:val="-2"/>
                <w:sz w:val="14"/>
                <w:szCs w:val="18"/>
                <w:lang w:eastAsia="pt-BR"/>
              </w:rPr>
              <w:t>Exercício 2023</w:t>
            </w:r>
          </w:p>
        </w:tc>
      </w:tr>
      <w:tr w:rsidR="00C37757" w:rsidRPr="00C37757" w14:paraId="79DDC6AD" w14:textId="77777777" w:rsidTr="00C37757">
        <w:trPr>
          <w:trHeight w:val="238"/>
        </w:trPr>
        <w:tc>
          <w:tcPr>
            <w:tcW w:w="3094" w:type="dxa"/>
            <w:tcBorders>
              <w:top w:val="single" w:sz="2" w:space="0" w:color="1F4E79"/>
              <w:bottom w:val="nil"/>
            </w:tcBorders>
            <w:shd w:val="clear" w:color="auto" w:fill="auto"/>
          </w:tcPr>
          <w:p w14:paraId="2F2BF33F" w14:textId="77777777" w:rsidR="00C37757" w:rsidRPr="00C37757" w:rsidRDefault="00C37757" w:rsidP="00C37757">
            <w:pPr>
              <w:keepNext/>
              <w:keepLines/>
              <w:spacing w:before="40" w:after="40" w:line="240" w:lineRule="auto"/>
              <w:rPr>
                <w:rFonts w:ascii="Arial" w:eastAsia="Times New Roman" w:hAnsi="Arial" w:cs="Arial"/>
                <w:b/>
                <w:bCs/>
                <w:spacing w:val="-2"/>
                <w:sz w:val="14"/>
                <w:szCs w:val="14"/>
                <w:lang w:eastAsia="pt-BR"/>
              </w:rPr>
            </w:pPr>
            <w:r w:rsidRPr="00C37757">
              <w:rPr>
                <w:rFonts w:ascii="Arial" w:eastAsia="Times New Roman" w:hAnsi="Arial" w:cs="Arial"/>
                <w:b/>
                <w:spacing w:val="-2"/>
                <w:sz w:val="14"/>
                <w:szCs w:val="14"/>
                <w:lang w:eastAsia="pt-BR"/>
              </w:rPr>
              <w:t>Valores Correntes</w:t>
            </w:r>
          </w:p>
        </w:tc>
        <w:tc>
          <w:tcPr>
            <w:tcW w:w="604" w:type="dxa"/>
            <w:tcBorders>
              <w:top w:val="single" w:sz="2" w:space="0" w:color="1F4E79"/>
              <w:bottom w:val="nil"/>
            </w:tcBorders>
            <w:shd w:val="clear" w:color="auto" w:fill="auto"/>
          </w:tcPr>
          <w:p w14:paraId="441F83CA" w14:textId="77777777" w:rsidR="00C37757" w:rsidRPr="00C37757" w:rsidRDefault="00C37757" w:rsidP="00C37757">
            <w:pPr>
              <w:keepNext/>
              <w:keepLines/>
              <w:spacing w:before="40" w:after="40" w:line="240" w:lineRule="auto"/>
              <w:jc w:val="center"/>
              <w:rPr>
                <w:rFonts w:ascii="Arial" w:eastAsia="Times New Roman" w:hAnsi="Arial" w:cs="Arial"/>
                <w:b/>
                <w:spacing w:val="-2"/>
                <w:sz w:val="14"/>
                <w:szCs w:val="14"/>
                <w:lang w:eastAsia="pt-BR"/>
              </w:rPr>
            </w:pPr>
          </w:p>
        </w:tc>
        <w:tc>
          <w:tcPr>
            <w:tcW w:w="1411" w:type="dxa"/>
            <w:tcBorders>
              <w:top w:val="single" w:sz="2" w:space="0" w:color="1F4E79"/>
              <w:bottom w:val="nil"/>
            </w:tcBorders>
            <w:shd w:val="clear" w:color="auto" w:fill="auto"/>
            <w:vAlign w:val="center"/>
          </w:tcPr>
          <w:p w14:paraId="080FB64D" w14:textId="77777777" w:rsidR="00C37757" w:rsidRPr="00C37757" w:rsidRDefault="00C37757" w:rsidP="00C37757">
            <w:pPr>
              <w:keepNext/>
              <w:keepLines/>
              <w:spacing w:before="40" w:after="40" w:line="240" w:lineRule="auto"/>
              <w:jc w:val="right"/>
              <w:rPr>
                <w:rFonts w:ascii="Arial" w:eastAsia="Times New Roman" w:hAnsi="Arial" w:cs="Arial"/>
                <w:b/>
                <w:spacing w:val="-2"/>
                <w:sz w:val="14"/>
                <w:szCs w:val="14"/>
                <w:lang w:eastAsia="pt-BR"/>
              </w:rPr>
            </w:pPr>
            <w:r w:rsidRPr="00C37757">
              <w:rPr>
                <w:rFonts w:ascii="Arial" w:eastAsia="Times New Roman" w:hAnsi="Arial" w:cs="Arial"/>
                <w:b/>
                <w:spacing w:val="-2"/>
                <w:sz w:val="14"/>
                <w:szCs w:val="14"/>
                <w:lang w:eastAsia="pt-BR"/>
              </w:rPr>
              <w:t>(9.917)</w:t>
            </w:r>
          </w:p>
        </w:tc>
        <w:tc>
          <w:tcPr>
            <w:tcW w:w="1412" w:type="dxa"/>
            <w:tcBorders>
              <w:top w:val="single" w:sz="2" w:space="0" w:color="1F4E79"/>
              <w:bottom w:val="nil"/>
            </w:tcBorders>
            <w:shd w:val="clear" w:color="auto" w:fill="auto"/>
            <w:vAlign w:val="center"/>
          </w:tcPr>
          <w:p w14:paraId="5DD15A40" w14:textId="77777777" w:rsidR="00C37757" w:rsidRPr="00C37757" w:rsidRDefault="00C37757" w:rsidP="00C37757">
            <w:pPr>
              <w:keepNext/>
              <w:keepLines/>
              <w:spacing w:before="40" w:after="40" w:line="240" w:lineRule="auto"/>
              <w:jc w:val="right"/>
              <w:rPr>
                <w:rFonts w:ascii="Arial" w:eastAsia="Times New Roman" w:hAnsi="Arial" w:cs="Arial"/>
                <w:b/>
                <w:spacing w:val="-2"/>
                <w:sz w:val="14"/>
                <w:szCs w:val="18"/>
                <w:lang w:eastAsia="pt-BR"/>
              </w:rPr>
            </w:pPr>
            <w:r w:rsidRPr="00C37757">
              <w:rPr>
                <w:rFonts w:ascii="Arial" w:eastAsia="Times New Roman" w:hAnsi="Arial" w:cs="Arial"/>
                <w:b/>
                <w:spacing w:val="-2"/>
                <w:sz w:val="14"/>
                <w:szCs w:val="14"/>
                <w:lang w:eastAsia="pt-BR"/>
              </w:rPr>
              <w:t>(11.816)</w:t>
            </w:r>
          </w:p>
        </w:tc>
        <w:tc>
          <w:tcPr>
            <w:tcW w:w="283" w:type="dxa"/>
            <w:tcBorders>
              <w:top w:val="single" w:sz="2" w:space="0" w:color="1F4E79"/>
              <w:bottom w:val="nil"/>
            </w:tcBorders>
            <w:shd w:val="clear" w:color="auto" w:fill="auto"/>
            <w:vAlign w:val="center"/>
          </w:tcPr>
          <w:p w14:paraId="43801E85" w14:textId="77777777" w:rsidR="00C37757" w:rsidRPr="00C37757" w:rsidRDefault="00C37757" w:rsidP="00C37757">
            <w:pPr>
              <w:keepNext/>
              <w:keepLines/>
              <w:spacing w:before="40" w:after="40" w:line="240" w:lineRule="auto"/>
              <w:jc w:val="right"/>
              <w:rPr>
                <w:rFonts w:ascii="Arial" w:eastAsia="Times New Roman" w:hAnsi="Arial" w:cs="Arial"/>
                <w:b/>
                <w:spacing w:val="-2"/>
                <w:sz w:val="14"/>
                <w:szCs w:val="14"/>
                <w:lang w:eastAsia="pt-BR"/>
              </w:rPr>
            </w:pPr>
          </w:p>
        </w:tc>
        <w:tc>
          <w:tcPr>
            <w:tcW w:w="1417" w:type="dxa"/>
            <w:tcBorders>
              <w:top w:val="single" w:sz="2" w:space="0" w:color="1F4E79"/>
              <w:bottom w:val="nil"/>
            </w:tcBorders>
            <w:shd w:val="clear" w:color="auto" w:fill="auto"/>
            <w:vAlign w:val="center"/>
          </w:tcPr>
          <w:p w14:paraId="251FA2EB" w14:textId="77777777" w:rsidR="00C37757" w:rsidRPr="00C37757" w:rsidRDefault="00C37757" w:rsidP="00C37757">
            <w:pPr>
              <w:keepNext/>
              <w:keepLines/>
              <w:spacing w:before="40" w:after="40" w:line="240" w:lineRule="auto"/>
              <w:jc w:val="right"/>
              <w:rPr>
                <w:rFonts w:ascii="Arial" w:eastAsia="Times New Roman" w:hAnsi="Arial" w:cs="Arial"/>
                <w:b/>
                <w:spacing w:val="-2"/>
                <w:sz w:val="14"/>
                <w:szCs w:val="14"/>
                <w:lang w:eastAsia="pt-BR"/>
              </w:rPr>
            </w:pPr>
            <w:r w:rsidRPr="00C37757">
              <w:rPr>
                <w:rFonts w:ascii="Arial" w:eastAsia="Times New Roman" w:hAnsi="Arial" w:cs="Arial"/>
                <w:b/>
                <w:spacing w:val="-2"/>
                <w:sz w:val="14"/>
                <w:szCs w:val="14"/>
                <w:lang w:eastAsia="pt-BR"/>
              </w:rPr>
              <w:t>(1.723.343)</w:t>
            </w:r>
          </w:p>
        </w:tc>
        <w:tc>
          <w:tcPr>
            <w:tcW w:w="1418" w:type="dxa"/>
            <w:tcBorders>
              <w:top w:val="single" w:sz="2" w:space="0" w:color="1F4E79"/>
              <w:bottom w:val="nil"/>
            </w:tcBorders>
            <w:shd w:val="clear" w:color="auto" w:fill="auto"/>
            <w:vAlign w:val="center"/>
          </w:tcPr>
          <w:p w14:paraId="49B9D99A" w14:textId="77777777" w:rsidR="00C37757" w:rsidRPr="00C37757" w:rsidRDefault="00C37757" w:rsidP="00C37757">
            <w:pPr>
              <w:keepNext/>
              <w:keepLines/>
              <w:spacing w:before="40" w:after="40" w:line="240" w:lineRule="auto"/>
              <w:jc w:val="right"/>
              <w:rPr>
                <w:rFonts w:ascii="Arial" w:eastAsia="Times New Roman" w:hAnsi="Arial" w:cs="Arial"/>
                <w:b/>
                <w:spacing w:val="-2"/>
                <w:sz w:val="14"/>
                <w:szCs w:val="18"/>
                <w:lang w:eastAsia="pt-BR"/>
              </w:rPr>
            </w:pPr>
            <w:r w:rsidRPr="00C37757">
              <w:rPr>
                <w:rFonts w:ascii="Arial" w:eastAsia="Times New Roman" w:hAnsi="Arial" w:cs="Arial"/>
                <w:b/>
                <w:spacing w:val="-2"/>
                <w:sz w:val="14"/>
                <w:szCs w:val="14"/>
                <w:lang w:eastAsia="pt-BR"/>
              </w:rPr>
              <w:t>(1.551.580)</w:t>
            </w:r>
          </w:p>
        </w:tc>
      </w:tr>
      <w:tr w:rsidR="00C37757" w:rsidRPr="00C37757" w14:paraId="26C50AA2" w14:textId="77777777" w:rsidTr="00C37757">
        <w:trPr>
          <w:trHeight w:val="238"/>
        </w:trPr>
        <w:tc>
          <w:tcPr>
            <w:tcW w:w="3094" w:type="dxa"/>
            <w:tcBorders>
              <w:top w:val="nil"/>
            </w:tcBorders>
            <w:shd w:val="clear" w:color="auto" w:fill="auto"/>
          </w:tcPr>
          <w:p w14:paraId="4C1BE3F7" w14:textId="77777777" w:rsidR="00C37757" w:rsidRPr="00C37757" w:rsidRDefault="00C37757" w:rsidP="00C37757">
            <w:pPr>
              <w:keepNext/>
              <w:keepLines/>
              <w:spacing w:before="40" w:after="40" w:line="240" w:lineRule="auto"/>
              <w:ind w:left="113"/>
              <w:rPr>
                <w:rFonts w:ascii="Arial" w:eastAsia="Times New Roman" w:hAnsi="Arial" w:cs="Arial"/>
                <w:b/>
                <w:spacing w:val="-2"/>
                <w:sz w:val="14"/>
                <w:szCs w:val="14"/>
                <w:lang w:eastAsia="pt-BR"/>
              </w:rPr>
            </w:pPr>
            <w:r w:rsidRPr="00C37757">
              <w:rPr>
                <w:rFonts w:ascii="Arial" w:eastAsia="Times New Roman" w:hAnsi="Arial" w:cs="Arial"/>
                <w:spacing w:val="-2"/>
                <w:sz w:val="14"/>
                <w:szCs w:val="14"/>
                <w:lang w:eastAsia="pt-BR"/>
              </w:rPr>
              <w:t>IR e CS</w:t>
            </w:r>
          </w:p>
        </w:tc>
        <w:tc>
          <w:tcPr>
            <w:tcW w:w="604" w:type="dxa"/>
            <w:tcBorders>
              <w:top w:val="nil"/>
            </w:tcBorders>
            <w:shd w:val="clear" w:color="auto" w:fill="auto"/>
          </w:tcPr>
          <w:p w14:paraId="65056427" w14:textId="77777777" w:rsidR="00C37757" w:rsidRPr="00C37757" w:rsidRDefault="00C37757" w:rsidP="00C37757">
            <w:pPr>
              <w:keepNext/>
              <w:keepLines/>
              <w:spacing w:before="40" w:after="40" w:line="240" w:lineRule="auto"/>
              <w:ind w:left="113"/>
              <w:jc w:val="center"/>
              <w:rPr>
                <w:rFonts w:ascii="Arial" w:eastAsia="Times New Roman" w:hAnsi="Arial" w:cs="Arial"/>
                <w:spacing w:val="-2"/>
                <w:sz w:val="14"/>
                <w:szCs w:val="14"/>
                <w:lang w:eastAsia="pt-BR"/>
              </w:rPr>
            </w:pPr>
          </w:p>
        </w:tc>
        <w:tc>
          <w:tcPr>
            <w:tcW w:w="1411" w:type="dxa"/>
            <w:tcBorders>
              <w:top w:val="nil"/>
            </w:tcBorders>
            <w:shd w:val="clear" w:color="auto" w:fill="auto"/>
            <w:vAlign w:val="center"/>
          </w:tcPr>
          <w:p w14:paraId="1AE01BD0" w14:textId="77777777" w:rsidR="00C37757" w:rsidRPr="00C37757" w:rsidRDefault="00C37757" w:rsidP="00C37757">
            <w:pPr>
              <w:keepNext/>
              <w:keepLines/>
              <w:spacing w:before="40" w:after="40" w:line="240" w:lineRule="auto"/>
              <w:ind w:left="113"/>
              <w:jc w:val="right"/>
              <w:rPr>
                <w:rFonts w:ascii="Arial" w:eastAsia="Times New Roman" w:hAnsi="Arial" w:cs="Arial"/>
                <w:spacing w:val="-2"/>
                <w:sz w:val="14"/>
                <w:szCs w:val="14"/>
                <w:lang w:eastAsia="pt-BR"/>
              </w:rPr>
            </w:pPr>
            <w:r w:rsidRPr="00F7280E">
              <w:rPr>
                <w:rFonts w:ascii="Arial" w:eastAsia="Times New Roman" w:hAnsi="Arial" w:cs="Arial"/>
                <w:spacing w:val="-2"/>
                <w:sz w:val="14"/>
                <w:szCs w:val="14"/>
                <w:lang w:eastAsia="pt-BR"/>
              </w:rPr>
              <w:t>(9.917)</w:t>
            </w:r>
          </w:p>
        </w:tc>
        <w:tc>
          <w:tcPr>
            <w:tcW w:w="1412" w:type="dxa"/>
            <w:tcBorders>
              <w:top w:val="nil"/>
            </w:tcBorders>
            <w:shd w:val="clear" w:color="auto" w:fill="auto"/>
            <w:vAlign w:val="center"/>
          </w:tcPr>
          <w:p w14:paraId="2297C6C4" w14:textId="77777777" w:rsidR="00C37757" w:rsidRPr="00C37757" w:rsidRDefault="00C37757" w:rsidP="00C37757">
            <w:pPr>
              <w:keepNext/>
              <w:keepLines/>
              <w:spacing w:before="40" w:after="40" w:line="240" w:lineRule="auto"/>
              <w:jc w:val="right"/>
              <w:rPr>
                <w:rFonts w:ascii="Arial" w:eastAsia="Times New Roman" w:hAnsi="Arial" w:cs="Arial"/>
                <w:spacing w:val="-2"/>
                <w:sz w:val="14"/>
                <w:szCs w:val="18"/>
                <w:lang w:eastAsia="pt-BR"/>
              </w:rPr>
            </w:pPr>
            <w:r w:rsidRPr="00C37757">
              <w:rPr>
                <w:rFonts w:ascii="Arial" w:eastAsia="Times New Roman" w:hAnsi="Arial" w:cs="Arial"/>
                <w:spacing w:val="-2"/>
                <w:sz w:val="14"/>
                <w:szCs w:val="14"/>
                <w:lang w:eastAsia="pt-BR"/>
              </w:rPr>
              <w:t>(11.816)</w:t>
            </w:r>
          </w:p>
        </w:tc>
        <w:tc>
          <w:tcPr>
            <w:tcW w:w="283" w:type="dxa"/>
            <w:tcBorders>
              <w:top w:val="nil"/>
            </w:tcBorders>
            <w:shd w:val="clear" w:color="auto" w:fill="auto"/>
            <w:vAlign w:val="center"/>
          </w:tcPr>
          <w:p w14:paraId="33B11CA1" w14:textId="77777777" w:rsidR="00C37757" w:rsidRPr="00C37757" w:rsidRDefault="00C37757" w:rsidP="00C37757">
            <w:pPr>
              <w:keepNext/>
              <w:keepLines/>
              <w:spacing w:before="40" w:after="40" w:line="240" w:lineRule="auto"/>
              <w:ind w:left="113"/>
              <w:jc w:val="right"/>
              <w:rPr>
                <w:rFonts w:ascii="Arial" w:eastAsia="Times New Roman" w:hAnsi="Arial" w:cs="Arial"/>
                <w:spacing w:val="-2"/>
                <w:sz w:val="14"/>
                <w:szCs w:val="14"/>
                <w:lang w:eastAsia="pt-BR"/>
              </w:rPr>
            </w:pPr>
          </w:p>
        </w:tc>
        <w:tc>
          <w:tcPr>
            <w:tcW w:w="1417" w:type="dxa"/>
            <w:tcBorders>
              <w:top w:val="nil"/>
            </w:tcBorders>
            <w:shd w:val="clear" w:color="auto" w:fill="auto"/>
            <w:vAlign w:val="center"/>
          </w:tcPr>
          <w:p w14:paraId="2CA414A5" w14:textId="77777777" w:rsidR="00C37757" w:rsidRPr="00F7280E" w:rsidRDefault="00C37757" w:rsidP="00C37757">
            <w:pPr>
              <w:keepNext/>
              <w:keepLines/>
              <w:spacing w:before="40" w:after="40" w:line="240" w:lineRule="auto"/>
              <w:ind w:left="113"/>
              <w:jc w:val="right"/>
              <w:rPr>
                <w:rFonts w:ascii="Arial" w:eastAsia="Times New Roman" w:hAnsi="Arial" w:cs="Arial"/>
                <w:spacing w:val="-2"/>
                <w:sz w:val="14"/>
                <w:szCs w:val="14"/>
                <w:lang w:eastAsia="pt-BR"/>
              </w:rPr>
            </w:pPr>
            <w:r w:rsidRPr="00F7280E">
              <w:rPr>
                <w:rFonts w:ascii="Arial" w:eastAsia="Times New Roman" w:hAnsi="Arial" w:cs="Arial"/>
                <w:spacing w:val="-2"/>
                <w:sz w:val="14"/>
                <w:szCs w:val="14"/>
                <w:lang w:eastAsia="pt-BR"/>
              </w:rPr>
              <w:t>(1.723.343)</w:t>
            </w:r>
          </w:p>
        </w:tc>
        <w:tc>
          <w:tcPr>
            <w:tcW w:w="1418" w:type="dxa"/>
            <w:tcBorders>
              <w:top w:val="nil"/>
            </w:tcBorders>
            <w:shd w:val="clear" w:color="auto" w:fill="auto"/>
            <w:vAlign w:val="center"/>
          </w:tcPr>
          <w:p w14:paraId="2DB8D4B6" w14:textId="77777777" w:rsidR="00C37757" w:rsidRPr="00C37757" w:rsidRDefault="00C37757" w:rsidP="00C37757">
            <w:pPr>
              <w:keepNext/>
              <w:keepLines/>
              <w:spacing w:before="40" w:after="40" w:line="240" w:lineRule="auto"/>
              <w:jc w:val="right"/>
              <w:rPr>
                <w:rFonts w:ascii="Arial" w:eastAsia="Times New Roman" w:hAnsi="Arial" w:cs="Arial"/>
                <w:spacing w:val="-2"/>
                <w:sz w:val="14"/>
                <w:szCs w:val="18"/>
                <w:lang w:eastAsia="pt-BR"/>
              </w:rPr>
            </w:pPr>
            <w:r w:rsidRPr="00C37757">
              <w:rPr>
                <w:rFonts w:ascii="Arial" w:eastAsia="Times New Roman" w:hAnsi="Arial" w:cs="Arial"/>
                <w:spacing w:val="-2"/>
                <w:sz w:val="14"/>
                <w:szCs w:val="14"/>
                <w:lang w:eastAsia="pt-BR"/>
              </w:rPr>
              <w:t>(1.551.580)</w:t>
            </w:r>
          </w:p>
        </w:tc>
      </w:tr>
      <w:tr w:rsidR="00C37757" w:rsidRPr="00C37757" w14:paraId="6F48F4BE" w14:textId="77777777" w:rsidTr="00C37757">
        <w:trPr>
          <w:trHeight w:val="238"/>
        </w:trPr>
        <w:tc>
          <w:tcPr>
            <w:tcW w:w="3094" w:type="dxa"/>
            <w:tcBorders>
              <w:bottom w:val="nil"/>
            </w:tcBorders>
            <w:shd w:val="clear" w:color="auto" w:fill="auto"/>
          </w:tcPr>
          <w:p w14:paraId="7035AB63" w14:textId="77777777" w:rsidR="00C37757" w:rsidRPr="00C37757" w:rsidRDefault="00C37757" w:rsidP="00C37757">
            <w:pPr>
              <w:keepNext/>
              <w:keepLines/>
              <w:spacing w:before="40" w:after="40" w:line="240" w:lineRule="auto"/>
              <w:rPr>
                <w:rFonts w:ascii="Arial" w:eastAsia="Times New Roman" w:hAnsi="Arial" w:cs="Arial"/>
                <w:b/>
                <w:spacing w:val="-2"/>
                <w:sz w:val="14"/>
                <w:szCs w:val="14"/>
                <w:lang w:eastAsia="pt-BR"/>
              </w:rPr>
            </w:pPr>
            <w:r w:rsidRPr="00C37757">
              <w:rPr>
                <w:rFonts w:ascii="Arial" w:eastAsia="Times New Roman" w:hAnsi="Arial" w:cs="Arial"/>
                <w:b/>
                <w:spacing w:val="-2"/>
                <w:sz w:val="14"/>
                <w:szCs w:val="14"/>
                <w:lang w:eastAsia="pt-BR"/>
              </w:rPr>
              <w:t>Valores Diferidos</w:t>
            </w:r>
          </w:p>
        </w:tc>
        <w:tc>
          <w:tcPr>
            <w:tcW w:w="604" w:type="dxa"/>
            <w:tcBorders>
              <w:bottom w:val="nil"/>
            </w:tcBorders>
            <w:shd w:val="clear" w:color="auto" w:fill="auto"/>
          </w:tcPr>
          <w:p w14:paraId="55FCDA31" w14:textId="77777777" w:rsidR="00C37757" w:rsidRPr="00C37757" w:rsidRDefault="00C37757" w:rsidP="00C37757">
            <w:pPr>
              <w:keepNext/>
              <w:keepLines/>
              <w:spacing w:before="40" w:after="40" w:line="240" w:lineRule="auto"/>
              <w:jc w:val="center"/>
              <w:rPr>
                <w:rFonts w:ascii="Arial" w:eastAsia="Times New Roman" w:hAnsi="Arial" w:cs="Arial"/>
                <w:b/>
                <w:spacing w:val="-2"/>
                <w:sz w:val="14"/>
                <w:szCs w:val="14"/>
                <w:lang w:eastAsia="pt-BR"/>
              </w:rPr>
            </w:pPr>
          </w:p>
        </w:tc>
        <w:tc>
          <w:tcPr>
            <w:tcW w:w="1411" w:type="dxa"/>
            <w:tcBorders>
              <w:bottom w:val="nil"/>
            </w:tcBorders>
            <w:shd w:val="clear" w:color="auto" w:fill="auto"/>
            <w:vAlign w:val="center"/>
          </w:tcPr>
          <w:p w14:paraId="604B72EC" w14:textId="77777777" w:rsidR="00C37757" w:rsidRPr="00C37757" w:rsidRDefault="00C37757" w:rsidP="00C37757">
            <w:pPr>
              <w:keepNext/>
              <w:keepLines/>
              <w:spacing w:before="40" w:after="40" w:line="240" w:lineRule="auto"/>
              <w:jc w:val="right"/>
              <w:rPr>
                <w:rFonts w:ascii="Arial" w:eastAsia="Times New Roman" w:hAnsi="Arial" w:cs="Arial"/>
                <w:b/>
                <w:spacing w:val="-2"/>
                <w:sz w:val="14"/>
                <w:szCs w:val="14"/>
                <w:lang w:eastAsia="pt-BR"/>
              </w:rPr>
            </w:pPr>
            <w:r w:rsidRPr="00C37757">
              <w:rPr>
                <w:rFonts w:ascii="Arial" w:eastAsia="Times New Roman" w:hAnsi="Arial" w:cs="Arial"/>
                <w:b/>
                <w:spacing w:val="-2"/>
                <w:sz w:val="14"/>
                <w:szCs w:val="14"/>
                <w:lang w:eastAsia="pt-BR"/>
              </w:rPr>
              <w:t>404</w:t>
            </w:r>
          </w:p>
        </w:tc>
        <w:tc>
          <w:tcPr>
            <w:tcW w:w="1412" w:type="dxa"/>
            <w:tcBorders>
              <w:bottom w:val="nil"/>
            </w:tcBorders>
            <w:shd w:val="clear" w:color="auto" w:fill="auto"/>
            <w:vAlign w:val="center"/>
          </w:tcPr>
          <w:p w14:paraId="4984C1DE" w14:textId="77777777" w:rsidR="00C37757" w:rsidRPr="00C37757" w:rsidRDefault="00C37757" w:rsidP="00C37757">
            <w:pPr>
              <w:keepNext/>
              <w:keepLines/>
              <w:spacing w:before="40" w:after="40" w:line="240" w:lineRule="auto"/>
              <w:jc w:val="right"/>
              <w:rPr>
                <w:rFonts w:ascii="Arial" w:eastAsia="Times New Roman" w:hAnsi="Arial" w:cs="Arial"/>
                <w:b/>
                <w:spacing w:val="-2"/>
                <w:sz w:val="14"/>
                <w:szCs w:val="18"/>
                <w:lang w:eastAsia="pt-BR"/>
              </w:rPr>
            </w:pPr>
            <w:r w:rsidRPr="00C37757">
              <w:rPr>
                <w:rFonts w:ascii="Arial" w:eastAsia="Times New Roman" w:hAnsi="Arial" w:cs="Arial"/>
                <w:b/>
                <w:spacing w:val="-2"/>
                <w:sz w:val="14"/>
                <w:szCs w:val="14"/>
                <w:lang w:eastAsia="pt-BR"/>
              </w:rPr>
              <w:t>195</w:t>
            </w:r>
          </w:p>
        </w:tc>
        <w:tc>
          <w:tcPr>
            <w:tcW w:w="283" w:type="dxa"/>
            <w:tcBorders>
              <w:bottom w:val="nil"/>
            </w:tcBorders>
            <w:shd w:val="clear" w:color="auto" w:fill="auto"/>
            <w:vAlign w:val="center"/>
          </w:tcPr>
          <w:p w14:paraId="050E3E57" w14:textId="77777777" w:rsidR="00C37757" w:rsidRPr="00C37757" w:rsidRDefault="00C37757" w:rsidP="00C37757">
            <w:pPr>
              <w:keepNext/>
              <w:keepLines/>
              <w:spacing w:before="40" w:after="40" w:line="240" w:lineRule="auto"/>
              <w:jc w:val="right"/>
              <w:rPr>
                <w:rFonts w:ascii="Arial" w:eastAsia="Times New Roman" w:hAnsi="Arial" w:cs="Arial"/>
                <w:b/>
                <w:spacing w:val="-2"/>
                <w:sz w:val="14"/>
                <w:szCs w:val="14"/>
                <w:lang w:eastAsia="pt-BR"/>
              </w:rPr>
            </w:pPr>
          </w:p>
        </w:tc>
        <w:tc>
          <w:tcPr>
            <w:tcW w:w="1417" w:type="dxa"/>
            <w:tcBorders>
              <w:bottom w:val="nil"/>
            </w:tcBorders>
            <w:shd w:val="clear" w:color="auto" w:fill="auto"/>
            <w:vAlign w:val="center"/>
          </w:tcPr>
          <w:p w14:paraId="0E7A372C" w14:textId="77777777" w:rsidR="00C37757" w:rsidRPr="00C37757" w:rsidRDefault="00C37757" w:rsidP="00C37757">
            <w:pPr>
              <w:keepNext/>
              <w:keepLines/>
              <w:spacing w:before="40" w:after="40" w:line="240" w:lineRule="auto"/>
              <w:jc w:val="right"/>
              <w:rPr>
                <w:rFonts w:ascii="Arial" w:eastAsia="Times New Roman" w:hAnsi="Arial" w:cs="Arial"/>
                <w:b/>
                <w:spacing w:val="-2"/>
                <w:sz w:val="14"/>
                <w:szCs w:val="14"/>
                <w:lang w:eastAsia="pt-BR"/>
              </w:rPr>
            </w:pPr>
            <w:r w:rsidRPr="00C37757">
              <w:rPr>
                <w:rFonts w:ascii="Arial" w:eastAsia="Times New Roman" w:hAnsi="Arial" w:cs="Arial"/>
                <w:b/>
                <w:spacing w:val="-2"/>
                <w:sz w:val="14"/>
                <w:szCs w:val="14"/>
                <w:lang w:eastAsia="pt-BR"/>
              </w:rPr>
              <w:t>15.707</w:t>
            </w:r>
          </w:p>
        </w:tc>
        <w:tc>
          <w:tcPr>
            <w:tcW w:w="1418" w:type="dxa"/>
            <w:tcBorders>
              <w:bottom w:val="nil"/>
            </w:tcBorders>
            <w:shd w:val="clear" w:color="auto" w:fill="auto"/>
            <w:vAlign w:val="center"/>
          </w:tcPr>
          <w:p w14:paraId="01A342DE" w14:textId="77777777" w:rsidR="00C37757" w:rsidRPr="00C37757" w:rsidRDefault="00C37757" w:rsidP="00C37757">
            <w:pPr>
              <w:keepNext/>
              <w:keepLines/>
              <w:spacing w:before="40" w:after="40" w:line="240" w:lineRule="auto"/>
              <w:jc w:val="right"/>
              <w:rPr>
                <w:rFonts w:ascii="Arial" w:eastAsia="Times New Roman" w:hAnsi="Arial" w:cs="Arial"/>
                <w:b/>
                <w:spacing w:val="-2"/>
                <w:sz w:val="14"/>
                <w:szCs w:val="18"/>
                <w:lang w:eastAsia="pt-BR"/>
              </w:rPr>
            </w:pPr>
            <w:r w:rsidRPr="00C37757">
              <w:rPr>
                <w:rFonts w:ascii="Arial" w:eastAsia="Times New Roman" w:hAnsi="Arial" w:cs="Arial"/>
                <w:b/>
                <w:spacing w:val="-2"/>
                <w:sz w:val="14"/>
                <w:szCs w:val="14"/>
                <w:lang w:eastAsia="pt-BR"/>
              </w:rPr>
              <w:t>5.471</w:t>
            </w:r>
          </w:p>
        </w:tc>
      </w:tr>
      <w:tr w:rsidR="00C37757" w:rsidRPr="00C37757" w14:paraId="5E99CD90" w14:textId="77777777" w:rsidTr="00C37757">
        <w:trPr>
          <w:trHeight w:val="238"/>
        </w:trPr>
        <w:tc>
          <w:tcPr>
            <w:tcW w:w="3094" w:type="dxa"/>
            <w:shd w:val="clear" w:color="auto" w:fill="auto"/>
          </w:tcPr>
          <w:p w14:paraId="5CE222C5" w14:textId="77777777" w:rsidR="00C37757" w:rsidRPr="00C37757" w:rsidRDefault="00C37757" w:rsidP="00C37757">
            <w:pPr>
              <w:keepNext/>
              <w:keepLines/>
              <w:spacing w:before="40" w:after="40" w:line="240" w:lineRule="auto"/>
              <w:rPr>
                <w:rFonts w:ascii="Arial" w:eastAsia="Times New Roman" w:hAnsi="Arial" w:cs="Arial"/>
                <w:b/>
                <w:spacing w:val="-2"/>
                <w:sz w:val="14"/>
                <w:szCs w:val="14"/>
                <w:lang w:eastAsia="pt-BR"/>
              </w:rPr>
            </w:pPr>
            <w:r w:rsidRPr="00C37757">
              <w:rPr>
                <w:rFonts w:ascii="Arial" w:eastAsia="Times New Roman" w:hAnsi="Arial" w:cs="Arial"/>
                <w:b/>
                <w:spacing w:val="-2"/>
                <w:sz w:val="14"/>
                <w:szCs w:val="14"/>
                <w:lang w:eastAsia="pt-BR"/>
              </w:rPr>
              <w:t>Ativo Fiscal Diferido</w:t>
            </w:r>
          </w:p>
        </w:tc>
        <w:tc>
          <w:tcPr>
            <w:tcW w:w="604" w:type="dxa"/>
            <w:shd w:val="clear" w:color="auto" w:fill="auto"/>
          </w:tcPr>
          <w:p w14:paraId="6A5CCDC9" w14:textId="77777777" w:rsidR="00C37757" w:rsidRPr="00C37757" w:rsidRDefault="00C37757" w:rsidP="00C37757">
            <w:pPr>
              <w:keepNext/>
              <w:keepLines/>
              <w:spacing w:before="40" w:after="40" w:line="240" w:lineRule="auto"/>
              <w:jc w:val="center"/>
              <w:rPr>
                <w:rFonts w:ascii="Arial" w:eastAsia="Times New Roman" w:hAnsi="Arial" w:cs="Arial"/>
                <w:b/>
                <w:spacing w:val="-2"/>
                <w:sz w:val="14"/>
                <w:szCs w:val="14"/>
                <w:lang w:eastAsia="pt-BR"/>
              </w:rPr>
            </w:pPr>
          </w:p>
        </w:tc>
        <w:tc>
          <w:tcPr>
            <w:tcW w:w="1411" w:type="dxa"/>
            <w:shd w:val="clear" w:color="auto" w:fill="auto"/>
            <w:vAlign w:val="center"/>
          </w:tcPr>
          <w:p w14:paraId="054F7948" w14:textId="77777777" w:rsidR="00C37757" w:rsidRPr="00C37757" w:rsidRDefault="00C37757" w:rsidP="00C37757">
            <w:pPr>
              <w:keepNext/>
              <w:keepLines/>
              <w:spacing w:before="40" w:after="40" w:line="240" w:lineRule="auto"/>
              <w:jc w:val="right"/>
              <w:rPr>
                <w:rFonts w:ascii="Arial" w:eastAsia="Times New Roman" w:hAnsi="Arial" w:cs="Arial"/>
                <w:b/>
                <w:spacing w:val="-2"/>
                <w:sz w:val="14"/>
                <w:szCs w:val="14"/>
                <w:lang w:eastAsia="pt-BR"/>
              </w:rPr>
            </w:pPr>
            <w:r w:rsidRPr="00C37757">
              <w:rPr>
                <w:rFonts w:ascii="Arial" w:eastAsia="Times New Roman" w:hAnsi="Arial" w:cs="Arial"/>
                <w:b/>
                <w:spacing w:val="-2"/>
                <w:sz w:val="14"/>
                <w:szCs w:val="14"/>
                <w:lang w:eastAsia="pt-BR"/>
              </w:rPr>
              <w:t>404</w:t>
            </w:r>
          </w:p>
        </w:tc>
        <w:tc>
          <w:tcPr>
            <w:tcW w:w="1412" w:type="dxa"/>
            <w:shd w:val="clear" w:color="auto" w:fill="auto"/>
            <w:vAlign w:val="center"/>
          </w:tcPr>
          <w:p w14:paraId="54EC69CA" w14:textId="77777777" w:rsidR="00C37757" w:rsidRPr="00C37757" w:rsidRDefault="00C37757" w:rsidP="00C37757">
            <w:pPr>
              <w:keepNext/>
              <w:keepLines/>
              <w:spacing w:before="40" w:after="40" w:line="240" w:lineRule="auto"/>
              <w:jc w:val="right"/>
              <w:rPr>
                <w:rFonts w:ascii="Arial" w:eastAsia="Times New Roman" w:hAnsi="Arial" w:cs="Arial"/>
                <w:b/>
                <w:spacing w:val="-2"/>
                <w:sz w:val="14"/>
                <w:szCs w:val="18"/>
                <w:lang w:eastAsia="pt-BR"/>
              </w:rPr>
            </w:pPr>
            <w:r w:rsidRPr="00C37757">
              <w:rPr>
                <w:rFonts w:ascii="Arial" w:eastAsia="Times New Roman" w:hAnsi="Arial" w:cs="Arial"/>
                <w:b/>
                <w:spacing w:val="-2"/>
                <w:sz w:val="14"/>
                <w:szCs w:val="14"/>
                <w:lang w:eastAsia="pt-BR"/>
              </w:rPr>
              <w:t>195</w:t>
            </w:r>
          </w:p>
        </w:tc>
        <w:tc>
          <w:tcPr>
            <w:tcW w:w="283" w:type="dxa"/>
            <w:shd w:val="clear" w:color="auto" w:fill="auto"/>
            <w:vAlign w:val="center"/>
          </w:tcPr>
          <w:p w14:paraId="0CA351CA" w14:textId="77777777" w:rsidR="00C37757" w:rsidRPr="00C37757" w:rsidRDefault="00C37757" w:rsidP="00C37757">
            <w:pPr>
              <w:keepNext/>
              <w:keepLines/>
              <w:spacing w:before="40" w:after="40" w:line="240" w:lineRule="auto"/>
              <w:jc w:val="right"/>
              <w:rPr>
                <w:rFonts w:ascii="Arial" w:eastAsia="Times New Roman" w:hAnsi="Arial" w:cs="Arial"/>
                <w:b/>
                <w:spacing w:val="-2"/>
                <w:sz w:val="14"/>
                <w:szCs w:val="14"/>
                <w:lang w:eastAsia="pt-BR"/>
              </w:rPr>
            </w:pPr>
          </w:p>
        </w:tc>
        <w:tc>
          <w:tcPr>
            <w:tcW w:w="1417" w:type="dxa"/>
            <w:shd w:val="clear" w:color="auto" w:fill="auto"/>
            <w:vAlign w:val="center"/>
          </w:tcPr>
          <w:p w14:paraId="708558F8" w14:textId="77777777" w:rsidR="00C37757" w:rsidRPr="00C37757" w:rsidRDefault="00C37757" w:rsidP="00C37757">
            <w:pPr>
              <w:keepNext/>
              <w:keepLines/>
              <w:spacing w:before="40" w:after="40" w:line="240" w:lineRule="auto"/>
              <w:jc w:val="right"/>
              <w:rPr>
                <w:rFonts w:ascii="Arial" w:eastAsia="Times New Roman" w:hAnsi="Arial" w:cs="Arial"/>
                <w:b/>
                <w:spacing w:val="-2"/>
                <w:sz w:val="14"/>
                <w:szCs w:val="14"/>
                <w:lang w:eastAsia="pt-BR"/>
              </w:rPr>
            </w:pPr>
            <w:r w:rsidRPr="00C37757">
              <w:rPr>
                <w:rFonts w:ascii="Arial" w:eastAsia="Times New Roman" w:hAnsi="Arial" w:cs="Arial"/>
                <w:b/>
                <w:spacing w:val="-2"/>
                <w:sz w:val="14"/>
                <w:szCs w:val="14"/>
                <w:lang w:eastAsia="pt-BR"/>
              </w:rPr>
              <w:t>15.707</w:t>
            </w:r>
          </w:p>
        </w:tc>
        <w:tc>
          <w:tcPr>
            <w:tcW w:w="1418" w:type="dxa"/>
            <w:shd w:val="clear" w:color="auto" w:fill="auto"/>
            <w:vAlign w:val="center"/>
          </w:tcPr>
          <w:p w14:paraId="46B310D6" w14:textId="77777777" w:rsidR="00C37757" w:rsidRPr="00C37757" w:rsidRDefault="00C37757" w:rsidP="00C37757">
            <w:pPr>
              <w:keepNext/>
              <w:keepLines/>
              <w:spacing w:before="40" w:after="40" w:line="240" w:lineRule="auto"/>
              <w:jc w:val="right"/>
              <w:rPr>
                <w:rFonts w:ascii="Arial" w:eastAsia="Times New Roman" w:hAnsi="Arial" w:cs="Arial"/>
                <w:b/>
                <w:spacing w:val="-2"/>
                <w:sz w:val="14"/>
                <w:szCs w:val="18"/>
                <w:lang w:eastAsia="pt-BR"/>
              </w:rPr>
            </w:pPr>
            <w:r w:rsidRPr="00C37757">
              <w:rPr>
                <w:rFonts w:ascii="Arial" w:eastAsia="Times New Roman" w:hAnsi="Arial" w:cs="Arial"/>
                <w:b/>
                <w:spacing w:val="-2"/>
                <w:sz w:val="14"/>
                <w:szCs w:val="14"/>
                <w:lang w:eastAsia="pt-BR"/>
              </w:rPr>
              <w:t>5.471</w:t>
            </w:r>
          </w:p>
        </w:tc>
      </w:tr>
      <w:tr w:rsidR="00C37757" w:rsidRPr="00C37757" w14:paraId="3F3034D0" w14:textId="77777777" w:rsidTr="00C37757">
        <w:trPr>
          <w:trHeight w:val="238"/>
        </w:trPr>
        <w:tc>
          <w:tcPr>
            <w:tcW w:w="3094" w:type="dxa"/>
            <w:tcBorders>
              <w:bottom w:val="nil"/>
            </w:tcBorders>
            <w:shd w:val="clear" w:color="auto" w:fill="auto"/>
          </w:tcPr>
          <w:p w14:paraId="4D6FF5C3" w14:textId="77777777" w:rsidR="00C37757" w:rsidRPr="00C37757" w:rsidRDefault="00C37757" w:rsidP="00C37757">
            <w:pPr>
              <w:keepNext/>
              <w:keepLines/>
              <w:spacing w:before="40" w:after="40" w:line="240" w:lineRule="auto"/>
              <w:ind w:left="113"/>
              <w:rPr>
                <w:rFonts w:ascii="Arial" w:eastAsia="Times New Roman" w:hAnsi="Arial" w:cs="Arial"/>
                <w:b/>
                <w:spacing w:val="-2"/>
                <w:sz w:val="14"/>
                <w:szCs w:val="14"/>
                <w:lang w:eastAsia="pt-BR"/>
              </w:rPr>
            </w:pPr>
            <w:r w:rsidRPr="00C37757">
              <w:rPr>
                <w:rFonts w:ascii="Arial" w:eastAsia="Times New Roman" w:hAnsi="Arial" w:cs="Arial"/>
                <w:spacing w:val="-2"/>
                <w:sz w:val="14"/>
                <w:szCs w:val="14"/>
                <w:lang w:eastAsia="pt-BR"/>
              </w:rPr>
              <w:t>Diferenças intertemporais</w:t>
            </w:r>
          </w:p>
        </w:tc>
        <w:tc>
          <w:tcPr>
            <w:tcW w:w="604" w:type="dxa"/>
            <w:tcBorders>
              <w:bottom w:val="nil"/>
            </w:tcBorders>
            <w:shd w:val="clear" w:color="auto" w:fill="auto"/>
          </w:tcPr>
          <w:p w14:paraId="5B341B9F" w14:textId="77777777" w:rsidR="00C37757" w:rsidRPr="00C37757" w:rsidRDefault="00C37757" w:rsidP="00C37757">
            <w:pPr>
              <w:keepNext/>
              <w:keepLines/>
              <w:spacing w:before="40" w:after="40" w:line="240" w:lineRule="auto"/>
              <w:ind w:left="113"/>
              <w:jc w:val="center"/>
              <w:rPr>
                <w:rFonts w:ascii="Arial" w:eastAsia="Times New Roman" w:hAnsi="Arial" w:cs="Arial"/>
                <w:spacing w:val="-2"/>
                <w:sz w:val="14"/>
                <w:szCs w:val="14"/>
                <w:lang w:eastAsia="pt-BR"/>
              </w:rPr>
            </w:pPr>
          </w:p>
        </w:tc>
        <w:tc>
          <w:tcPr>
            <w:tcW w:w="1411" w:type="dxa"/>
            <w:tcBorders>
              <w:bottom w:val="nil"/>
            </w:tcBorders>
            <w:shd w:val="clear" w:color="auto" w:fill="auto"/>
            <w:vAlign w:val="center"/>
          </w:tcPr>
          <w:p w14:paraId="79147E2C" w14:textId="77777777" w:rsidR="00C37757" w:rsidRPr="00C37757" w:rsidRDefault="00C37757" w:rsidP="00C37757">
            <w:pPr>
              <w:keepNext/>
              <w:keepLines/>
              <w:spacing w:before="40" w:after="40" w:line="240" w:lineRule="auto"/>
              <w:ind w:left="113"/>
              <w:jc w:val="right"/>
              <w:rPr>
                <w:rFonts w:ascii="Arial" w:eastAsia="Times New Roman" w:hAnsi="Arial" w:cs="Arial"/>
                <w:spacing w:val="-2"/>
                <w:sz w:val="14"/>
                <w:szCs w:val="14"/>
                <w:lang w:eastAsia="pt-BR"/>
              </w:rPr>
            </w:pPr>
            <w:r w:rsidRPr="00F7280E">
              <w:rPr>
                <w:rFonts w:ascii="Arial" w:eastAsia="Times New Roman" w:hAnsi="Arial" w:cs="Arial"/>
                <w:spacing w:val="-2"/>
                <w:sz w:val="14"/>
                <w:szCs w:val="14"/>
                <w:lang w:eastAsia="pt-BR"/>
              </w:rPr>
              <w:t>404</w:t>
            </w:r>
          </w:p>
        </w:tc>
        <w:tc>
          <w:tcPr>
            <w:tcW w:w="1412" w:type="dxa"/>
            <w:tcBorders>
              <w:bottom w:val="nil"/>
            </w:tcBorders>
            <w:shd w:val="clear" w:color="auto" w:fill="auto"/>
            <w:vAlign w:val="center"/>
          </w:tcPr>
          <w:p w14:paraId="22394EE7" w14:textId="77777777" w:rsidR="00C37757" w:rsidRPr="00C37757" w:rsidRDefault="00C37757" w:rsidP="00C37757">
            <w:pPr>
              <w:keepNext/>
              <w:keepLines/>
              <w:spacing w:before="40" w:after="40" w:line="240" w:lineRule="auto"/>
              <w:jc w:val="right"/>
              <w:rPr>
                <w:rFonts w:ascii="Arial" w:eastAsia="Times New Roman" w:hAnsi="Arial" w:cs="Arial"/>
                <w:spacing w:val="-2"/>
                <w:sz w:val="14"/>
                <w:szCs w:val="18"/>
                <w:lang w:eastAsia="pt-BR"/>
              </w:rPr>
            </w:pPr>
            <w:r w:rsidRPr="00C37757">
              <w:rPr>
                <w:rFonts w:ascii="Arial" w:eastAsia="Times New Roman" w:hAnsi="Arial" w:cs="Arial"/>
                <w:spacing w:val="-2"/>
                <w:sz w:val="14"/>
                <w:szCs w:val="14"/>
                <w:lang w:eastAsia="pt-BR"/>
              </w:rPr>
              <w:t>195</w:t>
            </w:r>
          </w:p>
        </w:tc>
        <w:tc>
          <w:tcPr>
            <w:tcW w:w="283" w:type="dxa"/>
            <w:tcBorders>
              <w:bottom w:val="nil"/>
            </w:tcBorders>
            <w:shd w:val="clear" w:color="auto" w:fill="auto"/>
            <w:vAlign w:val="center"/>
          </w:tcPr>
          <w:p w14:paraId="0B94C392" w14:textId="77777777" w:rsidR="00C37757" w:rsidRPr="00C37757" w:rsidRDefault="00C37757" w:rsidP="00C37757">
            <w:pPr>
              <w:keepNext/>
              <w:keepLines/>
              <w:spacing w:before="40" w:after="40" w:line="240" w:lineRule="auto"/>
              <w:ind w:left="113"/>
              <w:jc w:val="right"/>
              <w:rPr>
                <w:rFonts w:ascii="Arial" w:eastAsia="Times New Roman" w:hAnsi="Arial" w:cs="Arial"/>
                <w:spacing w:val="-2"/>
                <w:sz w:val="14"/>
                <w:szCs w:val="14"/>
                <w:lang w:eastAsia="pt-BR"/>
              </w:rPr>
            </w:pPr>
          </w:p>
        </w:tc>
        <w:tc>
          <w:tcPr>
            <w:tcW w:w="1417" w:type="dxa"/>
            <w:tcBorders>
              <w:bottom w:val="nil"/>
            </w:tcBorders>
            <w:shd w:val="clear" w:color="auto" w:fill="auto"/>
            <w:vAlign w:val="center"/>
          </w:tcPr>
          <w:p w14:paraId="651F6EBC" w14:textId="77777777" w:rsidR="00C37757" w:rsidRPr="00C37757" w:rsidRDefault="00C37757" w:rsidP="00C37757">
            <w:pPr>
              <w:keepNext/>
              <w:keepLines/>
              <w:spacing w:before="40" w:after="40" w:line="240" w:lineRule="auto"/>
              <w:ind w:left="113"/>
              <w:jc w:val="right"/>
              <w:rPr>
                <w:rFonts w:ascii="Arial" w:eastAsia="Times New Roman" w:hAnsi="Arial" w:cs="Arial"/>
                <w:spacing w:val="-2"/>
                <w:sz w:val="14"/>
                <w:szCs w:val="14"/>
                <w:lang w:eastAsia="pt-BR"/>
              </w:rPr>
            </w:pPr>
            <w:r w:rsidRPr="00F7280E">
              <w:rPr>
                <w:rFonts w:ascii="Arial" w:eastAsia="Times New Roman" w:hAnsi="Arial" w:cs="Arial"/>
                <w:spacing w:val="-2"/>
                <w:sz w:val="14"/>
                <w:szCs w:val="14"/>
                <w:lang w:eastAsia="pt-BR"/>
              </w:rPr>
              <w:t>15.707</w:t>
            </w:r>
          </w:p>
        </w:tc>
        <w:tc>
          <w:tcPr>
            <w:tcW w:w="1418" w:type="dxa"/>
            <w:tcBorders>
              <w:bottom w:val="nil"/>
            </w:tcBorders>
            <w:shd w:val="clear" w:color="auto" w:fill="auto"/>
            <w:vAlign w:val="center"/>
          </w:tcPr>
          <w:p w14:paraId="01E81311" w14:textId="77777777" w:rsidR="00C37757" w:rsidRPr="00C37757" w:rsidRDefault="00C37757" w:rsidP="00C37757">
            <w:pPr>
              <w:keepNext/>
              <w:keepLines/>
              <w:spacing w:before="40" w:after="40" w:line="240" w:lineRule="auto"/>
              <w:jc w:val="right"/>
              <w:rPr>
                <w:rFonts w:ascii="Arial" w:eastAsia="Times New Roman" w:hAnsi="Arial" w:cs="Arial"/>
                <w:spacing w:val="-2"/>
                <w:sz w:val="14"/>
                <w:szCs w:val="18"/>
                <w:lang w:eastAsia="pt-BR"/>
              </w:rPr>
            </w:pPr>
            <w:r w:rsidRPr="00C37757">
              <w:rPr>
                <w:rFonts w:ascii="Arial" w:eastAsia="Times New Roman" w:hAnsi="Arial" w:cs="Arial"/>
                <w:spacing w:val="-2"/>
                <w:sz w:val="14"/>
                <w:szCs w:val="14"/>
                <w:lang w:eastAsia="pt-BR"/>
              </w:rPr>
              <w:t>5.471</w:t>
            </w:r>
          </w:p>
        </w:tc>
      </w:tr>
      <w:tr w:rsidR="00C37757" w:rsidRPr="00C37757" w14:paraId="7FFB40FB" w14:textId="77777777" w:rsidTr="00C37757">
        <w:trPr>
          <w:trHeight w:val="238"/>
        </w:trPr>
        <w:tc>
          <w:tcPr>
            <w:tcW w:w="3094" w:type="dxa"/>
            <w:tcBorders>
              <w:top w:val="nil"/>
              <w:bottom w:val="single" w:sz="2" w:space="0" w:color="1F4E79"/>
            </w:tcBorders>
            <w:shd w:val="clear" w:color="auto" w:fill="auto"/>
          </w:tcPr>
          <w:p w14:paraId="3766EDE7" w14:textId="77777777" w:rsidR="00C37757" w:rsidRPr="00C37757" w:rsidRDefault="00C37757" w:rsidP="00C37757">
            <w:pPr>
              <w:keepNext/>
              <w:keepLines/>
              <w:spacing w:before="40" w:after="40" w:line="240" w:lineRule="auto"/>
              <w:rPr>
                <w:rFonts w:ascii="Arial" w:eastAsia="Times New Roman" w:hAnsi="Arial" w:cs="Arial"/>
                <w:b/>
                <w:spacing w:val="-2"/>
                <w:sz w:val="14"/>
                <w:szCs w:val="14"/>
                <w:lang w:eastAsia="pt-BR"/>
              </w:rPr>
            </w:pPr>
            <w:r w:rsidRPr="00C37757">
              <w:rPr>
                <w:rFonts w:ascii="Arial" w:eastAsia="Times New Roman" w:hAnsi="Arial" w:cs="Arial"/>
                <w:b/>
                <w:spacing w:val="-2"/>
                <w:sz w:val="14"/>
                <w:szCs w:val="18"/>
                <w:lang w:eastAsia="pt-BR"/>
              </w:rPr>
              <w:t xml:space="preserve">Total </w:t>
            </w:r>
          </w:p>
        </w:tc>
        <w:tc>
          <w:tcPr>
            <w:tcW w:w="604" w:type="dxa"/>
            <w:tcBorders>
              <w:top w:val="nil"/>
              <w:bottom w:val="single" w:sz="2" w:space="0" w:color="1F4E79"/>
            </w:tcBorders>
            <w:shd w:val="clear" w:color="auto" w:fill="auto"/>
          </w:tcPr>
          <w:p w14:paraId="02C17556" w14:textId="77777777" w:rsidR="00C37757" w:rsidRPr="00C37757" w:rsidRDefault="00C37757" w:rsidP="00C37757">
            <w:pPr>
              <w:keepNext/>
              <w:keepLines/>
              <w:spacing w:before="40" w:after="40" w:line="240" w:lineRule="auto"/>
              <w:jc w:val="center"/>
              <w:rPr>
                <w:rFonts w:ascii="Arial" w:eastAsia="Times New Roman" w:hAnsi="Arial" w:cs="Arial"/>
                <w:b/>
                <w:spacing w:val="-2"/>
                <w:sz w:val="14"/>
                <w:szCs w:val="14"/>
                <w:lang w:eastAsia="pt-BR"/>
              </w:rPr>
            </w:pPr>
          </w:p>
        </w:tc>
        <w:tc>
          <w:tcPr>
            <w:tcW w:w="1411" w:type="dxa"/>
            <w:tcBorders>
              <w:top w:val="nil"/>
              <w:bottom w:val="single" w:sz="2" w:space="0" w:color="1F4E79"/>
            </w:tcBorders>
            <w:shd w:val="clear" w:color="auto" w:fill="auto"/>
            <w:vAlign w:val="center"/>
          </w:tcPr>
          <w:p w14:paraId="52BF237B" w14:textId="77777777" w:rsidR="00C37757" w:rsidRPr="00C37757" w:rsidRDefault="00C37757" w:rsidP="00C37757">
            <w:pPr>
              <w:keepNext/>
              <w:keepLines/>
              <w:spacing w:before="40" w:after="40" w:line="240" w:lineRule="auto"/>
              <w:jc w:val="right"/>
              <w:rPr>
                <w:rFonts w:ascii="Arial" w:eastAsia="Times New Roman" w:hAnsi="Arial" w:cs="Arial"/>
                <w:b/>
                <w:spacing w:val="-2"/>
                <w:sz w:val="14"/>
                <w:szCs w:val="14"/>
                <w:lang w:eastAsia="pt-BR"/>
              </w:rPr>
            </w:pPr>
            <w:r w:rsidRPr="00F7280E">
              <w:rPr>
                <w:rFonts w:ascii="Arial" w:eastAsia="Times New Roman" w:hAnsi="Arial" w:cs="Arial"/>
                <w:b/>
                <w:spacing w:val="-2"/>
                <w:sz w:val="14"/>
                <w:szCs w:val="14"/>
                <w:lang w:eastAsia="pt-BR"/>
              </w:rPr>
              <w:t>(9.513)</w:t>
            </w:r>
          </w:p>
        </w:tc>
        <w:tc>
          <w:tcPr>
            <w:tcW w:w="1412" w:type="dxa"/>
            <w:tcBorders>
              <w:top w:val="nil"/>
              <w:bottom w:val="single" w:sz="2" w:space="0" w:color="1F4E79"/>
            </w:tcBorders>
            <w:shd w:val="clear" w:color="auto" w:fill="auto"/>
            <w:vAlign w:val="center"/>
          </w:tcPr>
          <w:p w14:paraId="09C10B38" w14:textId="77777777" w:rsidR="00C37757" w:rsidRPr="00C37757" w:rsidRDefault="00C37757" w:rsidP="00C37757">
            <w:pPr>
              <w:keepNext/>
              <w:keepLines/>
              <w:spacing w:before="40" w:after="40" w:line="240" w:lineRule="auto"/>
              <w:jc w:val="right"/>
              <w:rPr>
                <w:rFonts w:ascii="Arial" w:eastAsia="Times New Roman" w:hAnsi="Arial" w:cs="Arial"/>
                <w:b/>
                <w:spacing w:val="-2"/>
                <w:sz w:val="14"/>
                <w:szCs w:val="18"/>
                <w:lang w:eastAsia="pt-BR"/>
              </w:rPr>
            </w:pPr>
            <w:r w:rsidRPr="00C37757">
              <w:rPr>
                <w:rFonts w:ascii="Arial" w:eastAsia="Times New Roman" w:hAnsi="Arial" w:cs="Arial"/>
                <w:b/>
                <w:spacing w:val="-2"/>
                <w:sz w:val="14"/>
                <w:szCs w:val="14"/>
                <w:lang w:eastAsia="pt-BR"/>
              </w:rPr>
              <w:t>(11.621)</w:t>
            </w:r>
          </w:p>
        </w:tc>
        <w:tc>
          <w:tcPr>
            <w:tcW w:w="283" w:type="dxa"/>
            <w:tcBorders>
              <w:top w:val="nil"/>
              <w:bottom w:val="single" w:sz="2" w:space="0" w:color="1F4E79"/>
            </w:tcBorders>
            <w:shd w:val="clear" w:color="auto" w:fill="auto"/>
            <w:vAlign w:val="center"/>
          </w:tcPr>
          <w:p w14:paraId="4DD80C2E" w14:textId="77777777" w:rsidR="00C37757" w:rsidRPr="00C37757" w:rsidRDefault="00C37757" w:rsidP="00C37757">
            <w:pPr>
              <w:keepNext/>
              <w:keepLines/>
              <w:spacing w:before="40" w:after="40" w:line="240" w:lineRule="auto"/>
              <w:jc w:val="right"/>
              <w:rPr>
                <w:rFonts w:ascii="Arial" w:eastAsia="Times New Roman" w:hAnsi="Arial" w:cs="Arial"/>
                <w:b/>
                <w:spacing w:val="-2"/>
                <w:sz w:val="14"/>
                <w:szCs w:val="14"/>
                <w:lang w:eastAsia="pt-BR"/>
              </w:rPr>
            </w:pPr>
          </w:p>
        </w:tc>
        <w:tc>
          <w:tcPr>
            <w:tcW w:w="1417" w:type="dxa"/>
            <w:tcBorders>
              <w:top w:val="nil"/>
              <w:bottom w:val="single" w:sz="2" w:space="0" w:color="1F4E79"/>
            </w:tcBorders>
            <w:shd w:val="clear" w:color="auto" w:fill="auto"/>
            <w:vAlign w:val="center"/>
          </w:tcPr>
          <w:p w14:paraId="74581A53" w14:textId="77777777" w:rsidR="00C37757" w:rsidRPr="00F7280E" w:rsidRDefault="00C37757" w:rsidP="00C37757">
            <w:pPr>
              <w:keepNext/>
              <w:keepLines/>
              <w:spacing w:before="40" w:after="40" w:line="240" w:lineRule="auto"/>
              <w:jc w:val="right"/>
              <w:rPr>
                <w:rFonts w:ascii="Arial" w:eastAsia="Times New Roman" w:hAnsi="Arial" w:cs="Arial"/>
                <w:b/>
                <w:spacing w:val="-2"/>
                <w:sz w:val="14"/>
                <w:szCs w:val="14"/>
                <w:lang w:eastAsia="pt-BR"/>
              </w:rPr>
            </w:pPr>
            <w:r w:rsidRPr="00F7280E">
              <w:rPr>
                <w:rFonts w:ascii="Arial" w:eastAsia="Times New Roman" w:hAnsi="Arial" w:cs="Arial"/>
                <w:b/>
                <w:spacing w:val="-2"/>
                <w:sz w:val="14"/>
                <w:szCs w:val="14"/>
                <w:lang w:eastAsia="pt-BR"/>
              </w:rPr>
              <w:t>(1.707.636)</w:t>
            </w:r>
          </w:p>
        </w:tc>
        <w:tc>
          <w:tcPr>
            <w:tcW w:w="1418" w:type="dxa"/>
            <w:tcBorders>
              <w:top w:val="nil"/>
              <w:bottom w:val="single" w:sz="2" w:space="0" w:color="1F4E79"/>
            </w:tcBorders>
            <w:shd w:val="clear" w:color="auto" w:fill="auto"/>
            <w:vAlign w:val="center"/>
          </w:tcPr>
          <w:p w14:paraId="72F6C548" w14:textId="77777777" w:rsidR="00C37757" w:rsidRPr="00C37757" w:rsidRDefault="00C37757" w:rsidP="00C37757">
            <w:pPr>
              <w:keepNext/>
              <w:keepLines/>
              <w:spacing w:before="40" w:after="40" w:line="240" w:lineRule="auto"/>
              <w:jc w:val="right"/>
              <w:rPr>
                <w:rFonts w:ascii="Arial" w:eastAsia="Times New Roman" w:hAnsi="Arial" w:cs="Arial"/>
                <w:b/>
                <w:spacing w:val="-2"/>
                <w:sz w:val="14"/>
                <w:szCs w:val="18"/>
                <w:lang w:eastAsia="pt-BR"/>
              </w:rPr>
            </w:pPr>
            <w:r w:rsidRPr="00C37757">
              <w:rPr>
                <w:rFonts w:ascii="Arial" w:eastAsia="Times New Roman" w:hAnsi="Arial" w:cs="Arial"/>
                <w:b/>
                <w:spacing w:val="-2"/>
                <w:sz w:val="14"/>
                <w:szCs w:val="14"/>
                <w:lang w:eastAsia="pt-BR"/>
              </w:rPr>
              <w:t>(1.546.109)</w:t>
            </w:r>
          </w:p>
        </w:tc>
      </w:tr>
    </w:tbl>
    <w:p w14:paraId="64F8D7B0" w14:textId="77777777" w:rsidR="00C37757" w:rsidRPr="00C37757" w:rsidRDefault="00C37757" w:rsidP="00C37757">
      <w:pPr>
        <w:spacing w:after="0" w:line="276" w:lineRule="auto"/>
        <w:jc w:val="right"/>
        <w:rPr>
          <w:rFonts w:ascii="Arial" w:eastAsia="MS Mincho" w:hAnsi="Arial" w:cs="Arial"/>
          <w:b/>
          <w:sz w:val="14"/>
          <w:szCs w:val="22"/>
          <w:lang w:eastAsia="pt-BR"/>
        </w:rPr>
      </w:pPr>
    </w:p>
    <w:p w14:paraId="39777A8B" w14:textId="77777777" w:rsidR="00C37757" w:rsidRPr="00C37757" w:rsidRDefault="00C37757" w:rsidP="00C37757">
      <w:pPr>
        <w:spacing w:after="0" w:line="276" w:lineRule="auto"/>
        <w:jc w:val="right"/>
        <w:rPr>
          <w:rFonts w:ascii="Arial" w:eastAsia="MS Mincho" w:hAnsi="Arial" w:cs="Arial"/>
          <w:b/>
          <w:sz w:val="14"/>
          <w:szCs w:val="22"/>
          <w:lang w:eastAsia="pt-BR"/>
        </w:rPr>
      </w:pPr>
    </w:p>
    <w:p w14:paraId="37A4E6C9" w14:textId="77777777" w:rsidR="00C37757" w:rsidRPr="00C37757" w:rsidRDefault="00C37757" w:rsidP="00C37757">
      <w:pPr>
        <w:spacing w:after="40" w:line="276" w:lineRule="auto"/>
        <w:rPr>
          <w:rFonts w:ascii="Arial" w:eastAsia="MS Mincho" w:hAnsi="Arial" w:cs="Arial"/>
          <w:b/>
          <w:color w:val="1F4E79"/>
          <w:sz w:val="18"/>
          <w:szCs w:val="18"/>
        </w:rPr>
      </w:pPr>
      <w:r w:rsidRPr="00C37757">
        <w:rPr>
          <w:rFonts w:ascii="Arial" w:eastAsia="MS Mincho" w:hAnsi="Arial" w:cs="Arial"/>
          <w:b/>
          <w:color w:val="1F4E79"/>
          <w:sz w:val="18"/>
          <w:szCs w:val="18"/>
        </w:rPr>
        <w:t>b) Conciliação dos Encargos de IR e CS</w:t>
      </w:r>
    </w:p>
    <w:p w14:paraId="4C368104" w14:textId="77777777" w:rsidR="00C37757" w:rsidRPr="00C37757" w:rsidRDefault="00C37757" w:rsidP="00C37757">
      <w:pPr>
        <w:spacing w:after="0" w:line="240" w:lineRule="auto"/>
        <w:jc w:val="right"/>
        <w:rPr>
          <w:rFonts w:ascii="Arial" w:eastAsia="MS Mincho" w:hAnsi="Arial" w:cs="Arial"/>
          <w:b/>
          <w:sz w:val="14"/>
          <w:szCs w:val="22"/>
          <w:lang w:eastAsia="pt-BR"/>
        </w:rPr>
      </w:pPr>
      <w:r w:rsidRPr="00C37757">
        <w:rPr>
          <w:rFonts w:ascii="Arial" w:eastAsia="MS Mincho" w:hAnsi="Arial" w:cs="Arial"/>
          <w:b/>
          <w:sz w:val="14"/>
          <w:szCs w:val="22"/>
          <w:lang w:eastAsia="pt-BR"/>
        </w:rPr>
        <w:t>R$ mil</w:t>
      </w:r>
    </w:p>
    <w:tbl>
      <w:tblPr>
        <w:tblW w:w="9639" w:type="dxa"/>
        <w:tblBorders>
          <w:top w:val="single" w:sz="2" w:space="0" w:color="8EAADB"/>
          <w:bottom w:val="single" w:sz="2" w:space="0" w:color="8EAADB"/>
        </w:tblBorders>
        <w:tblLook w:val="04A0" w:firstRow="1" w:lastRow="0" w:firstColumn="1" w:lastColumn="0" w:noHBand="0" w:noVBand="1"/>
      </w:tblPr>
      <w:tblGrid>
        <w:gridCol w:w="3686"/>
        <w:gridCol w:w="283"/>
        <w:gridCol w:w="1276"/>
        <w:gridCol w:w="1276"/>
        <w:gridCol w:w="283"/>
        <w:gridCol w:w="1417"/>
        <w:gridCol w:w="1418"/>
      </w:tblGrid>
      <w:tr w:rsidR="00C37757" w:rsidRPr="00C37757" w14:paraId="4AB267AF" w14:textId="77777777" w:rsidTr="00C37757">
        <w:trPr>
          <w:trHeight w:val="238"/>
        </w:trPr>
        <w:tc>
          <w:tcPr>
            <w:tcW w:w="3686" w:type="dxa"/>
            <w:tcBorders>
              <w:top w:val="single" w:sz="2" w:space="0" w:color="1F4E79"/>
              <w:bottom w:val="nil"/>
            </w:tcBorders>
            <w:shd w:val="clear" w:color="auto" w:fill="auto"/>
            <w:vAlign w:val="center"/>
          </w:tcPr>
          <w:p w14:paraId="620041AE" w14:textId="77777777" w:rsidR="00C37757" w:rsidRPr="00C37757" w:rsidRDefault="00C37757" w:rsidP="00C37757">
            <w:pPr>
              <w:spacing w:after="0" w:line="276" w:lineRule="auto"/>
              <w:jc w:val="center"/>
              <w:rPr>
                <w:rFonts w:ascii="Arial" w:eastAsia="MS Mincho" w:hAnsi="Arial" w:cs="Arial"/>
                <w:b/>
                <w:sz w:val="18"/>
                <w:szCs w:val="18"/>
              </w:rPr>
            </w:pPr>
          </w:p>
        </w:tc>
        <w:tc>
          <w:tcPr>
            <w:tcW w:w="283" w:type="dxa"/>
            <w:tcBorders>
              <w:top w:val="single" w:sz="2" w:space="0" w:color="1F4E79"/>
              <w:bottom w:val="nil"/>
            </w:tcBorders>
            <w:shd w:val="clear" w:color="auto" w:fill="auto"/>
            <w:vAlign w:val="center"/>
          </w:tcPr>
          <w:p w14:paraId="3EE49823" w14:textId="77777777" w:rsidR="00C37757" w:rsidRPr="00C37757" w:rsidRDefault="00C37757" w:rsidP="00C37757">
            <w:pPr>
              <w:spacing w:after="0" w:line="276" w:lineRule="auto"/>
              <w:jc w:val="center"/>
              <w:rPr>
                <w:rFonts w:ascii="Arial" w:eastAsia="MS Mincho" w:hAnsi="Arial" w:cs="Arial"/>
                <w:b/>
                <w:sz w:val="18"/>
                <w:szCs w:val="18"/>
              </w:rPr>
            </w:pPr>
          </w:p>
        </w:tc>
        <w:tc>
          <w:tcPr>
            <w:tcW w:w="2552" w:type="dxa"/>
            <w:gridSpan w:val="2"/>
            <w:tcBorders>
              <w:top w:val="single" w:sz="2" w:space="0" w:color="1F4E79"/>
              <w:bottom w:val="single" w:sz="2" w:space="0" w:color="1F4E79"/>
            </w:tcBorders>
            <w:shd w:val="clear" w:color="auto" w:fill="auto"/>
            <w:vAlign w:val="center"/>
          </w:tcPr>
          <w:p w14:paraId="62AD4E14" w14:textId="77777777" w:rsidR="00C37757" w:rsidRPr="00C37757" w:rsidRDefault="00C37757" w:rsidP="00C37757">
            <w:pPr>
              <w:spacing w:after="0" w:line="276" w:lineRule="auto"/>
              <w:jc w:val="center"/>
              <w:rPr>
                <w:rFonts w:ascii="Arial" w:eastAsia="MS Mincho" w:hAnsi="Arial" w:cs="Arial"/>
                <w:b/>
                <w:sz w:val="14"/>
                <w:szCs w:val="18"/>
              </w:rPr>
            </w:pPr>
            <w:r w:rsidRPr="00C37757">
              <w:rPr>
                <w:rFonts w:ascii="Arial" w:eastAsia="MS Mincho" w:hAnsi="Arial" w:cs="Arial"/>
                <w:b/>
                <w:sz w:val="14"/>
                <w:szCs w:val="18"/>
              </w:rPr>
              <w:t>Controlador</w:t>
            </w:r>
          </w:p>
        </w:tc>
        <w:tc>
          <w:tcPr>
            <w:tcW w:w="283" w:type="dxa"/>
            <w:tcBorders>
              <w:top w:val="single" w:sz="2" w:space="0" w:color="1F4E79"/>
              <w:bottom w:val="nil"/>
            </w:tcBorders>
            <w:shd w:val="clear" w:color="auto" w:fill="auto"/>
            <w:vAlign w:val="center"/>
          </w:tcPr>
          <w:p w14:paraId="2D994D87" w14:textId="77777777" w:rsidR="00C37757" w:rsidRPr="00C37757" w:rsidRDefault="00C37757" w:rsidP="00C37757">
            <w:pPr>
              <w:spacing w:after="0" w:line="276" w:lineRule="auto"/>
              <w:jc w:val="center"/>
              <w:rPr>
                <w:rFonts w:ascii="Arial" w:eastAsia="MS Mincho" w:hAnsi="Arial" w:cs="Arial"/>
                <w:b/>
                <w:sz w:val="18"/>
                <w:szCs w:val="18"/>
              </w:rPr>
            </w:pPr>
          </w:p>
        </w:tc>
        <w:tc>
          <w:tcPr>
            <w:tcW w:w="2835" w:type="dxa"/>
            <w:gridSpan w:val="2"/>
            <w:tcBorders>
              <w:top w:val="single" w:sz="2" w:space="0" w:color="1F4E79"/>
              <w:bottom w:val="single" w:sz="2" w:space="0" w:color="1F4E79"/>
            </w:tcBorders>
            <w:shd w:val="clear" w:color="auto" w:fill="auto"/>
            <w:vAlign w:val="center"/>
          </w:tcPr>
          <w:p w14:paraId="6D3FFBF9" w14:textId="77777777" w:rsidR="00C37757" w:rsidRPr="00C37757" w:rsidRDefault="00C37757" w:rsidP="00C37757">
            <w:pPr>
              <w:spacing w:after="0" w:line="276" w:lineRule="auto"/>
              <w:jc w:val="center"/>
              <w:rPr>
                <w:rFonts w:ascii="Arial" w:eastAsia="MS Mincho" w:hAnsi="Arial" w:cs="Arial"/>
                <w:b/>
                <w:sz w:val="18"/>
                <w:szCs w:val="18"/>
              </w:rPr>
            </w:pPr>
            <w:r w:rsidRPr="00C37757">
              <w:rPr>
                <w:rFonts w:ascii="Arial" w:eastAsia="MS Mincho" w:hAnsi="Arial" w:cs="Arial"/>
                <w:b/>
                <w:sz w:val="14"/>
                <w:szCs w:val="18"/>
              </w:rPr>
              <w:t>Consolidado</w:t>
            </w:r>
          </w:p>
        </w:tc>
      </w:tr>
      <w:tr w:rsidR="00C37757" w:rsidRPr="00C37757" w14:paraId="3A55EAB2" w14:textId="77777777" w:rsidTr="00C37757">
        <w:trPr>
          <w:trHeight w:val="238"/>
        </w:trPr>
        <w:tc>
          <w:tcPr>
            <w:tcW w:w="3686" w:type="dxa"/>
            <w:tcBorders>
              <w:top w:val="nil"/>
              <w:bottom w:val="nil"/>
            </w:tcBorders>
            <w:shd w:val="clear" w:color="auto" w:fill="auto"/>
            <w:vAlign w:val="center"/>
          </w:tcPr>
          <w:p w14:paraId="39407187" w14:textId="77777777" w:rsidR="00C37757" w:rsidRPr="00C37757" w:rsidRDefault="00C37757" w:rsidP="00C37757">
            <w:pPr>
              <w:keepNext/>
              <w:keepLines/>
              <w:spacing w:before="40" w:after="40" w:line="240" w:lineRule="auto"/>
              <w:jc w:val="right"/>
              <w:rPr>
                <w:rFonts w:ascii="Arial" w:eastAsia="Times New Roman" w:hAnsi="Arial" w:cs="Arial"/>
                <w:b/>
                <w:spacing w:val="-2"/>
                <w:sz w:val="14"/>
                <w:szCs w:val="18"/>
                <w:lang w:eastAsia="pt-BR"/>
              </w:rPr>
            </w:pPr>
          </w:p>
        </w:tc>
        <w:tc>
          <w:tcPr>
            <w:tcW w:w="283" w:type="dxa"/>
            <w:tcBorders>
              <w:top w:val="nil"/>
              <w:bottom w:val="nil"/>
            </w:tcBorders>
            <w:shd w:val="clear" w:color="auto" w:fill="auto"/>
            <w:vAlign w:val="center"/>
          </w:tcPr>
          <w:p w14:paraId="7850106C" w14:textId="77777777" w:rsidR="00C37757" w:rsidRPr="00C37757" w:rsidRDefault="00C37757" w:rsidP="00C37757">
            <w:pPr>
              <w:keepNext/>
              <w:keepLines/>
              <w:spacing w:before="40" w:after="40" w:line="240" w:lineRule="auto"/>
              <w:jc w:val="right"/>
              <w:rPr>
                <w:rFonts w:ascii="Arial" w:eastAsia="Times New Roman" w:hAnsi="Arial" w:cs="Arial"/>
                <w:b/>
                <w:spacing w:val="-2"/>
                <w:sz w:val="14"/>
                <w:szCs w:val="18"/>
                <w:lang w:eastAsia="pt-BR"/>
              </w:rPr>
            </w:pPr>
          </w:p>
        </w:tc>
        <w:tc>
          <w:tcPr>
            <w:tcW w:w="1276" w:type="dxa"/>
            <w:tcBorders>
              <w:top w:val="single" w:sz="2" w:space="0" w:color="1F4E79"/>
              <w:bottom w:val="nil"/>
            </w:tcBorders>
            <w:shd w:val="clear" w:color="auto" w:fill="auto"/>
          </w:tcPr>
          <w:p w14:paraId="3292EAE8" w14:textId="77777777" w:rsidR="00C37757" w:rsidRPr="00C37757" w:rsidRDefault="00C37757" w:rsidP="00C37757">
            <w:pPr>
              <w:keepNext/>
              <w:keepLines/>
              <w:spacing w:before="40" w:after="40" w:line="240" w:lineRule="auto"/>
              <w:jc w:val="right"/>
              <w:rPr>
                <w:rFonts w:ascii="Arial" w:eastAsia="Times New Roman" w:hAnsi="Arial" w:cs="Arial"/>
                <w:b/>
                <w:spacing w:val="-2"/>
                <w:sz w:val="14"/>
                <w:szCs w:val="18"/>
                <w:lang w:eastAsia="pt-BR"/>
              </w:rPr>
            </w:pPr>
            <w:r w:rsidRPr="00C37757">
              <w:rPr>
                <w:rFonts w:ascii="Arial" w:eastAsia="Times New Roman" w:hAnsi="Arial" w:cs="Times New Roman"/>
                <w:b/>
                <w:spacing w:val="-2"/>
                <w:sz w:val="14"/>
                <w:szCs w:val="18"/>
                <w:lang w:eastAsia="pt-BR"/>
              </w:rPr>
              <w:t>Exercício 2024</w:t>
            </w:r>
          </w:p>
        </w:tc>
        <w:tc>
          <w:tcPr>
            <w:tcW w:w="1276" w:type="dxa"/>
            <w:tcBorders>
              <w:top w:val="single" w:sz="2" w:space="0" w:color="1F4E79"/>
              <w:bottom w:val="nil"/>
            </w:tcBorders>
            <w:shd w:val="clear" w:color="auto" w:fill="auto"/>
          </w:tcPr>
          <w:p w14:paraId="494AA0DF" w14:textId="77777777" w:rsidR="00C37757" w:rsidRPr="00C37757" w:rsidRDefault="00C37757" w:rsidP="00C37757">
            <w:pPr>
              <w:keepNext/>
              <w:keepLines/>
              <w:spacing w:before="40" w:after="40" w:line="240" w:lineRule="auto"/>
              <w:jc w:val="right"/>
              <w:rPr>
                <w:rFonts w:ascii="Arial" w:eastAsia="Times New Roman" w:hAnsi="Arial" w:cs="Arial"/>
                <w:b/>
                <w:spacing w:val="-2"/>
                <w:sz w:val="14"/>
                <w:szCs w:val="18"/>
                <w:lang w:eastAsia="pt-BR"/>
              </w:rPr>
            </w:pPr>
            <w:r w:rsidRPr="00C37757">
              <w:rPr>
                <w:rFonts w:ascii="Arial" w:eastAsia="Times New Roman" w:hAnsi="Arial" w:cs="Times New Roman"/>
                <w:b/>
                <w:spacing w:val="-2"/>
                <w:sz w:val="14"/>
                <w:szCs w:val="18"/>
                <w:lang w:eastAsia="pt-BR"/>
              </w:rPr>
              <w:t>Exercício 2023</w:t>
            </w:r>
          </w:p>
        </w:tc>
        <w:tc>
          <w:tcPr>
            <w:tcW w:w="283" w:type="dxa"/>
            <w:tcBorders>
              <w:top w:val="nil"/>
              <w:bottom w:val="nil"/>
            </w:tcBorders>
            <w:shd w:val="clear" w:color="auto" w:fill="auto"/>
          </w:tcPr>
          <w:p w14:paraId="4F0A55A4" w14:textId="77777777" w:rsidR="00C37757" w:rsidRPr="00C37757" w:rsidRDefault="00C37757" w:rsidP="00C37757">
            <w:pPr>
              <w:keepNext/>
              <w:keepLines/>
              <w:spacing w:before="40" w:after="40" w:line="240" w:lineRule="auto"/>
              <w:jc w:val="right"/>
              <w:rPr>
                <w:rFonts w:ascii="Arial" w:eastAsia="Times New Roman" w:hAnsi="Arial" w:cs="Arial"/>
                <w:b/>
                <w:spacing w:val="-2"/>
                <w:sz w:val="14"/>
                <w:szCs w:val="18"/>
                <w:lang w:eastAsia="pt-BR"/>
              </w:rPr>
            </w:pPr>
          </w:p>
        </w:tc>
        <w:tc>
          <w:tcPr>
            <w:tcW w:w="1417" w:type="dxa"/>
            <w:tcBorders>
              <w:top w:val="single" w:sz="2" w:space="0" w:color="1F4E79"/>
              <w:bottom w:val="nil"/>
            </w:tcBorders>
            <w:shd w:val="clear" w:color="auto" w:fill="auto"/>
          </w:tcPr>
          <w:p w14:paraId="5A844B1E" w14:textId="77777777" w:rsidR="00C37757" w:rsidRPr="00C37757" w:rsidRDefault="00C37757" w:rsidP="00C37757">
            <w:pPr>
              <w:keepNext/>
              <w:keepLines/>
              <w:spacing w:before="40" w:after="40" w:line="240" w:lineRule="auto"/>
              <w:jc w:val="right"/>
              <w:rPr>
                <w:rFonts w:ascii="Arial" w:eastAsia="Times New Roman" w:hAnsi="Arial" w:cs="Arial"/>
                <w:b/>
                <w:spacing w:val="-2"/>
                <w:sz w:val="14"/>
                <w:szCs w:val="18"/>
                <w:lang w:eastAsia="pt-BR"/>
              </w:rPr>
            </w:pPr>
            <w:r w:rsidRPr="00C37757">
              <w:rPr>
                <w:rFonts w:ascii="Arial" w:eastAsia="Times New Roman" w:hAnsi="Arial" w:cs="Times New Roman"/>
                <w:b/>
                <w:spacing w:val="-2"/>
                <w:sz w:val="14"/>
                <w:szCs w:val="18"/>
                <w:lang w:eastAsia="pt-BR"/>
              </w:rPr>
              <w:t>Exercício 2024</w:t>
            </w:r>
          </w:p>
        </w:tc>
        <w:tc>
          <w:tcPr>
            <w:tcW w:w="1418" w:type="dxa"/>
            <w:tcBorders>
              <w:top w:val="single" w:sz="2" w:space="0" w:color="1F4E79"/>
              <w:bottom w:val="nil"/>
            </w:tcBorders>
            <w:shd w:val="clear" w:color="auto" w:fill="auto"/>
          </w:tcPr>
          <w:p w14:paraId="2042B63C" w14:textId="77777777" w:rsidR="00C37757" w:rsidRPr="00C37757" w:rsidRDefault="00C37757" w:rsidP="00C37757">
            <w:pPr>
              <w:keepNext/>
              <w:keepLines/>
              <w:spacing w:before="40" w:after="40" w:line="240" w:lineRule="auto"/>
              <w:jc w:val="right"/>
              <w:rPr>
                <w:rFonts w:ascii="Arial" w:eastAsia="Times New Roman" w:hAnsi="Arial" w:cs="Arial"/>
                <w:b/>
                <w:spacing w:val="-2"/>
                <w:sz w:val="14"/>
                <w:szCs w:val="18"/>
                <w:lang w:eastAsia="pt-BR"/>
              </w:rPr>
            </w:pPr>
            <w:r w:rsidRPr="00C37757">
              <w:rPr>
                <w:rFonts w:ascii="Arial" w:eastAsia="Times New Roman" w:hAnsi="Arial" w:cs="Times New Roman"/>
                <w:b/>
                <w:spacing w:val="-2"/>
                <w:sz w:val="14"/>
                <w:szCs w:val="18"/>
                <w:lang w:eastAsia="pt-BR"/>
              </w:rPr>
              <w:t>Exercício 2023</w:t>
            </w:r>
          </w:p>
        </w:tc>
      </w:tr>
      <w:tr w:rsidR="00C37757" w:rsidRPr="00C37757" w14:paraId="630BB974" w14:textId="77777777" w:rsidTr="00C37757">
        <w:trPr>
          <w:trHeight w:val="238"/>
        </w:trPr>
        <w:tc>
          <w:tcPr>
            <w:tcW w:w="3686" w:type="dxa"/>
            <w:tcBorders>
              <w:top w:val="single" w:sz="2" w:space="0" w:color="1F4E79"/>
            </w:tcBorders>
            <w:shd w:val="clear" w:color="auto" w:fill="auto"/>
            <w:vAlign w:val="center"/>
          </w:tcPr>
          <w:p w14:paraId="0D1992C6" w14:textId="77777777" w:rsidR="00C37757" w:rsidRPr="00C37757" w:rsidRDefault="00C37757" w:rsidP="00C37757">
            <w:pPr>
              <w:keepNext/>
              <w:keepLines/>
              <w:spacing w:before="40" w:after="40" w:line="240" w:lineRule="auto"/>
              <w:rPr>
                <w:rFonts w:ascii="Arial" w:eastAsia="Times New Roman" w:hAnsi="Arial" w:cs="Arial"/>
                <w:b/>
                <w:bCs/>
                <w:spacing w:val="-2"/>
                <w:sz w:val="14"/>
                <w:szCs w:val="14"/>
                <w:lang w:eastAsia="pt-BR"/>
              </w:rPr>
            </w:pPr>
            <w:r w:rsidRPr="00C37757">
              <w:rPr>
                <w:rFonts w:ascii="Arial" w:eastAsia="Times New Roman" w:hAnsi="Arial" w:cs="Arial"/>
                <w:b/>
                <w:spacing w:val="-2"/>
                <w:sz w:val="14"/>
                <w:szCs w:val="14"/>
                <w:lang w:eastAsia="pt-BR"/>
              </w:rPr>
              <w:t>Resultado Antes do Imposto de Renda e Contribuição Social</w:t>
            </w:r>
          </w:p>
        </w:tc>
        <w:tc>
          <w:tcPr>
            <w:tcW w:w="283" w:type="dxa"/>
            <w:tcBorders>
              <w:top w:val="single" w:sz="2" w:space="0" w:color="1F4E79"/>
            </w:tcBorders>
            <w:shd w:val="clear" w:color="auto" w:fill="auto"/>
          </w:tcPr>
          <w:p w14:paraId="29205CD2" w14:textId="77777777" w:rsidR="00C37757" w:rsidRPr="00C37757" w:rsidRDefault="00C37757" w:rsidP="00C37757">
            <w:pPr>
              <w:keepNext/>
              <w:keepLines/>
              <w:spacing w:before="40" w:after="40" w:line="240" w:lineRule="auto"/>
              <w:jc w:val="center"/>
              <w:rPr>
                <w:rFonts w:ascii="Arial" w:eastAsia="Times New Roman" w:hAnsi="Arial" w:cs="Arial"/>
                <w:b/>
                <w:spacing w:val="-2"/>
                <w:sz w:val="14"/>
                <w:szCs w:val="14"/>
                <w:lang w:eastAsia="pt-BR"/>
              </w:rPr>
            </w:pPr>
          </w:p>
        </w:tc>
        <w:tc>
          <w:tcPr>
            <w:tcW w:w="1276" w:type="dxa"/>
            <w:tcBorders>
              <w:top w:val="single" w:sz="2" w:space="0" w:color="1F4E79"/>
            </w:tcBorders>
            <w:shd w:val="clear" w:color="auto" w:fill="auto"/>
            <w:vAlign w:val="center"/>
          </w:tcPr>
          <w:p w14:paraId="5995A22E" w14:textId="77777777" w:rsidR="00C37757" w:rsidRPr="00C37757" w:rsidRDefault="00C37757" w:rsidP="00C37757">
            <w:pPr>
              <w:keepNext/>
              <w:keepLines/>
              <w:spacing w:before="40" w:after="40" w:line="240" w:lineRule="auto"/>
              <w:jc w:val="right"/>
              <w:rPr>
                <w:rFonts w:ascii="Arial" w:eastAsia="Times New Roman" w:hAnsi="Arial" w:cs="Arial"/>
                <w:b/>
                <w:spacing w:val="-2"/>
                <w:sz w:val="14"/>
                <w:szCs w:val="14"/>
                <w:lang w:eastAsia="pt-BR"/>
              </w:rPr>
            </w:pPr>
            <w:r w:rsidRPr="00C37757">
              <w:rPr>
                <w:rFonts w:ascii="Arial" w:eastAsia="Times New Roman" w:hAnsi="Arial" w:cs="Arial"/>
                <w:b/>
                <w:spacing w:val="-2"/>
                <w:sz w:val="14"/>
                <w:szCs w:val="14"/>
                <w:lang w:eastAsia="pt-BR"/>
              </w:rPr>
              <w:t>8.712.866</w:t>
            </w:r>
          </w:p>
        </w:tc>
        <w:tc>
          <w:tcPr>
            <w:tcW w:w="1276" w:type="dxa"/>
            <w:tcBorders>
              <w:top w:val="single" w:sz="2" w:space="0" w:color="1F4E79"/>
            </w:tcBorders>
            <w:shd w:val="clear" w:color="auto" w:fill="auto"/>
            <w:vAlign w:val="center"/>
          </w:tcPr>
          <w:p w14:paraId="5C7B99E6" w14:textId="77777777" w:rsidR="00C37757" w:rsidRPr="00C37757" w:rsidRDefault="00C37757" w:rsidP="00C37757">
            <w:pPr>
              <w:keepNext/>
              <w:keepLines/>
              <w:spacing w:before="40" w:after="40" w:line="240" w:lineRule="auto"/>
              <w:jc w:val="right"/>
              <w:rPr>
                <w:rFonts w:ascii="Arial" w:eastAsia="Times New Roman" w:hAnsi="Arial" w:cs="Arial"/>
                <w:b/>
                <w:spacing w:val="-2"/>
                <w:sz w:val="14"/>
                <w:szCs w:val="14"/>
                <w:lang w:eastAsia="pt-BR"/>
              </w:rPr>
            </w:pPr>
            <w:r w:rsidRPr="00C37757">
              <w:rPr>
                <w:rFonts w:ascii="Arial" w:eastAsia="Times New Roman" w:hAnsi="Arial" w:cs="Arial"/>
                <w:b/>
                <w:spacing w:val="-2"/>
                <w:sz w:val="14"/>
                <w:szCs w:val="14"/>
                <w:lang w:eastAsia="pt-BR"/>
              </w:rPr>
              <w:t>7.958.824</w:t>
            </w:r>
          </w:p>
        </w:tc>
        <w:tc>
          <w:tcPr>
            <w:tcW w:w="283" w:type="dxa"/>
            <w:tcBorders>
              <w:top w:val="single" w:sz="2" w:space="0" w:color="1F4E79"/>
            </w:tcBorders>
            <w:shd w:val="clear" w:color="auto" w:fill="auto"/>
            <w:vAlign w:val="center"/>
          </w:tcPr>
          <w:p w14:paraId="0CCBE892" w14:textId="77777777" w:rsidR="00C37757" w:rsidRPr="00C37757" w:rsidRDefault="00C37757" w:rsidP="00C37757">
            <w:pPr>
              <w:keepNext/>
              <w:keepLines/>
              <w:spacing w:before="40" w:after="40" w:line="240" w:lineRule="auto"/>
              <w:jc w:val="right"/>
              <w:rPr>
                <w:rFonts w:ascii="Arial" w:eastAsia="Times New Roman" w:hAnsi="Arial" w:cs="Arial"/>
                <w:b/>
                <w:spacing w:val="-2"/>
                <w:sz w:val="14"/>
                <w:szCs w:val="14"/>
                <w:lang w:eastAsia="pt-BR"/>
              </w:rPr>
            </w:pPr>
          </w:p>
        </w:tc>
        <w:tc>
          <w:tcPr>
            <w:tcW w:w="1417" w:type="dxa"/>
            <w:tcBorders>
              <w:top w:val="single" w:sz="2" w:space="0" w:color="1F4E79"/>
            </w:tcBorders>
            <w:shd w:val="clear" w:color="auto" w:fill="auto"/>
            <w:vAlign w:val="center"/>
          </w:tcPr>
          <w:p w14:paraId="05A5DE9E" w14:textId="77777777" w:rsidR="00C37757" w:rsidRPr="00C37757" w:rsidRDefault="00C37757" w:rsidP="00C37757">
            <w:pPr>
              <w:keepNext/>
              <w:keepLines/>
              <w:spacing w:before="40" w:after="40" w:line="240" w:lineRule="auto"/>
              <w:jc w:val="right"/>
              <w:rPr>
                <w:rFonts w:ascii="Arial" w:eastAsia="Times New Roman" w:hAnsi="Arial" w:cs="Arial"/>
                <w:b/>
                <w:spacing w:val="-2"/>
                <w:sz w:val="14"/>
                <w:szCs w:val="14"/>
                <w:lang w:eastAsia="pt-BR"/>
              </w:rPr>
            </w:pPr>
            <w:r w:rsidRPr="00C37757">
              <w:rPr>
                <w:rFonts w:ascii="Arial" w:eastAsia="Times New Roman" w:hAnsi="Arial" w:cs="Arial"/>
                <w:b/>
                <w:spacing w:val="-2"/>
                <w:sz w:val="14"/>
                <w:szCs w:val="14"/>
                <w:lang w:eastAsia="pt-BR"/>
              </w:rPr>
              <w:t>10.410.987</w:t>
            </w:r>
          </w:p>
        </w:tc>
        <w:tc>
          <w:tcPr>
            <w:tcW w:w="1418" w:type="dxa"/>
            <w:tcBorders>
              <w:top w:val="single" w:sz="2" w:space="0" w:color="1F4E79"/>
            </w:tcBorders>
            <w:shd w:val="clear" w:color="auto" w:fill="auto"/>
            <w:vAlign w:val="center"/>
          </w:tcPr>
          <w:p w14:paraId="475A0201" w14:textId="77777777" w:rsidR="00C37757" w:rsidRPr="00C37757" w:rsidRDefault="00C37757" w:rsidP="00C37757">
            <w:pPr>
              <w:keepNext/>
              <w:keepLines/>
              <w:spacing w:before="40" w:after="40" w:line="240" w:lineRule="auto"/>
              <w:jc w:val="right"/>
              <w:rPr>
                <w:rFonts w:ascii="Arial" w:eastAsia="Times New Roman" w:hAnsi="Arial" w:cs="Arial"/>
                <w:b/>
                <w:spacing w:val="-2"/>
                <w:sz w:val="14"/>
                <w:szCs w:val="18"/>
                <w:lang w:eastAsia="pt-BR"/>
              </w:rPr>
            </w:pPr>
            <w:r w:rsidRPr="00C37757">
              <w:rPr>
                <w:rFonts w:ascii="Arial" w:eastAsia="Times New Roman" w:hAnsi="Arial" w:cs="Arial"/>
                <w:b/>
                <w:spacing w:val="-2"/>
                <w:sz w:val="14"/>
                <w:szCs w:val="14"/>
                <w:lang w:eastAsia="pt-BR"/>
              </w:rPr>
              <w:t>9.493.312</w:t>
            </w:r>
          </w:p>
        </w:tc>
      </w:tr>
      <w:tr w:rsidR="00C37757" w:rsidRPr="00C37757" w14:paraId="31F9C526" w14:textId="77777777" w:rsidTr="00C37757">
        <w:trPr>
          <w:trHeight w:val="238"/>
        </w:trPr>
        <w:tc>
          <w:tcPr>
            <w:tcW w:w="3686" w:type="dxa"/>
            <w:shd w:val="clear" w:color="auto" w:fill="auto"/>
            <w:vAlign w:val="center"/>
          </w:tcPr>
          <w:p w14:paraId="53D66FDB" w14:textId="77777777" w:rsidR="00C37757" w:rsidRPr="00C37757" w:rsidRDefault="00C37757" w:rsidP="00C37757">
            <w:pPr>
              <w:keepNext/>
              <w:keepLines/>
              <w:spacing w:before="40" w:after="40" w:line="240" w:lineRule="auto"/>
              <w:ind w:left="113"/>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a) Encargo total do IR (25%) e da CS (9%)</w:t>
            </w:r>
          </w:p>
        </w:tc>
        <w:tc>
          <w:tcPr>
            <w:tcW w:w="283" w:type="dxa"/>
            <w:shd w:val="clear" w:color="auto" w:fill="auto"/>
          </w:tcPr>
          <w:p w14:paraId="648E00CB" w14:textId="77777777" w:rsidR="00C37757" w:rsidRPr="00C37757" w:rsidRDefault="00C37757" w:rsidP="00C37757">
            <w:pPr>
              <w:keepNext/>
              <w:keepLines/>
              <w:spacing w:before="40" w:after="40" w:line="240" w:lineRule="auto"/>
              <w:ind w:left="113"/>
              <w:jc w:val="center"/>
              <w:rPr>
                <w:rFonts w:ascii="Arial" w:eastAsia="Times New Roman" w:hAnsi="Arial" w:cs="Arial"/>
                <w:spacing w:val="-2"/>
                <w:sz w:val="14"/>
                <w:szCs w:val="14"/>
                <w:lang w:eastAsia="pt-BR"/>
              </w:rPr>
            </w:pPr>
          </w:p>
        </w:tc>
        <w:tc>
          <w:tcPr>
            <w:tcW w:w="1276" w:type="dxa"/>
            <w:shd w:val="clear" w:color="auto" w:fill="auto"/>
            <w:vAlign w:val="center"/>
          </w:tcPr>
          <w:p w14:paraId="36C15C97" w14:textId="77777777" w:rsidR="00C37757" w:rsidRPr="00C37757" w:rsidRDefault="00C37757" w:rsidP="00C37757">
            <w:pPr>
              <w:keepNext/>
              <w:keepLines/>
              <w:spacing w:before="40" w:after="40" w:line="240" w:lineRule="auto"/>
              <w:ind w:left="113"/>
              <w:jc w:val="right"/>
              <w:rPr>
                <w:rFonts w:ascii="Arial" w:eastAsia="Times New Roman" w:hAnsi="Arial" w:cs="Arial"/>
                <w:spacing w:val="-2"/>
                <w:sz w:val="14"/>
                <w:szCs w:val="14"/>
                <w:lang w:eastAsia="pt-BR"/>
              </w:rPr>
            </w:pPr>
            <w:r w:rsidRPr="00F7280E">
              <w:rPr>
                <w:rFonts w:ascii="Arial" w:eastAsia="Times New Roman" w:hAnsi="Arial" w:cs="Arial"/>
                <w:spacing w:val="-2"/>
                <w:sz w:val="14"/>
                <w:szCs w:val="14"/>
                <w:lang w:eastAsia="pt-BR"/>
              </w:rPr>
              <w:t>(2.962.374)</w:t>
            </w:r>
          </w:p>
        </w:tc>
        <w:tc>
          <w:tcPr>
            <w:tcW w:w="1276" w:type="dxa"/>
            <w:shd w:val="clear" w:color="auto" w:fill="auto"/>
            <w:vAlign w:val="center"/>
          </w:tcPr>
          <w:p w14:paraId="3309D576" w14:textId="77777777" w:rsidR="00C37757" w:rsidRPr="00C37757" w:rsidRDefault="00C37757" w:rsidP="00C37757">
            <w:pPr>
              <w:keepNext/>
              <w:keepLines/>
              <w:spacing w:before="40" w:after="40" w:line="240" w:lineRule="auto"/>
              <w:ind w:left="113"/>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(2.706.000)</w:t>
            </w:r>
          </w:p>
        </w:tc>
        <w:tc>
          <w:tcPr>
            <w:tcW w:w="283" w:type="dxa"/>
            <w:shd w:val="clear" w:color="auto" w:fill="auto"/>
            <w:vAlign w:val="center"/>
          </w:tcPr>
          <w:p w14:paraId="1B4EEA15" w14:textId="77777777" w:rsidR="00C37757" w:rsidRPr="00C37757" w:rsidRDefault="00C37757" w:rsidP="00C37757">
            <w:pPr>
              <w:keepNext/>
              <w:keepLines/>
              <w:spacing w:before="40" w:after="40" w:line="240" w:lineRule="auto"/>
              <w:ind w:left="113"/>
              <w:jc w:val="right"/>
              <w:rPr>
                <w:rFonts w:ascii="Arial" w:eastAsia="Times New Roman" w:hAnsi="Arial" w:cs="Arial"/>
                <w:spacing w:val="-2"/>
                <w:sz w:val="14"/>
                <w:szCs w:val="14"/>
                <w:lang w:eastAsia="pt-BR"/>
              </w:rPr>
            </w:pPr>
          </w:p>
        </w:tc>
        <w:tc>
          <w:tcPr>
            <w:tcW w:w="1417" w:type="dxa"/>
            <w:shd w:val="clear" w:color="auto" w:fill="auto"/>
            <w:vAlign w:val="center"/>
          </w:tcPr>
          <w:p w14:paraId="3D76F5C8" w14:textId="77777777" w:rsidR="00C37757" w:rsidRPr="00C37757" w:rsidRDefault="00C37757" w:rsidP="00C37757">
            <w:pPr>
              <w:keepNext/>
              <w:keepLines/>
              <w:spacing w:before="40" w:after="40" w:line="240" w:lineRule="auto"/>
              <w:ind w:left="113"/>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(3.539.736)</w:t>
            </w:r>
          </w:p>
        </w:tc>
        <w:tc>
          <w:tcPr>
            <w:tcW w:w="1418" w:type="dxa"/>
            <w:shd w:val="clear" w:color="auto" w:fill="auto"/>
            <w:vAlign w:val="center"/>
          </w:tcPr>
          <w:p w14:paraId="17BFBE71" w14:textId="77777777" w:rsidR="00C37757" w:rsidRPr="00C37757" w:rsidRDefault="00C37757" w:rsidP="00C37757">
            <w:pPr>
              <w:keepNext/>
              <w:keepLines/>
              <w:spacing w:before="40" w:after="40" w:line="240" w:lineRule="auto"/>
              <w:jc w:val="right"/>
              <w:rPr>
                <w:rFonts w:ascii="Arial" w:eastAsia="Times New Roman" w:hAnsi="Arial" w:cs="Arial"/>
                <w:spacing w:val="-2"/>
                <w:sz w:val="14"/>
                <w:szCs w:val="18"/>
                <w:lang w:eastAsia="pt-BR"/>
              </w:rPr>
            </w:pPr>
            <w:r w:rsidRPr="00C37757">
              <w:rPr>
                <w:rFonts w:ascii="Arial" w:eastAsia="Times New Roman" w:hAnsi="Arial" w:cs="Arial"/>
                <w:spacing w:val="-2"/>
                <w:sz w:val="14"/>
                <w:szCs w:val="14"/>
                <w:lang w:eastAsia="pt-BR"/>
              </w:rPr>
              <w:t>(3.227.726)</w:t>
            </w:r>
          </w:p>
        </w:tc>
      </w:tr>
      <w:tr w:rsidR="00C37757" w:rsidRPr="00C37757" w14:paraId="0B3E8C89" w14:textId="77777777" w:rsidTr="00C37757">
        <w:trPr>
          <w:trHeight w:val="238"/>
        </w:trPr>
        <w:tc>
          <w:tcPr>
            <w:tcW w:w="3686" w:type="dxa"/>
            <w:shd w:val="clear" w:color="auto" w:fill="auto"/>
            <w:vAlign w:val="center"/>
          </w:tcPr>
          <w:p w14:paraId="560D2350" w14:textId="77777777" w:rsidR="00C37757" w:rsidRPr="00C37757" w:rsidRDefault="00C37757" w:rsidP="00C37757">
            <w:pPr>
              <w:keepNext/>
              <w:keepLines/>
              <w:spacing w:before="40" w:after="40" w:line="240" w:lineRule="auto"/>
              <w:rPr>
                <w:rFonts w:ascii="Arial" w:eastAsia="Times New Roman" w:hAnsi="Arial" w:cs="Arial"/>
                <w:b/>
                <w:spacing w:val="-2"/>
                <w:sz w:val="14"/>
                <w:szCs w:val="14"/>
                <w:lang w:eastAsia="pt-BR"/>
              </w:rPr>
            </w:pPr>
            <w:r w:rsidRPr="00C37757">
              <w:rPr>
                <w:rFonts w:ascii="Arial" w:eastAsia="Times New Roman" w:hAnsi="Arial" w:cs="Arial"/>
                <w:b/>
                <w:spacing w:val="-2"/>
                <w:sz w:val="14"/>
                <w:szCs w:val="14"/>
                <w:lang w:eastAsia="pt-BR"/>
              </w:rPr>
              <w:t>Efeito no Cálculo dos Tributos:</w:t>
            </w:r>
          </w:p>
        </w:tc>
        <w:tc>
          <w:tcPr>
            <w:tcW w:w="283" w:type="dxa"/>
            <w:shd w:val="clear" w:color="auto" w:fill="auto"/>
          </w:tcPr>
          <w:p w14:paraId="51108C1A" w14:textId="77777777" w:rsidR="00C37757" w:rsidRPr="00C37757" w:rsidRDefault="00C37757" w:rsidP="00C37757">
            <w:pPr>
              <w:keepNext/>
              <w:keepLines/>
              <w:spacing w:before="40" w:after="40" w:line="240" w:lineRule="auto"/>
              <w:jc w:val="center"/>
              <w:rPr>
                <w:rFonts w:ascii="Arial" w:eastAsia="Times New Roman" w:hAnsi="Arial" w:cs="Arial"/>
                <w:b/>
                <w:spacing w:val="-2"/>
                <w:sz w:val="14"/>
                <w:szCs w:val="14"/>
                <w:lang w:eastAsia="pt-BR"/>
              </w:rPr>
            </w:pPr>
          </w:p>
        </w:tc>
        <w:tc>
          <w:tcPr>
            <w:tcW w:w="1276" w:type="dxa"/>
            <w:shd w:val="clear" w:color="auto" w:fill="auto"/>
            <w:vAlign w:val="center"/>
          </w:tcPr>
          <w:p w14:paraId="02DBABB3" w14:textId="77777777" w:rsidR="00C37757" w:rsidRPr="00C37757" w:rsidRDefault="00C37757" w:rsidP="00C37757">
            <w:pPr>
              <w:keepNext/>
              <w:keepLines/>
              <w:spacing w:before="40" w:after="40" w:line="240" w:lineRule="auto"/>
              <w:jc w:val="right"/>
              <w:rPr>
                <w:rFonts w:ascii="Arial" w:eastAsia="Times New Roman" w:hAnsi="Arial" w:cs="Arial"/>
                <w:b/>
                <w:spacing w:val="-2"/>
                <w:sz w:val="14"/>
                <w:szCs w:val="14"/>
                <w:lang w:eastAsia="pt-BR"/>
              </w:rPr>
            </w:pPr>
          </w:p>
        </w:tc>
        <w:tc>
          <w:tcPr>
            <w:tcW w:w="1276" w:type="dxa"/>
            <w:shd w:val="clear" w:color="auto" w:fill="auto"/>
            <w:vAlign w:val="center"/>
          </w:tcPr>
          <w:p w14:paraId="405694DF" w14:textId="77777777" w:rsidR="00C37757" w:rsidRPr="00C37757" w:rsidRDefault="00C37757" w:rsidP="00C37757">
            <w:pPr>
              <w:keepNext/>
              <w:keepLines/>
              <w:spacing w:before="40" w:after="40" w:line="240" w:lineRule="auto"/>
              <w:jc w:val="right"/>
              <w:rPr>
                <w:rFonts w:ascii="Arial" w:eastAsia="Times New Roman" w:hAnsi="Arial" w:cs="Arial"/>
                <w:b/>
                <w:spacing w:val="-2"/>
                <w:sz w:val="14"/>
                <w:szCs w:val="14"/>
                <w:lang w:eastAsia="pt-BR"/>
              </w:rPr>
            </w:pPr>
          </w:p>
        </w:tc>
        <w:tc>
          <w:tcPr>
            <w:tcW w:w="283" w:type="dxa"/>
            <w:shd w:val="clear" w:color="auto" w:fill="auto"/>
            <w:vAlign w:val="center"/>
          </w:tcPr>
          <w:p w14:paraId="5499F43F" w14:textId="77777777" w:rsidR="00C37757" w:rsidRPr="00C37757" w:rsidRDefault="00C37757" w:rsidP="00C37757">
            <w:pPr>
              <w:keepNext/>
              <w:keepLines/>
              <w:spacing w:before="40" w:after="40" w:line="240" w:lineRule="auto"/>
              <w:jc w:val="right"/>
              <w:rPr>
                <w:rFonts w:ascii="Arial" w:eastAsia="Times New Roman" w:hAnsi="Arial" w:cs="Arial"/>
                <w:b/>
                <w:spacing w:val="-2"/>
                <w:sz w:val="14"/>
                <w:szCs w:val="14"/>
                <w:lang w:eastAsia="pt-BR"/>
              </w:rPr>
            </w:pPr>
          </w:p>
        </w:tc>
        <w:tc>
          <w:tcPr>
            <w:tcW w:w="1417" w:type="dxa"/>
            <w:shd w:val="clear" w:color="auto" w:fill="auto"/>
            <w:vAlign w:val="center"/>
          </w:tcPr>
          <w:p w14:paraId="313BFF70" w14:textId="77777777" w:rsidR="00C37757" w:rsidRPr="00C37757" w:rsidRDefault="00C37757" w:rsidP="00C37757">
            <w:pPr>
              <w:keepNext/>
              <w:keepLines/>
              <w:spacing w:before="40" w:after="40" w:line="240" w:lineRule="auto"/>
              <w:jc w:val="right"/>
              <w:rPr>
                <w:rFonts w:ascii="Arial" w:eastAsia="Times New Roman" w:hAnsi="Arial" w:cs="Arial"/>
                <w:b/>
                <w:spacing w:val="-2"/>
                <w:sz w:val="14"/>
                <w:szCs w:val="14"/>
                <w:lang w:eastAsia="pt-BR"/>
              </w:rPr>
            </w:pPr>
          </w:p>
        </w:tc>
        <w:tc>
          <w:tcPr>
            <w:tcW w:w="1418" w:type="dxa"/>
            <w:shd w:val="clear" w:color="auto" w:fill="auto"/>
            <w:vAlign w:val="center"/>
          </w:tcPr>
          <w:p w14:paraId="65C32A67" w14:textId="77777777" w:rsidR="00C37757" w:rsidRPr="00C37757" w:rsidRDefault="00C37757" w:rsidP="00C37757">
            <w:pPr>
              <w:keepNext/>
              <w:keepLines/>
              <w:spacing w:before="40" w:after="40" w:line="240" w:lineRule="auto"/>
              <w:jc w:val="right"/>
              <w:rPr>
                <w:rFonts w:ascii="Arial" w:eastAsia="Times New Roman" w:hAnsi="Arial" w:cs="Arial"/>
                <w:b/>
                <w:spacing w:val="-2"/>
                <w:sz w:val="14"/>
                <w:szCs w:val="18"/>
                <w:lang w:eastAsia="pt-BR"/>
              </w:rPr>
            </w:pPr>
          </w:p>
        </w:tc>
      </w:tr>
      <w:tr w:rsidR="00C37757" w:rsidRPr="00C37757" w14:paraId="1B3ACDBF" w14:textId="77777777" w:rsidTr="00C37757">
        <w:trPr>
          <w:trHeight w:val="238"/>
        </w:trPr>
        <w:tc>
          <w:tcPr>
            <w:tcW w:w="3686" w:type="dxa"/>
            <w:shd w:val="clear" w:color="auto" w:fill="auto"/>
            <w:vAlign w:val="center"/>
          </w:tcPr>
          <w:p w14:paraId="79A21272" w14:textId="77777777" w:rsidR="00C37757" w:rsidRPr="00C37757" w:rsidRDefault="00C37757" w:rsidP="00C37757">
            <w:pPr>
              <w:keepNext/>
              <w:keepLines/>
              <w:spacing w:before="40" w:after="40" w:line="240" w:lineRule="auto"/>
              <w:ind w:left="283" w:hanging="170"/>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b) Receitas não tributáveis – resultado de investimentos em participações societárias (34%)</w:t>
            </w:r>
          </w:p>
        </w:tc>
        <w:tc>
          <w:tcPr>
            <w:tcW w:w="283" w:type="dxa"/>
            <w:shd w:val="clear" w:color="auto" w:fill="auto"/>
          </w:tcPr>
          <w:p w14:paraId="59AAA5D6" w14:textId="77777777" w:rsidR="00C37757" w:rsidRPr="00C37757" w:rsidRDefault="00C37757" w:rsidP="00C37757">
            <w:pPr>
              <w:keepNext/>
              <w:keepLines/>
              <w:spacing w:before="40" w:after="40" w:line="240" w:lineRule="auto"/>
              <w:ind w:left="113"/>
              <w:jc w:val="center"/>
              <w:rPr>
                <w:rFonts w:ascii="Arial" w:eastAsia="Times New Roman" w:hAnsi="Arial" w:cs="Arial"/>
                <w:spacing w:val="-2"/>
                <w:sz w:val="14"/>
                <w:szCs w:val="14"/>
                <w:lang w:eastAsia="pt-BR"/>
              </w:rPr>
            </w:pPr>
          </w:p>
        </w:tc>
        <w:tc>
          <w:tcPr>
            <w:tcW w:w="1276" w:type="dxa"/>
            <w:shd w:val="clear" w:color="auto" w:fill="auto"/>
            <w:vAlign w:val="center"/>
          </w:tcPr>
          <w:p w14:paraId="02A8D77D" w14:textId="77777777" w:rsidR="00C37757" w:rsidRPr="00C37757" w:rsidRDefault="00C37757" w:rsidP="00C37757">
            <w:pPr>
              <w:keepNext/>
              <w:keepLines/>
              <w:spacing w:before="40" w:after="40" w:line="240" w:lineRule="auto"/>
              <w:ind w:left="113"/>
              <w:jc w:val="right"/>
              <w:rPr>
                <w:rFonts w:ascii="Arial" w:eastAsia="Times New Roman" w:hAnsi="Arial" w:cs="Arial"/>
                <w:spacing w:val="-2"/>
                <w:sz w:val="14"/>
                <w:szCs w:val="14"/>
                <w:lang w:eastAsia="pt-BR"/>
              </w:rPr>
            </w:pPr>
            <w:r w:rsidRPr="00F7280E">
              <w:rPr>
                <w:rFonts w:ascii="Arial" w:eastAsia="Times New Roman" w:hAnsi="Arial" w:cs="Arial"/>
                <w:spacing w:val="-2"/>
                <w:sz w:val="14"/>
                <w:szCs w:val="14"/>
                <w:lang w:eastAsia="pt-BR"/>
              </w:rPr>
              <w:t>2.952.498</w:t>
            </w:r>
          </w:p>
        </w:tc>
        <w:tc>
          <w:tcPr>
            <w:tcW w:w="1276" w:type="dxa"/>
            <w:shd w:val="clear" w:color="auto" w:fill="auto"/>
            <w:vAlign w:val="center"/>
          </w:tcPr>
          <w:p w14:paraId="225F9A99" w14:textId="77777777" w:rsidR="00C37757" w:rsidRPr="00F7280E" w:rsidRDefault="00C37757" w:rsidP="00C37757">
            <w:pPr>
              <w:keepNext/>
              <w:keepLines/>
              <w:spacing w:before="40" w:after="40" w:line="240" w:lineRule="auto"/>
              <w:ind w:left="113"/>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2.694.807</w:t>
            </w:r>
          </w:p>
        </w:tc>
        <w:tc>
          <w:tcPr>
            <w:tcW w:w="283" w:type="dxa"/>
            <w:shd w:val="clear" w:color="auto" w:fill="auto"/>
            <w:vAlign w:val="center"/>
          </w:tcPr>
          <w:p w14:paraId="48BA9E4D" w14:textId="77777777" w:rsidR="00C37757" w:rsidRPr="00F7280E" w:rsidRDefault="00C37757" w:rsidP="00C37757">
            <w:pPr>
              <w:keepNext/>
              <w:keepLines/>
              <w:spacing w:before="40" w:after="40" w:line="240" w:lineRule="auto"/>
              <w:ind w:left="113"/>
              <w:jc w:val="right"/>
              <w:rPr>
                <w:rFonts w:ascii="Arial" w:eastAsia="Times New Roman" w:hAnsi="Arial" w:cs="Arial"/>
                <w:spacing w:val="-2"/>
                <w:sz w:val="14"/>
                <w:szCs w:val="14"/>
                <w:lang w:eastAsia="pt-BR"/>
              </w:rPr>
            </w:pPr>
          </w:p>
        </w:tc>
        <w:tc>
          <w:tcPr>
            <w:tcW w:w="1417" w:type="dxa"/>
            <w:shd w:val="clear" w:color="auto" w:fill="auto"/>
            <w:vAlign w:val="center"/>
          </w:tcPr>
          <w:p w14:paraId="3A57BBBA" w14:textId="77777777" w:rsidR="00C37757" w:rsidRPr="00C37757" w:rsidRDefault="00C37757" w:rsidP="00C37757">
            <w:pPr>
              <w:keepNext/>
              <w:keepLines/>
              <w:spacing w:before="40" w:after="40" w:line="240" w:lineRule="auto"/>
              <w:ind w:left="113"/>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1.806.068</w:t>
            </w:r>
          </w:p>
        </w:tc>
        <w:tc>
          <w:tcPr>
            <w:tcW w:w="1418" w:type="dxa"/>
            <w:shd w:val="clear" w:color="auto" w:fill="auto"/>
            <w:vAlign w:val="center"/>
          </w:tcPr>
          <w:p w14:paraId="52C99A8C" w14:textId="77777777" w:rsidR="00C37757" w:rsidRPr="00F7280E" w:rsidRDefault="00C37757" w:rsidP="00C37757">
            <w:pPr>
              <w:keepNext/>
              <w:keepLines/>
              <w:spacing w:before="40" w:after="40" w:line="240" w:lineRule="auto"/>
              <w:jc w:val="right"/>
              <w:rPr>
                <w:rFonts w:ascii="Arial" w:eastAsia="Times New Roman" w:hAnsi="Arial" w:cs="Arial"/>
                <w:spacing w:val="-2"/>
                <w:sz w:val="14"/>
                <w:szCs w:val="18"/>
                <w:lang w:eastAsia="pt-BR"/>
              </w:rPr>
            </w:pPr>
            <w:r w:rsidRPr="00C37757">
              <w:rPr>
                <w:rFonts w:ascii="Arial" w:eastAsia="Times New Roman" w:hAnsi="Arial" w:cs="Arial"/>
                <w:spacing w:val="-2"/>
                <w:sz w:val="14"/>
                <w:szCs w:val="14"/>
                <w:lang w:eastAsia="pt-BR"/>
              </w:rPr>
              <w:t>1.662.756</w:t>
            </w:r>
          </w:p>
        </w:tc>
      </w:tr>
      <w:tr w:rsidR="00C37757" w:rsidRPr="00C37757" w14:paraId="590023FE" w14:textId="77777777" w:rsidTr="00C37757">
        <w:trPr>
          <w:trHeight w:val="238"/>
        </w:trPr>
        <w:tc>
          <w:tcPr>
            <w:tcW w:w="3686" w:type="dxa"/>
            <w:shd w:val="clear" w:color="auto" w:fill="auto"/>
            <w:vAlign w:val="center"/>
          </w:tcPr>
          <w:p w14:paraId="39F3C68B" w14:textId="77777777" w:rsidR="00C37757" w:rsidRPr="00C37757" w:rsidRDefault="00C37757" w:rsidP="00C37757">
            <w:pPr>
              <w:keepNext/>
              <w:keepLines/>
              <w:spacing w:before="40" w:after="40" w:line="240" w:lineRule="auto"/>
              <w:ind w:left="283" w:hanging="170"/>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c) Incentivo fiscal</w:t>
            </w:r>
          </w:p>
        </w:tc>
        <w:tc>
          <w:tcPr>
            <w:tcW w:w="283" w:type="dxa"/>
            <w:shd w:val="clear" w:color="auto" w:fill="auto"/>
          </w:tcPr>
          <w:p w14:paraId="58149823" w14:textId="77777777" w:rsidR="00C37757" w:rsidRPr="00C37757" w:rsidRDefault="00C37757" w:rsidP="00C37757">
            <w:pPr>
              <w:keepNext/>
              <w:keepLines/>
              <w:spacing w:before="40" w:after="40" w:line="240" w:lineRule="auto"/>
              <w:ind w:left="113"/>
              <w:jc w:val="center"/>
              <w:rPr>
                <w:rFonts w:ascii="Arial" w:eastAsia="Times New Roman" w:hAnsi="Arial" w:cs="Arial"/>
                <w:spacing w:val="-2"/>
                <w:sz w:val="14"/>
                <w:szCs w:val="14"/>
                <w:lang w:eastAsia="pt-BR"/>
              </w:rPr>
            </w:pPr>
          </w:p>
        </w:tc>
        <w:tc>
          <w:tcPr>
            <w:tcW w:w="1276" w:type="dxa"/>
            <w:shd w:val="clear" w:color="auto" w:fill="auto"/>
            <w:vAlign w:val="center"/>
          </w:tcPr>
          <w:p w14:paraId="291D6828" w14:textId="77777777" w:rsidR="00C37757" w:rsidRPr="00C37757" w:rsidRDefault="00C37757" w:rsidP="00C37757">
            <w:pPr>
              <w:keepNext/>
              <w:keepLines/>
              <w:spacing w:before="40" w:after="40" w:line="240" w:lineRule="auto"/>
              <w:ind w:left="113"/>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w:t>
            </w:r>
          </w:p>
        </w:tc>
        <w:tc>
          <w:tcPr>
            <w:tcW w:w="1276" w:type="dxa"/>
            <w:shd w:val="clear" w:color="auto" w:fill="auto"/>
            <w:vAlign w:val="center"/>
          </w:tcPr>
          <w:p w14:paraId="6831A085" w14:textId="77777777" w:rsidR="00C37757" w:rsidRPr="00C37757" w:rsidRDefault="00C37757" w:rsidP="00C37757">
            <w:pPr>
              <w:keepNext/>
              <w:keepLines/>
              <w:spacing w:before="40" w:after="40" w:line="240" w:lineRule="auto"/>
              <w:ind w:left="113"/>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w:t>
            </w:r>
          </w:p>
        </w:tc>
        <w:tc>
          <w:tcPr>
            <w:tcW w:w="283" w:type="dxa"/>
            <w:shd w:val="clear" w:color="auto" w:fill="auto"/>
            <w:vAlign w:val="center"/>
          </w:tcPr>
          <w:p w14:paraId="52E7EDED" w14:textId="77777777" w:rsidR="00C37757" w:rsidRPr="00F7280E" w:rsidRDefault="00C37757" w:rsidP="00C37757">
            <w:pPr>
              <w:keepNext/>
              <w:keepLines/>
              <w:spacing w:before="40" w:after="40" w:line="240" w:lineRule="auto"/>
              <w:ind w:left="113"/>
              <w:jc w:val="right"/>
              <w:rPr>
                <w:rFonts w:ascii="Arial" w:eastAsia="Times New Roman" w:hAnsi="Arial" w:cs="Arial"/>
                <w:spacing w:val="-2"/>
                <w:sz w:val="14"/>
                <w:szCs w:val="14"/>
                <w:lang w:eastAsia="pt-BR"/>
              </w:rPr>
            </w:pPr>
          </w:p>
        </w:tc>
        <w:tc>
          <w:tcPr>
            <w:tcW w:w="1417" w:type="dxa"/>
            <w:shd w:val="clear" w:color="auto" w:fill="auto"/>
            <w:vAlign w:val="center"/>
          </w:tcPr>
          <w:p w14:paraId="269F6E3F" w14:textId="77777777" w:rsidR="00C37757" w:rsidRPr="00C37757" w:rsidRDefault="00C37757" w:rsidP="00C37757">
            <w:pPr>
              <w:keepNext/>
              <w:keepLines/>
              <w:spacing w:before="40" w:after="40" w:line="240" w:lineRule="auto"/>
              <w:ind w:left="113"/>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39.600</w:t>
            </w:r>
          </w:p>
        </w:tc>
        <w:tc>
          <w:tcPr>
            <w:tcW w:w="1418" w:type="dxa"/>
            <w:shd w:val="clear" w:color="auto" w:fill="auto"/>
            <w:vAlign w:val="center"/>
          </w:tcPr>
          <w:p w14:paraId="4D5535DC" w14:textId="77777777" w:rsidR="00C37757" w:rsidRPr="00C37757" w:rsidRDefault="00C37757" w:rsidP="00C37757">
            <w:pPr>
              <w:keepNext/>
              <w:keepLines/>
              <w:spacing w:before="40" w:after="40" w:line="240" w:lineRule="auto"/>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29.571</w:t>
            </w:r>
          </w:p>
        </w:tc>
      </w:tr>
      <w:tr w:rsidR="00C37757" w:rsidRPr="00C37757" w14:paraId="4592D178" w14:textId="77777777" w:rsidTr="00C37757">
        <w:trPr>
          <w:trHeight w:val="238"/>
        </w:trPr>
        <w:tc>
          <w:tcPr>
            <w:tcW w:w="3686" w:type="dxa"/>
            <w:shd w:val="clear" w:color="auto" w:fill="auto"/>
            <w:vAlign w:val="center"/>
          </w:tcPr>
          <w:p w14:paraId="7571B6C4" w14:textId="77777777" w:rsidR="00C37757" w:rsidRPr="00C37757" w:rsidRDefault="00C37757" w:rsidP="00C37757">
            <w:pPr>
              <w:keepNext/>
              <w:keepLines/>
              <w:spacing w:before="40" w:after="40" w:line="240" w:lineRule="auto"/>
              <w:ind w:left="283" w:hanging="170"/>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d) Patrocínio/Doação (34%)</w:t>
            </w:r>
          </w:p>
        </w:tc>
        <w:tc>
          <w:tcPr>
            <w:tcW w:w="283" w:type="dxa"/>
            <w:shd w:val="clear" w:color="auto" w:fill="auto"/>
          </w:tcPr>
          <w:p w14:paraId="267D61D5" w14:textId="77777777" w:rsidR="00C37757" w:rsidRPr="00C37757" w:rsidRDefault="00C37757" w:rsidP="00C37757">
            <w:pPr>
              <w:keepNext/>
              <w:keepLines/>
              <w:spacing w:before="40" w:after="40" w:line="240" w:lineRule="auto"/>
              <w:ind w:left="113"/>
              <w:jc w:val="center"/>
              <w:rPr>
                <w:rFonts w:ascii="Arial" w:eastAsia="Times New Roman" w:hAnsi="Arial" w:cs="Arial"/>
                <w:spacing w:val="-2"/>
                <w:sz w:val="14"/>
                <w:szCs w:val="14"/>
                <w:lang w:eastAsia="pt-BR"/>
              </w:rPr>
            </w:pPr>
          </w:p>
        </w:tc>
        <w:tc>
          <w:tcPr>
            <w:tcW w:w="1276" w:type="dxa"/>
            <w:shd w:val="clear" w:color="auto" w:fill="auto"/>
            <w:vAlign w:val="center"/>
          </w:tcPr>
          <w:p w14:paraId="331F001F" w14:textId="77777777" w:rsidR="00C37757" w:rsidRPr="00C37757" w:rsidRDefault="00C37757" w:rsidP="00C37757">
            <w:pPr>
              <w:keepNext/>
              <w:keepLines/>
              <w:spacing w:before="40" w:after="40" w:line="240" w:lineRule="auto"/>
              <w:ind w:left="113"/>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w:t>
            </w:r>
          </w:p>
        </w:tc>
        <w:tc>
          <w:tcPr>
            <w:tcW w:w="1276" w:type="dxa"/>
            <w:shd w:val="clear" w:color="auto" w:fill="auto"/>
            <w:vAlign w:val="center"/>
          </w:tcPr>
          <w:p w14:paraId="475473A3" w14:textId="77777777" w:rsidR="00C37757" w:rsidRPr="00C37757" w:rsidRDefault="00C37757" w:rsidP="00C37757">
            <w:pPr>
              <w:keepNext/>
              <w:keepLines/>
              <w:spacing w:before="40" w:after="40" w:line="240" w:lineRule="auto"/>
              <w:ind w:left="113"/>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w:t>
            </w:r>
          </w:p>
        </w:tc>
        <w:tc>
          <w:tcPr>
            <w:tcW w:w="283" w:type="dxa"/>
            <w:shd w:val="clear" w:color="auto" w:fill="auto"/>
            <w:vAlign w:val="center"/>
          </w:tcPr>
          <w:p w14:paraId="0DE50DE8" w14:textId="77777777" w:rsidR="00C37757" w:rsidRPr="00F7280E" w:rsidRDefault="00C37757" w:rsidP="00C37757">
            <w:pPr>
              <w:keepNext/>
              <w:keepLines/>
              <w:spacing w:before="40" w:after="40" w:line="240" w:lineRule="auto"/>
              <w:ind w:left="113"/>
              <w:jc w:val="right"/>
              <w:rPr>
                <w:rFonts w:ascii="Arial" w:eastAsia="Times New Roman" w:hAnsi="Arial" w:cs="Arial"/>
                <w:spacing w:val="-2"/>
                <w:sz w:val="14"/>
                <w:szCs w:val="14"/>
                <w:lang w:eastAsia="pt-BR"/>
              </w:rPr>
            </w:pPr>
          </w:p>
        </w:tc>
        <w:tc>
          <w:tcPr>
            <w:tcW w:w="1417" w:type="dxa"/>
            <w:shd w:val="clear" w:color="auto" w:fill="auto"/>
            <w:vAlign w:val="center"/>
          </w:tcPr>
          <w:p w14:paraId="27534105" w14:textId="77777777" w:rsidR="00C37757" w:rsidRPr="00C37757" w:rsidRDefault="00C37757" w:rsidP="00C37757">
            <w:pPr>
              <w:keepNext/>
              <w:keepLines/>
              <w:spacing w:before="40" w:after="40" w:line="240" w:lineRule="auto"/>
              <w:ind w:left="113"/>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(13.464)</w:t>
            </w:r>
          </w:p>
        </w:tc>
        <w:tc>
          <w:tcPr>
            <w:tcW w:w="1418" w:type="dxa"/>
            <w:shd w:val="clear" w:color="auto" w:fill="auto"/>
            <w:vAlign w:val="center"/>
          </w:tcPr>
          <w:p w14:paraId="3FF21816" w14:textId="77777777" w:rsidR="00C37757" w:rsidRPr="00C37757" w:rsidRDefault="00C37757" w:rsidP="00C37757">
            <w:pPr>
              <w:keepNext/>
              <w:keepLines/>
              <w:spacing w:before="40" w:after="40" w:line="240" w:lineRule="auto"/>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(10.054)</w:t>
            </w:r>
          </w:p>
        </w:tc>
      </w:tr>
      <w:tr w:rsidR="00C37757" w:rsidRPr="00C37757" w14:paraId="5761BA1C" w14:textId="77777777" w:rsidTr="00C37757">
        <w:trPr>
          <w:trHeight w:val="238"/>
        </w:trPr>
        <w:tc>
          <w:tcPr>
            <w:tcW w:w="3686" w:type="dxa"/>
            <w:tcBorders>
              <w:bottom w:val="nil"/>
            </w:tcBorders>
            <w:shd w:val="clear" w:color="auto" w:fill="auto"/>
            <w:vAlign w:val="center"/>
          </w:tcPr>
          <w:p w14:paraId="2C7ABB64" w14:textId="77777777" w:rsidR="00C37757" w:rsidRPr="00C37757" w:rsidRDefault="00C37757" w:rsidP="00C37757">
            <w:pPr>
              <w:keepNext/>
              <w:keepLines/>
              <w:spacing w:before="40" w:after="40" w:line="240" w:lineRule="auto"/>
              <w:ind w:left="283" w:hanging="170"/>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e) Despesas não dedutíveis/demais receitas não tributáveis (34%)</w:t>
            </w:r>
          </w:p>
        </w:tc>
        <w:tc>
          <w:tcPr>
            <w:tcW w:w="283" w:type="dxa"/>
            <w:tcBorders>
              <w:bottom w:val="nil"/>
            </w:tcBorders>
            <w:shd w:val="clear" w:color="auto" w:fill="auto"/>
          </w:tcPr>
          <w:p w14:paraId="7B73BA26" w14:textId="77777777" w:rsidR="00C37757" w:rsidRPr="00C37757" w:rsidRDefault="00C37757" w:rsidP="00C37757">
            <w:pPr>
              <w:keepNext/>
              <w:keepLines/>
              <w:spacing w:before="40" w:after="40" w:line="240" w:lineRule="auto"/>
              <w:jc w:val="center"/>
              <w:rPr>
                <w:rFonts w:ascii="Arial" w:eastAsia="Times New Roman" w:hAnsi="Arial" w:cs="Arial"/>
                <w:spacing w:val="-2"/>
                <w:sz w:val="14"/>
                <w:szCs w:val="14"/>
                <w:lang w:eastAsia="pt-BR"/>
              </w:rPr>
            </w:pPr>
          </w:p>
        </w:tc>
        <w:tc>
          <w:tcPr>
            <w:tcW w:w="1276" w:type="dxa"/>
            <w:tcBorders>
              <w:bottom w:val="nil"/>
            </w:tcBorders>
            <w:shd w:val="clear" w:color="auto" w:fill="auto"/>
            <w:vAlign w:val="center"/>
          </w:tcPr>
          <w:p w14:paraId="21B9474E" w14:textId="77777777" w:rsidR="00C37757" w:rsidRPr="00C37757" w:rsidRDefault="00C37757" w:rsidP="00C37757">
            <w:pPr>
              <w:keepNext/>
              <w:keepLines/>
              <w:spacing w:before="40" w:after="40" w:line="240" w:lineRule="auto"/>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(41)</w:t>
            </w:r>
          </w:p>
        </w:tc>
        <w:tc>
          <w:tcPr>
            <w:tcW w:w="1276" w:type="dxa"/>
            <w:tcBorders>
              <w:bottom w:val="nil"/>
            </w:tcBorders>
            <w:shd w:val="clear" w:color="auto" w:fill="auto"/>
            <w:vAlign w:val="center"/>
          </w:tcPr>
          <w:p w14:paraId="5BF14CC8" w14:textId="77777777" w:rsidR="00C37757" w:rsidRPr="00C37757" w:rsidRDefault="00C37757" w:rsidP="00C37757">
            <w:pPr>
              <w:keepNext/>
              <w:keepLines/>
              <w:spacing w:before="40" w:after="40" w:line="240" w:lineRule="auto"/>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(623)</w:t>
            </w:r>
          </w:p>
        </w:tc>
        <w:tc>
          <w:tcPr>
            <w:tcW w:w="283" w:type="dxa"/>
            <w:tcBorders>
              <w:bottom w:val="nil"/>
            </w:tcBorders>
            <w:shd w:val="clear" w:color="auto" w:fill="auto"/>
            <w:vAlign w:val="center"/>
          </w:tcPr>
          <w:p w14:paraId="531B7F81" w14:textId="77777777" w:rsidR="00C37757" w:rsidRPr="00C37757" w:rsidRDefault="00C37757" w:rsidP="00C37757">
            <w:pPr>
              <w:keepNext/>
              <w:keepLines/>
              <w:spacing w:before="40" w:after="40" w:line="240" w:lineRule="auto"/>
              <w:jc w:val="right"/>
              <w:rPr>
                <w:rFonts w:ascii="Arial" w:eastAsia="Times New Roman" w:hAnsi="Arial" w:cs="Arial"/>
                <w:spacing w:val="-2"/>
                <w:sz w:val="14"/>
                <w:szCs w:val="14"/>
                <w:lang w:eastAsia="pt-BR"/>
              </w:rPr>
            </w:pPr>
          </w:p>
        </w:tc>
        <w:tc>
          <w:tcPr>
            <w:tcW w:w="1417" w:type="dxa"/>
            <w:tcBorders>
              <w:bottom w:val="nil"/>
            </w:tcBorders>
            <w:shd w:val="clear" w:color="auto" w:fill="auto"/>
            <w:vAlign w:val="center"/>
          </w:tcPr>
          <w:p w14:paraId="60F75273" w14:textId="77777777" w:rsidR="00C37757" w:rsidRPr="00C37757" w:rsidRDefault="00C37757" w:rsidP="00C37757">
            <w:pPr>
              <w:keepNext/>
              <w:keepLines/>
              <w:spacing w:before="40" w:after="40" w:line="240" w:lineRule="auto"/>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(15.811)</w:t>
            </w:r>
          </w:p>
        </w:tc>
        <w:tc>
          <w:tcPr>
            <w:tcW w:w="1418" w:type="dxa"/>
            <w:tcBorders>
              <w:bottom w:val="nil"/>
            </w:tcBorders>
            <w:shd w:val="clear" w:color="auto" w:fill="auto"/>
            <w:vAlign w:val="center"/>
          </w:tcPr>
          <w:p w14:paraId="0B22F6C6" w14:textId="77777777" w:rsidR="00C37757" w:rsidRPr="00C37757" w:rsidRDefault="00C37757" w:rsidP="00C37757">
            <w:pPr>
              <w:keepNext/>
              <w:keepLines/>
              <w:spacing w:before="40" w:after="40" w:line="240" w:lineRule="auto"/>
              <w:jc w:val="right"/>
              <w:rPr>
                <w:rFonts w:ascii="Arial" w:eastAsia="Times New Roman" w:hAnsi="Arial" w:cs="Arial"/>
                <w:spacing w:val="-2"/>
                <w:sz w:val="14"/>
                <w:szCs w:val="18"/>
                <w:lang w:eastAsia="pt-BR"/>
              </w:rPr>
            </w:pPr>
            <w:r w:rsidRPr="00C37757">
              <w:rPr>
                <w:rFonts w:ascii="Arial" w:eastAsia="Times New Roman" w:hAnsi="Arial" w:cs="Arial"/>
                <w:spacing w:val="-2"/>
                <w:sz w:val="14"/>
                <w:szCs w:val="18"/>
                <w:lang w:eastAsia="pt-BR"/>
              </w:rPr>
              <w:t>(6.127)</w:t>
            </w:r>
          </w:p>
        </w:tc>
      </w:tr>
      <w:tr w:rsidR="00C37757" w:rsidRPr="00C37757" w14:paraId="1B8323BB" w14:textId="77777777" w:rsidTr="00C37757">
        <w:trPr>
          <w:trHeight w:val="238"/>
        </w:trPr>
        <w:tc>
          <w:tcPr>
            <w:tcW w:w="3686" w:type="dxa"/>
            <w:tcBorders>
              <w:top w:val="nil"/>
              <w:bottom w:val="single" w:sz="2" w:space="0" w:color="1F4E79"/>
            </w:tcBorders>
            <w:shd w:val="clear" w:color="auto" w:fill="auto"/>
            <w:vAlign w:val="center"/>
          </w:tcPr>
          <w:p w14:paraId="5B2D9624" w14:textId="77777777" w:rsidR="00C37757" w:rsidRPr="00C37757" w:rsidRDefault="00C37757" w:rsidP="00C37757">
            <w:pPr>
              <w:keepNext/>
              <w:keepLines/>
              <w:spacing w:before="40" w:after="40" w:line="240" w:lineRule="auto"/>
              <w:rPr>
                <w:rFonts w:ascii="Arial" w:eastAsia="Times New Roman" w:hAnsi="Arial" w:cs="Arial"/>
                <w:b/>
                <w:spacing w:val="-2"/>
                <w:sz w:val="14"/>
                <w:szCs w:val="14"/>
                <w:lang w:eastAsia="pt-BR"/>
              </w:rPr>
            </w:pPr>
            <w:r w:rsidRPr="00C37757">
              <w:rPr>
                <w:rFonts w:ascii="Arial" w:eastAsia="Times New Roman" w:hAnsi="Arial" w:cs="Arial"/>
                <w:b/>
                <w:spacing w:val="-2"/>
                <w:sz w:val="14"/>
                <w:szCs w:val="18"/>
                <w:lang w:eastAsia="pt-BR"/>
              </w:rPr>
              <w:t>Imposto de Renda e Contribuição Social (</w:t>
            </w:r>
            <w:proofErr w:type="spellStart"/>
            <w:r w:rsidRPr="00C37757">
              <w:rPr>
                <w:rFonts w:ascii="Arial" w:eastAsia="Times New Roman" w:hAnsi="Arial" w:cs="Arial"/>
                <w:b/>
                <w:spacing w:val="-2"/>
                <w:sz w:val="14"/>
                <w:szCs w:val="18"/>
                <w:lang w:eastAsia="pt-BR"/>
              </w:rPr>
              <w:t>a+b+c+d+e</w:t>
            </w:r>
            <w:proofErr w:type="spellEnd"/>
            <w:r w:rsidRPr="00C37757">
              <w:rPr>
                <w:rFonts w:ascii="Arial" w:eastAsia="Times New Roman" w:hAnsi="Arial" w:cs="Arial"/>
                <w:b/>
                <w:spacing w:val="-2"/>
                <w:sz w:val="14"/>
                <w:szCs w:val="18"/>
                <w:lang w:eastAsia="pt-BR"/>
              </w:rPr>
              <w:t>)</w:t>
            </w:r>
          </w:p>
        </w:tc>
        <w:tc>
          <w:tcPr>
            <w:tcW w:w="283" w:type="dxa"/>
            <w:tcBorders>
              <w:top w:val="nil"/>
              <w:bottom w:val="single" w:sz="2" w:space="0" w:color="1F4E79"/>
            </w:tcBorders>
            <w:shd w:val="clear" w:color="auto" w:fill="auto"/>
          </w:tcPr>
          <w:p w14:paraId="7EE5D856" w14:textId="77777777" w:rsidR="00C37757" w:rsidRPr="00C37757" w:rsidRDefault="00C37757" w:rsidP="00C37757">
            <w:pPr>
              <w:keepNext/>
              <w:keepLines/>
              <w:spacing w:before="40" w:after="40" w:line="240" w:lineRule="auto"/>
              <w:jc w:val="right"/>
              <w:rPr>
                <w:rFonts w:ascii="Arial" w:eastAsia="Times New Roman" w:hAnsi="Arial" w:cs="Arial"/>
                <w:b/>
                <w:spacing w:val="-2"/>
                <w:sz w:val="14"/>
                <w:szCs w:val="14"/>
                <w:lang w:eastAsia="pt-BR"/>
              </w:rPr>
            </w:pPr>
          </w:p>
        </w:tc>
        <w:tc>
          <w:tcPr>
            <w:tcW w:w="1276" w:type="dxa"/>
            <w:tcBorders>
              <w:top w:val="nil"/>
              <w:bottom w:val="single" w:sz="2" w:space="0" w:color="1F4E79"/>
            </w:tcBorders>
            <w:shd w:val="clear" w:color="auto" w:fill="auto"/>
            <w:vAlign w:val="center"/>
          </w:tcPr>
          <w:p w14:paraId="52A965B5" w14:textId="77777777" w:rsidR="00C37757" w:rsidRPr="00C37757" w:rsidRDefault="00C37757" w:rsidP="00C37757">
            <w:pPr>
              <w:keepNext/>
              <w:keepLines/>
              <w:spacing w:before="40" w:after="40" w:line="240" w:lineRule="auto"/>
              <w:jc w:val="right"/>
              <w:rPr>
                <w:rFonts w:ascii="Arial" w:eastAsia="Times New Roman" w:hAnsi="Arial" w:cs="Arial"/>
                <w:b/>
                <w:spacing w:val="-2"/>
                <w:sz w:val="14"/>
                <w:szCs w:val="14"/>
                <w:lang w:eastAsia="pt-BR"/>
              </w:rPr>
            </w:pPr>
            <w:r w:rsidRPr="00F7280E">
              <w:rPr>
                <w:rFonts w:ascii="Arial" w:eastAsia="Times New Roman" w:hAnsi="Arial" w:cs="Arial"/>
                <w:b/>
                <w:spacing w:val="-2"/>
                <w:sz w:val="14"/>
                <w:szCs w:val="14"/>
                <w:lang w:eastAsia="pt-BR"/>
              </w:rPr>
              <w:t>(9.917)</w:t>
            </w:r>
          </w:p>
        </w:tc>
        <w:tc>
          <w:tcPr>
            <w:tcW w:w="1276" w:type="dxa"/>
            <w:tcBorders>
              <w:top w:val="nil"/>
              <w:bottom w:val="single" w:sz="2" w:space="0" w:color="1F4E79"/>
            </w:tcBorders>
            <w:shd w:val="clear" w:color="auto" w:fill="auto"/>
            <w:vAlign w:val="center"/>
          </w:tcPr>
          <w:p w14:paraId="47AFC45E" w14:textId="77777777" w:rsidR="00C37757" w:rsidRPr="00C37757" w:rsidRDefault="00C37757" w:rsidP="00C37757">
            <w:pPr>
              <w:keepNext/>
              <w:keepLines/>
              <w:spacing w:before="40" w:after="40" w:line="240" w:lineRule="auto"/>
              <w:jc w:val="right"/>
              <w:rPr>
                <w:rFonts w:ascii="Arial" w:eastAsia="Times New Roman" w:hAnsi="Arial" w:cs="Arial"/>
                <w:b/>
                <w:spacing w:val="-2"/>
                <w:sz w:val="14"/>
                <w:szCs w:val="14"/>
                <w:lang w:eastAsia="pt-BR"/>
              </w:rPr>
            </w:pPr>
            <w:r w:rsidRPr="00C37757">
              <w:rPr>
                <w:rFonts w:ascii="Arial" w:eastAsia="Times New Roman" w:hAnsi="Arial" w:cs="Arial"/>
                <w:b/>
                <w:spacing w:val="-2"/>
                <w:sz w:val="14"/>
                <w:szCs w:val="14"/>
                <w:lang w:eastAsia="pt-BR"/>
              </w:rPr>
              <w:t>(11.816)</w:t>
            </w:r>
          </w:p>
        </w:tc>
        <w:tc>
          <w:tcPr>
            <w:tcW w:w="283" w:type="dxa"/>
            <w:tcBorders>
              <w:top w:val="nil"/>
              <w:bottom w:val="single" w:sz="2" w:space="0" w:color="1F4E79"/>
            </w:tcBorders>
            <w:shd w:val="clear" w:color="auto" w:fill="auto"/>
            <w:vAlign w:val="center"/>
          </w:tcPr>
          <w:p w14:paraId="3D0D2E67" w14:textId="77777777" w:rsidR="00C37757" w:rsidRPr="00C37757" w:rsidRDefault="00C37757" w:rsidP="00C37757">
            <w:pPr>
              <w:keepNext/>
              <w:keepLines/>
              <w:spacing w:before="40" w:after="40" w:line="240" w:lineRule="auto"/>
              <w:jc w:val="right"/>
              <w:rPr>
                <w:rFonts w:ascii="Arial" w:eastAsia="Times New Roman" w:hAnsi="Arial" w:cs="Arial"/>
                <w:b/>
                <w:spacing w:val="-2"/>
                <w:sz w:val="14"/>
                <w:szCs w:val="14"/>
                <w:lang w:eastAsia="pt-BR"/>
              </w:rPr>
            </w:pPr>
          </w:p>
        </w:tc>
        <w:tc>
          <w:tcPr>
            <w:tcW w:w="1417" w:type="dxa"/>
            <w:tcBorders>
              <w:top w:val="nil"/>
              <w:bottom w:val="single" w:sz="2" w:space="0" w:color="1F4E79"/>
            </w:tcBorders>
            <w:shd w:val="clear" w:color="auto" w:fill="auto"/>
            <w:vAlign w:val="center"/>
          </w:tcPr>
          <w:p w14:paraId="3DBA009B" w14:textId="77777777" w:rsidR="00C37757" w:rsidRPr="00C37757" w:rsidRDefault="00C37757" w:rsidP="00C37757">
            <w:pPr>
              <w:keepNext/>
              <w:keepLines/>
              <w:spacing w:before="40" w:after="40" w:line="240" w:lineRule="auto"/>
              <w:jc w:val="right"/>
              <w:rPr>
                <w:rFonts w:ascii="Arial" w:eastAsia="Times New Roman" w:hAnsi="Arial" w:cs="Arial"/>
                <w:b/>
                <w:spacing w:val="-2"/>
                <w:sz w:val="14"/>
                <w:szCs w:val="14"/>
                <w:lang w:eastAsia="pt-BR"/>
              </w:rPr>
            </w:pPr>
            <w:r w:rsidRPr="00C37757">
              <w:rPr>
                <w:rFonts w:ascii="Arial" w:eastAsia="Times New Roman" w:hAnsi="Arial" w:cs="Arial"/>
                <w:b/>
                <w:spacing w:val="-2"/>
                <w:sz w:val="14"/>
                <w:szCs w:val="14"/>
                <w:lang w:eastAsia="pt-BR"/>
              </w:rPr>
              <w:t>(1.723.343)</w:t>
            </w:r>
          </w:p>
        </w:tc>
        <w:tc>
          <w:tcPr>
            <w:tcW w:w="1418" w:type="dxa"/>
            <w:tcBorders>
              <w:top w:val="nil"/>
              <w:bottom w:val="single" w:sz="2" w:space="0" w:color="1F4E79"/>
            </w:tcBorders>
            <w:shd w:val="clear" w:color="auto" w:fill="auto"/>
            <w:vAlign w:val="center"/>
          </w:tcPr>
          <w:p w14:paraId="23B61653" w14:textId="77777777" w:rsidR="00C37757" w:rsidRPr="00C37757" w:rsidRDefault="00C37757" w:rsidP="00C37757">
            <w:pPr>
              <w:keepNext/>
              <w:keepLines/>
              <w:spacing w:before="40" w:after="40" w:line="240" w:lineRule="auto"/>
              <w:jc w:val="right"/>
              <w:rPr>
                <w:rFonts w:ascii="Arial" w:eastAsia="Times New Roman" w:hAnsi="Arial" w:cs="Arial"/>
                <w:b/>
                <w:spacing w:val="-2"/>
                <w:sz w:val="14"/>
                <w:szCs w:val="18"/>
                <w:lang w:eastAsia="pt-BR"/>
              </w:rPr>
            </w:pPr>
            <w:r w:rsidRPr="00C37757">
              <w:rPr>
                <w:rFonts w:ascii="Arial" w:eastAsia="Times New Roman" w:hAnsi="Arial" w:cs="Arial"/>
                <w:b/>
                <w:spacing w:val="-2"/>
                <w:sz w:val="14"/>
                <w:szCs w:val="14"/>
                <w:lang w:eastAsia="pt-BR"/>
              </w:rPr>
              <w:t>(1.551.580)</w:t>
            </w:r>
          </w:p>
        </w:tc>
      </w:tr>
      <w:tr w:rsidR="00C37757" w:rsidRPr="00C37757" w14:paraId="3D513538" w14:textId="77777777" w:rsidTr="00C37757">
        <w:trPr>
          <w:trHeight w:val="238"/>
        </w:trPr>
        <w:tc>
          <w:tcPr>
            <w:tcW w:w="3686" w:type="dxa"/>
            <w:tcBorders>
              <w:top w:val="single" w:sz="2" w:space="0" w:color="1F4E79"/>
              <w:bottom w:val="single" w:sz="2" w:space="0" w:color="1F4E79"/>
            </w:tcBorders>
            <w:shd w:val="clear" w:color="auto" w:fill="auto"/>
            <w:vAlign w:val="center"/>
          </w:tcPr>
          <w:p w14:paraId="10FE6B8B" w14:textId="77777777" w:rsidR="00C37757" w:rsidRPr="00C37757" w:rsidRDefault="00C37757" w:rsidP="00C37757">
            <w:pPr>
              <w:keepNext/>
              <w:keepLines/>
              <w:spacing w:before="40" w:after="40" w:line="240" w:lineRule="auto"/>
              <w:rPr>
                <w:rFonts w:ascii="Arial" w:eastAsia="Times New Roman" w:hAnsi="Arial" w:cs="Arial"/>
                <w:b/>
                <w:spacing w:val="-2"/>
                <w:sz w:val="14"/>
                <w:szCs w:val="14"/>
                <w:lang w:eastAsia="pt-BR"/>
              </w:rPr>
            </w:pPr>
            <w:r w:rsidRPr="00C37757">
              <w:rPr>
                <w:rFonts w:ascii="Arial" w:eastAsia="Times New Roman" w:hAnsi="Arial" w:cs="Arial"/>
                <w:b/>
                <w:spacing w:val="-2"/>
                <w:sz w:val="14"/>
                <w:szCs w:val="14"/>
                <w:lang w:eastAsia="pt-BR"/>
              </w:rPr>
              <w:t>Diferenças Intertemporais</w:t>
            </w:r>
          </w:p>
        </w:tc>
        <w:tc>
          <w:tcPr>
            <w:tcW w:w="283" w:type="dxa"/>
            <w:tcBorders>
              <w:top w:val="single" w:sz="2" w:space="0" w:color="1F4E79"/>
              <w:bottom w:val="single" w:sz="2" w:space="0" w:color="1F4E79"/>
            </w:tcBorders>
            <w:shd w:val="clear" w:color="auto" w:fill="auto"/>
          </w:tcPr>
          <w:p w14:paraId="0B70663A" w14:textId="77777777" w:rsidR="00C37757" w:rsidRPr="00C37757" w:rsidRDefault="00C37757" w:rsidP="00C37757">
            <w:pPr>
              <w:keepNext/>
              <w:keepLines/>
              <w:spacing w:before="40" w:after="40" w:line="240" w:lineRule="auto"/>
              <w:jc w:val="center"/>
              <w:rPr>
                <w:rFonts w:ascii="Arial" w:eastAsia="Times New Roman" w:hAnsi="Arial" w:cs="Arial"/>
                <w:b/>
                <w:spacing w:val="-2"/>
                <w:sz w:val="14"/>
                <w:szCs w:val="14"/>
                <w:lang w:eastAsia="pt-BR"/>
              </w:rPr>
            </w:pPr>
          </w:p>
        </w:tc>
        <w:tc>
          <w:tcPr>
            <w:tcW w:w="1276" w:type="dxa"/>
            <w:tcBorders>
              <w:top w:val="single" w:sz="2" w:space="0" w:color="1F4E79"/>
              <w:bottom w:val="single" w:sz="2" w:space="0" w:color="1F4E79"/>
            </w:tcBorders>
            <w:shd w:val="clear" w:color="auto" w:fill="auto"/>
            <w:vAlign w:val="center"/>
          </w:tcPr>
          <w:p w14:paraId="720E716B" w14:textId="77777777" w:rsidR="00C37757" w:rsidRPr="00C37757" w:rsidRDefault="00C37757" w:rsidP="00C37757">
            <w:pPr>
              <w:keepNext/>
              <w:keepLines/>
              <w:spacing w:before="40" w:after="40" w:line="240" w:lineRule="auto"/>
              <w:jc w:val="right"/>
              <w:rPr>
                <w:rFonts w:ascii="Arial" w:eastAsia="Times New Roman" w:hAnsi="Arial" w:cs="Arial"/>
                <w:b/>
                <w:spacing w:val="-2"/>
                <w:sz w:val="14"/>
                <w:szCs w:val="14"/>
                <w:lang w:eastAsia="pt-BR"/>
              </w:rPr>
            </w:pPr>
          </w:p>
        </w:tc>
        <w:tc>
          <w:tcPr>
            <w:tcW w:w="1276" w:type="dxa"/>
            <w:tcBorders>
              <w:top w:val="single" w:sz="2" w:space="0" w:color="1F4E79"/>
              <w:bottom w:val="single" w:sz="2" w:space="0" w:color="1F4E79"/>
            </w:tcBorders>
            <w:shd w:val="clear" w:color="auto" w:fill="auto"/>
            <w:vAlign w:val="center"/>
          </w:tcPr>
          <w:p w14:paraId="2F221879" w14:textId="77777777" w:rsidR="00C37757" w:rsidRPr="00C37757" w:rsidRDefault="00C37757" w:rsidP="00C37757">
            <w:pPr>
              <w:keepNext/>
              <w:keepLines/>
              <w:spacing w:before="40" w:after="40" w:line="240" w:lineRule="auto"/>
              <w:jc w:val="right"/>
              <w:rPr>
                <w:rFonts w:ascii="Arial" w:eastAsia="Times New Roman" w:hAnsi="Arial" w:cs="Arial"/>
                <w:b/>
                <w:spacing w:val="-2"/>
                <w:sz w:val="14"/>
                <w:szCs w:val="14"/>
                <w:lang w:eastAsia="pt-BR"/>
              </w:rPr>
            </w:pPr>
          </w:p>
        </w:tc>
        <w:tc>
          <w:tcPr>
            <w:tcW w:w="283" w:type="dxa"/>
            <w:tcBorders>
              <w:top w:val="single" w:sz="2" w:space="0" w:color="1F4E79"/>
              <w:bottom w:val="single" w:sz="2" w:space="0" w:color="1F4E79"/>
            </w:tcBorders>
            <w:shd w:val="clear" w:color="auto" w:fill="auto"/>
            <w:vAlign w:val="center"/>
          </w:tcPr>
          <w:p w14:paraId="4A11A483" w14:textId="77777777" w:rsidR="00C37757" w:rsidRPr="00C37757" w:rsidRDefault="00C37757" w:rsidP="00C37757">
            <w:pPr>
              <w:keepNext/>
              <w:keepLines/>
              <w:spacing w:before="40" w:after="40" w:line="240" w:lineRule="auto"/>
              <w:jc w:val="right"/>
              <w:rPr>
                <w:rFonts w:ascii="Arial" w:eastAsia="Times New Roman" w:hAnsi="Arial" w:cs="Arial"/>
                <w:b/>
                <w:spacing w:val="-2"/>
                <w:sz w:val="14"/>
                <w:szCs w:val="14"/>
                <w:lang w:eastAsia="pt-BR"/>
              </w:rPr>
            </w:pPr>
          </w:p>
        </w:tc>
        <w:tc>
          <w:tcPr>
            <w:tcW w:w="1417" w:type="dxa"/>
            <w:tcBorders>
              <w:top w:val="single" w:sz="2" w:space="0" w:color="1F4E79"/>
              <w:bottom w:val="single" w:sz="2" w:space="0" w:color="1F4E79"/>
            </w:tcBorders>
            <w:shd w:val="clear" w:color="auto" w:fill="auto"/>
            <w:vAlign w:val="center"/>
          </w:tcPr>
          <w:p w14:paraId="21E1052A" w14:textId="77777777" w:rsidR="00C37757" w:rsidRPr="00C37757" w:rsidRDefault="00C37757" w:rsidP="00C37757">
            <w:pPr>
              <w:keepNext/>
              <w:keepLines/>
              <w:spacing w:before="40" w:after="40" w:line="240" w:lineRule="auto"/>
              <w:jc w:val="right"/>
              <w:rPr>
                <w:rFonts w:ascii="Arial" w:eastAsia="Times New Roman" w:hAnsi="Arial" w:cs="Arial"/>
                <w:b/>
                <w:spacing w:val="-2"/>
                <w:sz w:val="14"/>
                <w:szCs w:val="14"/>
                <w:lang w:eastAsia="pt-BR"/>
              </w:rPr>
            </w:pPr>
          </w:p>
        </w:tc>
        <w:tc>
          <w:tcPr>
            <w:tcW w:w="1418" w:type="dxa"/>
            <w:tcBorders>
              <w:top w:val="single" w:sz="2" w:space="0" w:color="1F4E79"/>
              <w:bottom w:val="single" w:sz="2" w:space="0" w:color="1F4E79"/>
            </w:tcBorders>
            <w:shd w:val="clear" w:color="auto" w:fill="auto"/>
            <w:vAlign w:val="center"/>
          </w:tcPr>
          <w:p w14:paraId="508FF25A" w14:textId="77777777" w:rsidR="00C37757" w:rsidRPr="00C37757" w:rsidRDefault="00C37757" w:rsidP="00C37757">
            <w:pPr>
              <w:keepNext/>
              <w:keepLines/>
              <w:spacing w:before="40" w:after="40" w:line="240" w:lineRule="auto"/>
              <w:jc w:val="right"/>
              <w:rPr>
                <w:rFonts w:ascii="Arial" w:eastAsia="Times New Roman" w:hAnsi="Arial" w:cs="Arial"/>
                <w:b/>
                <w:spacing w:val="-2"/>
                <w:sz w:val="14"/>
                <w:szCs w:val="18"/>
                <w:lang w:eastAsia="pt-BR"/>
              </w:rPr>
            </w:pPr>
          </w:p>
        </w:tc>
      </w:tr>
      <w:tr w:rsidR="00C37757" w:rsidRPr="00C37757" w14:paraId="4539ECED" w14:textId="77777777" w:rsidTr="00C37757">
        <w:trPr>
          <w:trHeight w:val="238"/>
        </w:trPr>
        <w:tc>
          <w:tcPr>
            <w:tcW w:w="3686" w:type="dxa"/>
            <w:tcBorders>
              <w:top w:val="single" w:sz="2" w:space="0" w:color="1F4E79"/>
              <w:bottom w:val="nil"/>
            </w:tcBorders>
            <w:shd w:val="clear" w:color="auto" w:fill="auto"/>
            <w:vAlign w:val="center"/>
          </w:tcPr>
          <w:p w14:paraId="6F738CF8" w14:textId="77777777" w:rsidR="00C37757" w:rsidRPr="00C37757" w:rsidRDefault="00C37757" w:rsidP="00C37757">
            <w:pPr>
              <w:keepNext/>
              <w:keepLines/>
              <w:spacing w:before="40" w:after="40" w:line="240" w:lineRule="auto"/>
              <w:rPr>
                <w:rFonts w:ascii="Arial" w:eastAsia="Times New Roman" w:hAnsi="Arial" w:cs="Arial"/>
                <w:b/>
                <w:spacing w:val="-2"/>
                <w:sz w:val="14"/>
                <w:szCs w:val="14"/>
                <w:lang w:eastAsia="pt-BR"/>
              </w:rPr>
            </w:pPr>
            <w:r w:rsidRPr="00C37757">
              <w:rPr>
                <w:rFonts w:ascii="Arial" w:eastAsia="Times New Roman" w:hAnsi="Arial" w:cs="Arial"/>
                <w:b/>
                <w:spacing w:val="-2"/>
                <w:sz w:val="14"/>
                <w:szCs w:val="14"/>
                <w:lang w:eastAsia="pt-BR"/>
              </w:rPr>
              <w:t>Constituição/(Reversão) do Exercício:</w:t>
            </w:r>
          </w:p>
        </w:tc>
        <w:tc>
          <w:tcPr>
            <w:tcW w:w="283" w:type="dxa"/>
            <w:tcBorders>
              <w:top w:val="single" w:sz="2" w:space="0" w:color="1F4E79"/>
              <w:bottom w:val="nil"/>
            </w:tcBorders>
            <w:shd w:val="clear" w:color="auto" w:fill="auto"/>
          </w:tcPr>
          <w:p w14:paraId="3EF3E7F3" w14:textId="77777777" w:rsidR="00C37757" w:rsidRPr="00C37757" w:rsidRDefault="00C37757" w:rsidP="00C37757">
            <w:pPr>
              <w:keepNext/>
              <w:keepLines/>
              <w:spacing w:before="40" w:after="40" w:line="240" w:lineRule="auto"/>
              <w:jc w:val="center"/>
              <w:rPr>
                <w:rFonts w:ascii="Arial" w:eastAsia="Times New Roman" w:hAnsi="Arial" w:cs="Arial"/>
                <w:b/>
                <w:spacing w:val="-2"/>
                <w:sz w:val="14"/>
                <w:szCs w:val="14"/>
                <w:lang w:eastAsia="pt-BR"/>
              </w:rPr>
            </w:pPr>
          </w:p>
        </w:tc>
        <w:tc>
          <w:tcPr>
            <w:tcW w:w="1276" w:type="dxa"/>
            <w:tcBorders>
              <w:top w:val="single" w:sz="2" w:space="0" w:color="1F4E79"/>
              <w:bottom w:val="nil"/>
            </w:tcBorders>
            <w:shd w:val="clear" w:color="auto" w:fill="auto"/>
            <w:vAlign w:val="center"/>
          </w:tcPr>
          <w:p w14:paraId="2E1637CF" w14:textId="77777777" w:rsidR="00C37757" w:rsidRPr="00C37757" w:rsidRDefault="00C37757" w:rsidP="00C37757">
            <w:pPr>
              <w:keepNext/>
              <w:keepLines/>
              <w:spacing w:before="40" w:after="40" w:line="240" w:lineRule="auto"/>
              <w:jc w:val="right"/>
              <w:rPr>
                <w:rFonts w:ascii="Arial" w:eastAsia="Times New Roman" w:hAnsi="Arial" w:cs="Arial"/>
                <w:b/>
                <w:spacing w:val="-2"/>
                <w:sz w:val="14"/>
                <w:szCs w:val="14"/>
                <w:lang w:eastAsia="pt-BR"/>
              </w:rPr>
            </w:pPr>
            <w:r w:rsidRPr="00C37757">
              <w:rPr>
                <w:rFonts w:ascii="Arial" w:eastAsia="Times New Roman" w:hAnsi="Arial" w:cs="Arial"/>
                <w:b/>
                <w:spacing w:val="-2"/>
                <w:sz w:val="14"/>
                <w:szCs w:val="14"/>
                <w:lang w:eastAsia="pt-BR"/>
              </w:rPr>
              <w:t>404</w:t>
            </w:r>
          </w:p>
        </w:tc>
        <w:tc>
          <w:tcPr>
            <w:tcW w:w="1276" w:type="dxa"/>
            <w:tcBorders>
              <w:top w:val="single" w:sz="2" w:space="0" w:color="1F4E79"/>
              <w:bottom w:val="nil"/>
            </w:tcBorders>
            <w:shd w:val="clear" w:color="auto" w:fill="auto"/>
            <w:vAlign w:val="center"/>
          </w:tcPr>
          <w:p w14:paraId="2567D492" w14:textId="77777777" w:rsidR="00C37757" w:rsidRPr="00C37757" w:rsidRDefault="00C37757" w:rsidP="00C37757">
            <w:pPr>
              <w:keepNext/>
              <w:keepLines/>
              <w:spacing w:before="40" w:after="40" w:line="240" w:lineRule="auto"/>
              <w:jc w:val="right"/>
              <w:rPr>
                <w:rFonts w:ascii="Arial" w:eastAsia="Times New Roman" w:hAnsi="Arial" w:cs="Arial"/>
                <w:b/>
                <w:spacing w:val="-2"/>
                <w:sz w:val="14"/>
                <w:szCs w:val="14"/>
                <w:lang w:eastAsia="pt-BR"/>
              </w:rPr>
            </w:pPr>
            <w:r w:rsidRPr="00C37757">
              <w:rPr>
                <w:rFonts w:ascii="Arial" w:eastAsia="Times New Roman" w:hAnsi="Arial" w:cs="Arial"/>
                <w:b/>
                <w:spacing w:val="-2"/>
                <w:sz w:val="14"/>
                <w:szCs w:val="14"/>
                <w:lang w:eastAsia="pt-BR"/>
              </w:rPr>
              <w:t>195</w:t>
            </w:r>
          </w:p>
        </w:tc>
        <w:tc>
          <w:tcPr>
            <w:tcW w:w="283" w:type="dxa"/>
            <w:tcBorders>
              <w:top w:val="single" w:sz="2" w:space="0" w:color="1F4E79"/>
              <w:bottom w:val="nil"/>
            </w:tcBorders>
            <w:shd w:val="clear" w:color="auto" w:fill="auto"/>
            <w:vAlign w:val="center"/>
          </w:tcPr>
          <w:p w14:paraId="1B52ACBF" w14:textId="77777777" w:rsidR="00C37757" w:rsidRPr="00C37757" w:rsidRDefault="00C37757" w:rsidP="00C37757">
            <w:pPr>
              <w:keepNext/>
              <w:keepLines/>
              <w:spacing w:before="40" w:after="40" w:line="240" w:lineRule="auto"/>
              <w:jc w:val="right"/>
              <w:rPr>
                <w:rFonts w:ascii="Arial" w:eastAsia="Times New Roman" w:hAnsi="Arial" w:cs="Arial"/>
                <w:b/>
                <w:spacing w:val="-2"/>
                <w:sz w:val="14"/>
                <w:szCs w:val="14"/>
                <w:lang w:eastAsia="pt-BR"/>
              </w:rPr>
            </w:pPr>
          </w:p>
        </w:tc>
        <w:tc>
          <w:tcPr>
            <w:tcW w:w="1417" w:type="dxa"/>
            <w:tcBorders>
              <w:top w:val="single" w:sz="2" w:space="0" w:color="1F4E79"/>
              <w:bottom w:val="nil"/>
            </w:tcBorders>
            <w:shd w:val="clear" w:color="auto" w:fill="auto"/>
            <w:vAlign w:val="center"/>
          </w:tcPr>
          <w:p w14:paraId="4DB9EEB5" w14:textId="77777777" w:rsidR="00C37757" w:rsidRPr="00C37757" w:rsidRDefault="00C37757" w:rsidP="00C37757">
            <w:pPr>
              <w:keepNext/>
              <w:keepLines/>
              <w:spacing w:before="40" w:after="40" w:line="240" w:lineRule="auto"/>
              <w:jc w:val="right"/>
              <w:rPr>
                <w:rFonts w:ascii="Arial" w:eastAsia="Times New Roman" w:hAnsi="Arial" w:cs="Arial"/>
                <w:b/>
                <w:spacing w:val="-2"/>
                <w:sz w:val="14"/>
                <w:szCs w:val="14"/>
                <w:lang w:eastAsia="pt-BR"/>
              </w:rPr>
            </w:pPr>
            <w:r w:rsidRPr="00C37757">
              <w:rPr>
                <w:rFonts w:ascii="Arial" w:eastAsia="Times New Roman" w:hAnsi="Arial" w:cs="Arial"/>
                <w:b/>
                <w:spacing w:val="-2"/>
                <w:sz w:val="14"/>
                <w:szCs w:val="14"/>
                <w:lang w:eastAsia="pt-BR"/>
              </w:rPr>
              <w:t>15.707</w:t>
            </w:r>
          </w:p>
        </w:tc>
        <w:tc>
          <w:tcPr>
            <w:tcW w:w="1418" w:type="dxa"/>
            <w:tcBorders>
              <w:top w:val="single" w:sz="2" w:space="0" w:color="1F4E79"/>
              <w:bottom w:val="nil"/>
            </w:tcBorders>
            <w:shd w:val="clear" w:color="auto" w:fill="auto"/>
            <w:vAlign w:val="center"/>
          </w:tcPr>
          <w:p w14:paraId="71076EFE" w14:textId="77777777" w:rsidR="00C37757" w:rsidRPr="00C37757" w:rsidRDefault="00C37757" w:rsidP="00C37757">
            <w:pPr>
              <w:keepNext/>
              <w:keepLines/>
              <w:spacing w:before="40" w:after="40" w:line="240" w:lineRule="auto"/>
              <w:jc w:val="right"/>
              <w:rPr>
                <w:rFonts w:ascii="Arial" w:eastAsia="Times New Roman" w:hAnsi="Arial" w:cs="Arial"/>
                <w:b/>
                <w:spacing w:val="-2"/>
                <w:sz w:val="14"/>
                <w:szCs w:val="18"/>
                <w:lang w:eastAsia="pt-BR"/>
              </w:rPr>
            </w:pPr>
            <w:r w:rsidRPr="00C37757">
              <w:rPr>
                <w:rFonts w:ascii="Arial" w:eastAsia="Times New Roman" w:hAnsi="Arial" w:cs="Arial"/>
                <w:b/>
                <w:spacing w:val="-2"/>
                <w:sz w:val="14"/>
                <w:szCs w:val="14"/>
                <w:lang w:eastAsia="pt-BR"/>
              </w:rPr>
              <w:t>5.471</w:t>
            </w:r>
          </w:p>
        </w:tc>
      </w:tr>
      <w:tr w:rsidR="00C37757" w:rsidRPr="00C37757" w14:paraId="15CB07F1" w14:textId="77777777" w:rsidTr="00C37757">
        <w:trPr>
          <w:trHeight w:val="238"/>
        </w:trPr>
        <w:tc>
          <w:tcPr>
            <w:tcW w:w="3686" w:type="dxa"/>
            <w:tcBorders>
              <w:top w:val="nil"/>
              <w:bottom w:val="nil"/>
            </w:tcBorders>
            <w:shd w:val="clear" w:color="auto" w:fill="auto"/>
            <w:vAlign w:val="center"/>
          </w:tcPr>
          <w:p w14:paraId="5A43143E" w14:textId="77777777" w:rsidR="00C37757" w:rsidRPr="00C37757" w:rsidRDefault="00C37757" w:rsidP="00C37757">
            <w:pPr>
              <w:keepNext/>
              <w:keepLines/>
              <w:spacing w:before="40" w:after="40" w:line="240" w:lineRule="auto"/>
              <w:rPr>
                <w:rFonts w:ascii="Arial" w:eastAsia="Times New Roman" w:hAnsi="Arial" w:cs="Arial"/>
                <w:bCs/>
                <w:spacing w:val="-2"/>
                <w:sz w:val="14"/>
                <w:szCs w:val="14"/>
                <w:lang w:eastAsia="pt-BR"/>
              </w:rPr>
            </w:pPr>
            <w:r w:rsidRPr="00C37757">
              <w:rPr>
                <w:rFonts w:ascii="Arial" w:eastAsia="Times New Roman" w:hAnsi="Arial" w:cs="Arial"/>
                <w:spacing w:val="-2"/>
                <w:sz w:val="14"/>
                <w:szCs w:val="14"/>
                <w:lang w:eastAsia="pt-BR"/>
              </w:rPr>
              <w:t xml:space="preserve">  f) (Despesas)/Receitas de Tributos Diferidos</w:t>
            </w:r>
          </w:p>
        </w:tc>
        <w:tc>
          <w:tcPr>
            <w:tcW w:w="283" w:type="dxa"/>
            <w:tcBorders>
              <w:top w:val="nil"/>
              <w:bottom w:val="nil"/>
            </w:tcBorders>
            <w:shd w:val="clear" w:color="auto" w:fill="auto"/>
          </w:tcPr>
          <w:p w14:paraId="5A6C67B0" w14:textId="77777777" w:rsidR="00C37757" w:rsidRPr="00C37757" w:rsidRDefault="00C37757" w:rsidP="00C37757">
            <w:pPr>
              <w:keepNext/>
              <w:keepLines/>
              <w:spacing w:before="40" w:after="40" w:line="240" w:lineRule="auto"/>
              <w:jc w:val="center"/>
              <w:rPr>
                <w:rFonts w:ascii="Arial" w:eastAsia="Times New Roman" w:hAnsi="Arial" w:cs="Arial"/>
                <w:b/>
                <w:spacing w:val="-2"/>
                <w:sz w:val="14"/>
                <w:szCs w:val="14"/>
                <w:lang w:eastAsia="pt-BR"/>
              </w:rPr>
            </w:pPr>
          </w:p>
        </w:tc>
        <w:tc>
          <w:tcPr>
            <w:tcW w:w="1276" w:type="dxa"/>
            <w:tcBorders>
              <w:top w:val="nil"/>
              <w:bottom w:val="nil"/>
            </w:tcBorders>
            <w:shd w:val="clear" w:color="auto" w:fill="auto"/>
            <w:vAlign w:val="center"/>
          </w:tcPr>
          <w:p w14:paraId="0BD2AAA0" w14:textId="77777777" w:rsidR="00C37757" w:rsidRPr="00C37757" w:rsidRDefault="00C37757" w:rsidP="00C37757">
            <w:pPr>
              <w:keepNext/>
              <w:keepLines/>
              <w:spacing w:before="40" w:after="40" w:line="240" w:lineRule="auto"/>
              <w:jc w:val="right"/>
              <w:rPr>
                <w:rFonts w:ascii="Arial" w:eastAsia="Times New Roman" w:hAnsi="Arial" w:cs="Arial"/>
                <w:bCs/>
                <w:spacing w:val="-2"/>
                <w:sz w:val="14"/>
                <w:szCs w:val="14"/>
                <w:lang w:eastAsia="pt-BR"/>
              </w:rPr>
            </w:pPr>
            <w:r w:rsidRPr="00F7280E">
              <w:rPr>
                <w:rFonts w:ascii="Arial" w:eastAsia="Times New Roman" w:hAnsi="Arial" w:cs="Arial"/>
                <w:spacing w:val="-2"/>
                <w:sz w:val="14"/>
                <w:szCs w:val="14"/>
                <w:lang w:eastAsia="pt-BR"/>
              </w:rPr>
              <w:t>404</w:t>
            </w:r>
          </w:p>
        </w:tc>
        <w:tc>
          <w:tcPr>
            <w:tcW w:w="1276" w:type="dxa"/>
            <w:tcBorders>
              <w:top w:val="nil"/>
              <w:bottom w:val="nil"/>
            </w:tcBorders>
            <w:shd w:val="clear" w:color="auto" w:fill="auto"/>
            <w:vAlign w:val="center"/>
          </w:tcPr>
          <w:p w14:paraId="2BE86DE1" w14:textId="77777777" w:rsidR="00C37757" w:rsidRPr="00C37757" w:rsidRDefault="00C37757" w:rsidP="00C37757">
            <w:pPr>
              <w:keepNext/>
              <w:keepLines/>
              <w:spacing w:before="40" w:after="40" w:line="240" w:lineRule="auto"/>
              <w:jc w:val="right"/>
              <w:rPr>
                <w:rFonts w:ascii="Arial" w:eastAsia="Times New Roman" w:hAnsi="Arial" w:cs="Arial"/>
                <w:bCs/>
                <w:spacing w:val="-2"/>
                <w:sz w:val="14"/>
                <w:szCs w:val="14"/>
                <w:lang w:eastAsia="pt-BR"/>
              </w:rPr>
            </w:pPr>
            <w:r w:rsidRPr="00C37757">
              <w:rPr>
                <w:rFonts w:ascii="Arial" w:eastAsia="Times New Roman" w:hAnsi="Arial" w:cs="Arial"/>
                <w:bCs/>
                <w:spacing w:val="-2"/>
                <w:sz w:val="14"/>
                <w:szCs w:val="14"/>
                <w:lang w:eastAsia="pt-BR"/>
              </w:rPr>
              <w:t>195</w:t>
            </w:r>
          </w:p>
        </w:tc>
        <w:tc>
          <w:tcPr>
            <w:tcW w:w="283" w:type="dxa"/>
            <w:tcBorders>
              <w:top w:val="nil"/>
              <w:bottom w:val="nil"/>
            </w:tcBorders>
            <w:shd w:val="clear" w:color="auto" w:fill="auto"/>
            <w:vAlign w:val="center"/>
          </w:tcPr>
          <w:p w14:paraId="0ECC1B98" w14:textId="77777777" w:rsidR="00C37757" w:rsidRPr="00C37757" w:rsidRDefault="00C37757" w:rsidP="00C37757">
            <w:pPr>
              <w:keepNext/>
              <w:keepLines/>
              <w:spacing w:before="40" w:after="40" w:line="240" w:lineRule="auto"/>
              <w:jc w:val="right"/>
              <w:rPr>
                <w:rFonts w:ascii="Arial" w:eastAsia="Times New Roman" w:hAnsi="Arial" w:cs="Arial"/>
                <w:bCs/>
                <w:spacing w:val="-2"/>
                <w:sz w:val="14"/>
                <w:szCs w:val="14"/>
                <w:lang w:eastAsia="pt-BR"/>
              </w:rPr>
            </w:pPr>
          </w:p>
        </w:tc>
        <w:tc>
          <w:tcPr>
            <w:tcW w:w="1417" w:type="dxa"/>
            <w:tcBorders>
              <w:top w:val="nil"/>
              <w:bottom w:val="nil"/>
            </w:tcBorders>
            <w:shd w:val="clear" w:color="auto" w:fill="auto"/>
            <w:vAlign w:val="center"/>
          </w:tcPr>
          <w:p w14:paraId="474B5B4D" w14:textId="77777777" w:rsidR="00C37757" w:rsidRPr="00C37757" w:rsidRDefault="00C37757" w:rsidP="00C37757">
            <w:pPr>
              <w:keepNext/>
              <w:keepLines/>
              <w:spacing w:before="40" w:after="40" w:line="240" w:lineRule="auto"/>
              <w:jc w:val="right"/>
              <w:rPr>
                <w:rFonts w:ascii="Arial" w:eastAsia="Times New Roman" w:hAnsi="Arial" w:cs="Arial"/>
                <w:bCs/>
                <w:spacing w:val="-2"/>
                <w:sz w:val="14"/>
                <w:szCs w:val="14"/>
                <w:lang w:eastAsia="pt-BR"/>
              </w:rPr>
            </w:pPr>
            <w:r w:rsidRPr="00C37757">
              <w:rPr>
                <w:rFonts w:ascii="Arial" w:eastAsia="Times New Roman" w:hAnsi="Arial" w:cs="Arial"/>
                <w:bCs/>
                <w:spacing w:val="-2"/>
                <w:sz w:val="14"/>
                <w:szCs w:val="14"/>
                <w:lang w:eastAsia="pt-BR"/>
              </w:rPr>
              <w:t>15.707</w:t>
            </w:r>
          </w:p>
        </w:tc>
        <w:tc>
          <w:tcPr>
            <w:tcW w:w="1418" w:type="dxa"/>
            <w:tcBorders>
              <w:top w:val="nil"/>
              <w:bottom w:val="nil"/>
            </w:tcBorders>
            <w:shd w:val="clear" w:color="auto" w:fill="auto"/>
            <w:vAlign w:val="center"/>
          </w:tcPr>
          <w:p w14:paraId="30FA84F2" w14:textId="77777777" w:rsidR="00C37757" w:rsidRPr="00C37757" w:rsidRDefault="00C37757" w:rsidP="00C37757">
            <w:pPr>
              <w:keepNext/>
              <w:keepLines/>
              <w:spacing w:before="40" w:after="40" w:line="240" w:lineRule="auto"/>
              <w:jc w:val="right"/>
              <w:rPr>
                <w:rFonts w:ascii="Arial" w:eastAsia="Times New Roman" w:hAnsi="Arial" w:cs="Arial"/>
                <w:bCs/>
                <w:spacing w:val="-2"/>
                <w:sz w:val="14"/>
                <w:szCs w:val="18"/>
                <w:lang w:eastAsia="pt-BR"/>
              </w:rPr>
            </w:pPr>
            <w:r w:rsidRPr="00C37757">
              <w:rPr>
                <w:rFonts w:ascii="Arial" w:eastAsia="Times New Roman" w:hAnsi="Arial" w:cs="Arial"/>
                <w:bCs/>
                <w:spacing w:val="-2"/>
                <w:sz w:val="14"/>
                <w:szCs w:val="14"/>
                <w:lang w:eastAsia="pt-BR"/>
              </w:rPr>
              <w:t>5.471</w:t>
            </w:r>
          </w:p>
        </w:tc>
      </w:tr>
      <w:tr w:rsidR="00C37757" w:rsidRPr="00C37757" w14:paraId="13EC06A9" w14:textId="77777777" w:rsidTr="00C37757">
        <w:trPr>
          <w:trHeight w:val="238"/>
        </w:trPr>
        <w:tc>
          <w:tcPr>
            <w:tcW w:w="3686" w:type="dxa"/>
            <w:tcBorders>
              <w:top w:val="nil"/>
              <w:bottom w:val="single" w:sz="2" w:space="0" w:color="1F4E79"/>
            </w:tcBorders>
            <w:shd w:val="clear" w:color="auto" w:fill="auto"/>
            <w:vAlign w:val="center"/>
          </w:tcPr>
          <w:p w14:paraId="28FC5BBB" w14:textId="77777777" w:rsidR="00C37757" w:rsidRPr="00C37757" w:rsidRDefault="00C37757" w:rsidP="00C37757">
            <w:pPr>
              <w:keepNext/>
              <w:keepLines/>
              <w:spacing w:before="40" w:after="40" w:line="240" w:lineRule="auto"/>
              <w:rPr>
                <w:rFonts w:ascii="Arial" w:eastAsia="Times New Roman" w:hAnsi="Arial" w:cs="Arial"/>
                <w:b/>
                <w:spacing w:val="-2"/>
                <w:sz w:val="14"/>
                <w:szCs w:val="14"/>
                <w:lang w:eastAsia="pt-BR"/>
              </w:rPr>
            </w:pPr>
            <w:r w:rsidRPr="00C37757">
              <w:rPr>
                <w:rFonts w:ascii="Arial" w:eastAsia="Times New Roman" w:hAnsi="Arial" w:cs="Arial"/>
                <w:b/>
                <w:spacing w:val="-2"/>
                <w:sz w:val="14"/>
                <w:szCs w:val="14"/>
                <w:lang w:eastAsia="pt-BR"/>
              </w:rPr>
              <w:t>Total do IR e CS (</w:t>
            </w:r>
            <w:proofErr w:type="spellStart"/>
            <w:r w:rsidRPr="00C37757">
              <w:rPr>
                <w:rFonts w:ascii="Arial" w:eastAsia="Times New Roman" w:hAnsi="Arial" w:cs="Arial"/>
                <w:b/>
                <w:spacing w:val="-2"/>
                <w:sz w:val="14"/>
                <w:szCs w:val="14"/>
                <w:lang w:eastAsia="pt-BR"/>
              </w:rPr>
              <w:t>a+b+c+d+e+f</w:t>
            </w:r>
            <w:proofErr w:type="spellEnd"/>
            <w:r w:rsidRPr="00C37757">
              <w:rPr>
                <w:rFonts w:ascii="Arial" w:eastAsia="Times New Roman" w:hAnsi="Arial" w:cs="Arial"/>
                <w:b/>
                <w:spacing w:val="-2"/>
                <w:sz w:val="14"/>
                <w:szCs w:val="14"/>
                <w:lang w:eastAsia="pt-BR"/>
              </w:rPr>
              <w:t>)</w:t>
            </w:r>
          </w:p>
        </w:tc>
        <w:tc>
          <w:tcPr>
            <w:tcW w:w="283" w:type="dxa"/>
            <w:tcBorders>
              <w:top w:val="nil"/>
              <w:bottom w:val="single" w:sz="2" w:space="0" w:color="1F4E79"/>
            </w:tcBorders>
            <w:shd w:val="clear" w:color="auto" w:fill="auto"/>
          </w:tcPr>
          <w:p w14:paraId="7457CABB" w14:textId="77777777" w:rsidR="00C37757" w:rsidRPr="00C37757" w:rsidRDefault="00C37757" w:rsidP="00C37757">
            <w:pPr>
              <w:keepNext/>
              <w:keepLines/>
              <w:spacing w:before="40" w:after="40" w:line="240" w:lineRule="auto"/>
              <w:jc w:val="center"/>
              <w:rPr>
                <w:rFonts w:ascii="Arial" w:eastAsia="Times New Roman" w:hAnsi="Arial" w:cs="Arial"/>
                <w:b/>
                <w:spacing w:val="-2"/>
                <w:sz w:val="14"/>
                <w:szCs w:val="14"/>
                <w:lang w:eastAsia="pt-BR"/>
              </w:rPr>
            </w:pPr>
          </w:p>
        </w:tc>
        <w:tc>
          <w:tcPr>
            <w:tcW w:w="1276" w:type="dxa"/>
            <w:tcBorders>
              <w:top w:val="nil"/>
              <w:bottom w:val="single" w:sz="2" w:space="0" w:color="1F4E79"/>
            </w:tcBorders>
            <w:shd w:val="clear" w:color="auto" w:fill="auto"/>
            <w:vAlign w:val="center"/>
          </w:tcPr>
          <w:p w14:paraId="670951CE" w14:textId="77777777" w:rsidR="00C37757" w:rsidRPr="00C37757" w:rsidRDefault="00C37757" w:rsidP="00C37757">
            <w:pPr>
              <w:keepNext/>
              <w:keepLines/>
              <w:spacing w:before="40" w:after="40" w:line="240" w:lineRule="auto"/>
              <w:jc w:val="right"/>
              <w:rPr>
                <w:rFonts w:ascii="Arial" w:eastAsia="Times New Roman" w:hAnsi="Arial" w:cs="Arial"/>
                <w:b/>
                <w:spacing w:val="-2"/>
                <w:sz w:val="14"/>
                <w:szCs w:val="14"/>
                <w:lang w:eastAsia="pt-BR"/>
              </w:rPr>
            </w:pPr>
            <w:r w:rsidRPr="00C37757">
              <w:rPr>
                <w:rFonts w:ascii="Arial" w:eastAsia="Times New Roman" w:hAnsi="Arial" w:cs="Arial"/>
                <w:b/>
                <w:spacing w:val="-2"/>
                <w:sz w:val="14"/>
                <w:szCs w:val="14"/>
                <w:lang w:eastAsia="pt-BR"/>
              </w:rPr>
              <w:t>(9.513)</w:t>
            </w:r>
          </w:p>
        </w:tc>
        <w:tc>
          <w:tcPr>
            <w:tcW w:w="1276" w:type="dxa"/>
            <w:tcBorders>
              <w:top w:val="nil"/>
              <w:bottom w:val="single" w:sz="2" w:space="0" w:color="1F4E79"/>
            </w:tcBorders>
            <w:shd w:val="clear" w:color="auto" w:fill="auto"/>
            <w:vAlign w:val="center"/>
          </w:tcPr>
          <w:p w14:paraId="6B943F00" w14:textId="77777777" w:rsidR="00C37757" w:rsidRPr="00C37757" w:rsidRDefault="00C37757" w:rsidP="00C37757">
            <w:pPr>
              <w:keepNext/>
              <w:keepLines/>
              <w:spacing w:before="40" w:after="40" w:line="240" w:lineRule="auto"/>
              <w:jc w:val="right"/>
              <w:rPr>
                <w:rFonts w:ascii="Arial" w:eastAsia="Times New Roman" w:hAnsi="Arial" w:cs="Arial"/>
                <w:b/>
                <w:spacing w:val="-2"/>
                <w:sz w:val="14"/>
                <w:szCs w:val="14"/>
                <w:lang w:eastAsia="pt-BR"/>
              </w:rPr>
            </w:pPr>
            <w:r w:rsidRPr="00C37757">
              <w:rPr>
                <w:rFonts w:ascii="Arial" w:eastAsia="Times New Roman" w:hAnsi="Arial" w:cs="Arial"/>
                <w:b/>
                <w:spacing w:val="-2"/>
                <w:sz w:val="14"/>
                <w:szCs w:val="14"/>
                <w:lang w:eastAsia="pt-BR"/>
              </w:rPr>
              <w:t>(11.621)</w:t>
            </w:r>
          </w:p>
        </w:tc>
        <w:tc>
          <w:tcPr>
            <w:tcW w:w="283" w:type="dxa"/>
            <w:tcBorders>
              <w:top w:val="nil"/>
              <w:bottom w:val="single" w:sz="2" w:space="0" w:color="1F4E79"/>
            </w:tcBorders>
            <w:shd w:val="clear" w:color="auto" w:fill="auto"/>
            <w:vAlign w:val="center"/>
          </w:tcPr>
          <w:p w14:paraId="3141C3CF" w14:textId="77777777" w:rsidR="00C37757" w:rsidRPr="00C37757" w:rsidRDefault="00C37757" w:rsidP="00C37757">
            <w:pPr>
              <w:keepNext/>
              <w:keepLines/>
              <w:spacing w:before="40" w:after="40" w:line="240" w:lineRule="auto"/>
              <w:jc w:val="right"/>
              <w:rPr>
                <w:rFonts w:ascii="Arial" w:eastAsia="Times New Roman" w:hAnsi="Arial" w:cs="Arial"/>
                <w:b/>
                <w:spacing w:val="-2"/>
                <w:sz w:val="14"/>
                <w:szCs w:val="14"/>
                <w:lang w:eastAsia="pt-BR"/>
              </w:rPr>
            </w:pPr>
          </w:p>
        </w:tc>
        <w:tc>
          <w:tcPr>
            <w:tcW w:w="1417" w:type="dxa"/>
            <w:tcBorders>
              <w:top w:val="nil"/>
              <w:bottom w:val="single" w:sz="2" w:space="0" w:color="1F4E79"/>
            </w:tcBorders>
            <w:shd w:val="clear" w:color="auto" w:fill="auto"/>
            <w:vAlign w:val="center"/>
          </w:tcPr>
          <w:p w14:paraId="4301A9C0" w14:textId="77777777" w:rsidR="00C37757" w:rsidRPr="00C37757" w:rsidRDefault="00C37757" w:rsidP="00C37757">
            <w:pPr>
              <w:keepNext/>
              <w:keepLines/>
              <w:spacing w:before="40" w:after="40" w:line="240" w:lineRule="auto"/>
              <w:jc w:val="right"/>
              <w:rPr>
                <w:rFonts w:ascii="Arial" w:eastAsia="Times New Roman" w:hAnsi="Arial" w:cs="Arial"/>
                <w:b/>
                <w:spacing w:val="-2"/>
                <w:sz w:val="14"/>
                <w:szCs w:val="14"/>
                <w:lang w:eastAsia="pt-BR"/>
              </w:rPr>
            </w:pPr>
            <w:r w:rsidRPr="00C37757">
              <w:rPr>
                <w:rFonts w:ascii="Arial" w:eastAsia="Times New Roman" w:hAnsi="Arial" w:cs="Arial"/>
                <w:b/>
                <w:spacing w:val="-2"/>
                <w:sz w:val="14"/>
                <w:szCs w:val="14"/>
                <w:lang w:eastAsia="pt-BR"/>
              </w:rPr>
              <w:t>(1.707.636)</w:t>
            </w:r>
          </w:p>
        </w:tc>
        <w:tc>
          <w:tcPr>
            <w:tcW w:w="1418" w:type="dxa"/>
            <w:tcBorders>
              <w:top w:val="nil"/>
              <w:bottom w:val="single" w:sz="2" w:space="0" w:color="1F4E79"/>
            </w:tcBorders>
            <w:shd w:val="clear" w:color="auto" w:fill="auto"/>
            <w:vAlign w:val="center"/>
          </w:tcPr>
          <w:p w14:paraId="31DA0484" w14:textId="77777777" w:rsidR="00C37757" w:rsidRPr="00C37757" w:rsidRDefault="00C37757" w:rsidP="00C37757">
            <w:pPr>
              <w:keepNext/>
              <w:keepLines/>
              <w:spacing w:before="40" w:after="40" w:line="240" w:lineRule="auto"/>
              <w:jc w:val="right"/>
              <w:rPr>
                <w:rFonts w:ascii="Arial" w:eastAsia="Times New Roman" w:hAnsi="Arial" w:cs="Arial"/>
                <w:b/>
                <w:spacing w:val="-2"/>
                <w:sz w:val="14"/>
                <w:szCs w:val="18"/>
                <w:lang w:eastAsia="pt-BR"/>
              </w:rPr>
            </w:pPr>
            <w:r w:rsidRPr="00C37757">
              <w:rPr>
                <w:rFonts w:ascii="Arial" w:eastAsia="Times New Roman" w:hAnsi="Arial" w:cs="Arial"/>
                <w:b/>
                <w:spacing w:val="-2"/>
                <w:sz w:val="14"/>
                <w:szCs w:val="14"/>
                <w:lang w:eastAsia="pt-BR"/>
              </w:rPr>
              <w:t>(1.546.109)</w:t>
            </w:r>
          </w:p>
        </w:tc>
      </w:tr>
    </w:tbl>
    <w:p w14:paraId="60C8388A" w14:textId="77777777" w:rsidR="00C37757" w:rsidRPr="00C37757" w:rsidRDefault="00C37757" w:rsidP="00C37757">
      <w:pPr>
        <w:widowControl w:val="0"/>
        <w:spacing w:after="40" w:line="276" w:lineRule="auto"/>
        <w:rPr>
          <w:rFonts w:ascii="Arial" w:eastAsia="MS Mincho" w:hAnsi="Arial" w:cs="Arial"/>
          <w:b/>
          <w:color w:val="1F4E79"/>
          <w:sz w:val="20"/>
          <w:szCs w:val="20"/>
        </w:rPr>
      </w:pPr>
    </w:p>
    <w:p w14:paraId="7C2DFA58" w14:textId="77777777" w:rsidR="00C37757" w:rsidRPr="00C37757" w:rsidRDefault="00C37757" w:rsidP="00D5649F">
      <w:pPr>
        <w:pageBreakBefore/>
        <w:widowControl w:val="0"/>
        <w:spacing w:after="40" w:line="276" w:lineRule="auto"/>
        <w:rPr>
          <w:rFonts w:ascii="Arial" w:eastAsia="MS Mincho" w:hAnsi="Arial" w:cs="Arial"/>
          <w:b/>
          <w:color w:val="1F4E79"/>
          <w:sz w:val="18"/>
          <w:szCs w:val="18"/>
        </w:rPr>
      </w:pPr>
      <w:r w:rsidRPr="00C37757">
        <w:rPr>
          <w:rFonts w:ascii="Arial" w:eastAsia="MS Mincho" w:hAnsi="Arial" w:cs="Arial"/>
          <w:b/>
          <w:color w:val="1F4E79"/>
          <w:sz w:val="18"/>
          <w:szCs w:val="18"/>
        </w:rPr>
        <w:lastRenderedPageBreak/>
        <w:t>c) Despesas Tributárias</w:t>
      </w:r>
    </w:p>
    <w:p w14:paraId="0AE9F79C" w14:textId="77777777" w:rsidR="00C37757" w:rsidRPr="00C37757" w:rsidRDefault="00C37757" w:rsidP="00C37757">
      <w:pPr>
        <w:widowControl w:val="0"/>
        <w:spacing w:after="0" w:line="240" w:lineRule="auto"/>
        <w:jc w:val="right"/>
        <w:rPr>
          <w:rFonts w:ascii="Arial" w:eastAsia="MS Mincho" w:hAnsi="Arial" w:cs="Arial"/>
          <w:b/>
          <w:sz w:val="14"/>
          <w:szCs w:val="22"/>
          <w:lang w:eastAsia="pt-BR"/>
        </w:rPr>
      </w:pPr>
      <w:r w:rsidRPr="00C37757">
        <w:rPr>
          <w:rFonts w:ascii="Arial" w:eastAsia="MS Mincho" w:hAnsi="Arial" w:cs="Arial"/>
          <w:b/>
          <w:sz w:val="14"/>
          <w:szCs w:val="22"/>
          <w:lang w:eastAsia="pt-BR"/>
        </w:rPr>
        <w:t>R$ mil</w:t>
      </w:r>
    </w:p>
    <w:tbl>
      <w:tblPr>
        <w:tblW w:w="9639" w:type="dxa"/>
        <w:tblBorders>
          <w:top w:val="single" w:sz="2" w:space="0" w:color="8EAADB"/>
          <w:bottom w:val="single" w:sz="2" w:space="0" w:color="8EAADB"/>
        </w:tblBorders>
        <w:tblLook w:val="04A0" w:firstRow="1" w:lastRow="0" w:firstColumn="1" w:lastColumn="0" w:noHBand="0" w:noVBand="1"/>
      </w:tblPr>
      <w:tblGrid>
        <w:gridCol w:w="3094"/>
        <w:gridCol w:w="604"/>
        <w:gridCol w:w="1411"/>
        <w:gridCol w:w="1412"/>
        <w:gridCol w:w="283"/>
        <w:gridCol w:w="1417"/>
        <w:gridCol w:w="1418"/>
      </w:tblGrid>
      <w:tr w:rsidR="00C37757" w:rsidRPr="00C37757" w14:paraId="55ABAE93" w14:textId="77777777" w:rsidTr="00C37757">
        <w:trPr>
          <w:trHeight w:val="238"/>
        </w:trPr>
        <w:tc>
          <w:tcPr>
            <w:tcW w:w="3094" w:type="dxa"/>
            <w:tcBorders>
              <w:top w:val="single" w:sz="2" w:space="0" w:color="1F4E79"/>
              <w:bottom w:val="nil"/>
            </w:tcBorders>
            <w:shd w:val="clear" w:color="auto" w:fill="auto"/>
            <w:vAlign w:val="center"/>
          </w:tcPr>
          <w:p w14:paraId="4CCCD60A" w14:textId="77777777" w:rsidR="00C37757" w:rsidRPr="00C37757" w:rsidRDefault="00C37757" w:rsidP="00C37757">
            <w:pPr>
              <w:widowControl w:val="0"/>
              <w:spacing w:after="0" w:line="276" w:lineRule="auto"/>
              <w:jc w:val="center"/>
              <w:rPr>
                <w:rFonts w:ascii="Arial" w:eastAsia="MS Mincho" w:hAnsi="Arial" w:cs="Arial"/>
                <w:b/>
                <w:sz w:val="18"/>
                <w:szCs w:val="18"/>
              </w:rPr>
            </w:pPr>
          </w:p>
        </w:tc>
        <w:tc>
          <w:tcPr>
            <w:tcW w:w="604" w:type="dxa"/>
            <w:tcBorders>
              <w:top w:val="single" w:sz="2" w:space="0" w:color="1F4E79"/>
              <w:bottom w:val="nil"/>
            </w:tcBorders>
            <w:shd w:val="clear" w:color="auto" w:fill="auto"/>
            <w:vAlign w:val="center"/>
          </w:tcPr>
          <w:p w14:paraId="693C2A94" w14:textId="77777777" w:rsidR="00C37757" w:rsidRPr="00C37757" w:rsidRDefault="00C37757" w:rsidP="00C37757">
            <w:pPr>
              <w:widowControl w:val="0"/>
              <w:spacing w:after="0" w:line="276" w:lineRule="auto"/>
              <w:jc w:val="center"/>
              <w:rPr>
                <w:rFonts w:ascii="Arial" w:eastAsia="MS Mincho" w:hAnsi="Arial" w:cs="Arial"/>
                <w:b/>
                <w:sz w:val="18"/>
                <w:szCs w:val="18"/>
              </w:rPr>
            </w:pPr>
          </w:p>
        </w:tc>
        <w:tc>
          <w:tcPr>
            <w:tcW w:w="2823" w:type="dxa"/>
            <w:gridSpan w:val="2"/>
            <w:tcBorders>
              <w:top w:val="single" w:sz="2" w:space="0" w:color="1F4E79"/>
              <w:bottom w:val="single" w:sz="2" w:space="0" w:color="1F4E79"/>
            </w:tcBorders>
            <w:shd w:val="clear" w:color="auto" w:fill="auto"/>
            <w:vAlign w:val="center"/>
          </w:tcPr>
          <w:p w14:paraId="443A4DA7" w14:textId="77777777" w:rsidR="00C37757" w:rsidRPr="00C37757" w:rsidRDefault="00C37757" w:rsidP="00C37757">
            <w:pPr>
              <w:widowControl w:val="0"/>
              <w:spacing w:after="0" w:line="276" w:lineRule="auto"/>
              <w:jc w:val="center"/>
              <w:rPr>
                <w:rFonts w:ascii="Arial" w:eastAsia="MS Mincho" w:hAnsi="Arial" w:cs="Arial"/>
                <w:b/>
                <w:sz w:val="14"/>
                <w:szCs w:val="18"/>
              </w:rPr>
            </w:pPr>
            <w:r w:rsidRPr="00C37757">
              <w:rPr>
                <w:rFonts w:ascii="Arial" w:eastAsia="MS Mincho" w:hAnsi="Arial" w:cs="Arial"/>
                <w:b/>
                <w:sz w:val="14"/>
                <w:szCs w:val="18"/>
              </w:rPr>
              <w:t>Controlador</w:t>
            </w:r>
          </w:p>
        </w:tc>
        <w:tc>
          <w:tcPr>
            <w:tcW w:w="283" w:type="dxa"/>
            <w:tcBorders>
              <w:top w:val="single" w:sz="2" w:space="0" w:color="1F4E79"/>
              <w:bottom w:val="nil"/>
            </w:tcBorders>
            <w:shd w:val="clear" w:color="auto" w:fill="auto"/>
            <w:vAlign w:val="center"/>
          </w:tcPr>
          <w:p w14:paraId="0BC1CA00" w14:textId="77777777" w:rsidR="00C37757" w:rsidRPr="00C37757" w:rsidRDefault="00C37757" w:rsidP="00C37757">
            <w:pPr>
              <w:widowControl w:val="0"/>
              <w:spacing w:after="0" w:line="276" w:lineRule="auto"/>
              <w:jc w:val="center"/>
              <w:rPr>
                <w:rFonts w:ascii="Arial" w:eastAsia="MS Mincho" w:hAnsi="Arial" w:cs="Arial"/>
                <w:b/>
                <w:sz w:val="18"/>
                <w:szCs w:val="18"/>
              </w:rPr>
            </w:pPr>
          </w:p>
        </w:tc>
        <w:tc>
          <w:tcPr>
            <w:tcW w:w="2835" w:type="dxa"/>
            <w:gridSpan w:val="2"/>
            <w:tcBorders>
              <w:top w:val="single" w:sz="2" w:space="0" w:color="1F4E79"/>
              <w:bottom w:val="single" w:sz="2" w:space="0" w:color="1F4E79"/>
            </w:tcBorders>
            <w:shd w:val="clear" w:color="auto" w:fill="auto"/>
            <w:vAlign w:val="center"/>
          </w:tcPr>
          <w:p w14:paraId="246F1CAC" w14:textId="77777777" w:rsidR="00C37757" w:rsidRPr="00C37757" w:rsidRDefault="00C37757" w:rsidP="00C37757">
            <w:pPr>
              <w:widowControl w:val="0"/>
              <w:spacing w:after="0" w:line="276" w:lineRule="auto"/>
              <w:jc w:val="center"/>
              <w:rPr>
                <w:rFonts w:ascii="Arial" w:eastAsia="MS Mincho" w:hAnsi="Arial" w:cs="Arial"/>
                <w:b/>
                <w:sz w:val="18"/>
                <w:szCs w:val="18"/>
              </w:rPr>
            </w:pPr>
            <w:r w:rsidRPr="00C37757">
              <w:rPr>
                <w:rFonts w:ascii="Arial" w:eastAsia="MS Mincho" w:hAnsi="Arial" w:cs="Arial"/>
                <w:b/>
                <w:sz w:val="14"/>
                <w:szCs w:val="18"/>
              </w:rPr>
              <w:t>Consolidado</w:t>
            </w:r>
          </w:p>
        </w:tc>
      </w:tr>
      <w:tr w:rsidR="00C37757" w:rsidRPr="00C37757" w14:paraId="17E7C642" w14:textId="77777777" w:rsidTr="00C37757">
        <w:trPr>
          <w:trHeight w:val="238"/>
        </w:trPr>
        <w:tc>
          <w:tcPr>
            <w:tcW w:w="3094" w:type="dxa"/>
            <w:tcBorders>
              <w:top w:val="nil"/>
              <w:bottom w:val="single" w:sz="2" w:space="0" w:color="1F4E79"/>
            </w:tcBorders>
            <w:shd w:val="clear" w:color="auto" w:fill="auto"/>
            <w:vAlign w:val="center"/>
          </w:tcPr>
          <w:p w14:paraId="3655312B" w14:textId="77777777" w:rsidR="00C37757" w:rsidRPr="00C37757" w:rsidRDefault="00C37757" w:rsidP="00C37757">
            <w:pPr>
              <w:widowControl w:val="0"/>
              <w:spacing w:before="40" w:after="40" w:line="240" w:lineRule="auto"/>
              <w:jc w:val="center"/>
              <w:rPr>
                <w:rFonts w:ascii="Arial" w:eastAsia="Times New Roman" w:hAnsi="Arial" w:cs="Arial"/>
                <w:b/>
                <w:spacing w:val="-2"/>
                <w:sz w:val="14"/>
                <w:szCs w:val="18"/>
                <w:lang w:eastAsia="pt-BR"/>
              </w:rPr>
            </w:pPr>
          </w:p>
        </w:tc>
        <w:tc>
          <w:tcPr>
            <w:tcW w:w="604" w:type="dxa"/>
            <w:tcBorders>
              <w:top w:val="nil"/>
              <w:bottom w:val="single" w:sz="2" w:space="0" w:color="1F4E79"/>
            </w:tcBorders>
            <w:shd w:val="clear" w:color="auto" w:fill="auto"/>
            <w:vAlign w:val="center"/>
          </w:tcPr>
          <w:p w14:paraId="7D4C0A72" w14:textId="77777777" w:rsidR="00C37757" w:rsidRPr="00C37757" w:rsidRDefault="00C37757" w:rsidP="00C37757">
            <w:pPr>
              <w:widowControl w:val="0"/>
              <w:spacing w:before="40" w:after="40" w:line="240" w:lineRule="auto"/>
              <w:jc w:val="center"/>
              <w:rPr>
                <w:rFonts w:ascii="Arial" w:eastAsia="Times New Roman" w:hAnsi="Arial" w:cs="Arial"/>
                <w:b/>
                <w:spacing w:val="-2"/>
                <w:sz w:val="14"/>
                <w:szCs w:val="18"/>
                <w:lang w:eastAsia="pt-BR"/>
              </w:rPr>
            </w:pPr>
          </w:p>
        </w:tc>
        <w:tc>
          <w:tcPr>
            <w:tcW w:w="1411" w:type="dxa"/>
            <w:tcBorders>
              <w:top w:val="single" w:sz="2" w:space="0" w:color="1F4E79"/>
              <w:bottom w:val="single" w:sz="2" w:space="0" w:color="1F4E79"/>
            </w:tcBorders>
            <w:shd w:val="clear" w:color="auto" w:fill="auto"/>
          </w:tcPr>
          <w:p w14:paraId="6939B0B9"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8"/>
                <w:lang w:eastAsia="pt-BR"/>
              </w:rPr>
            </w:pPr>
            <w:r w:rsidRPr="00C37757">
              <w:rPr>
                <w:rFonts w:ascii="Arial" w:eastAsia="Times New Roman" w:hAnsi="Arial" w:cs="Arial"/>
                <w:b/>
                <w:spacing w:val="-2"/>
                <w:sz w:val="14"/>
                <w:szCs w:val="18"/>
                <w:lang w:eastAsia="pt-BR"/>
              </w:rPr>
              <w:t>Exercício 2024</w:t>
            </w:r>
          </w:p>
        </w:tc>
        <w:tc>
          <w:tcPr>
            <w:tcW w:w="1412" w:type="dxa"/>
            <w:tcBorders>
              <w:top w:val="single" w:sz="2" w:space="0" w:color="1F4E79"/>
              <w:bottom w:val="single" w:sz="2" w:space="0" w:color="1F4E79"/>
            </w:tcBorders>
            <w:shd w:val="clear" w:color="auto" w:fill="auto"/>
          </w:tcPr>
          <w:p w14:paraId="653D860B"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8"/>
                <w:lang w:eastAsia="pt-BR"/>
              </w:rPr>
            </w:pPr>
            <w:r w:rsidRPr="00C37757">
              <w:rPr>
                <w:rFonts w:ascii="Arial" w:eastAsia="Times New Roman" w:hAnsi="Arial" w:cs="Times New Roman"/>
                <w:b/>
                <w:spacing w:val="-2"/>
                <w:sz w:val="14"/>
                <w:szCs w:val="18"/>
                <w:lang w:eastAsia="pt-BR"/>
              </w:rPr>
              <w:t>Exercício 2023</w:t>
            </w:r>
          </w:p>
        </w:tc>
        <w:tc>
          <w:tcPr>
            <w:tcW w:w="283" w:type="dxa"/>
            <w:tcBorders>
              <w:top w:val="nil"/>
              <w:bottom w:val="single" w:sz="2" w:space="0" w:color="1F4E79"/>
            </w:tcBorders>
            <w:shd w:val="clear" w:color="auto" w:fill="auto"/>
          </w:tcPr>
          <w:p w14:paraId="044C2FDD"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8"/>
                <w:lang w:eastAsia="pt-BR"/>
              </w:rPr>
            </w:pPr>
          </w:p>
        </w:tc>
        <w:tc>
          <w:tcPr>
            <w:tcW w:w="1417" w:type="dxa"/>
            <w:tcBorders>
              <w:top w:val="single" w:sz="2" w:space="0" w:color="1F4E79"/>
              <w:bottom w:val="single" w:sz="2" w:space="0" w:color="1F4E79"/>
            </w:tcBorders>
            <w:shd w:val="clear" w:color="auto" w:fill="auto"/>
          </w:tcPr>
          <w:p w14:paraId="79D4D8EB"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8"/>
                <w:lang w:eastAsia="pt-BR"/>
              </w:rPr>
            </w:pPr>
            <w:r w:rsidRPr="00C37757">
              <w:rPr>
                <w:rFonts w:ascii="Arial" w:eastAsia="Times New Roman" w:hAnsi="Arial" w:cs="Times New Roman"/>
                <w:b/>
                <w:spacing w:val="-2"/>
                <w:sz w:val="14"/>
                <w:szCs w:val="18"/>
                <w:lang w:eastAsia="pt-BR"/>
              </w:rPr>
              <w:t>Exercício 2024</w:t>
            </w:r>
          </w:p>
        </w:tc>
        <w:tc>
          <w:tcPr>
            <w:tcW w:w="1418" w:type="dxa"/>
            <w:tcBorders>
              <w:top w:val="single" w:sz="2" w:space="0" w:color="1F4E79"/>
              <w:bottom w:val="single" w:sz="2" w:space="0" w:color="1F4E79"/>
            </w:tcBorders>
            <w:shd w:val="clear" w:color="auto" w:fill="auto"/>
          </w:tcPr>
          <w:p w14:paraId="7592B2F1"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8"/>
                <w:lang w:eastAsia="pt-BR"/>
              </w:rPr>
            </w:pPr>
            <w:r w:rsidRPr="00C37757">
              <w:rPr>
                <w:rFonts w:ascii="Arial" w:eastAsia="Times New Roman" w:hAnsi="Arial" w:cs="Times New Roman"/>
                <w:b/>
                <w:spacing w:val="-2"/>
                <w:sz w:val="14"/>
                <w:szCs w:val="18"/>
                <w:lang w:eastAsia="pt-BR"/>
              </w:rPr>
              <w:t>Exercício 2023</w:t>
            </w:r>
          </w:p>
        </w:tc>
      </w:tr>
      <w:tr w:rsidR="00C37757" w:rsidRPr="00C37757" w14:paraId="3C40F5C5" w14:textId="77777777" w:rsidTr="00C37757">
        <w:trPr>
          <w:trHeight w:val="238"/>
        </w:trPr>
        <w:tc>
          <w:tcPr>
            <w:tcW w:w="3094" w:type="dxa"/>
            <w:tcBorders>
              <w:top w:val="single" w:sz="2" w:space="0" w:color="1F4E79"/>
              <w:bottom w:val="nil"/>
            </w:tcBorders>
            <w:shd w:val="clear" w:color="auto" w:fill="auto"/>
            <w:vAlign w:val="center"/>
          </w:tcPr>
          <w:p w14:paraId="31AD8B73" w14:textId="77777777" w:rsidR="00C37757" w:rsidRPr="00C37757" w:rsidRDefault="00C37757" w:rsidP="00C37757">
            <w:pPr>
              <w:widowControl w:val="0"/>
              <w:spacing w:before="40" w:after="40" w:line="240" w:lineRule="auto"/>
              <w:rPr>
                <w:rFonts w:ascii="Arial" w:eastAsia="Times New Roman" w:hAnsi="Arial" w:cs="Arial"/>
                <w:b/>
                <w:bCs/>
                <w:spacing w:val="-2"/>
                <w:sz w:val="14"/>
                <w:szCs w:val="14"/>
                <w:lang w:eastAsia="pt-BR"/>
              </w:rPr>
            </w:pPr>
            <w:r w:rsidRPr="00C37757">
              <w:rPr>
                <w:rFonts w:ascii="Arial" w:eastAsia="Times New Roman" w:hAnsi="Arial" w:cs="Arial"/>
                <w:b/>
                <w:bCs/>
                <w:spacing w:val="-2"/>
                <w:sz w:val="14"/>
                <w:szCs w:val="14"/>
                <w:lang w:eastAsia="pt-BR"/>
              </w:rPr>
              <w:t>Sobre Receitas Financeiras e Outras</w:t>
            </w:r>
          </w:p>
        </w:tc>
        <w:tc>
          <w:tcPr>
            <w:tcW w:w="604" w:type="dxa"/>
            <w:tcBorders>
              <w:top w:val="single" w:sz="2" w:space="0" w:color="1F4E79"/>
              <w:bottom w:val="nil"/>
            </w:tcBorders>
            <w:shd w:val="clear" w:color="auto" w:fill="auto"/>
            <w:vAlign w:val="center"/>
          </w:tcPr>
          <w:p w14:paraId="69CB7A77" w14:textId="77777777" w:rsidR="00C37757" w:rsidRPr="00C37757" w:rsidRDefault="00C37757" w:rsidP="00C37757">
            <w:pPr>
              <w:widowControl w:val="0"/>
              <w:spacing w:before="40" w:after="40" w:line="240" w:lineRule="auto"/>
              <w:jc w:val="center"/>
              <w:rPr>
                <w:rFonts w:ascii="Arial" w:eastAsia="Times New Roman" w:hAnsi="Arial" w:cs="Arial"/>
                <w:b/>
                <w:spacing w:val="-2"/>
                <w:sz w:val="14"/>
                <w:szCs w:val="14"/>
                <w:lang w:eastAsia="pt-BR"/>
              </w:rPr>
            </w:pPr>
          </w:p>
        </w:tc>
        <w:tc>
          <w:tcPr>
            <w:tcW w:w="1411" w:type="dxa"/>
            <w:tcBorders>
              <w:top w:val="single" w:sz="2" w:space="0" w:color="1F4E79"/>
              <w:bottom w:val="nil"/>
            </w:tcBorders>
            <w:shd w:val="clear" w:color="auto" w:fill="auto"/>
            <w:vAlign w:val="center"/>
          </w:tcPr>
          <w:p w14:paraId="3E261035"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4"/>
                <w:lang w:eastAsia="pt-BR"/>
              </w:rPr>
            </w:pPr>
          </w:p>
        </w:tc>
        <w:tc>
          <w:tcPr>
            <w:tcW w:w="1412" w:type="dxa"/>
            <w:tcBorders>
              <w:top w:val="single" w:sz="2" w:space="0" w:color="1F4E79"/>
              <w:bottom w:val="nil"/>
            </w:tcBorders>
            <w:shd w:val="clear" w:color="auto" w:fill="auto"/>
            <w:vAlign w:val="center"/>
          </w:tcPr>
          <w:p w14:paraId="55488716"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8"/>
                <w:lang w:eastAsia="pt-BR"/>
              </w:rPr>
            </w:pPr>
          </w:p>
        </w:tc>
        <w:tc>
          <w:tcPr>
            <w:tcW w:w="283" w:type="dxa"/>
            <w:tcBorders>
              <w:top w:val="single" w:sz="2" w:space="0" w:color="1F4E79"/>
              <w:bottom w:val="nil"/>
            </w:tcBorders>
            <w:shd w:val="clear" w:color="auto" w:fill="auto"/>
            <w:vAlign w:val="center"/>
          </w:tcPr>
          <w:p w14:paraId="5A733BEB"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4"/>
                <w:lang w:eastAsia="pt-BR"/>
              </w:rPr>
            </w:pPr>
          </w:p>
        </w:tc>
        <w:tc>
          <w:tcPr>
            <w:tcW w:w="1417" w:type="dxa"/>
            <w:tcBorders>
              <w:top w:val="single" w:sz="2" w:space="0" w:color="1F4E79"/>
              <w:bottom w:val="nil"/>
            </w:tcBorders>
            <w:shd w:val="clear" w:color="auto" w:fill="auto"/>
            <w:vAlign w:val="center"/>
          </w:tcPr>
          <w:p w14:paraId="11CE99EA"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4"/>
                <w:lang w:eastAsia="pt-BR"/>
              </w:rPr>
            </w:pPr>
          </w:p>
        </w:tc>
        <w:tc>
          <w:tcPr>
            <w:tcW w:w="1418" w:type="dxa"/>
            <w:tcBorders>
              <w:top w:val="single" w:sz="2" w:space="0" w:color="1F4E79"/>
              <w:bottom w:val="nil"/>
            </w:tcBorders>
            <w:shd w:val="clear" w:color="auto" w:fill="auto"/>
            <w:vAlign w:val="center"/>
          </w:tcPr>
          <w:p w14:paraId="3DF35CEE"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8"/>
                <w:lang w:eastAsia="pt-BR"/>
              </w:rPr>
            </w:pPr>
          </w:p>
        </w:tc>
      </w:tr>
      <w:tr w:rsidR="00C37757" w:rsidRPr="00C37757" w14:paraId="6DE56417" w14:textId="77777777" w:rsidTr="00C37757">
        <w:trPr>
          <w:trHeight w:val="238"/>
        </w:trPr>
        <w:tc>
          <w:tcPr>
            <w:tcW w:w="3094" w:type="dxa"/>
            <w:tcBorders>
              <w:top w:val="nil"/>
            </w:tcBorders>
            <w:shd w:val="clear" w:color="auto" w:fill="auto"/>
            <w:vAlign w:val="center"/>
          </w:tcPr>
          <w:p w14:paraId="23216235" w14:textId="77777777" w:rsidR="00C37757" w:rsidRPr="00C37757" w:rsidRDefault="00C37757" w:rsidP="00C37757">
            <w:pPr>
              <w:widowControl w:val="0"/>
              <w:spacing w:before="40" w:after="40" w:line="240" w:lineRule="auto"/>
              <w:ind w:left="113"/>
              <w:rPr>
                <w:rFonts w:ascii="Arial" w:eastAsia="Times New Roman" w:hAnsi="Arial" w:cs="Arial"/>
                <w:spacing w:val="-2"/>
                <w:sz w:val="14"/>
                <w:szCs w:val="14"/>
                <w:lang w:eastAsia="pt-BR"/>
              </w:rPr>
            </w:pPr>
            <w:proofErr w:type="spellStart"/>
            <w:r w:rsidRPr="00C37757">
              <w:rPr>
                <w:rFonts w:ascii="Arial" w:eastAsia="Times New Roman" w:hAnsi="Arial" w:cs="Arial"/>
                <w:spacing w:val="-2"/>
                <w:sz w:val="14"/>
                <w:szCs w:val="14"/>
                <w:lang w:eastAsia="pt-BR"/>
              </w:rPr>
              <w:t>Cofins</w:t>
            </w:r>
            <w:proofErr w:type="spellEnd"/>
          </w:p>
        </w:tc>
        <w:tc>
          <w:tcPr>
            <w:tcW w:w="604" w:type="dxa"/>
            <w:tcBorders>
              <w:top w:val="nil"/>
            </w:tcBorders>
            <w:shd w:val="clear" w:color="auto" w:fill="auto"/>
            <w:vAlign w:val="center"/>
          </w:tcPr>
          <w:p w14:paraId="52C14459" w14:textId="77777777" w:rsidR="00C37757" w:rsidRPr="00C37757" w:rsidRDefault="00C37757" w:rsidP="00C37757">
            <w:pPr>
              <w:widowControl w:val="0"/>
              <w:spacing w:before="40" w:after="40" w:line="240" w:lineRule="auto"/>
              <w:ind w:left="113"/>
              <w:jc w:val="center"/>
              <w:rPr>
                <w:rFonts w:ascii="Arial" w:eastAsia="Times New Roman" w:hAnsi="Arial" w:cs="Arial"/>
                <w:spacing w:val="-2"/>
                <w:sz w:val="14"/>
                <w:szCs w:val="14"/>
                <w:lang w:eastAsia="pt-BR"/>
              </w:rPr>
            </w:pPr>
          </w:p>
        </w:tc>
        <w:tc>
          <w:tcPr>
            <w:tcW w:w="1411" w:type="dxa"/>
            <w:tcBorders>
              <w:top w:val="nil"/>
            </w:tcBorders>
            <w:shd w:val="clear" w:color="auto" w:fill="auto"/>
            <w:vAlign w:val="center"/>
          </w:tcPr>
          <w:p w14:paraId="5B67F3E8" w14:textId="77777777" w:rsidR="00C37757" w:rsidRPr="00F7280E" w:rsidRDefault="00C37757" w:rsidP="00C37757">
            <w:pPr>
              <w:widowControl w:val="0"/>
              <w:spacing w:before="40" w:after="40" w:line="240" w:lineRule="auto"/>
              <w:ind w:left="113"/>
              <w:jc w:val="right"/>
              <w:rPr>
                <w:rFonts w:ascii="Arial" w:eastAsia="Times New Roman" w:hAnsi="Arial" w:cs="Arial"/>
                <w:spacing w:val="-2"/>
                <w:sz w:val="14"/>
                <w:szCs w:val="14"/>
                <w:lang w:eastAsia="pt-BR"/>
              </w:rPr>
            </w:pPr>
            <w:r w:rsidRPr="00F7280E">
              <w:rPr>
                <w:rFonts w:ascii="Arial" w:eastAsia="Times New Roman" w:hAnsi="Arial" w:cs="Arial"/>
                <w:spacing w:val="-2"/>
                <w:sz w:val="14"/>
                <w:szCs w:val="14"/>
                <w:lang w:eastAsia="pt-BR"/>
              </w:rPr>
              <w:t>(3.805)</w:t>
            </w:r>
          </w:p>
        </w:tc>
        <w:tc>
          <w:tcPr>
            <w:tcW w:w="1412" w:type="dxa"/>
            <w:tcBorders>
              <w:top w:val="nil"/>
            </w:tcBorders>
            <w:shd w:val="clear" w:color="auto" w:fill="auto"/>
            <w:vAlign w:val="center"/>
          </w:tcPr>
          <w:p w14:paraId="3E04E280" w14:textId="77777777" w:rsidR="00C37757" w:rsidRPr="00C37757" w:rsidRDefault="00C37757" w:rsidP="00C37757">
            <w:pPr>
              <w:widowControl w:val="0"/>
              <w:spacing w:before="40" w:after="40" w:line="240" w:lineRule="auto"/>
              <w:ind w:left="113"/>
              <w:jc w:val="right"/>
              <w:rPr>
                <w:rFonts w:ascii="Arial" w:eastAsia="Times New Roman" w:hAnsi="Arial" w:cs="Arial"/>
                <w:spacing w:val="-2"/>
                <w:sz w:val="14"/>
                <w:szCs w:val="18"/>
                <w:lang w:eastAsia="pt-BR"/>
              </w:rPr>
            </w:pPr>
            <w:r w:rsidRPr="00C37757">
              <w:rPr>
                <w:rFonts w:ascii="Arial" w:eastAsia="Times New Roman" w:hAnsi="Arial" w:cs="Arial"/>
                <w:spacing w:val="-2"/>
                <w:sz w:val="14"/>
                <w:szCs w:val="14"/>
                <w:lang w:eastAsia="pt-BR"/>
              </w:rPr>
              <w:t>(5.723)</w:t>
            </w:r>
          </w:p>
        </w:tc>
        <w:tc>
          <w:tcPr>
            <w:tcW w:w="283" w:type="dxa"/>
            <w:tcBorders>
              <w:top w:val="nil"/>
            </w:tcBorders>
            <w:shd w:val="clear" w:color="auto" w:fill="auto"/>
            <w:vAlign w:val="center"/>
          </w:tcPr>
          <w:p w14:paraId="5C720C75" w14:textId="77777777" w:rsidR="00C37757" w:rsidRPr="00C37757" w:rsidRDefault="00C37757" w:rsidP="00C37757">
            <w:pPr>
              <w:widowControl w:val="0"/>
              <w:spacing w:before="40" w:after="40" w:line="240" w:lineRule="auto"/>
              <w:ind w:left="113"/>
              <w:jc w:val="right"/>
              <w:rPr>
                <w:rFonts w:ascii="Arial" w:eastAsia="Times New Roman" w:hAnsi="Arial" w:cs="Arial"/>
                <w:spacing w:val="-2"/>
                <w:sz w:val="14"/>
                <w:szCs w:val="14"/>
                <w:lang w:eastAsia="pt-BR"/>
              </w:rPr>
            </w:pPr>
          </w:p>
        </w:tc>
        <w:tc>
          <w:tcPr>
            <w:tcW w:w="1417" w:type="dxa"/>
            <w:tcBorders>
              <w:top w:val="nil"/>
            </w:tcBorders>
            <w:shd w:val="clear" w:color="auto" w:fill="auto"/>
            <w:vAlign w:val="center"/>
          </w:tcPr>
          <w:p w14:paraId="1E54DB0B" w14:textId="77777777" w:rsidR="00C37757" w:rsidRPr="00C37757" w:rsidRDefault="00C37757" w:rsidP="00C37757">
            <w:pPr>
              <w:widowControl w:val="0"/>
              <w:spacing w:before="40" w:after="40" w:line="240" w:lineRule="auto"/>
              <w:ind w:left="113"/>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(29.377)</w:t>
            </w:r>
          </w:p>
        </w:tc>
        <w:tc>
          <w:tcPr>
            <w:tcW w:w="1418" w:type="dxa"/>
            <w:tcBorders>
              <w:top w:val="nil"/>
            </w:tcBorders>
            <w:shd w:val="clear" w:color="auto" w:fill="auto"/>
            <w:vAlign w:val="center"/>
          </w:tcPr>
          <w:p w14:paraId="3863F61C" w14:textId="77777777" w:rsidR="00C37757" w:rsidRPr="00C37757" w:rsidRDefault="00C37757" w:rsidP="00C37757">
            <w:pPr>
              <w:widowControl w:val="0"/>
              <w:spacing w:before="40" w:after="40" w:line="240" w:lineRule="auto"/>
              <w:ind w:left="113"/>
              <w:jc w:val="right"/>
              <w:rPr>
                <w:rFonts w:ascii="Arial" w:eastAsia="Times New Roman" w:hAnsi="Arial" w:cs="Arial"/>
                <w:spacing w:val="-2"/>
                <w:sz w:val="14"/>
                <w:szCs w:val="18"/>
                <w:lang w:eastAsia="pt-BR"/>
              </w:rPr>
            </w:pPr>
            <w:r w:rsidRPr="00C37757">
              <w:rPr>
                <w:rFonts w:ascii="Arial" w:eastAsia="Times New Roman" w:hAnsi="Arial" w:cs="Arial"/>
                <w:spacing w:val="-2"/>
                <w:sz w:val="14"/>
                <w:szCs w:val="14"/>
                <w:lang w:eastAsia="pt-BR"/>
              </w:rPr>
              <w:t>(30.297)</w:t>
            </w:r>
          </w:p>
        </w:tc>
      </w:tr>
      <w:tr w:rsidR="00C37757" w:rsidRPr="00C37757" w14:paraId="4B39CE70" w14:textId="77777777" w:rsidTr="00C37757">
        <w:trPr>
          <w:trHeight w:val="238"/>
        </w:trPr>
        <w:tc>
          <w:tcPr>
            <w:tcW w:w="3094" w:type="dxa"/>
            <w:shd w:val="clear" w:color="auto" w:fill="auto"/>
            <w:vAlign w:val="center"/>
          </w:tcPr>
          <w:p w14:paraId="143DB0FB" w14:textId="77777777" w:rsidR="00C37757" w:rsidRPr="00C37757" w:rsidRDefault="00C37757" w:rsidP="00C37757">
            <w:pPr>
              <w:widowControl w:val="0"/>
              <w:spacing w:before="40" w:after="40" w:line="240" w:lineRule="auto"/>
              <w:ind w:left="113"/>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PIS/Pasep</w:t>
            </w:r>
          </w:p>
        </w:tc>
        <w:tc>
          <w:tcPr>
            <w:tcW w:w="604" w:type="dxa"/>
            <w:shd w:val="clear" w:color="auto" w:fill="auto"/>
            <w:vAlign w:val="center"/>
          </w:tcPr>
          <w:p w14:paraId="1DBB52F2" w14:textId="77777777" w:rsidR="00C37757" w:rsidRPr="00C37757" w:rsidRDefault="00C37757" w:rsidP="00C37757">
            <w:pPr>
              <w:widowControl w:val="0"/>
              <w:spacing w:before="40" w:after="40" w:line="240" w:lineRule="auto"/>
              <w:ind w:left="113"/>
              <w:jc w:val="center"/>
              <w:rPr>
                <w:rFonts w:ascii="Arial" w:eastAsia="Times New Roman" w:hAnsi="Arial" w:cs="Arial"/>
                <w:spacing w:val="-2"/>
                <w:sz w:val="14"/>
                <w:szCs w:val="14"/>
                <w:lang w:eastAsia="pt-BR"/>
              </w:rPr>
            </w:pPr>
          </w:p>
        </w:tc>
        <w:tc>
          <w:tcPr>
            <w:tcW w:w="1411" w:type="dxa"/>
            <w:shd w:val="clear" w:color="auto" w:fill="auto"/>
            <w:vAlign w:val="center"/>
          </w:tcPr>
          <w:p w14:paraId="3669C583" w14:textId="77777777" w:rsidR="00C37757" w:rsidRPr="00F7280E" w:rsidRDefault="00C37757" w:rsidP="00C37757">
            <w:pPr>
              <w:widowControl w:val="0"/>
              <w:spacing w:before="40" w:after="40" w:line="240" w:lineRule="auto"/>
              <w:ind w:left="113"/>
              <w:jc w:val="right"/>
              <w:rPr>
                <w:rFonts w:ascii="Arial" w:eastAsia="Times New Roman" w:hAnsi="Arial" w:cs="Arial"/>
                <w:spacing w:val="-2"/>
                <w:sz w:val="14"/>
                <w:szCs w:val="14"/>
                <w:lang w:eastAsia="pt-BR"/>
              </w:rPr>
            </w:pPr>
            <w:r w:rsidRPr="00F7280E">
              <w:rPr>
                <w:rFonts w:ascii="Arial" w:eastAsia="Times New Roman" w:hAnsi="Arial" w:cs="Arial"/>
                <w:spacing w:val="-2"/>
                <w:sz w:val="14"/>
                <w:szCs w:val="14"/>
                <w:lang w:eastAsia="pt-BR"/>
              </w:rPr>
              <w:t>(632)</w:t>
            </w:r>
          </w:p>
        </w:tc>
        <w:tc>
          <w:tcPr>
            <w:tcW w:w="1412" w:type="dxa"/>
            <w:shd w:val="clear" w:color="auto" w:fill="auto"/>
            <w:vAlign w:val="center"/>
          </w:tcPr>
          <w:p w14:paraId="12CB03E4" w14:textId="77777777" w:rsidR="00C37757" w:rsidRPr="00C37757" w:rsidRDefault="00C37757" w:rsidP="00C37757">
            <w:pPr>
              <w:widowControl w:val="0"/>
              <w:spacing w:before="40" w:after="40" w:line="240" w:lineRule="auto"/>
              <w:jc w:val="right"/>
              <w:rPr>
                <w:rFonts w:ascii="Arial" w:eastAsia="Times New Roman" w:hAnsi="Arial" w:cs="Arial"/>
                <w:spacing w:val="-2"/>
                <w:sz w:val="14"/>
                <w:szCs w:val="18"/>
                <w:lang w:eastAsia="pt-BR"/>
              </w:rPr>
            </w:pPr>
            <w:r w:rsidRPr="00C37757">
              <w:rPr>
                <w:rFonts w:ascii="Arial" w:eastAsia="Times New Roman" w:hAnsi="Arial" w:cs="Arial"/>
                <w:spacing w:val="-2"/>
                <w:sz w:val="14"/>
                <w:szCs w:val="14"/>
                <w:lang w:eastAsia="pt-BR"/>
              </w:rPr>
              <w:t>(952)</w:t>
            </w:r>
          </w:p>
        </w:tc>
        <w:tc>
          <w:tcPr>
            <w:tcW w:w="283" w:type="dxa"/>
            <w:shd w:val="clear" w:color="auto" w:fill="auto"/>
            <w:vAlign w:val="center"/>
          </w:tcPr>
          <w:p w14:paraId="1160F861" w14:textId="77777777" w:rsidR="00C37757" w:rsidRPr="00C37757" w:rsidRDefault="00C37757" w:rsidP="00C37757">
            <w:pPr>
              <w:widowControl w:val="0"/>
              <w:spacing w:before="40" w:after="40" w:line="240" w:lineRule="auto"/>
              <w:ind w:left="113"/>
              <w:jc w:val="right"/>
              <w:rPr>
                <w:rFonts w:ascii="Arial" w:eastAsia="Times New Roman" w:hAnsi="Arial" w:cs="Arial"/>
                <w:spacing w:val="-2"/>
                <w:sz w:val="14"/>
                <w:szCs w:val="14"/>
                <w:lang w:eastAsia="pt-BR"/>
              </w:rPr>
            </w:pPr>
          </w:p>
        </w:tc>
        <w:tc>
          <w:tcPr>
            <w:tcW w:w="1417" w:type="dxa"/>
            <w:shd w:val="clear" w:color="auto" w:fill="auto"/>
            <w:vAlign w:val="center"/>
          </w:tcPr>
          <w:p w14:paraId="50255DB4" w14:textId="77777777" w:rsidR="00C37757" w:rsidRPr="00C37757" w:rsidRDefault="00C37757" w:rsidP="00C37757">
            <w:pPr>
              <w:widowControl w:val="0"/>
              <w:spacing w:before="40" w:after="40" w:line="240" w:lineRule="auto"/>
              <w:ind w:left="113"/>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(4.784)</w:t>
            </w:r>
          </w:p>
        </w:tc>
        <w:tc>
          <w:tcPr>
            <w:tcW w:w="1418" w:type="dxa"/>
            <w:shd w:val="clear" w:color="auto" w:fill="auto"/>
            <w:vAlign w:val="center"/>
          </w:tcPr>
          <w:p w14:paraId="4488B2A2" w14:textId="77777777" w:rsidR="00C37757" w:rsidRPr="00C37757" w:rsidRDefault="00C37757" w:rsidP="00C37757">
            <w:pPr>
              <w:widowControl w:val="0"/>
              <w:spacing w:before="40" w:after="40" w:line="240" w:lineRule="auto"/>
              <w:jc w:val="right"/>
              <w:rPr>
                <w:rFonts w:ascii="Arial" w:eastAsia="Times New Roman" w:hAnsi="Arial" w:cs="Arial"/>
                <w:spacing w:val="-2"/>
                <w:sz w:val="14"/>
                <w:szCs w:val="18"/>
                <w:lang w:eastAsia="pt-BR"/>
              </w:rPr>
            </w:pPr>
            <w:r w:rsidRPr="00C37757">
              <w:rPr>
                <w:rFonts w:ascii="Arial" w:eastAsia="Times New Roman" w:hAnsi="Arial" w:cs="Arial"/>
                <w:spacing w:val="-2"/>
                <w:sz w:val="14"/>
                <w:szCs w:val="14"/>
                <w:lang w:eastAsia="pt-BR"/>
              </w:rPr>
              <w:t>(4.943)</w:t>
            </w:r>
          </w:p>
        </w:tc>
      </w:tr>
      <w:tr w:rsidR="00C37757" w:rsidRPr="00C37757" w14:paraId="2C62C7D6" w14:textId="77777777" w:rsidTr="00C37757">
        <w:trPr>
          <w:trHeight w:val="238"/>
        </w:trPr>
        <w:tc>
          <w:tcPr>
            <w:tcW w:w="3094" w:type="dxa"/>
            <w:shd w:val="clear" w:color="auto" w:fill="auto"/>
            <w:vAlign w:val="center"/>
          </w:tcPr>
          <w:p w14:paraId="03B17383" w14:textId="77777777" w:rsidR="00C37757" w:rsidRPr="00C37757" w:rsidRDefault="00C37757" w:rsidP="00C37757">
            <w:pPr>
              <w:widowControl w:val="0"/>
              <w:spacing w:before="40" w:after="40" w:line="240" w:lineRule="auto"/>
              <w:ind w:left="113"/>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IOF</w:t>
            </w:r>
          </w:p>
        </w:tc>
        <w:tc>
          <w:tcPr>
            <w:tcW w:w="604" w:type="dxa"/>
            <w:shd w:val="clear" w:color="auto" w:fill="auto"/>
            <w:vAlign w:val="center"/>
          </w:tcPr>
          <w:p w14:paraId="49A90D61" w14:textId="77777777" w:rsidR="00C37757" w:rsidRPr="00C37757" w:rsidRDefault="00C37757" w:rsidP="00C37757">
            <w:pPr>
              <w:widowControl w:val="0"/>
              <w:spacing w:before="40" w:after="40" w:line="240" w:lineRule="auto"/>
              <w:jc w:val="center"/>
              <w:rPr>
                <w:rFonts w:ascii="Arial" w:eastAsia="Times New Roman" w:hAnsi="Arial" w:cs="Arial"/>
                <w:spacing w:val="-2"/>
                <w:sz w:val="14"/>
                <w:szCs w:val="14"/>
                <w:lang w:eastAsia="pt-BR"/>
              </w:rPr>
            </w:pPr>
          </w:p>
        </w:tc>
        <w:tc>
          <w:tcPr>
            <w:tcW w:w="1411" w:type="dxa"/>
            <w:shd w:val="clear" w:color="auto" w:fill="auto"/>
            <w:vAlign w:val="center"/>
          </w:tcPr>
          <w:p w14:paraId="75732331" w14:textId="77777777" w:rsidR="00C37757" w:rsidRPr="00F7280E" w:rsidRDefault="00C37757" w:rsidP="00C37757">
            <w:pPr>
              <w:widowControl w:val="0"/>
              <w:spacing w:before="40" w:after="40" w:line="240" w:lineRule="auto"/>
              <w:jc w:val="right"/>
              <w:rPr>
                <w:rFonts w:ascii="Arial" w:eastAsia="Times New Roman" w:hAnsi="Arial" w:cs="Arial"/>
                <w:spacing w:val="-2"/>
                <w:sz w:val="14"/>
                <w:szCs w:val="14"/>
                <w:lang w:eastAsia="pt-BR"/>
              </w:rPr>
            </w:pPr>
            <w:r w:rsidRPr="00F7280E">
              <w:rPr>
                <w:rFonts w:ascii="Arial" w:eastAsia="Times New Roman" w:hAnsi="Arial" w:cs="Arial"/>
                <w:spacing w:val="-2"/>
                <w:sz w:val="14"/>
                <w:szCs w:val="14"/>
                <w:lang w:eastAsia="pt-BR"/>
              </w:rPr>
              <w:t>(22)</w:t>
            </w:r>
          </w:p>
        </w:tc>
        <w:tc>
          <w:tcPr>
            <w:tcW w:w="1412" w:type="dxa"/>
            <w:shd w:val="clear" w:color="auto" w:fill="auto"/>
            <w:vAlign w:val="center"/>
          </w:tcPr>
          <w:p w14:paraId="5D1A10A6" w14:textId="77777777" w:rsidR="00C37757" w:rsidRPr="00C37757" w:rsidRDefault="00C37757" w:rsidP="00C37757">
            <w:pPr>
              <w:widowControl w:val="0"/>
              <w:spacing w:before="40" w:after="40" w:line="240" w:lineRule="auto"/>
              <w:jc w:val="right"/>
              <w:rPr>
                <w:rFonts w:ascii="Arial" w:eastAsia="Times New Roman" w:hAnsi="Arial" w:cs="Arial"/>
                <w:spacing w:val="-2"/>
                <w:sz w:val="14"/>
                <w:szCs w:val="18"/>
                <w:lang w:eastAsia="pt-BR"/>
              </w:rPr>
            </w:pPr>
            <w:r w:rsidRPr="00C37757">
              <w:rPr>
                <w:rFonts w:ascii="Arial" w:eastAsia="Times New Roman" w:hAnsi="Arial" w:cs="Arial"/>
                <w:spacing w:val="-2"/>
                <w:sz w:val="14"/>
                <w:szCs w:val="14"/>
                <w:lang w:eastAsia="pt-BR"/>
              </w:rPr>
              <w:t>(14)</w:t>
            </w:r>
          </w:p>
        </w:tc>
        <w:tc>
          <w:tcPr>
            <w:tcW w:w="283" w:type="dxa"/>
            <w:shd w:val="clear" w:color="auto" w:fill="auto"/>
            <w:vAlign w:val="center"/>
          </w:tcPr>
          <w:p w14:paraId="4BFDA844" w14:textId="77777777" w:rsidR="00C37757" w:rsidRPr="00C37757" w:rsidRDefault="00C37757" w:rsidP="00C37757">
            <w:pPr>
              <w:widowControl w:val="0"/>
              <w:spacing w:before="40" w:after="40" w:line="240" w:lineRule="auto"/>
              <w:jc w:val="right"/>
              <w:rPr>
                <w:rFonts w:ascii="Arial" w:eastAsia="Times New Roman" w:hAnsi="Arial" w:cs="Arial"/>
                <w:spacing w:val="-2"/>
                <w:sz w:val="14"/>
                <w:szCs w:val="14"/>
                <w:lang w:eastAsia="pt-BR"/>
              </w:rPr>
            </w:pPr>
          </w:p>
        </w:tc>
        <w:tc>
          <w:tcPr>
            <w:tcW w:w="1417" w:type="dxa"/>
            <w:shd w:val="clear" w:color="auto" w:fill="auto"/>
            <w:vAlign w:val="center"/>
          </w:tcPr>
          <w:p w14:paraId="5D2D0B1F" w14:textId="77777777" w:rsidR="00C37757" w:rsidRPr="00C37757" w:rsidRDefault="00C37757" w:rsidP="00C37757">
            <w:pPr>
              <w:widowControl w:val="0"/>
              <w:spacing w:before="40" w:after="40" w:line="240" w:lineRule="auto"/>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(22)</w:t>
            </w:r>
          </w:p>
        </w:tc>
        <w:tc>
          <w:tcPr>
            <w:tcW w:w="1418" w:type="dxa"/>
            <w:shd w:val="clear" w:color="auto" w:fill="auto"/>
            <w:vAlign w:val="center"/>
          </w:tcPr>
          <w:p w14:paraId="24109CF9" w14:textId="77777777" w:rsidR="00C37757" w:rsidRPr="00C37757" w:rsidRDefault="00C37757" w:rsidP="00C37757">
            <w:pPr>
              <w:widowControl w:val="0"/>
              <w:spacing w:before="40" w:after="40" w:line="240" w:lineRule="auto"/>
              <w:jc w:val="right"/>
              <w:rPr>
                <w:rFonts w:ascii="Arial" w:eastAsia="Times New Roman" w:hAnsi="Arial" w:cs="Arial"/>
                <w:spacing w:val="-2"/>
                <w:sz w:val="14"/>
                <w:szCs w:val="18"/>
                <w:lang w:eastAsia="pt-BR"/>
              </w:rPr>
            </w:pPr>
            <w:r w:rsidRPr="00C37757">
              <w:rPr>
                <w:rFonts w:ascii="Arial" w:eastAsia="Times New Roman" w:hAnsi="Arial" w:cs="Arial"/>
                <w:spacing w:val="-2"/>
                <w:sz w:val="14"/>
                <w:szCs w:val="14"/>
                <w:lang w:eastAsia="pt-BR"/>
              </w:rPr>
              <w:t>(14)</w:t>
            </w:r>
          </w:p>
        </w:tc>
      </w:tr>
      <w:tr w:rsidR="00C37757" w:rsidRPr="00C37757" w14:paraId="13666B3E" w14:textId="77777777" w:rsidTr="00C37757">
        <w:trPr>
          <w:trHeight w:val="238"/>
        </w:trPr>
        <w:tc>
          <w:tcPr>
            <w:tcW w:w="3094" w:type="dxa"/>
            <w:tcBorders>
              <w:bottom w:val="nil"/>
            </w:tcBorders>
            <w:shd w:val="clear" w:color="auto" w:fill="auto"/>
            <w:vAlign w:val="center"/>
          </w:tcPr>
          <w:p w14:paraId="64992C3D" w14:textId="77777777" w:rsidR="00C37757" w:rsidRPr="00C37757" w:rsidRDefault="00C37757" w:rsidP="00C37757">
            <w:pPr>
              <w:widowControl w:val="0"/>
              <w:spacing w:before="40" w:after="40" w:line="240" w:lineRule="auto"/>
              <w:ind w:left="113"/>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Outras</w:t>
            </w:r>
          </w:p>
        </w:tc>
        <w:tc>
          <w:tcPr>
            <w:tcW w:w="604" w:type="dxa"/>
            <w:tcBorders>
              <w:bottom w:val="nil"/>
            </w:tcBorders>
            <w:shd w:val="clear" w:color="auto" w:fill="auto"/>
            <w:vAlign w:val="center"/>
          </w:tcPr>
          <w:p w14:paraId="634315A5" w14:textId="77777777" w:rsidR="00C37757" w:rsidRPr="00C37757" w:rsidRDefault="00C37757" w:rsidP="00C37757">
            <w:pPr>
              <w:widowControl w:val="0"/>
              <w:spacing w:before="40" w:after="40" w:line="240" w:lineRule="auto"/>
              <w:jc w:val="center"/>
              <w:rPr>
                <w:rFonts w:ascii="Arial" w:eastAsia="Times New Roman" w:hAnsi="Arial" w:cs="Arial"/>
                <w:spacing w:val="-2"/>
                <w:sz w:val="14"/>
                <w:szCs w:val="14"/>
                <w:lang w:eastAsia="pt-BR"/>
              </w:rPr>
            </w:pPr>
          </w:p>
        </w:tc>
        <w:tc>
          <w:tcPr>
            <w:tcW w:w="1411" w:type="dxa"/>
            <w:tcBorders>
              <w:bottom w:val="nil"/>
            </w:tcBorders>
            <w:shd w:val="clear" w:color="auto" w:fill="auto"/>
            <w:vAlign w:val="center"/>
          </w:tcPr>
          <w:p w14:paraId="1FA253F4" w14:textId="77777777" w:rsidR="00C37757" w:rsidRPr="00F7280E" w:rsidRDefault="00C37757" w:rsidP="00C37757">
            <w:pPr>
              <w:widowControl w:val="0"/>
              <w:spacing w:before="40" w:after="40" w:line="240" w:lineRule="auto"/>
              <w:jc w:val="right"/>
              <w:rPr>
                <w:rFonts w:ascii="Arial" w:eastAsia="Times New Roman" w:hAnsi="Arial" w:cs="Arial"/>
                <w:spacing w:val="-2"/>
                <w:sz w:val="14"/>
                <w:szCs w:val="14"/>
                <w:lang w:eastAsia="pt-BR"/>
              </w:rPr>
            </w:pPr>
            <w:r w:rsidRPr="00F7280E">
              <w:rPr>
                <w:rFonts w:ascii="Arial" w:eastAsia="Times New Roman" w:hAnsi="Arial" w:cs="Arial"/>
                <w:spacing w:val="-2"/>
                <w:sz w:val="14"/>
                <w:szCs w:val="14"/>
                <w:lang w:eastAsia="pt-BR"/>
              </w:rPr>
              <w:t>(103)</w:t>
            </w:r>
          </w:p>
        </w:tc>
        <w:tc>
          <w:tcPr>
            <w:tcW w:w="1412" w:type="dxa"/>
            <w:tcBorders>
              <w:bottom w:val="nil"/>
            </w:tcBorders>
            <w:shd w:val="clear" w:color="auto" w:fill="auto"/>
            <w:vAlign w:val="center"/>
          </w:tcPr>
          <w:p w14:paraId="317B7888" w14:textId="77777777" w:rsidR="00C37757" w:rsidRPr="00C37757" w:rsidRDefault="00C37757" w:rsidP="00C37757">
            <w:pPr>
              <w:widowControl w:val="0"/>
              <w:spacing w:before="40" w:after="40" w:line="240" w:lineRule="auto"/>
              <w:jc w:val="right"/>
              <w:rPr>
                <w:rFonts w:ascii="Arial" w:eastAsia="Times New Roman" w:hAnsi="Arial" w:cs="Arial"/>
                <w:spacing w:val="-2"/>
                <w:sz w:val="14"/>
                <w:szCs w:val="18"/>
                <w:lang w:eastAsia="pt-BR"/>
              </w:rPr>
            </w:pPr>
            <w:r w:rsidRPr="00C37757">
              <w:rPr>
                <w:rFonts w:ascii="Arial" w:eastAsia="Times New Roman" w:hAnsi="Arial" w:cs="Arial"/>
                <w:spacing w:val="-2"/>
                <w:sz w:val="14"/>
                <w:szCs w:val="14"/>
                <w:lang w:eastAsia="pt-BR"/>
              </w:rPr>
              <w:t>(109)</w:t>
            </w:r>
          </w:p>
        </w:tc>
        <w:tc>
          <w:tcPr>
            <w:tcW w:w="283" w:type="dxa"/>
            <w:tcBorders>
              <w:bottom w:val="nil"/>
            </w:tcBorders>
            <w:shd w:val="clear" w:color="auto" w:fill="auto"/>
            <w:vAlign w:val="center"/>
          </w:tcPr>
          <w:p w14:paraId="68CBB86B" w14:textId="77777777" w:rsidR="00C37757" w:rsidRPr="00C37757" w:rsidRDefault="00C37757" w:rsidP="00C37757">
            <w:pPr>
              <w:widowControl w:val="0"/>
              <w:spacing w:before="40" w:after="40" w:line="240" w:lineRule="auto"/>
              <w:jc w:val="right"/>
              <w:rPr>
                <w:rFonts w:ascii="Arial" w:eastAsia="Times New Roman" w:hAnsi="Arial" w:cs="Arial"/>
                <w:spacing w:val="-2"/>
                <w:sz w:val="14"/>
                <w:szCs w:val="14"/>
                <w:lang w:eastAsia="pt-BR"/>
              </w:rPr>
            </w:pPr>
          </w:p>
        </w:tc>
        <w:tc>
          <w:tcPr>
            <w:tcW w:w="1417" w:type="dxa"/>
            <w:tcBorders>
              <w:bottom w:val="nil"/>
            </w:tcBorders>
            <w:shd w:val="clear" w:color="auto" w:fill="auto"/>
            <w:vAlign w:val="center"/>
          </w:tcPr>
          <w:p w14:paraId="6A6ED7DB" w14:textId="77777777" w:rsidR="00C37757" w:rsidRPr="00C37757" w:rsidRDefault="00C37757" w:rsidP="00C37757">
            <w:pPr>
              <w:widowControl w:val="0"/>
              <w:spacing w:before="40" w:after="40" w:line="240" w:lineRule="auto"/>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(190)</w:t>
            </w:r>
          </w:p>
        </w:tc>
        <w:tc>
          <w:tcPr>
            <w:tcW w:w="1418" w:type="dxa"/>
            <w:tcBorders>
              <w:bottom w:val="nil"/>
            </w:tcBorders>
            <w:shd w:val="clear" w:color="auto" w:fill="auto"/>
            <w:vAlign w:val="center"/>
          </w:tcPr>
          <w:p w14:paraId="395BD77B" w14:textId="77777777" w:rsidR="00C37757" w:rsidRPr="00C37757" w:rsidRDefault="00C37757" w:rsidP="00C37757">
            <w:pPr>
              <w:widowControl w:val="0"/>
              <w:spacing w:before="40" w:after="40" w:line="240" w:lineRule="auto"/>
              <w:jc w:val="right"/>
              <w:rPr>
                <w:rFonts w:ascii="Arial" w:eastAsia="Times New Roman" w:hAnsi="Arial" w:cs="Arial"/>
                <w:spacing w:val="-2"/>
                <w:sz w:val="14"/>
                <w:szCs w:val="18"/>
                <w:lang w:eastAsia="pt-BR"/>
              </w:rPr>
            </w:pPr>
            <w:r w:rsidRPr="00C37757">
              <w:rPr>
                <w:rFonts w:ascii="Arial" w:eastAsia="Times New Roman" w:hAnsi="Arial" w:cs="Arial"/>
                <w:spacing w:val="-2"/>
                <w:sz w:val="14"/>
                <w:szCs w:val="14"/>
                <w:lang w:eastAsia="pt-BR"/>
              </w:rPr>
              <w:t>(430)</w:t>
            </w:r>
          </w:p>
        </w:tc>
      </w:tr>
      <w:tr w:rsidR="00C37757" w:rsidRPr="00C37757" w14:paraId="265EE0E0" w14:textId="77777777" w:rsidTr="00C37757">
        <w:trPr>
          <w:trHeight w:val="238"/>
        </w:trPr>
        <w:tc>
          <w:tcPr>
            <w:tcW w:w="3094" w:type="dxa"/>
            <w:tcBorders>
              <w:top w:val="nil"/>
              <w:bottom w:val="single" w:sz="2" w:space="0" w:color="1F4E79"/>
            </w:tcBorders>
            <w:shd w:val="clear" w:color="auto" w:fill="auto"/>
            <w:vAlign w:val="center"/>
          </w:tcPr>
          <w:p w14:paraId="5B2CF008" w14:textId="77777777" w:rsidR="00C37757" w:rsidRPr="00C37757" w:rsidRDefault="00C37757" w:rsidP="00C37757">
            <w:pPr>
              <w:widowControl w:val="0"/>
              <w:spacing w:before="40" w:after="40" w:line="240" w:lineRule="auto"/>
              <w:rPr>
                <w:rFonts w:ascii="Arial" w:eastAsia="Times New Roman" w:hAnsi="Arial" w:cs="Arial"/>
                <w:b/>
                <w:spacing w:val="-2"/>
                <w:sz w:val="14"/>
                <w:szCs w:val="14"/>
                <w:lang w:eastAsia="pt-BR"/>
              </w:rPr>
            </w:pPr>
            <w:r w:rsidRPr="00C37757">
              <w:rPr>
                <w:rFonts w:ascii="Arial" w:eastAsia="Times New Roman" w:hAnsi="Arial" w:cs="Arial"/>
                <w:b/>
                <w:spacing w:val="-2"/>
                <w:sz w:val="14"/>
                <w:szCs w:val="18"/>
                <w:lang w:eastAsia="pt-BR"/>
              </w:rPr>
              <w:t>Total</w:t>
            </w:r>
          </w:p>
        </w:tc>
        <w:tc>
          <w:tcPr>
            <w:tcW w:w="604" w:type="dxa"/>
            <w:tcBorders>
              <w:top w:val="nil"/>
              <w:bottom w:val="single" w:sz="2" w:space="0" w:color="1F4E79"/>
            </w:tcBorders>
            <w:shd w:val="clear" w:color="auto" w:fill="auto"/>
            <w:vAlign w:val="center"/>
          </w:tcPr>
          <w:p w14:paraId="660139D2" w14:textId="77777777" w:rsidR="00C37757" w:rsidRPr="00C37757" w:rsidRDefault="00C37757" w:rsidP="00C37757">
            <w:pPr>
              <w:widowControl w:val="0"/>
              <w:spacing w:before="40" w:after="40" w:line="240" w:lineRule="auto"/>
              <w:jc w:val="center"/>
              <w:rPr>
                <w:rFonts w:ascii="Arial" w:eastAsia="Times New Roman" w:hAnsi="Arial" w:cs="Arial"/>
                <w:b/>
                <w:spacing w:val="-2"/>
                <w:sz w:val="14"/>
                <w:szCs w:val="14"/>
                <w:lang w:eastAsia="pt-BR"/>
              </w:rPr>
            </w:pPr>
          </w:p>
        </w:tc>
        <w:tc>
          <w:tcPr>
            <w:tcW w:w="1411" w:type="dxa"/>
            <w:tcBorders>
              <w:top w:val="nil"/>
              <w:bottom w:val="single" w:sz="2" w:space="0" w:color="1F4E79"/>
            </w:tcBorders>
            <w:shd w:val="clear" w:color="auto" w:fill="auto"/>
            <w:vAlign w:val="center"/>
          </w:tcPr>
          <w:p w14:paraId="5814221A"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4"/>
                <w:lang w:eastAsia="pt-BR"/>
              </w:rPr>
            </w:pPr>
            <w:r w:rsidRPr="00C37757">
              <w:rPr>
                <w:rFonts w:ascii="Arial" w:eastAsia="Times New Roman" w:hAnsi="Arial" w:cs="Arial"/>
                <w:b/>
                <w:spacing w:val="-2"/>
                <w:sz w:val="14"/>
                <w:szCs w:val="14"/>
                <w:lang w:eastAsia="pt-BR"/>
              </w:rPr>
              <w:t>(4.562)</w:t>
            </w:r>
          </w:p>
        </w:tc>
        <w:tc>
          <w:tcPr>
            <w:tcW w:w="1412" w:type="dxa"/>
            <w:tcBorders>
              <w:top w:val="nil"/>
              <w:bottom w:val="single" w:sz="2" w:space="0" w:color="1F4E79"/>
            </w:tcBorders>
            <w:shd w:val="clear" w:color="auto" w:fill="auto"/>
            <w:vAlign w:val="center"/>
          </w:tcPr>
          <w:p w14:paraId="176D201B"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8"/>
                <w:lang w:eastAsia="pt-BR"/>
              </w:rPr>
            </w:pPr>
            <w:r w:rsidRPr="00C37757">
              <w:rPr>
                <w:rFonts w:ascii="Arial" w:eastAsia="Times New Roman" w:hAnsi="Arial" w:cs="Arial"/>
                <w:b/>
                <w:spacing w:val="-2"/>
                <w:sz w:val="14"/>
                <w:szCs w:val="14"/>
                <w:lang w:eastAsia="pt-BR"/>
              </w:rPr>
              <w:t>(6.798)</w:t>
            </w:r>
          </w:p>
        </w:tc>
        <w:tc>
          <w:tcPr>
            <w:tcW w:w="283" w:type="dxa"/>
            <w:tcBorders>
              <w:top w:val="nil"/>
              <w:bottom w:val="single" w:sz="2" w:space="0" w:color="1F4E79"/>
            </w:tcBorders>
            <w:shd w:val="clear" w:color="auto" w:fill="auto"/>
            <w:vAlign w:val="center"/>
          </w:tcPr>
          <w:p w14:paraId="50756B6C"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4"/>
                <w:lang w:eastAsia="pt-BR"/>
              </w:rPr>
            </w:pPr>
          </w:p>
        </w:tc>
        <w:tc>
          <w:tcPr>
            <w:tcW w:w="1417" w:type="dxa"/>
            <w:tcBorders>
              <w:top w:val="nil"/>
              <w:bottom w:val="single" w:sz="2" w:space="0" w:color="1F4E79"/>
            </w:tcBorders>
            <w:shd w:val="clear" w:color="auto" w:fill="auto"/>
            <w:vAlign w:val="center"/>
          </w:tcPr>
          <w:p w14:paraId="43A6F03E"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4"/>
                <w:lang w:eastAsia="pt-BR"/>
              </w:rPr>
            </w:pPr>
            <w:r w:rsidRPr="00C37757">
              <w:rPr>
                <w:rFonts w:ascii="Arial" w:eastAsia="Times New Roman" w:hAnsi="Arial" w:cs="Arial"/>
                <w:b/>
                <w:spacing w:val="-2"/>
                <w:sz w:val="14"/>
                <w:szCs w:val="14"/>
                <w:lang w:eastAsia="pt-BR"/>
              </w:rPr>
              <w:t>(34.373)</w:t>
            </w:r>
          </w:p>
        </w:tc>
        <w:tc>
          <w:tcPr>
            <w:tcW w:w="1418" w:type="dxa"/>
            <w:tcBorders>
              <w:top w:val="nil"/>
              <w:bottom w:val="single" w:sz="2" w:space="0" w:color="1F4E79"/>
            </w:tcBorders>
            <w:shd w:val="clear" w:color="auto" w:fill="auto"/>
            <w:vAlign w:val="center"/>
          </w:tcPr>
          <w:p w14:paraId="765B447A"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8"/>
                <w:lang w:eastAsia="pt-BR"/>
              </w:rPr>
            </w:pPr>
            <w:r w:rsidRPr="00C37757">
              <w:rPr>
                <w:rFonts w:ascii="Arial" w:eastAsia="Times New Roman" w:hAnsi="Arial" w:cs="Arial"/>
                <w:b/>
                <w:spacing w:val="-2"/>
                <w:sz w:val="14"/>
                <w:szCs w:val="14"/>
                <w:lang w:eastAsia="pt-BR"/>
              </w:rPr>
              <w:t>(35.684)</w:t>
            </w:r>
          </w:p>
        </w:tc>
      </w:tr>
    </w:tbl>
    <w:p w14:paraId="20E5C23A" w14:textId="77777777" w:rsidR="00C37757" w:rsidRPr="00C37757" w:rsidRDefault="00C37757" w:rsidP="00C37757">
      <w:pPr>
        <w:widowControl w:val="0"/>
        <w:spacing w:after="0" w:line="240" w:lineRule="auto"/>
        <w:jc w:val="right"/>
        <w:rPr>
          <w:rFonts w:ascii="Arial" w:eastAsia="MS Mincho" w:hAnsi="Arial" w:cs="Arial"/>
          <w:b/>
          <w:sz w:val="14"/>
          <w:szCs w:val="22"/>
          <w:lang w:eastAsia="pt-BR"/>
        </w:rPr>
      </w:pPr>
    </w:p>
    <w:p w14:paraId="2958DE2C" w14:textId="77777777" w:rsidR="00C37757" w:rsidRPr="00C37757" w:rsidRDefault="00C37757" w:rsidP="00C37757">
      <w:pPr>
        <w:widowControl w:val="0"/>
        <w:spacing w:after="0" w:line="240" w:lineRule="auto"/>
        <w:jc w:val="right"/>
        <w:rPr>
          <w:rFonts w:ascii="Arial" w:eastAsia="MS Mincho" w:hAnsi="Arial" w:cs="Arial"/>
          <w:b/>
          <w:sz w:val="14"/>
          <w:szCs w:val="22"/>
          <w:lang w:eastAsia="pt-BR"/>
        </w:rPr>
      </w:pPr>
    </w:p>
    <w:p w14:paraId="5150132D" w14:textId="77777777" w:rsidR="00C37757" w:rsidRPr="00C37757" w:rsidRDefault="00C37757" w:rsidP="00C37757">
      <w:pPr>
        <w:widowControl w:val="0"/>
        <w:spacing w:after="40" w:line="276" w:lineRule="auto"/>
        <w:rPr>
          <w:rFonts w:ascii="Arial" w:eastAsia="MS Mincho" w:hAnsi="Arial" w:cs="Arial"/>
          <w:b/>
          <w:color w:val="1F4E79"/>
          <w:sz w:val="18"/>
          <w:szCs w:val="18"/>
        </w:rPr>
      </w:pPr>
      <w:r w:rsidRPr="00C37757">
        <w:rPr>
          <w:rFonts w:ascii="Arial" w:eastAsia="MS Mincho" w:hAnsi="Arial" w:cs="Arial"/>
          <w:b/>
          <w:color w:val="1F4E79"/>
          <w:sz w:val="18"/>
          <w:szCs w:val="18"/>
        </w:rPr>
        <w:t>d) Ativos por Tributos Correntes e Não Correntes</w:t>
      </w:r>
    </w:p>
    <w:p w14:paraId="07FC9359" w14:textId="77777777" w:rsidR="00C37757" w:rsidRPr="00C37757" w:rsidRDefault="00C37757" w:rsidP="00C37757">
      <w:pPr>
        <w:widowControl w:val="0"/>
        <w:spacing w:after="0" w:line="240" w:lineRule="auto"/>
        <w:jc w:val="right"/>
        <w:rPr>
          <w:rFonts w:ascii="Arial" w:eastAsia="MS Mincho" w:hAnsi="Arial" w:cs="Arial"/>
          <w:b/>
          <w:sz w:val="14"/>
          <w:szCs w:val="22"/>
          <w:lang w:eastAsia="pt-BR"/>
        </w:rPr>
      </w:pPr>
      <w:r w:rsidRPr="00C37757">
        <w:rPr>
          <w:rFonts w:ascii="Arial" w:eastAsia="MS Mincho" w:hAnsi="Arial" w:cs="Arial"/>
          <w:b/>
          <w:sz w:val="14"/>
          <w:szCs w:val="22"/>
          <w:lang w:eastAsia="pt-BR"/>
        </w:rPr>
        <w:t>R$ mil</w:t>
      </w:r>
    </w:p>
    <w:tbl>
      <w:tblPr>
        <w:tblW w:w="9639" w:type="dxa"/>
        <w:tblBorders>
          <w:top w:val="single" w:sz="2" w:space="0" w:color="8EAADB"/>
          <w:bottom w:val="single" w:sz="2" w:space="0" w:color="8EAADB"/>
        </w:tblBorders>
        <w:tblLook w:val="04A0" w:firstRow="1" w:lastRow="0" w:firstColumn="1" w:lastColumn="0" w:noHBand="0" w:noVBand="1"/>
      </w:tblPr>
      <w:tblGrid>
        <w:gridCol w:w="3261"/>
        <w:gridCol w:w="437"/>
        <w:gridCol w:w="1411"/>
        <w:gridCol w:w="1412"/>
        <w:gridCol w:w="283"/>
        <w:gridCol w:w="1417"/>
        <w:gridCol w:w="1418"/>
      </w:tblGrid>
      <w:tr w:rsidR="00C37757" w:rsidRPr="00C37757" w14:paraId="4A28FDE3" w14:textId="77777777" w:rsidTr="00C37757">
        <w:trPr>
          <w:trHeight w:val="238"/>
        </w:trPr>
        <w:tc>
          <w:tcPr>
            <w:tcW w:w="3261" w:type="dxa"/>
            <w:tcBorders>
              <w:top w:val="single" w:sz="2" w:space="0" w:color="1F4E79"/>
              <w:bottom w:val="nil"/>
            </w:tcBorders>
            <w:shd w:val="clear" w:color="auto" w:fill="auto"/>
          </w:tcPr>
          <w:p w14:paraId="7FAD6351" w14:textId="77777777" w:rsidR="00C37757" w:rsidRPr="00C37757" w:rsidRDefault="00C37757" w:rsidP="00C37757">
            <w:pPr>
              <w:widowControl w:val="0"/>
              <w:spacing w:after="0" w:line="276" w:lineRule="auto"/>
              <w:jc w:val="center"/>
              <w:rPr>
                <w:rFonts w:ascii="Arial" w:eastAsia="MS Mincho" w:hAnsi="Arial" w:cs="Arial"/>
                <w:b/>
                <w:sz w:val="18"/>
                <w:szCs w:val="18"/>
              </w:rPr>
            </w:pPr>
          </w:p>
        </w:tc>
        <w:tc>
          <w:tcPr>
            <w:tcW w:w="437" w:type="dxa"/>
            <w:tcBorders>
              <w:top w:val="single" w:sz="2" w:space="0" w:color="1F4E79"/>
              <w:bottom w:val="single" w:sz="2" w:space="0" w:color="1F4E79"/>
            </w:tcBorders>
            <w:shd w:val="clear" w:color="auto" w:fill="auto"/>
          </w:tcPr>
          <w:p w14:paraId="39C81E27" w14:textId="77777777" w:rsidR="00C37757" w:rsidRPr="00C37757" w:rsidRDefault="00C37757" w:rsidP="00C37757">
            <w:pPr>
              <w:widowControl w:val="0"/>
              <w:spacing w:after="0" w:line="276" w:lineRule="auto"/>
              <w:jc w:val="center"/>
              <w:rPr>
                <w:rFonts w:ascii="Arial" w:eastAsia="MS Mincho" w:hAnsi="Arial" w:cs="Arial"/>
                <w:b/>
                <w:sz w:val="18"/>
                <w:szCs w:val="18"/>
              </w:rPr>
            </w:pPr>
          </w:p>
        </w:tc>
        <w:tc>
          <w:tcPr>
            <w:tcW w:w="2823" w:type="dxa"/>
            <w:gridSpan w:val="2"/>
            <w:tcBorders>
              <w:top w:val="single" w:sz="2" w:space="0" w:color="1F4E79"/>
              <w:bottom w:val="single" w:sz="2" w:space="0" w:color="1F4E79"/>
            </w:tcBorders>
            <w:shd w:val="clear" w:color="auto" w:fill="auto"/>
            <w:vAlign w:val="center"/>
          </w:tcPr>
          <w:p w14:paraId="4D397E3B" w14:textId="77777777" w:rsidR="00C37757" w:rsidRPr="00C37757" w:rsidRDefault="00C37757" w:rsidP="00C37757">
            <w:pPr>
              <w:widowControl w:val="0"/>
              <w:spacing w:after="0" w:line="276" w:lineRule="auto"/>
              <w:jc w:val="center"/>
              <w:rPr>
                <w:rFonts w:ascii="Arial" w:eastAsia="MS Mincho" w:hAnsi="Arial" w:cs="Arial"/>
                <w:b/>
                <w:sz w:val="14"/>
                <w:szCs w:val="18"/>
              </w:rPr>
            </w:pPr>
            <w:r w:rsidRPr="00C37757">
              <w:rPr>
                <w:rFonts w:ascii="Arial" w:eastAsia="MS Mincho" w:hAnsi="Arial" w:cs="Arial"/>
                <w:b/>
                <w:sz w:val="14"/>
                <w:szCs w:val="18"/>
              </w:rPr>
              <w:t>Controlador</w:t>
            </w:r>
          </w:p>
        </w:tc>
        <w:tc>
          <w:tcPr>
            <w:tcW w:w="283" w:type="dxa"/>
            <w:tcBorders>
              <w:top w:val="single" w:sz="2" w:space="0" w:color="1F4E79"/>
              <w:bottom w:val="nil"/>
            </w:tcBorders>
            <w:shd w:val="clear" w:color="auto" w:fill="auto"/>
            <w:vAlign w:val="center"/>
          </w:tcPr>
          <w:p w14:paraId="31AC82E3" w14:textId="77777777" w:rsidR="00C37757" w:rsidRPr="00C37757" w:rsidRDefault="00C37757" w:rsidP="00C37757">
            <w:pPr>
              <w:widowControl w:val="0"/>
              <w:spacing w:after="0" w:line="276" w:lineRule="auto"/>
              <w:jc w:val="center"/>
              <w:rPr>
                <w:rFonts w:ascii="Arial" w:eastAsia="MS Mincho" w:hAnsi="Arial" w:cs="Arial"/>
                <w:b/>
                <w:sz w:val="18"/>
                <w:szCs w:val="18"/>
              </w:rPr>
            </w:pPr>
          </w:p>
        </w:tc>
        <w:tc>
          <w:tcPr>
            <w:tcW w:w="2835" w:type="dxa"/>
            <w:gridSpan w:val="2"/>
            <w:tcBorders>
              <w:top w:val="single" w:sz="2" w:space="0" w:color="1F4E79"/>
              <w:bottom w:val="single" w:sz="2" w:space="0" w:color="1F4E79"/>
            </w:tcBorders>
            <w:shd w:val="clear" w:color="auto" w:fill="auto"/>
            <w:vAlign w:val="center"/>
          </w:tcPr>
          <w:p w14:paraId="4226160E" w14:textId="77777777" w:rsidR="00C37757" w:rsidRPr="00C37757" w:rsidRDefault="00C37757" w:rsidP="00C37757">
            <w:pPr>
              <w:widowControl w:val="0"/>
              <w:spacing w:after="0" w:line="276" w:lineRule="auto"/>
              <w:jc w:val="center"/>
              <w:rPr>
                <w:rFonts w:ascii="Arial" w:eastAsia="MS Mincho" w:hAnsi="Arial" w:cs="Arial"/>
                <w:b/>
                <w:sz w:val="18"/>
                <w:szCs w:val="18"/>
              </w:rPr>
            </w:pPr>
            <w:r w:rsidRPr="00C37757">
              <w:rPr>
                <w:rFonts w:ascii="Arial" w:eastAsia="MS Mincho" w:hAnsi="Arial" w:cs="Arial"/>
                <w:b/>
                <w:sz w:val="14"/>
                <w:szCs w:val="18"/>
              </w:rPr>
              <w:t>Consolidado</w:t>
            </w:r>
          </w:p>
        </w:tc>
      </w:tr>
      <w:tr w:rsidR="00C37757" w:rsidRPr="00C37757" w14:paraId="7787D642" w14:textId="77777777" w:rsidTr="00C37757">
        <w:trPr>
          <w:trHeight w:val="238"/>
        </w:trPr>
        <w:tc>
          <w:tcPr>
            <w:tcW w:w="3261" w:type="dxa"/>
            <w:tcBorders>
              <w:top w:val="nil"/>
              <w:bottom w:val="single" w:sz="2" w:space="0" w:color="1F4E79"/>
            </w:tcBorders>
            <w:shd w:val="clear" w:color="auto" w:fill="auto"/>
          </w:tcPr>
          <w:p w14:paraId="21A0CF66"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8"/>
                <w:lang w:eastAsia="pt-BR"/>
              </w:rPr>
            </w:pPr>
          </w:p>
        </w:tc>
        <w:tc>
          <w:tcPr>
            <w:tcW w:w="437" w:type="dxa"/>
            <w:tcBorders>
              <w:top w:val="single" w:sz="2" w:space="0" w:color="1F4E79"/>
              <w:bottom w:val="single" w:sz="2" w:space="0" w:color="1F4E79"/>
            </w:tcBorders>
            <w:shd w:val="clear" w:color="auto" w:fill="auto"/>
          </w:tcPr>
          <w:p w14:paraId="31413F0B"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8"/>
                <w:lang w:eastAsia="pt-BR"/>
              </w:rPr>
            </w:pPr>
          </w:p>
        </w:tc>
        <w:tc>
          <w:tcPr>
            <w:tcW w:w="1411" w:type="dxa"/>
            <w:tcBorders>
              <w:top w:val="single" w:sz="2" w:space="0" w:color="1F4E79"/>
              <w:bottom w:val="single" w:sz="2" w:space="0" w:color="1F4E79"/>
            </w:tcBorders>
            <w:shd w:val="clear" w:color="auto" w:fill="auto"/>
            <w:vAlign w:val="center"/>
          </w:tcPr>
          <w:p w14:paraId="2F1C4B4F"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8"/>
                <w:lang w:eastAsia="pt-BR"/>
              </w:rPr>
            </w:pPr>
            <w:r w:rsidRPr="00C37757">
              <w:rPr>
                <w:rFonts w:ascii="Arial" w:eastAsia="Times New Roman" w:hAnsi="Arial" w:cs="Arial"/>
                <w:b/>
                <w:spacing w:val="-2"/>
                <w:sz w:val="14"/>
                <w:szCs w:val="18"/>
                <w:lang w:eastAsia="pt-BR"/>
              </w:rPr>
              <w:t>31.12.2024</w:t>
            </w:r>
          </w:p>
        </w:tc>
        <w:tc>
          <w:tcPr>
            <w:tcW w:w="1412" w:type="dxa"/>
            <w:tcBorders>
              <w:top w:val="single" w:sz="2" w:space="0" w:color="1F4E79"/>
              <w:bottom w:val="single" w:sz="2" w:space="0" w:color="1F4E79"/>
            </w:tcBorders>
            <w:shd w:val="clear" w:color="auto" w:fill="auto"/>
            <w:vAlign w:val="center"/>
          </w:tcPr>
          <w:p w14:paraId="6B81E605"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8"/>
                <w:lang w:eastAsia="pt-BR"/>
              </w:rPr>
            </w:pPr>
            <w:r w:rsidRPr="00C37757">
              <w:rPr>
                <w:rFonts w:ascii="Arial" w:eastAsia="Times New Roman" w:hAnsi="Arial" w:cs="Arial"/>
                <w:b/>
                <w:spacing w:val="-2"/>
                <w:sz w:val="14"/>
                <w:szCs w:val="18"/>
                <w:lang w:eastAsia="pt-BR"/>
              </w:rPr>
              <w:t>31.12.2023</w:t>
            </w:r>
          </w:p>
        </w:tc>
        <w:tc>
          <w:tcPr>
            <w:tcW w:w="283" w:type="dxa"/>
            <w:tcBorders>
              <w:top w:val="nil"/>
              <w:bottom w:val="single" w:sz="2" w:space="0" w:color="1F4E79"/>
            </w:tcBorders>
            <w:shd w:val="clear" w:color="auto" w:fill="auto"/>
            <w:vAlign w:val="center"/>
          </w:tcPr>
          <w:p w14:paraId="7162433A"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8"/>
                <w:lang w:eastAsia="pt-BR"/>
              </w:rPr>
            </w:pPr>
          </w:p>
        </w:tc>
        <w:tc>
          <w:tcPr>
            <w:tcW w:w="1417" w:type="dxa"/>
            <w:tcBorders>
              <w:top w:val="single" w:sz="2" w:space="0" w:color="1F4E79"/>
              <w:bottom w:val="single" w:sz="2" w:space="0" w:color="1F4E79"/>
            </w:tcBorders>
            <w:shd w:val="clear" w:color="auto" w:fill="auto"/>
            <w:vAlign w:val="center"/>
          </w:tcPr>
          <w:p w14:paraId="61B9FA2F"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8"/>
                <w:vertAlign w:val="superscript"/>
                <w:lang w:eastAsia="pt-BR"/>
              </w:rPr>
            </w:pPr>
            <w:r w:rsidRPr="00C37757">
              <w:rPr>
                <w:rFonts w:ascii="Arial" w:eastAsia="Times New Roman" w:hAnsi="Arial" w:cs="Arial"/>
                <w:b/>
                <w:spacing w:val="-2"/>
                <w:sz w:val="14"/>
                <w:szCs w:val="18"/>
                <w:lang w:eastAsia="pt-BR"/>
              </w:rPr>
              <w:t>31.12.2024</w:t>
            </w:r>
          </w:p>
        </w:tc>
        <w:tc>
          <w:tcPr>
            <w:tcW w:w="1418" w:type="dxa"/>
            <w:tcBorders>
              <w:top w:val="single" w:sz="2" w:space="0" w:color="1F4E79"/>
              <w:bottom w:val="single" w:sz="2" w:space="0" w:color="1F4E79"/>
            </w:tcBorders>
            <w:shd w:val="clear" w:color="auto" w:fill="auto"/>
            <w:vAlign w:val="center"/>
          </w:tcPr>
          <w:p w14:paraId="36BFCF7E"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8"/>
                <w:vertAlign w:val="superscript"/>
                <w:lang w:eastAsia="pt-BR"/>
              </w:rPr>
            </w:pPr>
            <w:r w:rsidRPr="00C37757">
              <w:rPr>
                <w:rFonts w:ascii="Arial" w:eastAsia="Times New Roman" w:hAnsi="Arial" w:cs="Arial"/>
                <w:b/>
                <w:spacing w:val="-2"/>
                <w:sz w:val="14"/>
                <w:szCs w:val="18"/>
                <w:lang w:eastAsia="pt-BR"/>
              </w:rPr>
              <w:t>31.12.2023</w:t>
            </w:r>
          </w:p>
        </w:tc>
      </w:tr>
      <w:tr w:rsidR="00C37757" w:rsidRPr="00C37757" w14:paraId="509930E5" w14:textId="77777777" w:rsidTr="00C37757">
        <w:trPr>
          <w:trHeight w:val="238"/>
        </w:trPr>
        <w:tc>
          <w:tcPr>
            <w:tcW w:w="3261" w:type="dxa"/>
            <w:tcBorders>
              <w:top w:val="single" w:sz="2" w:space="0" w:color="1F4E79"/>
              <w:bottom w:val="nil"/>
            </w:tcBorders>
            <w:shd w:val="clear" w:color="auto" w:fill="auto"/>
          </w:tcPr>
          <w:p w14:paraId="313398BD" w14:textId="77777777" w:rsidR="00C37757" w:rsidRPr="00C37757" w:rsidRDefault="00C37757" w:rsidP="00C37757">
            <w:pPr>
              <w:widowControl w:val="0"/>
              <w:spacing w:before="40" w:after="40" w:line="240" w:lineRule="auto"/>
              <w:ind w:left="113"/>
              <w:rPr>
                <w:rFonts w:ascii="Arial" w:eastAsia="Times New Roman" w:hAnsi="Arial" w:cs="Arial"/>
                <w:b/>
                <w:spacing w:val="-2"/>
                <w:sz w:val="14"/>
                <w:szCs w:val="14"/>
                <w:lang w:eastAsia="pt-BR"/>
              </w:rPr>
            </w:pPr>
            <w:r w:rsidRPr="00C37757">
              <w:rPr>
                <w:rFonts w:ascii="Arial" w:eastAsia="Times New Roman" w:hAnsi="Arial" w:cs="Arial"/>
                <w:b/>
                <w:spacing w:val="-2"/>
                <w:sz w:val="14"/>
                <w:szCs w:val="14"/>
                <w:lang w:eastAsia="pt-BR"/>
              </w:rPr>
              <w:t>Ativo Circulante</w:t>
            </w:r>
          </w:p>
        </w:tc>
        <w:tc>
          <w:tcPr>
            <w:tcW w:w="437" w:type="dxa"/>
            <w:tcBorders>
              <w:top w:val="single" w:sz="2" w:space="0" w:color="1F4E79"/>
              <w:bottom w:val="nil"/>
            </w:tcBorders>
            <w:shd w:val="clear" w:color="auto" w:fill="auto"/>
          </w:tcPr>
          <w:p w14:paraId="237760C1"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8"/>
                <w:lang w:eastAsia="pt-BR"/>
              </w:rPr>
            </w:pPr>
          </w:p>
        </w:tc>
        <w:tc>
          <w:tcPr>
            <w:tcW w:w="1411" w:type="dxa"/>
            <w:tcBorders>
              <w:top w:val="single" w:sz="2" w:space="0" w:color="1F4E79"/>
              <w:bottom w:val="nil"/>
            </w:tcBorders>
            <w:shd w:val="clear" w:color="auto" w:fill="auto"/>
            <w:vAlign w:val="center"/>
          </w:tcPr>
          <w:p w14:paraId="35C79AA4"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8"/>
                <w:lang w:eastAsia="pt-BR"/>
              </w:rPr>
            </w:pPr>
            <w:r w:rsidRPr="00C37757">
              <w:rPr>
                <w:rFonts w:ascii="Arial" w:eastAsia="Times New Roman" w:hAnsi="Arial" w:cs="Arial"/>
                <w:b/>
                <w:spacing w:val="-2"/>
                <w:sz w:val="14"/>
                <w:szCs w:val="18"/>
                <w:lang w:eastAsia="pt-BR"/>
              </w:rPr>
              <w:t>8.909</w:t>
            </w:r>
          </w:p>
        </w:tc>
        <w:tc>
          <w:tcPr>
            <w:tcW w:w="1412" w:type="dxa"/>
            <w:tcBorders>
              <w:top w:val="single" w:sz="2" w:space="0" w:color="1F4E79"/>
              <w:bottom w:val="nil"/>
            </w:tcBorders>
            <w:shd w:val="clear" w:color="auto" w:fill="auto"/>
            <w:vAlign w:val="center"/>
          </w:tcPr>
          <w:p w14:paraId="458446D7"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8"/>
                <w:lang w:eastAsia="pt-BR"/>
              </w:rPr>
            </w:pPr>
            <w:r w:rsidRPr="00C37757">
              <w:rPr>
                <w:rFonts w:ascii="Arial" w:eastAsia="Times New Roman" w:hAnsi="Arial" w:cs="Arial"/>
                <w:b/>
                <w:spacing w:val="-2"/>
                <w:sz w:val="14"/>
                <w:szCs w:val="18"/>
                <w:lang w:eastAsia="pt-BR"/>
              </w:rPr>
              <w:t>18.827</w:t>
            </w:r>
          </w:p>
        </w:tc>
        <w:tc>
          <w:tcPr>
            <w:tcW w:w="283" w:type="dxa"/>
            <w:tcBorders>
              <w:top w:val="single" w:sz="2" w:space="0" w:color="1F4E79"/>
              <w:bottom w:val="nil"/>
            </w:tcBorders>
            <w:shd w:val="clear" w:color="auto" w:fill="auto"/>
            <w:vAlign w:val="center"/>
          </w:tcPr>
          <w:p w14:paraId="7E9E87F5"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8"/>
                <w:lang w:eastAsia="pt-BR"/>
              </w:rPr>
            </w:pPr>
          </w:p>
        </w:tc>
        <w:tc>
          <w:tcPr>
            <w:tcW w:w="1417" w:type="dxa"/>
            <w:tcBorders>
              <w:top w:val="single" w:sz="2" w:space="0" w:color="1F4E79"/>
              <w:bottom w:val="nil"/>
            </w:tcBorders>
            <w:shd w:val="clear" w:color="auto" w:fill="auto"/>
            <w:vAlign w:val="center"/>
          </w:tcPr>
          <w:p w14:paraId="22D2CAC0"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8"/>
                <w:lang w:eastAsia="pt-BR"/>
              </w:rPr>
            </w:pPr>
            <w:r w:rsidRPr="00C37757">
              <w:rPr>
                <w:rFonts w:ascii="Arial" w:eastAsia="Times New Roman" w:hAnsi="Arial" w:cs="Arial"/>
                <w:b/>
                <w:spacing w:val="-2"/>
                <w:sz w:val="14"/>
                <w:szCs w:val="18"/>
                <w:lang w:eastAsia="pt-BR"/>
              </w:rPr>
              <w:t>8.909</w:t>
            </w:r>
          </w:p>
        </w:tc>
        <w:tc>
          <w:tcPr>
            <w:tcW w:w="1418" w:type="dxa"/>
            <w:tcBorders>
              <w:top w:val="single" w:sz="2" w:space="0" w:color="1F4E79"/>
              <w:bottom w:val="nil"/>
            </w:tcBorders>
            <w:shd w:val="clear" w:color="auto" w:fill="auto"/>
            <w:vAlign w:val="center"/>
          </w:tcPr>
          <w:p w14:paraId="0BB8EE43"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8"/>
                <w:lang w:eastAsia="pt-BR"/>
              </w:rPr>
            </w:pPr>
            <w:r w:rsidRPr="00C37757">
              <w:rPr>
                <w:rFonts w:ascii="Arial" w:eastAsia="Times New Roman" w:hAnsi="Arial" w:cs="Arial"/>
                <w:b/>
                <w:spacing w:val="-2"/>
                <w:sz w:val="14"/>
                <w:szCs w:val="18"/>
                <w:lang w:eastAsia="pt-BR"/>
              </w:rPr>
              <w:t>42.584</w:t>
            </w:r>
          </w:p>
        </w:tc>
      </w:tr>
      <w:tr w:rsidR="00C37757" w:rsidRPr="00C37757" w14:paraId="7E9EB0BF" w14:textId="77777777" w:rsidTr="00C37757">
        <w:trPr>
          <w:trHeight w:val="238"/>
        </w:trPr>
        <w:tc>
          <w:tcPr>
            <w:tcW w:w="3261" w:type="dxa"/>
            <w:tcBorders>
              <w:top w:val="nil"/>
              <w:bottom w:val="nil"/>
            </w:tcBorders>
            <w:shd w:val="clear" w:color="auto" w:fill="auto"/>
          </w:tcPr>
          <w:p w14:paraId="1FF58FA5" w14:textId="77777777" w:rsidR="00C37757" w:rsidRPr="00C37757" w:rsidRDefault="00C37757" w:rsidP="00C37757">
            <w:pPr>
              <w:widowControl w:val="0"/>
              <w:spacing w:before="40" w:after="40" w:line="240" w:lineRule="auto"/>
              <w:ind w:left="113"/>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Impostos a deduzir</w:t>
            </w:r>
          </w:p>
        </w:tc>
        <w:tc>
          <w:tcPr>
            <w:tcW w:w="437" w:type="dxa"/>
            <w:tcBorders>
              <w:top w:val="nil"/>
              <w:bottom w:val="nil"/>
            </w:tcBorders>
            <w:shd w:val="clear" w:color="auto" w:fill="auto"/>
          </w:tcPr>
          <w:p w14:paraId="2A94673D" w14:textId="77777777" w:rsidR="00C37757" w:rsidRPr="00C37757" w:rsidRDefault="00C37757" w:rsidP="00C37757">
            <w:pPr>
              <w:widowControl w:val="0"/>
              <w:spacing w:before="40" w:after="40" w:line="240" w:lineRule="auto"/>
              <w:jc w:val="center"/>
              <w:rPr>
                <w:rFonts w:ascii="Arial" w:eastAsia="Times New Roman" w:hAnsi="Arial" w:cs="Arial"/>
                <w:spacing w:val="-2"/>
                <w:sz w:val="14"/>
                <w:szCs w:val="14"/>
                <w:lang w:eastAsia="pt-BR"/>
              </w:rPr>
            </w:pPr>
          </w:p>
        </w:tc>
        <w:tc>
          <w:tcPr>
            <w:tcW w:w="1411" w:type="dxa"/>
            <w:tcBorders>
              <w:top w:val="nil"/>
              <w:bottom w:val="nil"/>
            </w:tcBorders>
            <w:shd w:val="clear" w:color="auto" w:fill="auto"/>
            <w:vAlign w:val="center"/>
          </w:tcPr>
          <w:p w14:paraId="1A494EC7" w14:textId="77777777" w:rsidR="00C37757" w:rsidRPr="00C37757" w:rsidRDefault="00C37757" w:rsidP="00C37757">
            <w:pPr>
              <w:widowControl w:val="0"/>
              <w:spacing w:before="40" w:after="40" w:line="240" w:lineRule="auto"/>
              <w:jc w:val="right"/>
              <w:rPr>
                <w:rFonts w:ascii="Arial" w:eastAsia="Times New Roman" w:hAnsi="Arial" w:cs="Arial"/>
                <w:spacing w:val="-2"/>
                <w:sz w:val="14"/>
                <w:szCs w:val="14"/>
                <w:lang w:eastAsia="pt-BR"/>
              </w:rPr>
            </w:pPr>
            <w:r w:rsidRPr="00F7280E">
              <w:rPr>
                <w:rFonts w:ascii="Arial" w:eastAsia="Times New Roman" w:hAnsi="Arial" w:cs="Arial"/>
                <w:spacing w:val="-2"/>
                <w:sz w:val="14"/>
                <w:szCs w:val="14"/>
                <w:lang w:eastAsia="pt-BR"/>
              </w:rPr>
              <w:t>9.829</w:t>
            </w:r>
          </w:p>
        </w:tc>
        <w:tc>
          <w:tcPr>
            <w:tcW w:w="1412" w:type="dxa"/>
            <w:tcBorders>
              <w:top w:val="nil"/>
              <w:bottom w:val="nil"/>
            </w:tcBorders>
            <w:shd w:val="clear" w:color="auto" w:fill="auto"/>
            <w:vAlign w:val="center"/>
          </w:tcPr>
          <w:p w14:paraId="095FE3F1" w14:textId="77777777" w:rsidR="00C37757" w:rsidRPr="00C37757" w:rsidRDefault="00C37757" w:rsidP="00C37757">
            <w:pPr>
              <w:widowControl w:val="0"/>
              <w:spacing w:before="40" w:after="40" w:line="240" w:lineRule="auto"/>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20.790</w:t>
            </w:r>
          </w:p>
        </w:tc>
        <w:tc>
          <w:tcPr>
            <w:tcW w:w="283" w:type="dxa"/>
            <w:tcBorders>
              <w:top w:val="nil"/>
              <w:bottom w:val="nil"/>
            </w:tcBorders>
            <w:shd w:val="clear" w:color="auto" w:fill="auto"/>
            <w:vAlign w:val="center"/>
          </w:tcPr>
          <w:p w14:paraId="3EB83824" w14:textId="77777777" w:rsidR="00C37757" w:rsidRPr="00C37757" w:rsidRDefault="00C37757" w:rsidP="00C37757">
            <w:pPr>
              <w:widowControl w:val="0"/>
              <w:spacing w:before="40" w:after="40" w:line="240" w:lineRule="auto"/>
              <w:jc w:val="right"/>
              <w:rPr>
                <w:rFonts w:ascii="Arial" w:eastAsia="Times New Roman" w:hAnsi="Arial" w:cs="Arial"/>
                <w:spacing w:val="-2"/>
                <w:sz w:val="14"/>
                <w:szCs w:val="14"/>
                <w:lang w:eastAsia="pt-BR"/>
              </w:rPr>
            </w:pPr>
          </w:p>
        </w:tc>
        <w:tc>
          <w:tcPr>
            <w:tcW w:w="1417" w:type="dxa"/>
            <w:tcBorders>
              <w:top w:val="nil"/>
              <w:bottom w:val="nil"/>
            </w:tcBorders>
            <w:shd w:val="clear" w:color="auto" w:fill="auto"/>
            <w:vAlign w:val="center"/>
          </w:tcPr>
          <w:p w14:paraId="3C4EA1A2" w14:textId="77777777" w:rsidR="00C37757" w:rsidRPr="00C37757" w:rsidRDefault="00C37757" w:rsidP="00C37757">
            <w:pPr>
              <w:widowControl w:val="0"/>
              <w:spacing w:before="40" w:after="40" w:line="240" w:lineRule="auto"/>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54.545</w:t>
            </w:r>
          </w:p>
        </w:tc>
        <w:tc>
          <w:tcPr>
            <w:tcW w:w="1418" w:type="dxa"/>
            <w:tcBorders>
              <w:top w:val="nil"/>
              <w:bottom w:val="nil"/>
            </w:tcBorders>
            <w:shd w:val="clear" w:color="auto" w:fill="auto"/>
            <w:vAlign w:val="center"/>
          </w:tcPr>
          <w:p w14:paraId="2F9B948D" w14:textId="77777777" w:rsidR="00C37757" w:rsidRPr="00C37757" w:rsidRDefault="00C37757" w:rsidP="00C37757">
            <w:pPr>
              <w:widowControl w:val="0"/>
              <w:spacing w:before="40" w:after="40" w:line="240" w:lineRule="auto"/>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129.812</w:t>
            </w:r>
          </w:p>
        </w:tc>
      </w:tr>
      <w:tr w:rsidR="00C37757" w:rsidRPr="00C37757" w14:paraId="2B6BBA42" w14:textId="77777777" w:rsidTr="00C37757">
        <w:trPr>
          <w:trHeight w:val="238"/>
        </w:trPr>
        <w:tc>
          <w:tcPr>
            <w:tcW w:w="3261" w:type="dxa"/>
            <w:tcBorders>
              <w:top w:val="nil"/>
              <w:bottom w:val="nil"/>
            </w:tcBorders>
            <w:shd w:val="clear" w:color="auto" w:fill="auto"/>
          </w:tcPr>
          <w:p w14:paraId="28EF9330" w14:textId="77777777" w:rsidR="00C37757" w:rsidRPr="00C37757" w:rsidRDefault="00C37757" w:rsidP="00C37757">
            <w:pPr>
              <w:widowControl w:val="0"/>
              <w:spacing w:before="40" w:after="40" w:line="240" w:lineRule="auto"/>
              <w:ind w:left="283" w:hanging="170"/>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 Impostos correntes deduzidos/compensados</w:t>
            </w:r>
          </w:p>
        </w:tc>
        <w:tc>
          <w:tcPr>
            <w:tcW w:w="437" w:type="dxa"/>
            <w:tcBorders>
              <w:top w:val="nil"/>
              <w:bottom w:val="nil"/>
            </w:tcBorders>
            <w:shd w:val="clear" w:color="auto" w:fill="auto"/>
          </w:tcPr>
          <w:p w14:paraId="09EE5F66" w14:textId="77777777" w:rsidR="00C37757" w:rsidRPr="00C37757" w:rsidRDefault="00C37757" w:rsidP="00C37757">
            <w:pPr>
              <w:widowControl w:val="0"/>
              <w:spacing w:before="40" w:after="40" w:line="240" w:lineRule="auto"/>
              <w:jc w:val="center"/>
              <w:rPr>
                <w:rFonts w:ascii="Arial" w:eastAsia="Times New Roman" w:hAnsi="Arial" w:cs="Arial"/>
                <w:spacing w:val="-2"/>
                <w:sz w:val="14"/>
                <w:szCs w:val="14"/>
                <w:lang w:eastAsia="pt-BR"/>
              </w:rPr>
            </w:pPr>
          </w:p>
        </w:tc>
        <w:tc>
          <w:tcPr>
            <w:tcW w:w="1411" w:type="dxa"/>
            <w:tcBorders>
              <w:top w:val="nil"/>
              <w:bottom w:val="nil"/>
            </w:tcBorders>
            <w:shd w:val="clear" w:color="auto" w:fill="auto"/>
            <w:vAlign w:val="center"/>
          </w:tcPr>
          <w:p w14:paraId="18CE800F" w14:textId="77777777" w:rsidR="00C37757" w:rsidRPr="00C37757" w:rsidRDefault="00C37757" w:rsidP="00C37757">
            <w:pPr>
              <w:widowControl w:val="0"/>
              <w:spacing w:before="40" w:after="40" w:line="240" w:lineRule="auto"/>
              <w:jc w:val="right"/>
              <w:rPr>
                <w:rFonts w:ascii="Arial" w:eastAsia="Times New Roman" w:hAnsi="Arial" w:cs="Arial"/>
                <w:spacing w:val="-2"/>
                <w:sz w:val="14"/>
                <w:szCs w:val="14"/>
                <w:lang w:eastAsia="pt-BR"/>
              </w:rPr>
            </w:pPr>
            <w:r w:rsidRPr="00F7280E">
              <w:rPr>
                <w:rFonts w:ascii="Arial" w:eastAsia="Times New Roman" w:hAnsi="Arial" w:cs="Arial"/>
                <w:spacing w:val="-2"/>
                <w:sz w:val="14"/>
                <w:szCs w:val="14"/>
                <w:lang w:eastAsia="pt-BR"/>
              </w:rPr>
              <w:t>(920</w:t>
            </w:r>
            <w:r w:rsidRPr="00C37757">
              <w:rPr>
                <w:rFonts w:ascii="Arial" w:eastAsia="Times New Roman" w:hAnsi="Arial" w:cs="Arial"/>
                <w:spacing w:val="-2"/>
                <w:sz w:val="14"/>
                <w:szCs w:val="14"/>
                <w:lang w:eastAsia="pt-BR"/>
              </w:rPr>
              <w:t>)</w:t>
            </w:r>
          </w:p>
        </w:tc>
        <w:tc>
          <w:tcPr>
            <w:tcW w:w="1412" w:type="dxa"/>
            <w:tcBorders>
              <w:top w:val="nil"/>
              <w:bottom w:val="nil"/>
            </w:tcBorders>
            <w:shd w:val="clear" w:color="auto" w:fill="auto"/>
            <w:vAlign w:val="center"/>
          </w:tcPr>
          <w:p w14:paraId="4513752C" w14:textId="77777777" w:rsidR="00C37757" w:rsidRPr="00C37757" w:rsidRDefault="00C37757" w:rsidP="00C37757">
            <w:pPr>
              <w:widowControl w:val="0"/>
              <w:spacing w:before="40" w:after="40" w:line="240" w:lineRule="auto"/>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(1.963)</w:t>
            </w:r>
          </w:p>
        </w:tc>
        <w:tc>
          <w:tcPr>
            <w:tcW w:w="283" w:type="dxa"/>
            <w:tcBorders>
              <w:top w:val="nil"/>
              <w:bottom w:val="nil"/>
            </w:tcBorders>
            <w:shd w:val="clear" w:color="auto" w:fill="auto"/>
            <w:vAlign w:val="center"/>
          </w:tcPr>
          <w:p w14:paraId="1682FBE4" w14:textId="77777777" w:rsidR="00C37757" w:rsidRPr="00C37757" w:rsidRDefault="00C37757" w:rsidP="00C37757">
            <w:pPr>
              <w:widowControl w:val="0"/>
              <w:spacing w:before="40" w:after="40" w:line="240" w:lineRule="auto"/>
              <w:jc w:val="right"/>
              <w:rPr>
                <w:rFonts w:ascii="Arial" w:eastAsia="Times New Roman" w:hAnsi="Arial" w:cs="Arial"/>
                <w:spacing w:val="-2"/>
                <w:sz w:val="14"/>
                <w:szCs w:val="14"/>
                <w:lang w:eastAsia="pt-BR"/>
              </w:rPr>
            </w:pPr>
          </w:p>
        </w:tc>
        <w:tc>
          <w:tcPr>
            <w:tcW w:w="1417" w:type="dxa"/>
            <w:tcBorders>
              <w:top w:val="nil"/>
              <w:bottom w:val="nil"/>
            </w:tcBorders>
            <w:shd w:val="clear" w:color="auto" w:fill="auto"/>
            <w:vAlign w:val="center"/>
          </w:tcPr>
          <w:p w14:paraId="3A062AAD" w14:textId="77777777" w:rsidR="00C37757" w:rsidRPr="00C37757" w:rsidRDefault="00C37757" w:rsidP="00C37757">
            <w:pPr>
              <w:widowControl w:val="0"/>
              <w:spacing w:before="40" w:after="40" w:line="240" w:lineRule="auto"/>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(45.636)</w:t>
            </w:r>
          </w:p>
        </w:tc>
        <w:tc>
          <w:tcPr>
            <w:tcW w:w="1418" w:type="dxa"/>
            <w:tcBorders>
              <w:top w:val="nil"/>
              <w:bottom w:val="nil"/>
            </w:tcBorders>
            <w:shd w:val="clear" w:color="auto" w:fill="auto"/>
            <w:vAlign w:val="center"/>
          </w:tcPr>
          <w:p w14:paraId="19A00851" w14:textId="77777777" w:rsidR="00C37757" w:rsidRPr="00C37757" w:rsidRDefault="00C37757" w:rsidP="00C37757">
            <w:pPr>
              <w:widowControl w:val="0"/>
              <w:spacing w:before="40" w:after="40" w:line="240" w:lineRule="auto"/>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(87.228)</w:t>
            </w:r>
          </w:p>
        </w:tc>
      </w:tr>
      <w:tr w:rsidR="00C37757" w:rsidRPr="00C37757" w14:paraId="16B0143D" w14:textId="77777777" w:rsidTr="00C37757">
        <w:trPr>
          <w:trHeight w:val="238"/>
        </w:trPr>
        <w:tc>
          <w:tcPr>
            <w:tcW w:w="3261" w:type="dxa"/>
            <w:tcBorders>
              <w:top w:val="nil"/>
              <w:bottom w:val="nil"/>
            </w:tcBorders>
            <w:shd w:val="clear" w:color="auto" w:fill="auto"/>
          </w:tcPr>
          <w:p w14:paraId="5ED53D9B" w14:textId="77777777" w:rsidR="00C37757" w:rsidRPr="00C37757" w:rsidRDefault="00C37757" w:rsidP="00C37757">
            <w:pPr>
              <w:widowControl w:val="0"/>
              <w:spacing w:before="40" w:after="40" w:line="240" w:lineRule="auto"/>
              <w:ind w:left="283" w:hanging="170"/>
              <w:rPr>
                <w:rFonts w:ascii="Arial" w:eastAsia="Times New Roman" w:hAnsi="Arial" w:cs="Arial"/>
                <w:b/>
                <w:spacing w:val="-2"/>
                <w:sz w:val="14"/>
                <w:szCs w:val="14"/>
                <w:lang w:eastAsia="pt-BR"/>
              </w:rPr>
            </w:pPr>
            <w:r w:rsidRPr="00C37757">
              <w:rPr>
                <w:rFonts w:ascii="Arial" w:eastAsia="Times New Roman" w:hAnsi="Arial" w:cs="Arial"/>
                <w:b/>
                <w:spacing w:val="-2"/>
                <w:sz w:val="14"/>
                <w:szCs w:val="14"/>
                <w:lang w:eastAsia="pt-BR"/>
              </w:rPr>
              <w:t>Ativo Não Circulante</w:t>
            </w:r>
          </w:p>
        </w:tc>
        <w:tc>
          <w:tcPr>
            <w:tcW w:w="437" w:type="dxa"/>
            <w:tcBorders>
              <w:top w:val="nil"/>
              <w:bottom w:val="nil"/>
            </w:tcBorders>
            <w:shd w:val="clear" w:color="auto" w:fill="auto"/>
          </w:tcPr>
          <w:p w14:paraId="35A95606" w14:textId="77777777" w:rsidR="00C37757" w:rsidRPr="00C37757" w:rsidRDefault="00C37757" w:rsidP="00C37757">
            <w:pPr>
              <w:widowControl w:val="0"/>
              <w:spacing w:before="40" w:after="40" w:line="240" w:lineRule="auto"/>
              <w:jc w:val="center"/>
              <w:rPr>
                <w:rFonts w:ascii="Arial" w:eastAsia="Times New Roman" w:hAnsi="Arial" w:cs="Arial"/>
                <w:b/>
                <w:spacing w:val="-2"/>
                <w:sz w:val="14"/>
                <w:szCs w:val="14"/>
                <w:lang w:eastAsia="pt-BR"/>
              </w:rPr>
            </w:pPr>
          </w:p>
        </w:tc>
        <w:tc>
          <w:tcPr>
            <w:tcW w:w="1411" w:type="dxa"/>
            <w:tcBorders>
              <w:top w:val="nil"/>
              <w:bottom w:val="nil"/>
            </w:tcBorders>
            <w:shd w:val="clear" w:color="auto" w:fill="auto"/>
            <w:vAlign w:val="center"/>
          </w:tcPr>
          <w:p w14:paraId="3C56018A"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4"/>
                <w:lang w:eastAsia="pt-BR"/>
              </w:rPr>
            </w:pPr>
            <w:r w:rsidRPr="00C37757">
              <w:rPr>
                <w:rFonts w:ascii="Arial" w:eastAsia="Times New Roman" w:hAnsi="Arial" w:cs="Arial"/>
                <w:b/>
                <w:spacing w:val="-2"/>
                <w:sz w:val="14"/>
                <w:szCs w:val="14"/>
                <w:lang w:eastAsia="pt-BR"/>
              </w:rPr>
              <w:t>115.651</w:t>
            </w:r>
          </w:p>
        </w:tc>
        <w:tc>
          <w:tcPr>
            <w:tcW w:w="1412" w:type="dxa"/>
            <w:tcBorders>
              <w:top w:val="nil"/>
              <w:bottom w:val="nil"/>
            </w:tcBorders>
            <w:shd w:val="clear" w:color="auto" w:fill="auto"/>
            <w:vAlign w:val="center"/>
          </w:tcPr>
          <w:p w14:paraId="4A85F169"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4"/>
                <w:lang w:eastAsia="pt-BR"/>
              </w:rPr>
            </w:pPr>
            <w:r w:rsidRPr="00C37757">
              <w:rPr>
                <w:rFonts w:ascii="Arial" w:eastAsia="Times New Roman" w:hAnsi="Arial" w:cs="Arial"/>
                <w:b/>
                <w:spacing w:val="-2"/>
                <w:sz w:val="14"/>
                <w:szCs w:val="14"/>
                <w:lang w:eastAsia="pt-BR"/>
              </w:rPr>
              <w:t>93.591</w:t>
            </w:r>
          </w:p>
        </w:tc>
        <w:tc>
          <w:tcPr>
            <w:tcW w:w="283" w:type="dxa"/>
            <w:tcBorders>
              <w:top w:val="nil"/>
              <w:bottom w:val="nil"/>
            </w:tcBorders>
            <w:shd w:val="clear" w:color="auto" w:fill="auto"/>
            <w:vAlign w:val="center"/>
          </w:tcPr>
          <w:p w14:paraId="0F8B20AA"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4"/>
                <w:lang w:eastAsia="pt-BR"/>
              </w:rPr>
            </w:pPr>
          </w:p>
        </w:tc>
        <w:tc>
          <w:tcPr>
            <w:tcW w:w="1417" w:type="dxa"/>
            <w:tcBorders>
              <w:top w:val="nil"/>
              <w:bottom w:val="nil"/>
            </w:tcBorders>
            <w:shd w:val="clear" w:color="auto" w:fill="auto"/>
            <w:vAlign w:val="center"/>
          </w:tcPr>
          <w:p w14:paraId="6770D33A"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4"/>
                <w:lang w:eastAsia="pt-BR"/>
              </w:rPr>
            </w:pPr>
            <w:r w:rsidRPr="00C37757">
              <w:rPr>
                <w:rFonts w:ascii="Arial" w:eastAsia="Times New Roman" w:hAnsi="Arial" w:cs="Arial"/>
                <w:b/>
                <w:spacing w:val="-2"/>
                <w:sz w:val="14"/>
                <w:szCs w:val="14"/>
                <w:lang w:eastAsia="pt-BR"/>
              </w:rPr>
              <w:t>144.477</w:t>
            </w:r>
          </w:p>
        </w:tc>
        <w:tc>
          <w:tcPr>
            <w:tcW w:w="1418" w:type="dxa"/>
            <w:tcBorders>
              <w:top w:val="nil"/>
              <w:bottom w:val="nil"/>
            </w:tcBorders>
            <w:shd w:val="clear" w:color="auto" w:fill="auto"/>
            <w:vAlign w:val="center"/>
          </w:tcPr>
          <w:p w14:paraId="6E643E1F"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4"/>
                <w:lang w:eastAsia="pt-BR"/>
              </w:rPr>
            </w:pPr>
            <w:r w:rsidRPr="00C37757">
              <w:rPr>
                <w:rFonts w:ascii="Arial" w:eastAsia="Times New Roman" w:hAnsi="Arial" w:cs="Arial"/>
                <w:b/>
                <w:spacing w:val="-2"/>
                <w:sz w:val="14"/>
                <w:szCs w:val="14"/>
                <w:lang w:eastAsia="pt-BR"/>
              </w:rPr>
              <w:t>100.967</w:t>
            </w:r>
          </w:p>
        </w:tc>
      </w:tr>
      <w:tr w:rsidR="00C37757" w:rsidRPr="00C37757" w14:paraId="2E13C13B" w14:textId="77777777" w:rsidTr="00C37757">
        <w:trPr>
          <w:trHeight w:val="238"/>
        </w:trPr>
        <w:tc>
          <w:tcPr>
            <w:tcW w:w="3261" w:type="dxa"/>
            <w:tcBorders>
              <w:top w:val="nil"/>
              <w:bottom w:val="nil"/>
            </w:tcBorders>
            <w:shd w:val="clear" w:color="auto" w:fill="auto"/>
          </w:tcPr>
          <w:p w14:paraId="7C052E11" w14:textId="77777777" w:rsidR="00C37757" w:rsidRPr="00C37757" w:rsidRDefault="00C37757" w:rsidP="00C37757">
            <w:pPr>
              <w:widowControl w:val="0"/>
              <w:spacing w:before="40" w:after="40" w:line="240" w:lineRule="auto"/>
              <w:ind w:left="283" w:hanging="170"/>
              <w:rPr>
                <w:rFonts w:ascii="Arial" w:eastAsia="Times New Roman" w:hAnsi="Arial" w:cs="Arial"/>
                <w:b/>
                <w:spacing w:val="-2"/>
                <w:sz w:val="14"/>
                <w:szCs w:val="14"/>
                <w:lang w:eastAsia="pt-BR"/>
              </w:rPr>
            </w:pPr>
            <w:r w:rsidRPr="00C37757">
              <w:rPr>
                <w:rFonts w:ascii="Arial" w:eastAsia="Times New Roman" w:hAnsi="Arial" w:cs="Arial"/>
                <w:spacing w:val="-2"/>
                <w:sz w:val="14"/>
                <w:szCs w:val="14"/>
                <w:lang w:eastAsia="pt-BR"/>
              </w:rPr>
              <w:t>Impostos a compensar</w:t>
            </w:r>
          </w:p>
        </w:tc>
        <w:tc>
          <w:tcPr>
            <w:tcW w:w="437" w:type="dxa"/>
            <w:tcBorders>
              <w:top w:val="nil"/>
              <w:bottom w:val="nil"/>
            </w:tcBorders>
            <w:shd w:val="clear" w:color="auto" w:fill="auto"/>
          </w:tcPr>
          <w:p w14:paraId="6DC52E12" w14:textId="77777777" w:rsidR="00C37757" w:rsidRPr="00C37757" w:rsidRDefault="00C37757" w:rsidP="00C37757">
            <w:pPr>
              <w:widowControl w:val="0"/>
              <w:spacing w:before="40" w:after="40" w:line="240" w:lineRule="auto"/>
              <w:jc w:val="center"/>
              <w:rPr>
                <w:rFonts w:ascii="Arial" w:eastAsia="Times New Roman" w:hAnsi="Arial" w:cs="Arial"/>
                <w:spacing w:val="-2"/>
                <w:sz w:val="14"/>
                <w:szCs w:val="14"/>
                <w:lang w:eastAsia="pt-BR"/>
              </w:rPr>
            </w:pPr>
          </w:p>
        </w:tc>
        <w:tc>
          <w:tcPr>
            <w:tcW w:w="1411" w:type="dxa"/>
            <w:tcBorders>
              <w:top w:val="nil"/>
              <w:bottom w:val="nil"/>
            </w:tcBorders>
            <w:shd w:val="clear" w:color="auto" w:fill="auto"/>
            <w:vAlign w:val="center"/>
          </w:tcPr>
          <w:p w14:paraId="408557F5" w14:textId="77777777" w:rsidR="00C37757" w:rsidRPr="00C37757" w:rsidRDefault="00C37757" w:rsidP="00C37757">
            <w:pPr>
              <w:widowControl w:val="0"/>
              <w:spacing w:before="40" w:after="40" w:line="240" w:lineRule="auto"/>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115.831</w:t>
            </w:r>
          </w:p>
        </w:tc>
        <w:tc>
          <w:tcPr>
            <w:tcW w:w="1412" w:type="dxa"/>
            <w:tcBorders>
              <w:top w:val="nil"/>
              <w:bottom w:val="nil"/>
            </w:tcBorders>
            <w:shd w:val="clear" w:color="auto" w:fill="auto"/>
            <w:vAlign w:val="center"/>
          </w:tcPr>
          <w:p w14:paraId="568C2FBD" w14:textId="77777777" w:rsidR="00C37757" w:rsidRPr="00C37757" w:rsidRDefault="00C37757" w:rsidP="00C37757">
            <w:pPr>
              <w:widowControl w:val="0"/>
              <w:spacing w:before="40" w:after="40" w:line="240" w:lineRule="auto"/>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93.738</w:t>
            </w:r>
          </w:p>
        </w:tc>
        <w:tc>
          <w:tcPr>
            <w:tcW w:w="283" w:type="dxa"/>
            <w:tcBorders>
              <w:top w:val="nil"/>
              <w:bottom w:val="nil"/>
            </w:tcBorders>
            <w:shd w:val="clear" w:color="auto" w:fill="auto"/>
            <w:vAlign w:val="center"/>
          </w:tcPr>
          <w:p w14:paraId="5B10486A" w14:textId="77777777" w:rsidR="00C37757" w:rsidRPr="00C37757" w:rsidRDefault="00C37757" w:rsidP="00C37757">
            <w:pPr>
              <w:widowControl w:val="0"/>
              <w:spacing w:before="40" w:after="40" w:line="240" w:lineRule="auto"/>
              <w:jc w:val="right"/>
              <w:rPr>
                <w:rFonts w:ascii="Arial" w:eastAsia="Times New Roman" w:hAnsi="Arial" w:cs="Arial"/>
                <w:spacing w:val="-2"/>
                <w:sz w:val="14"/>
                <w:szCs w:val="14"/>
                <w:lang w:eastAsia="pt-BR"/>
              </w:rPr>
            </w:pPr>
          </w:p>
        </w:tc>
        <w:tc>
          <w:tcPr>
            <w:tcW w:w="1417" w:type="dxa"/>
            <w:tcBorders>
              <w:top w:val="nil"/>
              <w:bottom w:val="nil"/>
            </w:tcBorders>
            <w:shd w:val="clear" w:color="auto" w:fill="auto"/>
            <w:vAlign w:val="center"/>
          </w:tcPr>
          <w:p w14:paraId="1AB6F3C9" w14:textId="77777777" w:rsidR="00C37757" w:rsidRPr="00C37757" w:rsidRDefault="00C37757" w:rsidP="00C37757">
            <w:pPr>
              <w:widowControl w:val="0"/>
              <w:spacing w:before="40" w:after="40" w:line="240" w:lineRule="auto"/>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145.913</w:t>
            </w:r>
          </w:p>
        </w:tc>
        <w:tc>
          <w:tcPr>
            <w:tcW w:w="1418" w:type="dxa"/>
            <w:tcBorders>
              <w:top w:val="nil"/>
              <w:bottom w:val="nil"/>
            </w:tcBorders>
            <w:shd w:val="clear" w:color="auto" w:fill="auto"/>
            <w:vAlign w:val="center"/>
          </w:tcPr>
          <w:p w14:paraId="77B3215C" w14:textId="77777777" w:rsidR="00C37757" w:rsidRPr="00C37757" w:rsidRDefault="00C37757" w:rsidP="00C37757">
            <w:pPr>
              <w:widowControl w:val="0"/>
              <w:spacing w:before="40" w:after="40" w:line="240" w:lineRule="auto"/>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101.114</w:t>
            </w:r>
          </w:p>
        </w:tc>
      </w:tr>
      <w:tr w:rsidR="00C37757" w:rsidRPr="00C37757" w14:paraId="64E7246B" w14:textId="77777777" w:rsidTr="00C37757">
        <w:trPr>
          <w:trHeight w:val="238"/>
        </w:trPr>
        <w:tc>
          <w:tcPr>
            <w:tcW w:w="3261" w:type="dxa"/>
            <w:tcBorders>
              <w:top w:val="nil"/>
              <w:bottom w:val="nil"/>
            </w:tcBorders>
            <w:shd w:val="clear" w:color="auto" w:fill="auto"/>
          </w:tcPr>
          <w:p w14:paraId="46E8C32F" w14:textId="77777777" w:rsidR="00C37757" w:rsidRPr="00C37757" w:rsidRDefault="00C37757" w:rsidP="00C37757">
            <w:pPr>
              <w:widowControl w:val="0"/>
              <w:spacing w:before="40" w:after="40" w:line="240" w:lineRule="auto"/>
              <w:ind w:left="283" w:hanging="170"/>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 Impostos correntes deduzidos/compensados</w:t>
            </w:r>
          </w:p>
        </w:tc>
        <w:tc>
          <w:tcPr>
            <w:tcW w:w="437" w:type="dxa"/>
            <w:tcBorders>
              <w:top w:val="nil"/>
              <w:bottom w:val="nil"/>
            </w:tcBorders>
            <w:shd w:val="clear" w:color="auto" w:fill="auto"/>
          </w:tcPr>
          <w:p w14:paraId="6A94B83D" w14:textId="77777777" w:rsidR="00C37757" w:rsidRPr="00C37757" w:rsidRDefault="00C37757" w:rsidP="00C37757">
            <w:pPr>
              <w:widowControl w:val="0"/>
              <w:spacing w:before="40" w:after="40" w:line="240" w:lineRule="auto"/>
              <w:jc w:val="center"/>
              <w:rPr>
                <w:rFonts w:ascii="Arial" w:eastAsia="Times New Roman" w:hAnsi="Arial" w:cs="Arial"/>
                <w:spacing w:val="-2"/>
                <w:sz w:val="14"/>
                <w:szCs w:val="14"/>
                <w:lang w:eastAsia="pt-BR"/>
              </w:rPr>
            </w:pPr>
          </w:p>
        </w:tc>
        <w:tc>
          <w:tcPr>
            <w:tcW w:w="1411" w:type="dxa"/>
            <w:tcBorders>
              <w:top w:val="nil"/>
              <w:bottom w:val="nil"/>
            </w:tcBorders>
            <w:shd w:val="clear" w:color="auto" w:fill="auto"/>
            <w:vAlign w:val="center"/>
          </w:tcPr>
          <w:p w14:paraId="666CF804" w14:textId="77777777" w:rsidR="00C37757" w:rsidRPr="00C37757" w:rsidRDefault="00C37757" w:rsidP="00C37757">
            <w:pPr>
              <w:widowControl w:val="0"/>
              <w:spacing w:before="40" w:after="40" w:line="240" w:lineRule="auto"/>
              <w:jc w:val="right"/>
              <w:rPr>
                <w:rFonts w:ascii="Arial" w:eastAsia="Times New Roman" w:hAnsi="Arial" w:cs="Arial"/>
                <w:spacing w:val="-2"/>
                <w:sz w:val="14"/>
                <w:szCs w:val="14"/>
                <w:lang w:eastAsia="pt-BR"/>
              </w:rPr>
            </w:pPr>
            <w:r w:rsidRPr="00F7280E">
              <w:rPr>
                <w:rFonts w:ascii="Arial" w:eastAsia="Times New Roman" w:hAnsi="Arial" w:cs="Arial"/>
                <w:spacing w:val="-2"/>
                <w:sz w:val="14"/>
                <w:szCs w:val="14"/>
                <w:lang w:eastAsia="pt-BR"/>
              </w:rPr>
              <w:t>(180)</w:t>
            </w:r>
          </w:p>
        </w:tc>
        <w:tc>
          <w:tcPr>
            <w:tcW w:w="1412" w:type="dxa"/>
            <w:tcBorders>
              <w:top w:val="nil"/>
              <w:bottom w:val="nil"/>
            </w:tcBorders>
            <w:shd w:val="clear" w:color="auto" w:fill="auto"/>
            <w:vAlign w:val="center"/>
          </w:tcPr>
          <w:p w14:paraId="7D7394F4" w14:textId="77777777" w:rsidR="00C37757" w:rsidRPr="00C37757" w:rsidRDefault="00C37757" w:rsidP="00C37757">
            <w:pPr>
              <w:widowControl w:val="0"/>
              <w:spacing w:before="40" w:after="40" w:line="240" w:lineRule="auto"/>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(147)</w:t>
            </w:r>
          </w:p>
        </w:tc>
        <w:tc>
          <w:tcPr>
            <w:tcW w:w="283" w:type="dxa"/>
            <w:tcBorders>
              <w:top w:val="nil"/>
              <w:bottom w:val="nil"/>
            </w:tcBorders>
            <w:shd w:val="clear" w:color="auto" w:fill="auto"/>
            <w:vAlign w:val="center"/>
          </w:tcPr>
          <w:p w14:paraId="56265D3C" w14:textId="77777777" w:rsidR="00C37757" w:rsidRPr="00C37757" w:rsidRDefault="00C37757" w:rsidP="00C37757">
            <w:pPr>
              <w:widowControl w:val="0"/>
              <w:spacing w:before="40" w:after="40" w:line="240" w:lineRule="auto"/>
              <w:jc w:val="right"/>
              <w:rPr>
                <w:rFonts w:ascii="Arial" w:eastAsia="Times New Roman" w:hAnsi="Arial" w:cs="Arial"/>
                <w:spacing w:val="-2"/>
                <w:sz w:val="14"/>
                <w:szCs w:val="14"/>
                <w:lang w:eastAsia="pt-BR"/>
              </w:rPr>
            </w:pPr>
          </w:p>
        </w:tc>
        <w:tc>
          <w:tcPr>
            <w:tcW w:w="1417" w:type="dxa"/>
            <w:tcBorders>
              <w:top w:val="nil"/>
              <w:bottom w:val="nil"/>
            </w:tcBorders>
            <w:shd w:val="clear" w:color="auto" w:fill="auto"/>
            <w:vAlign w:val="center"/>
          </w:tcPr>
          <w:p w14:paraId="18D3A5BC" w14:textId="77777777" w:rsidR="00C37757" w:rsidRPr="00C37757" w:rsidRDefault="00C37757" w:rsidP="00C37757">
            <w:pPr>
              <w:widowControl w:val="0"/>
              <w:spacing w:before="40" w:after="40" w:line="240" w:lineRule="auto"/>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(1.436)</w:t>
            </w:r>
          </w:p>
        </w:tc>
        <w:tc>
          <w:tcPr>
            <w:tcW w:w="1418" w:type="dxa"/>
            <w:tcBorders>
              <w:top w:val="nil"/>
              <w:bottom w:val="nil"/>
            </w:tcBorders>
            <w:shd w:val="clear" w:color="auto" w:fill="auto"/>
            <w:vAlign w:val="center"/>
          </w:tcPr>
          <w:p w14:paraId="0A89D619" w14:textId="77777777" w:rsidR="00C37757" w:rsidRPr="00C37757" w:rsidRDefault="00C37757" w:rsidP="00C37757">
            <w:pPr>
              <w:widowControl w:val="0"/>
              <w:spacing w:before="40" w:after="40" w:line="240" w:lineRule="auto"/>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(147)</w:t>
            </w:r>
          </w:p>
        </w:tc>
      </w:tr>
      <w:tr w:rsidR="00C37757" w:rsidRPr="00C37757" w14:paraId="499839D9" w14:textId="77777777" w:rsidTr="00C37757">
        <w:trPr>
          <w:trHeight w:val="238"/>
        </w:trPr>
        <w:tc>
          <w:tcPr>
            <w:tcW w:w="3261" w:type="dxa"/>
            <w:tcBorders>
              <w:top w:val="nil"/>
              <w:bottom w:val="single" w:sz="2" w:space="0" w:color="1F4E79"/>
            </w:tcBorders>
            <w:shd w:val="clear" w:color="auto" w:fill="auto"/>
          </w:tcPr>
          <w:p w14:paraId="126D0493" w14:textId="77777777" w:rsidR="00C37757" w:rsidRPr="00C37757" w:rsidRDefault="00C37757" w:rsidP="00C37757">
            <w:pPr>
              <w:widowControl w:val="0"/>
              <w:spacing w:before="40" w:after="40" w:line="240" w:lineRule="auto"/>
              <w:rPr>
                <w:rFonts w:ascii="Arial" w:eastAsia="Times New Roman" w:hAnsi="Arial" w:cs="Arial"/>
                <w:b/>
                <w:spacing w:val="-2"/>
                <w:sz w:val="14"/>
                <w:szCs w:val="14"/>
                <w:lang w:eastAsia="pt-BR"/>
              </w:rPr>
            </w:pPr>
            <w:r w:rsidRPr="00C37757">
              <w:rPr>
                <w:rFonts w:ascii="Arial" w:eastAsia="Times New Roman" w:hAnsi="Arial" w:cs="Arial"/>
                <w:b/>
                <w:spacing w:val="-2"/>
                <w:sz w:val="14"/>
                <w:szCs w:val="18"/>
                <w:lang w:eastAsia="pt-BR"/>
              </w:rPr>
              <w:t xml:space="preserve">Total </w:t>
            </w:r>
          </w:p>
        </w:tc>
        <w:tc>
          <w:tcPr>
            <w:tcW w:w="437" w:type="dxa"/>
            <w:tcBorders>
              <w:top w:val="nil"/>
              <w:bottom w:val="single" w:sz="2" w:space="0" w:color="1F4E79"/>
            </w:tcBorders>
            <w:shd w:val="clear" w:color="auto" w:fill="auto"/>
          </w:tcPr>
          <w:p w14:paraId="7B553DDC" w14:textId="77777777" w:rsidR="00C37757" w:rsidRPr="00C37757" w:rsidRDefault="00C37757" w:rsidP="00C37757">
            <w:pPr>
              <w:widowControl w:val="0"/>
              <w:spacing w:before="40" w:after="40" w:line="240" w:lineRule="auto"/>
              <w:jc w:val="center"/>
              <w:rPr>
                <w:rFonts w:ascii="Arial" w:eastAsia="Times New Roman" w:hAnsi="Arial" w:cs="Arial"/>
                <w:b/>
                <w:spacing w:val="-2"/>
                <w:sz w:val="14"/>
                <w:szCs w:val="14"/>
                <w:lang w:eastAsia="pt-BR"/>
              </w:rPr>
            </w:pPr>
          </w:p>
        </w:tc>
        <w:tc>
          <w:tcPr>
            <w:tcW w:w="1411" w:type="dxa"/>
            <w:tcBorders>
              <w:top w:val="nil"/>
              <w:bottom w:val="single" w:sz="2" w:space="0" w:color="1F4E79"/>
            </w:tcBorders>
            <w:shd w:val="clear" w:color="auto" w:fill="auto"/>
            <w:vAlign w:val="center"/>
          </w:tcPr>
          <w:p w14:paraId="1033258C"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4"/>
                <w:lang w:eastAsia="pt-BR"/>
              </w:rPr>
            </w:pPr>
            <w:r w:rsidRPr="00C37757">
              <w:rPr>
                <w:rFonts w:ascii="Arial" w:eastAsia="Times New Roman" w:hAnsi="Arial" w:cs="Arial"/>
                <w:b/>
                <w:spacing w:val="-2"/>
                <w:sz w:val="14"/>
                <w:szCs w:val="14"/>
                <w:lang w:eastAsia="pt-BR"/>
              </w:rPr>
              <w:t>124.560</w:t>
            </w:r>
          </w:p>
        </w:tc>
        <w:tc>
          <w:tcPr>
            <w:tcW w:w="1412" w:type="dxa"/>
            <w:tcBorders>
              <w:top w:val="nil"/>
              <w:bottom w:val="single" w:sz="2" w:space="0" w:color="1F4E79"/>
            </w:tcBorders>
            <w:shd w:val="clear" w:color="auto" w:fill="auto"/>
            <w:vAlign w:val="center"/>
          </w:tcPr>
          <w:p w14:paraId="153432D2"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4"/>
                <w:lang w:eastAsia="pt-BR"/>
              </w:rPr>
            </w:pPr>
            <w:r w:rsidRPr="00C37757">
              <w:rPr>
                <w:rFonts w:ascii="Arial" w:eastAsia="Times New Roman" w:hAnsi="Arial" w:cs="Arial"/>
                <w:b/>
                <w:spacing w:val="-2"/>
                <w:sz w:val="14"/>
                <w:szCs w:val="14"/>
                <w:lang w:eastAsia="pt-BR"/>
              </w:rPr>
              <w:t>112.418</w:t>
            </w:r>
          </w:p>
        </w:tc>
        <w:tc>
          <w:tcPr>
            <w:tcW w:w="283" w:type="dxa"/>
            <w:tcBorders>
              <w:top w:val="nil"/>
              <w:bottom w:val="single" w:sz="2" w:space="0" w:color="1F4E79"/>
            </w:tcBorders>
            <w:shd w:val="clear" w:color="auto" w:fill="auto"/>
            <w:vAlign w:val="center"/>
          </w:tcPr>
          <w:p w14:paraId="0E8E564B"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4"/>
                <w:lang w:eastAsia="pt-BR"/>
              </w:rPr>
            </w:pPr>
          </w:p>
        </w:tc>
        <w:tc>
          <w:tcPr>
            <w:tcW w:w="1417" w:type="dxa"/>
            <w:tcBorders>
              <w:top w:val="nil"/>
              <w:bottom w:val="single" w:sz="2" w:space="0" w:color="1F4E79"/>
            </w:tcBorders>
            <w:shd w:val="clear" w:color="auto" w:fill="auto"/>
            <w:vAlign w:val="center"/>
          </w:tcPr>
          <w:p w14:paraId="059130F9"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4"/>
                <w:lang w:eastAsia="pt-BR"/>
              </w:rPr>
            </w:pPr>
            <w:r w:rsidRPr="00C37757">
              <w:rPr>
                <w:rFonts w:ascii="Arial" w:eastAsia="Times New Roman" w:hAnsi="Arial" w:cs="Arial"/>
                <w:b/>
                <w:spacing w:val="-2"/>
                <w:sz w:val="14"/>
                <w:szCs w:val="14"/>
                <w:lang w:eastAsia="pt-BR"/>
              </w:rPr>
              <w:t>153.386</w:t>
            </w:r>
          </w:p>
        </w:tc>
        <w:tc>
          <w:tcPr>
            <w:tcW w:w="1418" w:type="dxa"/>
            <w:tcBorders>
              <w:top w:val="nil"/>
              <w:bottom w:val="single" w:sz="2" w:space="0" w:color="1F4E79"/>
            </w:tcBorders>
            <w:shd w:val="clear" w:color="auto" w:fill="auto"/>
            <w:vAlign w:val="center"/>
          </w:tcPr>
          <w:p w14:paraId="2E107D00"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4"/>
                <w:lang w:eastAsia="pt-BR"/>
              </w:rPr>
            </w:pPr>
            <w:r w:rsidRPr="00C37757">
              <w:rPr>
                <w:rFonts w:ascii="Arial" w:eastAsia="Times New Roman" w:hAnsi="Arial" w:cs="Arial"/>
                <w:b/>
                <w:spacing w:val="-2"/>
                <w:sz w:val="14"/>
                <w:szCs w:val="14"/>
                <w:lang w:eastAsia="pt-BR"/>
              </w:rPr>
              <w:t>143.551</w:t>
            </w:r>
          </w:p>
        </w:tc>
      </w:tr>
    </w:tbl>
    <w:p w14:paraId="6FF0134B" w14:textId="77777777" w:rsidR="00C37757" w:rsidRPr="00C37757" w:rsidRDefault="00C37757" w:rsidP="00C37757">
      <w:pPr>
        <w:widowControl w:val="0"/>
        <w:spacing w:after="40" w:line="240" w:lineRule="auto"/>
        <w:ind w:left="284" w:hanging="284"/>
        <w:rPr>
          <w:rFonts w:ascii="Arial" w:eastAsia="MS Mincho" w:hAnsi="Arial" w:cs="Arial"/>
          <w:b/>
          <w:color w:val="1F4E79"/>
          <w:sz w:val="20"/>
          <w:szCs w:val="20"/>
        </w:rPr>
      </w:pPr>
    </w:p>
    <w:p w14:paraId="59CDE98B" w14:textId="77777777" w:rsidR="00C37757" w:rsidRPr="00C37757" w:rsidRDefault="00C37757" w:rsidP="00D5649F">
      <w:pPr>
        <w:widowControl w:val="0"/>
        <w:spacing w:after="40" w:line="240" w:lineRule="auto"/>
        <w:ind w:left="284" w:hanging="284"/>
        <w:rPr>
          <w:rFonts w:ascii="Arial" w:eastAsia="MS Mincho" w:hAnsi="Arial" w:cs="Arial"/>
          <w:b/>
          <w:color w:val="1F4E79"/>
          <w:sz w:val="18"/>
          <w:szCs w:val="18"/>
        </w:rPr>
      </w:pPr>
      <w:r w:rsidRPr="00C37757">
        <w:rPr>
          <w:rFonts w:ascii="Arial" w:eastAsia="MS Mincho" w:hAnsi="Arial" w:cs="Arial"/>
          <w:b/>
          <w:color w:val="1F4E79"/>
          <w:sz w:val="18"/>
          <w:szCs w:val="18"/>
        </w:rPr>
        <w:t>e) Ativos por Tributos Diferidos (Créditos Tributários)</w:t>
      </w:r>
    </w:p>
    <w:p w14:paraId="4B854CD1" w14:textId="77777777" w:rsidR="00C37757" w:rsidRPr="00C37757" w:rsidRDefault="00C37757" w:rsidP="00C37757">
      <w:pPr>
        <w:widowControl w:val="0"/>
        <w:spacing w:after="0" w:line="240" w:lineRule="auto"/>
        <w:jc w:val="right"/>
        <w:rPr>
          <w:rFonts w:ascii="Arial" w:eastAsia="MS Mincho" w:hAnsi="Arial" w:cs="Arial"/>
          <w:b/>
          <w:sz w:val="14"/>
          <w:szCs w:val="22"/>
          <w:lang w:eastAsia="pt-BR"/>
        </w:rPr>
      </w:pPr>
      <w:r w:rsidRPr="00C37757">
        <w:rPr>
          <w:rFonts w:ascii="Arial" w:eastAsia="MS Mincho" w:hAnsi="Arial" w:cs="Arial"/>
          <w:b/>
          <w:sz w:val="14"/>
          <w:szCs w:val="22"/>
          <w:lang w:eastAsia="pt-BR"/>
        </w:rPr>
        <w:t>R$ mil</w:t>
      </w:r>
    </w:p>
    <w:tbl>
      <w:tblPr>
        <w:tblW w:w="9639" w:type="dxa"/>
        <w:tblBorders>
          <w:top w:val="single" w:sz="2" w:space="0" w:color="8EAADB"/>
          <w:bottom w:val="single" w:sz="2" w:space="0" w:color="8EAADB"/>
        </w:tblBorders>
        <w:tblLook w:val="04A0" w:firstRow="1" w:lastRow="0" w:firstColumn="1" w:lastColumn="0" w:noHBand="0" w:noVBand="1"/>
      </w:tblPr>
      <w:tblGrid>
        <w:gridCol w:w="3094"/>
        <w:gridCol w:w="604"/>
        <w:gridCol w:w="1411"/>
        <w:gridCol w:w="1412"/>
        <w:gridCol w:w="283"/>
        <w:gridCol w:w="1417"/>
        <w:gridCol w:w="1418"/>
      </w:tblGrid>
      <w:tr w:rsidR="00C37757" w:rsidRPr="00C37757" w14:paraId="51CBC0E1" w14:textId="77777777" w:rsidTr="00C37757">
        <w:trPr>
          <w:trHeight w:val="238"/>
        </w:trPr>
        <w:tc>
          <w:tcPr>
            <w:tcW w:w="3094" w:type="dxa"/>
            <w:tcBorders>
              <w:top w:val="single" w:sz="2" w:space="0" w:color="1F4E79"/>
              <w:bottom w:val="nil"/>
            </w:tcBorders>
            <w:shd w:val="clear" w:color="auto" w:fill="auto"/>
            <w:vAlign w:val="center"/>
          </w:tcPr>
          <w:p w14:paraId="53E0C72A" w14:textId="77777777" w:rsidR="00C37757" w:rsidRPr="00C37757" w:rsidRDefault="00C37757" w:rsidP="00C37757">
            <w:pPr>
              <w:widowControl w:val="0"/>
              <w:spacing w:after="0" w:line="276" w:lineRule="auto"/>
              <w:jc w:val="center"/>
              <w:rPr>
                <w:rFonts w:ascii="Arial" w:eastAsia="MS Mincho" w:hAnsi="Arial" w:cs="Arial"/>
                <w:b/>
                <w:sz w:val="18"/>
                <w:szCs w:val="18"/>
              </w:rPr>
            </w:pPr>
          </w:p>
        </w:tc>
        <w:tc>
          <w:tcPr>
            <w:tcW w:w="604" w:type="dxa"/>
            <w:tcBorders>
              <w:top w:val="single" w:sz="2" w:space="0" w:color="1F4E79"/>
              <w:bottom w:val="nil"/>
            </w:tcBorders>
            <w:shd w:val="clear" w:color="auto" w:fill="auto"/>
            <w:vAlign w:val="center"/>
          </w:tcPr>
          <w:p w14:paraId="71457CE8" w14:textId="77777777" w:rsidR="00C37757" w:rsidRPr="00C37757" w:rsidRDefault="00C37757" w:rsidP="00C37757">
            <w:pPr>
              <w:widowControl w:val="0"/>
              <w:spacing w:after="0" w:line="276" w:lineRule="auto"/>
              <w:jc w:val="center"/>
              <w:rPr>
                <w:rFonts w:ascii="Arial" w:eastAsia="MS Mincho" w:hAnsi="Arial" w:cs="Arial"/>
                <w:b/>
                <w:sz w:val="18"/>
                <w:szCs w:val="18"/>
              </w:rPr>
            </w:pPr>
          </w:p>
        </w:tc>
        <w:tc>
          <w:tcPr>
            <w:tcW w:w="5941" w:type="dxa"/>
            <w:gridSpan w:val="5"/>
            <w:tcBorders>
              <w:top w:val="single" w:sz="2" w:space="0" w:color="1F4E79"/>
              <w:bottom w:val="single" w:sz="2" w:space="0" w:color="1F4E79"/>
            </w:tcBorders>
            <w:shd w:val="clear" w:color="auto" w:fill="auto"/>
            <w:vAlign w:val="center"/>
          </w:tcPr>
          <w:p w14:paraId="11D5CAA4" w14:textId="77777777" w:rsidR="00C37757" w:rsidRPr="00C37757" w:rsidRDefault="00C37757" w:rsidP="00C37757">
            <w:pPr>
              <w:widowControl w:val="0"/>
              <w:spacing w:after="0" w:line="276" w:lineRule="auto"/>
              <w:jc w:val="center"/>
              <w:rPr>
                <w:rFonts w:ascii="Arial" w:eastAsia="MS Mincho" w:hAnsi="Arial" w:cs="Arial"/>
                <w:b/>
                <w:sz w:val="14"/>
                <w:szCs w:val="14"/>
              </w:rPr>
            </w:pPr>
            <w:r w:rsidRPr="00C37757">
              <w:rPr>
                <w:rFonts w:ascii="Arial" w:eastAsia="MS Mincho" w:hAnsi="Arial" w:cs="Arial"/>
                <w:b/>
                <w:sz w:val="14"/>
                <w:szCs w:val="14"/>
              </w:rPr>
              <w:t>Controlador</w:t>
            </w:r>
          </w:p>
        </w:tc>
      </w:tr>
      <w:tr w:rsidR="00C37757" w:rsidRPr="00C37757" w14:paraId="710759F0" w14:textId="77777777" w:rsidTr="00C37757">
        <w:trPr>
          <w:trHeight w:val="238"/>
        </w:trPr>
        <w:tc>
          <w:tcPr>
            <w:tcW w:w="3094" w:type="dxa"/>
            <w:tcBorders>
              <w:top w:val="nil"/>
              <w:bottom w:val="single" w:sz="2" w:space="0" w:color="1F4E79"/>
            </w:tcBorders>
            <w:shd w:val="clear" w:color="auto" w:fill="auto"/>
            <w:vAlign w:val="center"/>
          </w:tcPr>
          <w:p w14:paraId="10B366A3" w14:textId="77777777" w:rsidR="00C37757" w:rsidRPr="00C37757" w:rsidRDefault="00C37757" w:rsidP="00C37757">
            <w:pPr>
              <w:widowControl w:val="0"/>
              <w:spacing w:before="40" w:after="40" w:line="240" w:lineRule="auto"/>
              <w:jc w:val="center"/>
              <w:rPr>
                <w:rFonts w:ascii="Arial" w:eastAsia="Times New Roman" w:hAnsi="Arial" w:cs="Arial"/>
                <w:b/>
                <w:spacing w:val="-2"/>
                <w:sz w:val="14"/>
                <w:szCs w:val="18"/>
                <w:lang w:eastAsia="pt-BR"/>
              </w:rPr>
            </w:pPr>
          </w:p>
        </w:tc>
        <w:tc>
          <w:tcPr>
            <w:tcW w:w="604" w:type="dxa"/>
            <w:tcBorders>
              <w:top w:val="nil"/>
              <w:bottom w:val="single" w:sz="2" w:space="0" w:color="1F4E79"/>
            </w:tcBorders>
            <w:shd w:val="clear" w:color="auto" w:fill="auto"/>
            <w:vAlign w:val="center"/>
          </w:tcPr>
          <w:p w14:paraId="4D752819" w14:textId="77777777" w:rsidR="00C37757" w:rsidRPr="00C37757" w:rsidRDefault="00C37757" w:rsidP="00C37757">
            <w:pPr>
              <w:widowControl w:val="0"/>
              <w:spacing w:before="40" w:after="40" w:line="240" w:lineRule="auto"/>
              <w:jc w:val="center"/>
              <w:rPr>
                <w:rFonts w:ascii="Arial" w:eastAsia="Times New Roman" w:hAnsi="Arial" w:cs="Arial"/>
                <w:b/>
                <w:spacing w:val="-2"/>
                <w:sz w:val="14"/>
                <w:szCs w:val="18"/>
                <w:lang w:eastAsia="pt-BR"/>
              </w:rPr>
            </w:pPr>
          </w:p>
        </w:tc>
        <w:tc>
          <w:tcPr>
            <w:tcW w:w="1411" w:type="dxa"/>
            <w:tcBorders>
              <w:top w:val="single" w:sz="2" w:space="0" w:color="1F4E79"/>
              <w:bottom w:val="single" w:sz="2" w:space="0" w:color="1F4E79"/>
            </w:tcBorders>
            <w:shd w:val="clear" w:color="auto" w:fill="auto"/>
            <w:vAlign w:val="center"/>
          </w:tcPr>
          <w:p w14:paraId="2290195B"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8"/>
                <w:lang w:eastAsia="pt-BR"/>
              </w:rPr>
            </w:pPr>
            <w:r w:rsidRPr="00C37757">
              <w:rPr>
                <w:rFonts w:ascii="Arial" w:eastAsia="Times New Roman" w:hAnsi="Arial" w:cs="Arial"/>
                <w:b/>
                <w:spacing w:val="-2"/>
                <w:sz w:val="14"/>
                <w:szCs w:val="18"/>
                <w:lang w:eastAsia="pt-BR"/>
              </w:rPr>
              <w:t>31.12.2023</w:t>
            </w:r>
          </w:p>
        </w:tc>
        <w:tc>
          <w:tcPr>
            <w:tcW w:w="1412" w:type="dxa"/>
            <w:tcBorders>
              <w:top w:val="single" w:sz="2" w:space="0" w:color="1F4E79"/>
              <w:bottom w:val="single" w:sz="2" w:space="0" w:color="1F4E79"/>
            </w:tcBorders>
            <w:shd w:val="clear" w:color="auto" w:fill="auto"/>
            <w:vAlign w:val="center"/>
          </w:tcPr>
          <w:p w14:paraId="0D297C79"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8"/>
                <w:lang w:eastAsia="pt-BR"/>
              </w:rPr>
            </w:pPr>
            <w:r w:rsidRPr="00C37757">
              <w:rPr>
                <w:rFonts w:ascii="Arial" w:eastAsia="Times New Roman" w:hAnsi="Arial" w:cs="Arial"/>
                <w:b/>
                <w:spacing w:val="-2"/>
                <w:sz w:val="14"/>
                <w:szCs w:val="18"/>
                <w:lang w:eastAsia="pt-BR"/>
              </w:rPr>
              <w:t>Constituição</w:t>
            </w:r>
          </w:p>
        </w:tc>
        <w:tc>
          <w:tcPr>
            <w:tcW w:w="283" w:type="dxa"/>
            <w:tcBorders>
              <w:top w:val="single" w:sz="2" w:space="0" w:color="1F4E79"/>
              <w:bottom w:val="single" w:sz="2" w:space="0" w:color="1F4E79"/>
            </w:tcBorders>
            <w:shd w:val="clear" w:color="auto" w:fill="auto"/>
            <w:vAlign w:val="center"/>
          </w:tcPr>
          <w:p w14:paraId="0B98DB38"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8"/>
                <w:lang w:eastAsia="pt-BR"/>
              </w:rPr>
            </w:pPr>
          </w:p>
        </w:tc>
        <w:tc>
          <w:tcPr>
            <w:tcW w:w="1417" w:type="dxa"/>
            <w:tcBorders>
              <w:top w:val="single" w:sz="2" w:space="0" w:color="1F4E79"/>
              <w:bottom w:val="single" w:sz="2" w:space="0" w:color="1F4E79"/>
            </w:tcBorders>
            <w:shd w:val="clear" w:color="auto" w:fill="auto"/>
            <w:vAlign w:val="center"/>
          </w:tcPr>
          <w:p w14:paraId="021E9BBC"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8"/>
                <w:lang w:eastAsia="pt-BR"/>
              </w:rPr>
            </w:pPr>
            <w:r w:rsidRPr="00C37757">
              <w:rPr>
                <w:rFonts w:ascii="Arial" w:eastAsia="Times New Roman" w:hAnsi="Arial" w:cs="Arial"/>
                <w:b/>
                <w:spacing w:val="-2"/>
                <w:sz w:val="14"/>
                <w:szCs w:val="18"/>
                <w:lang w:eastAsia="pt-BR"/>
              </w:rPr>
              <w:t>Baixa</w:t>
            </w:r>
          </w:p>
        </w:tc>
        <w:tc>
          <w:tcPr>
            <w:tcW w:w="1418" w:type="dxa"/>
            <w:tcBorders>
              <w:top w:val="single" w:sz="2" w:space="0" w:color="1F4E79"/>
              <w:bottom w:val="single" w:sz="2" w:space="0" w:color="1F4E79"/>
            </w:tcBorders>
            <w:shd w:val="clear" w:color="auto" w:fill="auto"/>
            <w:vAlign w:val="center"/>
          </w:tcPr>
          <w:p w14:paraId="6B492B19"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8"/>
                <w:lang w:eastAsia="pt-BR"/>
              </w:rPr>
            </w:pPr>
            <w:r w:rsidRPr="00C37757">
              <w:rPr>
                <w:rFonts w:ascii="Arial" w:eastAsia="Times New Roman" w:hAnsi="Arial" w:cs="Arial"/>
                <w:b/>
                <w:spacing w:val="-2"/>
                <w:sz w:val="14"/>
                <w:szCs w:val="18"/>
                <w:lang w:eastAsia="pt-BR"/>
              </w:rPr>
              <w:t>31.12.2024</w:t>
            </w:r>
          </w:p>
        </w:tc>
      </w:tr>
      <w:tr w:rsidR="00C37757" w:rsidRPr="00C37757" w14:paraId="56BD07CF" w14:textId="77777777" w:rsidTr="00C37757">
        <w:trPr>
          <w:trHeight w:val="238"/>
        </w:trPr>
        <w:tc>
          <w:tcPr>
            <w:tcW w:w="3094" w:type="dxa"/>
            <w:tcBorders>
              <w:top w:val="single" w:sz="2" w:space="0" w:color="1F4E79"/>
            </w:tcBorders>
            <w:shd w:val="clear" w:color="auto" w:fill="auto"/>
          </w:tcPr>
          <w:p w14:paraId="421246B2" w14:textId="77777777" w:rsidR="00C37757" w:rsidRPr="00C37757" w:rsidRDefault="00C37757" w:rsidP="00C37757">
            <w:pPr>
              <w:widowControl w:val="0"/>
              <w:spacing w:before="40" w:after="40" w:line="240" w:lineRule="auto"/>
              <w:rPr>
                <w:rFonts w:ascii="Arial" w:eastAsia="Times New Roman" w:hAnsi="Arial" w:cs="Arial"/>
                <w:b/>
                <w:bCs/>
                <w:spacing w:val="-2"/>
                <w:sz w:val="14"/>
                <w:szCs w:val="14"/>
                <w:lang w:eastAsia="pt-BR"/>
              </w:rPr>
            </w:pPr>
            <w:r w:rsidRPr="00C37757">
              <w:rPr>
                <w:rFonts w:ascii="Arial" w:eastAsia="Times New Roman" w:hAnsi="Arial" w:cs="Arial"/>
                <w:b/>
                <w:bCs/>
                <w:spacing w:val="-2"/>
                <w:sz w:val="14"/>
                <w:szCs w:val="14"/>
                <w:lang w:eastAsia="pt-BR"/>
              </w:rPr>
              <w:t>Diferenças Temporárias</w:t>
            </w:r>
          </w:p>
        </w:tc>
        <w:tc>
          <w:tcPr>
            <w:tcW w:w="604" w:type="dxa"/>
            <w:tcBorders>
              <w:top w:val="single" w:sz="2" w:space="0" w:color="1F4E79"/>
            </w:tcBorders>
            <w:shd w:val="clear" w:color="auto" w:fill="auto"/>
          </w:tcPr>
          <w:p w14:paraId="522EF3E7" w14:textId="77777777" w:rsidR="00C37757" w:rsidRPr="00C37757" w:rsidRDefault="00C37757" w:rsidP="00C37757">
            <w:pPr>
              <w:widowControl w:val="0"/>
              <w:spacing w:before="40" w:after="40" w:line="240" w:lineRule="auto"/>
              <w:rPr>
                <w:rFonts w:ascii="Arial" w:eastAsia="Times New Roman" w:hAnsi="Arial" w:cs="Arial"/>
                <w:b/>
                <w:bCs/>
                <w:spacing w:val="-2"/>
                <w:sz w:val="14"/>
                <w:szCs w:val="14"/>
                <w:lang w:eastAsia="pt-BR"/>
              </w:rPr>
            </w:pPr>
          </w:p>
        </w:tc>
        <w:tc>
          <w:tcPr>
            <w:tcW w:w="1411" w:type="dxa"/>
            <w:tcBorders>
              <w:top w:val="single" w:sz="2" w:space="0" w:color="1F4E79"/>
            </w:tcBorders>
            <w:shd w:val="clear" w:color="auto" w:fill="auto"/>
          </w:tcPr>
          <w:p w14:paraId="6E4FCB91" w14:textId="77777777" w:rsidR="00C37757" w:rsidRPr="00C37757" w:rsidRDefault="00C37757" w:rsidP="00C37757">
            <w:pPr>
              <w:widowControl w:val="0"/>
              <w:spacing w:before="40" w:after="40" w:line="240" w:lineRule="auto"/>
              <w:jc w:val="right"/>
              <w:rPr>
                <w:rFonts w:ascii="Arial" w:eastAsia="Times New Roman" w:hAnsi="Arial" w:cs="Arial"/>
                <w:b/>
                <w:bCs/>
                <w:spacing w:val="-2"/>
                <w:sz w:val="14"/>
                <w:szCs w:val="14"/>
                <w:lang w:eastAsia="pt-BR"/>
              </w:rPr>
            </w:pPr>
          </w:p>
        </w:tc>
        <w:tc>
          <w:tcPr>
            <w:tcW w:w="1412" w:type="dxa"/>
            <w:tcBorders>
              <w:top w:val="single" w:sz="2" w:space="0" w:color="1F4E79"/>
            </w:tcBorders>
            <w:shd w:val="clear" w:color="auto" w:fill="auto"/>
          </w:tcPr>
          <w:p w14:paraId="0641740A" w14:textId="77777777" w:rsidR="00C37757" w:rsidRPr="00C37757" w:rsidRDefault="00C37757" w:rsidP="00C37757">
            <w:pPr>
              <w:widowControl w:val="0"/>
              <w:spacing w:before="40" w:after="40" w:line="240" w:lineRule="auto"/>
              <w:jc w:val="right"/>
              <w:rPr>
                <w:rFonts w:ascii="Arial" w:eastAsia="Times New Roman" w:hAnsi="Arial" w:cs="Arial"/>
                <w:b/>
                <w:bCs/>
                <w:spacing w:val="-2"/>
                <w:sz w:val="14"/>
                <w:szCs w:val="14"/>
                <w:lang w:eastAsia="pt-BR"/>
              </w:rPr>
            </w:pPr>
          </w:p>
        </w:tc>
        <w:tc>
          <w:tcPr>
            <w:tcW w:w="283" w:type="dxa"/>
            <w:tcBorders>
              <w:top w:val="single" w:sz="2" w:space="0" w:color="1F4E79"/>
            </w:tcBorders>
            <w:shd w:val="clear" w:color="auto" w:fill="auto"/>
          </w:tcPr>
          <w:p w14:paraId="180D4893" w14:textId="77777777" w:rsidR="00C37757" w:rsidRPr="00C37757" w:rsidRDefault="00C37757" w:rsidP="00C37757">
            <w:pPr>
              <w:widowControl w:val="0"/>
              <w:spacing w:before="40" w:after="40" w:line="240" w:lineRule="auto"/>
              <w:rPr>
                <w:rFonts w:ascii="Arial" w:eastAsia="Times New Roman" w:hAnsi="Arial" w:cs="Arial"/>
                <w:b/>
                <w:bCs/>
                <w:spacing w:val="-2"/>
                <w:sz w:val="14"/>
                <w:szCs w:val="14"/>
                <w:lang w:eastAsia="pt-BR"/>
              </w:rPr>
            </w:pPr>
          </w:p>
        </w:tc>
        <w:tc>
          <w:tcPr>
            <w:tcW w:w="1417" w:type="dxa"/>
            <w:tcBorders>
              <w:top w:val="single" w:sz="2" w:space="0" w:color="1F4E79"/>
            </w:tcBorders>
            <w:shd w:val="clear" w:color="auto" w:fill="auto"/>
          </w:tcPr>
          <w:p w14:paraId="50A5F7EF" w14:textId="77777777" w:rsidR="00C37757" w:rsidRPr="00C37757" w:rsidRDefault="00C37757" w:rsidP="00C37757">
            <w:pPr>
              <w:widowControl w:val="0"/>
              <w:spacing w:before="40" w:after="40" w:line="240" w:lineRule="auto"/>
              <w:jc w:val="right"/>
              <w:rPr>
                <w:rFonts w:ascii="Arial" w:eastAsia="Times New Roman" w:hAnsi="Arial" w:cs="Arial"/>
                <w:b/>
                <w:bCs/>
                <w:spacing w:val="-2"/>
                <w:sz w:val="14"/>
                <w:szCs w:val="14"/>
                <w:lang w:eastAsia="pt-BR"/>
              </w:rPr>
            </w:pPr>
          </w:p>
        </w:tc>
        <w:tc>
          <w:tcPr>
            <w:tcW w:w="1418" w:type="dxa"/>
            <w:tcBorders>
              <w:top w:val="single" w:sz="2" w:space="0" w:color="1F4E79"/>
            </w:tcBorders>
            <w:shd w:val="clear" w:color="auto" w:fill="auto"/>
          </w:tcPr>
          <w:p w14:paraId="0A255F13" w14:textId="77777777" w:rsidR="00C37757" w:rsidRPr="00C37757" w:rsidRDefault="00C37757" w:rsidP="00C37757">
            <w:pPr>
              <w:widowControl w:val="0"/>
              <w:spacing w:before="40" w:after="40" w:line="240" w:lineRule="auto"/>
              <w:jc w:val="right"/>
              <w:rPr>
                <w:rFonts w:ascii="Arial" w:eastAsia="Times New Roman" w:hAnsi="Arial" w:cs="Arial"/>
                <w:b/>
                <w:bCs/>
                <w:spacing w:val="-2"/>
                <w:sz w:val="14"/>
                <w:szCs w:val="14"/>
                <w:lang w:eastAsia="pt-BR"/>
              </w:rPr>
            </w:pPr>
          </w:p>
        </w:tc>
      </w:tr>
      <w:tr w:rsidR="00C37757" w:rsidRPr="00C37757" w14:paraId="7AFD9EEB" w14:textId="77777777" w:rsidTr="00C37757">
        <w:trPr>
          <w:trHeight w:val="238"/>
        </w:trPr>
        <w:tc>
          <w:tcPr>
            <w:tcW w:w="3094" w:type="dxa"/>
            <w:shd w:val="clear" w:color="auto" w:fill="auto"/>
          </w:tcPr>
          <w:p w14:paraId="2CE17AF9" w14:textId="77777777" w:rsidR="00C37757" w:rsidRPr="00C37757" w:rsidRDefault="00C37757" w:rsidP="00C37757">
            <w:pPr>
              <w:widowControl w:val="0"/>
              <w:spacing w:before="40" w:after="40" w:line="240" w:lineRule="auto"/>
              <w:ind w:left="113"/>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Provisões passivas</w:t>
            </w:r>
          </w:p>
        </w:tc>
        <w:tc>
          <w:tcPr>
            <w:tcW w:w="604" w:type="dxa"/>
            <w:shd w:val="clear" w:color="auto" w:fill="auto"/>
          </w:tcPr>
          <w:p w14:paraId="61377613" w14:textId="77777777" w:rsidR="00C37757" w:rsidRPr="00C37757" w:rsidRDefault="00C37757" w:rsidP="00C37757">
            <w:pPr>
              <w:widowControl w:val="0"/>
              <w:spacing w:before="40" w:after="40" w:line="240" w:lineRule="auto"/>
              <w:jc w:val="center"/>
              <w:rPr>
                <w:rFonts w:ascii="Arial" w:eastAsia="Times New Roman" w:hAnsi="Arial" w:cs="Arial"/>
                <w:spacing w:val="-2"/>
                <w:sz w:val="14"/>
                <w:szCs w:val="14"/>
                <w:lang w:eastAsia="pt-BR"/>
              </w:rPr>
            </w:pPr>
          </w:p>
        </w:tc>
        <w:tc>
          <w:tcPr>
            <w:tcW w:w="1411" w:type="dxa"/>
            <w:shd w:val="clear" w:color="auto" w:fill="auto"/>
          </w:tcPr>
          <w:p w14:paraId="27B9AC04" w14:textId="77777777" w:rsidR="00C37757" w:rsidRPr="00C37757" w:rsidRDefault="00C37757" w:rsidP="00C37757">
            <w:pPr>
              <w:widowControl w:val="0"/>
              <w:spacing w:before="40" w:after="40" w:line="240" w:lineRule="auto"/>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222</w:t>
            </w:r>
          </w:p>
        </w:tc>
        <w:tc>
          <w:tcPr>
            <w:tcW w:w="1412" w:type="dxa"/>
            <w:shd w:val="clear" w:color="auto" w:fill="auto"/>
          </w:tcPr>
          <w:p w14:paraId="1908EBA0" w14:textId="77777777" w:rsidR="00C37757" w:rsidRPr="00C37757" w:rsidRDefault="00C37757" w:rsidP="00C37757">
            <w:pPr>
              <w:widowControl w:val="0"/>
              <w:spacing w:before="40" w:after="40" w:line="240" w:lineRule="auto"/>
              <w:jc w:val="right"/>
              <w:rPr>
                <w:rFonts w:ascii="Arial" w:eastAsia="Times New Roman" w:hAnsi="Arial" w:cs="Arial"/>
                <w:spacing w:val="-2"/>
                <w:sz w:val="14"/>
                <w:szCs w:val="18"/>
                <w:lang w:eastAsia="pt-BR"/>
              </w:rPr>
            </w:pPr>
            <w:r w:rsidRPr="00C37757">
              <w:rPr>
                <w:rFonts w:ascii="Arial" w:eastAsia="Times New Roman" w:hAnsi="Arial" w:cs="Arial"/>
                <w:spacing w:val="-2"/>
                <w:sz w:val="14"/>
                <w:szCs w:val="18"/>
                <w:lang w:eastAsia="pt-BR"/>
              </w:rPr>
              <w:t>961</w:t>
            </w:r>
          </w:p>
        </w:tc>
        <w:tc>
          <w:tcPr>
            <w:tcW w:w="283" w:type="dxa"/>
            <w:shd w:val="clear" w:color="auto" w:fill="auto"/>
          </w:tcPr>
          <w:p w14:paraId="06440842" w14:textId="77777777" w:rsidR="00C37757" w:rsidRPr="00C37757" w:rsidRDefault="00C37757" w:rsidP="00C37757">
            <w:pPr>
              <w:widowControl w:val="0"/>
              <w:spacing w:before="40" w:after="40" w:line="240" w:lineRule="auto"/>
              <w:jc w:val="right"/>
              <w:rPr>
                <w:rFonts w:ascii="Arial" w:eastAsia="Times New Roman" w:hAnsi="Arial" w:cs="Arial"/>
                <w:spacing w:val="-2"/>
                <w:sz w:val="14"/>
                <w:szCs w:val="14"/>
                <w:lang w:eastAsia="pt-BR"/>
              </w:rPr>
            </w:pPr>
          </w:p>
        </w:tc>
        <w:tc>
          <w:tcPr>
            <w:tcW w:w="1417" w:type="dxa"/>
            <w:shd w:val="clear" w:color="auto" w:fill="auto"/>
          </w:tcPr>
          <w:p w14:paraId="7AFD891D" w14:textId="77777777" w:rsidR="00C37757" w:rsidRPr="00C37757" w:rsidRDefault="00C37757" w:rsidP="00C37757">
            <w:pPr>
              <w:widowControl w:val="0"/>
              <w:spacing w:before="40" w:after="40" w:line="240" w:lineRule="auto"/>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(557)</w:t>
            </w:r>
          </w:p>
        </w:tc>
        <w:tc>
          <w:tcPr>
            <w:tcW w:w="1418" w:type="dxa"/>
            <w:shd w:val="clear" w:color="auto" w:fill="auto"/>
          </w:tcPr>
          <w:p w14:paraId="6B822621" w14:textId="77777777" w:rsidR="00C37757" w:rsidRPr="00C37757" w:rsidRDefault="00C37757" w:rsidP="00C37757">
            <w:pPr>
              <w:widowControl w:val="0"/>
              <w:spacing w:before="40" w:after="40" w:line="240" w:lineRule="auto"/>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626</w:t>
            </w:r>
          </w:p>
        </w:tc>
      </w:tr>
      <w:tr w:rsidR="00C37757" w:rsidRPr="00C37757" w14:paraId="6F3F1CFC" w14:textId="77777777" w:rsidTr="00C37757">
        <w:trPr>
          <w:trHeight w:val="238"/>
        </w:trPr>
        <w:tc>
          <w:tcPr>
            <w:tcW w:w="3094" w:type="dxa"/>
            <w:shd w:val="clear" w:color="auto" w:fill="auto"/>
          </w:tcPr>
          <w:p w14:paraId="6EC6A2F7" w14:textId="77777777" w:rsidR="00C37757" w:rsidRPr="00C37757" w:rsidRDefault="00C37757" w:rsidP="00C37757">
            <w:pPr>
              <w:widowControl w:val="0"/>
              <w:spacing w:before="40" w:after="40" w:line="240" w:lineRule="auto"/>
              <w:rPr>
                <w:rFonts w:ascii="Arial" w:eastAsia="Times New Roman" w:hAnsi="Arial" w:cs="Arial"/>
                <w:b/>
                <w:spacing w:val="-2"/>
                <w:sz w:val="14"/>
                <w:szCs w:val="18"/>
                <w:lang w:eastAsia="pt-BR"/>
              </w:rPr>
            </w:pPr>
            <w:r w:rsidRPr="00C37757">
              <w:rPr>
                <w:rFonts w:ascii="Arial" w:eastAsia="Times New Roman" w:hAnsi="Arial" w:cs="Arial"/>
                <w:b/>
                <w:spacing w:val="-2"/>
                <w:sz w:val="14"/>
                <w:szCs w:val="18"/>
                <w:lang w:eastAsia="pt-BR"/>
              </w:rPr>
              <w:t>Total dos Créditos Tributários Ativados</w:t>
            </w:r>
          </w:p>
        </w:tc>
        <w:tc>
          <w:tcPr>
            <w:tcW w:w="604" w:type="dxa"/>
            <w:shd w:val="clear" w:color="auto" w:fill="auto"/>
          </w:tcPr>
          <w:p w14:paraId="5566D8D6" w14:textId="77777777" w:rsidR="00C37757" w:rsidRPr="00C37757" w:rsidRDefault="00C37757" w:rsidP="00C37757">
            <w:pPr>
              <w:widowControl w:val="0"/>
              <w:spacing w:before="40" w:after="40" w:line="240" w:lineRule="auto"/>
              <w:jc w:val="center"/>
              <w:rPr>
                <w:rFonts w:ascii="Arial" w:eastAsia="Times New Roman" w:hAnsi="Arial" w:cs="Arial"/>
                <w:b/>
                <w:spacing w:val="-2"/>
                <w:sz w:val="14"/>
                <w:szCs w:val="14"/>
                <w:lang w:eastAsia="pt-BR"/>
              </w:rPr>
            </w:pPr>
          </w:p>
        </w:tc>
        <w:tc>
          <w:tcPr>
            <w:tcW w:w="1411" w:type="dxa"/>
            <w:shd w:val="clear" w:color="auto" w:fill="auto"/>
          </w:tcPr>
          <w:p w14:paraId="6599745D"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4"/>
                <w:lang w:eastAsia="pt-BR"/>
              </w:rPr>
            </w:pPr>
            <w:r w:rsidRPr="00C37757">
              <w:rPr>
                <w:rFonts w:ascii="Arial" w:eastAsia="Times New Roman" w:hAnsi="Arial" w:cs="Arial"/>
                <w:b/>
                <w:spacing w:val="-2"/>
                <w:sz w:val="14"/>
                <w:szCs w:val="14"/>
                <w:lang w:eastAsia="pt-BR"/>
              </w:rPr>
              <w:t>222</w:t>
            </w:r>
          </w:p>
        </w:tc>
        <w:tc>
          <w:tcPr>
            <w:tcW w:w="1412" w:type="dxa"/>
            <w:shd w:val="clear" w:color="auto" w:fill="auto"/>
          </w:tcPr>
          <w:p w14:paraId="4B11FFD5"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8"/>
                <w:lang w:eastAsia="pt-BR"/>
              </w:rPr>
            </w:pPr>
            <w:r w:rsidRPr="00C37757">
              <w:rPr>
                <w:rFonts w:ascii="Arial" w:eastAsia="Times New Roman" w:hAnsi="Arial" w:cs="Arial"/>
                <w:b/>
                <w:spacing w:val="-2"/>
                <w:sz w:val="14"/>
                <w:szCs w:val="18"/>
                <w:lang w:eastAsia="pt-BR"/>
              </w:rPr>
              <w:t>961</w:t>
            </w:r>
          </w:p>
        </w:tc>
        <w:tc>
          <w:tcPr>
            <w:tcW w:w="283" w:type="dxa"/>
            <w:shd w:val="clear" w:color="auto" w:fill="auto"/>
          </w:tcPr>
          <w:p w14:paraId="0C906560"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4"/>
                <w:lang w:eastAsia="pt-BR"/>
              </w:rPr>
            </w:pPr>
          </w:p>
        </w:tc>
        <w:tc>
          <w:tcPr>
            <w:tcW w:w="1417" w:type="dxa"/>
            <w:shd w:val="clear" w:color="auto" w:fill="auto"/>
          </w:tcPr>
          <w:p w14:paraId="1A8DC2EF"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4"/>
                <w:lang w:eastAsia="pt-BR"/>
              </w:rPr>
            </w:pPr>
            <w:r w:rsidRPr="00C37757">
              <w:rPr>
                <w:rFonts w:ascii="Arial" w:eastAsia="Times New Roman" w:hAnsi="Arial" w:cs="Arial"/>
                <w:b/>
                <w:spacing w:val="-2"/>
                <w:sz w:val="14"/>
                <w:szCs w:val="14"/>
                <w:lang w:eastAsia="pt-BR"/>
              </w:rPr>
              <w:t>(557)</w:t>
            </w:r>
          </w:p>
        </w:tc>
        <w:tc>
          <w:tcPr>
            <w:tcW w:w="1418" w:type="dxa"/>
            <w:shd w:val="clear" w:color="auto" w:fill="auto"/>
          </w:tcPr>
          <w:p w14:paraId="4B7C00FF"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4"/>
                <w:lang w:eastAsia="pt-BR"/>
              </w:rPr>
            </w:pPr>
            <w:r w:rsidRPr="00C37757">
              <w:rPr>
                <w:rFonts w:ascii="Arial" w:eastAsia="Times New Roman" w:hAnsi="Arial" w:cs="Arial"/>
                <w:b/>
                <w:spacing w:val="-2"/>
                <w:sz w:val="14"/>
                <w:szCs w:val="14"/>
                <w:lang w:eastAsia="pt-BR"/>
              </w:rPr>
              <w:t>626</w:t>
            </w:r>
          </w:p>
        </w:tc>
      </w:tr>
      <w:tr w:rsidR="00C37757" w:rsidRPr="00C37757" w14:paraId="7AB3B98A" w14:textId="77777777" w:rsidTr="00C37757">
        <w:trPr>
          <w:trHeight w:val="238"/>
        </w:trPr>
        <w:tc>
          <w:tcPr>
            <w:tcW w:w="3094" w:type="dxa"/>
            <w:tcBorders>
              <w:bottom w:val="nil"/>
            </w:tcBorders>
            <w:shd w:val="clear" w:color="auto" w:fill="auto"/>
          </w:tcPr>
          <w:p w14:paraId="6347F465" w14:textId="77777777" w:rsidR="00C37757" w:rsidRPr="00C37757" w:rsidRDefault="00C37757" w:rsidP="00C37757">
            <w:pPr>
              <w:widowControl w:val="0"/>
              <w:spacing w:before="40" w:after="40" w:line="240" w:lineRule="auto"/>
              <w:ind w:left="113"/>
              <w:rPr>
                <w:rFonts w:ascii="Arial" w:eastAsia="Times New Roman" w:hAnsi="Arial" w:cs="Arial"/>
                <w:spacing w:val="-2"/>
                <w:sz w:val="14"/>
                <w:szCs w:val="18"/>
                <w:lang w:eastAsia="pt-BR"/>
              </w:rPr>
            </w:pPr>
            <w:r w:rsidRPr="00C37757">
              <w:rPr>
                <w:rFonts w:ascii="Arial" w:eastAsia="Times New Roman" w:hAnsi="Arial" w:cs="Arial"/>
                <w:spacing w:val="-2"/>
                <w:sz w:val="14"/>
                <w:szCs w:val="18"/>
                <w:lang w:eastAsia="pt-BR"/>
              </w:rPr>
              <w:t>Imposto de renda</w:t>
            </w:r>
          </w:p>
        </w:tc>
        <w:tc>
          <w:tcPr>
            <w:tcW w:w="604" w:type="dxa"/>
            <w:tcBorders>
              <w:bottom w:val="nil"/>
            </w:tcBorders>
            <w:shd w:val="clear" w:color="auto" w:fill="auto"/>
          </w:tcPr>
          <w:p w14:paraId="5A77A27A" w14:textId="77777777" w:rsidR="00C37757" w:rsidRPr="00C37757" w:rsidRDefault="00C37757" w:rsidP="00C37757">
            <w:pPr>
              <w:widowControl w:val="0"/>
              <w:spacing w:before="40" w:after="40" w:line="240" w:lineRule="auto"/>
              <w:jc w:val="center"/>
              <w:rPr>
                <w:rFonts w:ascii="Arial" w:eastAsia="Times New Roman" w:hAnsi="Arial" w:cs="Arial"/>
                <w:spacing w:val="-2"/>
                <w:sz w:val="14"/>
                <w:szCs w:val="14"/>
                <w:lang w:eastAsia="pt-BR"/>
              </w:rPr>
            </w:pPr>
          </w:p>
        </w:tc>
        <w:tc>
          <w:tcPr>
            <w:tcW w:w="1411" w:type="dxa"/>
            <w:tcBorders>
              <w:bottom w:val="nil"/>
            </w:tcBorders>
            <w:shd w:val="clear" w:color="auto" w:fill="auto"/>
          </w:tcPr>
          <w:p w14:paraId="3AA10FB7" w14:textId="77777777" w:rsidR="00C37757" w:rsidRPr="00C37757" w:rsidRDefault="00C37757" w:rsidP="00C37757">
            <w:pPr>
              <w:widowControl w:val="0"/>
              <w:spacing w:before="40" w:after="40" w:line="240" w:lineRule="auto"/>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163</w:t>
            </w:r>
          </w:p>
        </w:tc>
        <w:tc>
          <w:tcPr>
            <w:tcW w:w="1412" w:type="dxa"/>
            <w:tcBorders>
              <w:bottom w:val="nil"/>
            </w:tcBorders>
            <w:shd w:val="clear" w:color="auto" w:fill="auto"/>
          </w:tcPr>
          <w:p w14:paraId="4FE4C0D0" w14:textId="77777777" w:rsidR="00C37757" w:rsidRPr="00C37757" w:rsidRDefault="00C37757" w:rsidP="00C37757">
            <w:pPr>
              <w:widowControl w:val="0"/>
              <w:spacing w:before="40" w:after="40" w:line="240" w:lineRule="auto"/>
              <w:jc w:val="right"/>
              <w:rPr>
                <w:rFonts w:ascii="Arial" w:eastAsia="Times New Roman" w:hAnsi="Arial" w:cs="Arial"/>
                <w:spacing w:val="-2"/>
                <w:sz w:val="14"/>
                <w:szCs w:val="18"/>
                <w:lang w:eastAsia="pt-BR"/>
              </w:rPr>
            </w:pPr>
            <w:r w:rsidRPr="00C37757">
              <w:rPr>
                <w:rFonts w:ascii="Arial" w:eastAsia="Times New Roman" w:hAnsi="Arial" w:cs="Arial"/>
                <w:spacing w:val="-2"/>
                <w:sz w:val="14"/>
                <w:szCs w:val="18"/>
                <w:lang w:eastAsia="pt-BR"/>
              </w:rPr>
              <w:t>707</w:t>
            </w:r>
          </w:p>
        </w:tc>
        <w:tc>
          <w:tcPr>
            <w:tcW w:w="283" w:type="dxa"/>
            <w:tcBorders>
              <w:bottom w:val="nil"/>
            </w:tcBorders>
            <w:shd w:val="clear" w:color="auto" w:fill="auto"/>
          </w:tcPr>
          <w:p w14:paraId="15C5C388" w14:textId="77777777" w:rsidR="00C37757" w:rsidRPr="00C37757" w:rsidRDefault="00C37757" w:rsidP="00C37757">
            <w:pPr>
              <w:widowControl w:val="0"/>
              <w:spacing w:before="40" w:after="40" w:line="240" w:lineRule="auto"/>
              <w:jc w:val="right"/>
              <w:rPr>
                <w:rFonts w:ascii="Arial" w:eastAsia="Times New Roman" w:hAnsi="Arial" w:cs="Arial"/>
                <w:spacing w:val="-2"/>
                <w:sz w:val="14"/>
                <w:szCs w:val="14"/>
                <w:lang w:eastAsia="pt-BR"/>
              </w:rPr>
            </w:pPr>
          </w:p>
        </w:tc>
        <w:tc>
          <w:tcPr>
            <w:tcW w:w="1417" w:type="dxa"/>
            <w:tcBorders>
              <w:bottom w:val="nil"/>
            </w:tcBorders>
            <w:shd w:val="clear" w:color="auto" w:fill="auto"/>
          </w:tcPr>
          <w:p w14:paraId="5EEAF552" w14:textId="77777777" w:rsidR="00C37757" w:rsidRPr="00C37757" w:rsidRDefault="00C37757" w:rsidP="00C37757">
            <w:pPr>
              <w:widowControl w:val="0"/>
              <w:spacing w:before="40" w:after="40" w:line="240" w:lineRule="auto"/>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(409)</w:t>
            </w:r>
          </w:p>
        </w:tc>
        <w:tc>
          <w:tcPr>
            <w:tcW w:w="1418" w:type="dxa"/>
            <w:tcBorders>
              <w:bottom w:val="nil"/>
            </w:tcBorders>
            <w:shd w:val="clear" w:color="auto" w:fill="auto"/>
          </w:tcPr>
          <w:p w14:paraId="76D23E7A" w14:textId="77777777" w:rsidR="00C37757" w:rsidRPr="00C37757" w:rsidRDefault="00C37757" w:rsidP="00C37757">
            <w:pPr>
              <w:widowControl w:val="0"/>
              <w:spacing w:before="40" w:after="40" w:line="240" w:lineRule="auto"/>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461</w:t>
            </w:r>
          </w:p>
        </w:tc>
      </w:tr>
      <w:tr w:rsidR="00C37757" w:rsidRPr="00C37757" w14:paraId="767FCC62" w14:textId="77777777" w:rsidTr="00C37757">
        <w:trPr>
          <w:trHeight w:val="238"/>
        </w:trPr>
        <w:tc>
          <w:tcPr>
            <w:tcW w:w="3094" w:type="dxa"/>
            <w:tcBorders>
              <w:top w:val="nil"/>
              <w:bottom w:val="single" w:sz="2" w:space="0" w:color="1F4E79"/>
            </w:tcBorders>
            <w:shd w:val="clear" w:color="auto" w:fill="auto"/>
          </w:tcPr>
          <w:p w14:paraId="5BE1E0A3" w14:textId="77777777" w:rsidR="00C37757" w:rsidRPr="00C37757" w:rsidRDefault="00C37757" w:rsidP="00C37757">
            <w:pPr>
              <w:widowControl w:val="0"/>
              <w:spacing w:before="40" w:after="40" w:line="240" w:lineRule="auto"/>
              <w:ind w:left="113"/>
              <w:rPr>
                <w:rFonts w:ascii="Arial" w:eastAsia="Times New Roman" w:hAnsi="Arial" w:cs="Arial"/>
                <w:spacing w:val="-2"/>
                <w:sz w:val="14"/>
                <w:szCs w:val="18"/>
                <w:lang w:eastAsia="pt-BR"/>
              </w:rPr>
            </w:pPr>
            <w:r w:rsidRPr="00C37757">
              <w:rPr>
                <w:rFonts w:ascii="Arial" w:eastAsia="Times New Roman" w:hAnsi="Arial" w:cs="Arial"/>
                <w:spacing w:val="-2"/>
                <w:sz w:val="14"/>
                <w:szCs w:val="18"/>
                <w:lang w:eastAsia="pt-BR"/>
              </w:rPr>
              <w:t>Contribuição social</w:t>
            </w:r>
          </w:p>
        </w:tc>
        <w:tc>
          <w:tcPr>
            <w:tcW w:w="604" w:type="dxa"/>
            <w:tcBorders>
              <w:top w:val="nil"/>
              <w:bottom w:val="single" w:sz="2" w:space="0" w:color="1F4E79"/>
            </w:tcBorders>
            <w:shd w:val="clear" w:color="auto" w:fill="auto"/>
          </w:tcPr>
          <w:p w14:paraId="0373B0A6" w14:textId="77777777" w:rsidR="00C37757" w:rsidRPr="00C37757" w:rsidRDefault="00C37757" w:rsidP="00C37757">
            <w:pPr>
              <w:widowControl w:val="0"/>
              <w:spacing w:before="40" w:after="40" w:line="240" w:lineRule="auto"/>
              <w:jc w:val="center"/>
              <w:rPr>
                <w:rFonts w:ascii="Arial" w:eastAsia="Times New Roman" w:hAnsi="Arial" w:cs="Arial"/>
                <w:spacing w:val="-2"/>
                <w:sz w:val="14"/>
                <w:szCs w:val="14"/>
                <w:lang w:eastAsia="pt-BR"/>
              </w:rPr>
            </w:pPr>
          </w:p>
        </w:tc>
        <w:tc>
          <w:tcPr>
            <w:tcW w:w="1411" w:type="dxa"/>
            <w:tcBorders>
              <w:top w:val="nil"/>
              <w:bottom w:val="single" w:sz="2" w:space="0" w:color="1F4E79"/>
            </w:tcBorders>
            <w:shd w:val="clear" w:color="auto" w:fill="auto"/>
          </w:tcPr>
          <w:p w14:paraId="084C8535" w14:textId="77777777" w:rsidR="00C37757" w:rsidRPr="00C37757" w:rsidRDefault="00C37757" w:rsidP="00C37757">
            <w:pPr>
              <w:widowControl w:val="0"/>
              <w:spacing w:before="40" w:after="40" w:line="240" w:lineRule="auto"/>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59</w:t>
            </w:r>
          </w:p>
        </w:tc>
        <w:tc>
          <w:tcPr>
            <w:tcW w:w="1412" w:type="dxa"/>
            <w:tcBorders>
              <w:top w:val="nil"/>
              <w:bottom w:val="single" w:sz="2" w:space="0" w:color="1F4E79"/>
            </w:tcBorders>
            <w:shd w:val="clear" w:color="auto" w:fill="auto"/>
          </w:tcPr>
          <w:p w14:paraId="7A9EFEDE" w14:textId="77777777" w:rsidR="00C37757" w:rsidRPr="00C37757" w:rsidRDefault="00C37757" w:rsidP="00C37757">
            <w:pPr>
              <w:widowControl w:val="0"/>
              <w:spacing w:before="40" w:after="40" w:line="240" w:lineRule="auto"/>
              <w:jc w:val="right"/>
              <w:rPr>
                <w:rFonts w:ascii="Arial" w:eastAsia="Times New Roman" w:hAnsi="Arial" w:cs="Arial"/>
                <w:spacing w:val="-2"/>
                <w:sz w:val="14"/>
                <w:szCs w:val="18"/>
                <w:lang w:eastAsia="pt-BR"/>
              </w:rPr>
            </w:pPr>
            <w:r w:rsidRPr="00C37757">
              <w:rPr>
                <w:rFonts w:ascii="Arial" w:eastAsia="Times New Roman" w:hAnsi="Arial" w:cs="Arial"/>
                <w:spacing w:val="-2"/>
                <w:sz w:val="14"/>
                <w:szCs w:val="18"/>
                <w:lang w:eastAsia="pt-BR"/>
              </w:rPr>
              <w:t>254</w:t>
            </w:r>
          </w:p>
        </w:tc>
        <w:tc>
          <w:tcPr>
            <w:tcW w:w="283" w:type="dxa"/>
            <w:tcBorders>
              <w:top w:val="nil"/>
              <w:bottom w:val="single" w:sz="2" w:space="0" w:color="1F4E79"/>
            </w:tcBorders>
            <w:shd w:val="clear" w:color="auto" w:fill="auto"/>
          </w:tcPr>
          <w:p w14:paraId="40A488D4" w14:textId="77777777" w:rsidR="00C37757" w:rsidRPr="00C37757" w:rsidRDefault="00C37757" w:rsidP="00C37757">
            <w:pPr>
              <w:widowControl w:val="0"/>
              <w:spacing w:before="40" w:after="40" w:line="240" w:lineRule="auto"/>
              <w:jc w:val="right"/>
              <w:rPr>
                <w:rFonts w:ascii="Arial" w:eastAsia="Times New Roman" w:hAnsi="Arial" w:cs="Arial"/>
                <w:spacing w:val="-2"/>
                <w:sz w:val="14"/>
                <w:szCs w:val="14"/>
                <w:lang w:eastAsia="pt-BR"/>
              </w:rPr>
            </w:pPr>
          </w:p>
        </w:tc>
        <w:tc>
          <w:tcPr>
            <w:tcW w:w="1417" w:type="dxa"/>
            <w:tcBorders>
              <w:top w:val="nil"/>
              <w:bottom w:val="single" w:sz="2" w:space="0" w:color="1F4E79"/>
            </w:tcBorders>
            <w:shd w:val="clear" w:color="auto" w:fill="auto"/>
          </w:tcPr>
          <w:p w14:paraId="0322025D" w14:textId="77777777" w:rsidR="00C37757" w:rsidRPr="00C37757" w:rsidRDefault="00C37757" w:rsidP="00C37757">
            <w:pPr>
              <w:widowControl w:val="0"/>
              <w:spacing w:before="40" w:after="40" w:line="240" w:lineRule="auto"/>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(148)</w:t>
            </w:r>
          </w:p>
        </w:tc>
        <w:tc>
          <w:tcPr>
            <w:tcW w:w="1418" w:type="dxa"/>
            <w:tcBorders>
              <w:top w:val="nil"/>
              <w:bottom w:val="single" w:sz="2" w:space="0" w:color="1F4E79"/>
            </w:tcBorders>
            <w:shd w:val="clear" w:color="auto" w:fill="auto"/>
          </w:tcPr>
          <w:p w14:paraId="4AC158FD" w14:textId="77777777" w:rsidR="00C37757" w:rsidRPr="00C37757" w:rsidRDefault="00C37757" w:rsidP="00C37757">
            <w:pPr>
              <w:widowControl w:val="0"/>
              <w:spacing w:before="40" w:after="40" w:line="240" w:lineRule="auto"/>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165</w:t>
            </w:r>
          </w:p>
        </w:tc>
      </w:tr>
    </w:tbl>
    <w:p w14:paraId="1FD0C0B7" w14:textId="77777777" w:rsidR="00C37757" w:rsidRPr="00C37757" w:rsidRDefault="00C37757" w:rsidP="00C37757">
      <w:pPr>
        <w:widowControl w:val="0"/>
        <w:spacing w:after="0" w:line="240" w:lineRule="auto"/>
        <w:jc w:val="right"/>
        <w:rPr>
          <w:rFonts w:ascii="Arial" w:eastAsia="MS Mincho" w:hAnsi="Arial" w:cs="Arial"/>
          <w:b/>
          <w:sz w:val="14"/>
          <w:szCs w:val="22"/>
          <w:lang w:eastAsia="pt-BR"/>
        </w:rPr>
      </w:pPr>
    </w:p>
    <w:p w14:paraId="267E02BA" w14:textId="77777777" w:rsidR="00C37757" w:rsidRPr="00C37757" w:rsidRDefault="00C37757" w:rsidP="00C37757">
      <w:pPr>
        <w:widowControl w:val="0"/>
        <w:spacing w:after="0" w:line="240" w:lineRule="auto"/>
        <w:jc w:val="right"/>
        <w:rPr>
          <w:rFonts w:ascii="Arial" w:eastAsia="MS Mincho" w:hAnsi="Arial" w:cs="Arial"/>
          <w:b/>
          <w:sz w:val="14"/>
          <w:szCs w:val="22"/>
          <w:lang w:eastAsia="pt-BR"/>
        </w:rPr>
      </w:pPr>
      <w:r w:rsidRPr="00C37757">
        <w:rPr>
          <w:rFonts w:ascii="Arial" w:eastAsia="MS Mincho" w:hAnsi="Arial" w:cs="Arial"/>
          <w:b/>
          <w:sz w:val="14"/>
          <w:szCs w:val="22"/>
          <w:lang w:eastAsia="pt-BR"/>
        </w:rPr>
        <w:t>R$ mil</w:t>
      </w:r>
    </w:p>
    <w:tbl>
      <w:tblPr>
        <w:tblW w:w="9639" w:type="dxa"/>
        <w:tblBorders>
          <w:top w:val="single" w:sz="2" w:space="0" w:color="8EAADB"/>
          <w:bottom w:val="single" w:sz="2" w:space="0" w:color="8EAADB"/>
        </w:tblBorders>
        <w:tblLook w:val="04A0" w:firstRow="1" w:lastRow="0" w:firstColumn="1" w:lastColumn="0" w:noHBand="0" w:noVBand="1"/>
      </w:tblPr>
      <w:tblGrid>
        <w:gridCol w:w="3094"/>
        <w:gridCol w:w="604"/>
        <w:gridCol w:w="1411"/>
        <w:gridCol w:w="1412"/>
        <w:gridCol w:w="283"/>
        <w:gridCol w:w="1417"/>
        <w:gridCol w:w="1418"/>
      </w:tblGrid>
      <w:tr w:rsidR="00C37757" w:rsidRPr="00C37757" w14:paraId="26DA13EF" w14:textId="77777777" w:rsidTr="00C37757">
        <w:trPr>
          <w:trHeight w:val="238"/>
        </w:trPr>
        <w:tc>
          <w:tcPr>
            <w:tcW w:w="3094" w:type="dxa"/>
            <w:tcBorders>
              <w:top w:val="single" w:sz="2" w:space="0" w:color="1F4E79"/>
              <w:bottom w:val="nil"/>
            </w:tcBorders>
            <w:shd w:val="clear" w:color="auto" w:fill="auto"/>
            <w:vAlign w:val="center"/>
          </w:tcPr>
          <w:p w14:paraId="4B3B4FAB" w14:textId="77777777" w:rsidR="00C37757" w:rsidRPr="00C37757" w:rsidRDefault="00C37757" w:rsidP="00C37757">
            <w:pPr>
              <w:widowControl w:val="0"/>
              <w:spacing w:after="0" w:line="276" w:lineRule="auto"/>
              <w:jc w:val="center"/>
              <w:rPr>
                <w:rFonts w:ascii="Arial" w:eastAsia="MS Mincho" w:hAnsi="Arial" w:cs="Arial"/>
                <w:b/>
                <w:sz w:val="18"/>
                <w:szCs w:val="18"/>
              </w:rPr>
            </w:pPr>
          </w:p>
        </w:tc>
        <w:tc>
          <w:tcPr>
            <w:tcW w:w="604" w:type="dxa"/>
            <w:tcBorders>
              <w:top w:val="single" w:sz="2" w:space="0" w:color="1F4E79"/>
              <w:bottom w:val="nil"/>
            </w:tcBorders>
            <w:shd w:val="clear" w:color="auto" w:fill="auto"/>
            <w:vAlign w:val="center"/>
          </w:tcPr>
          <w:p w14:paraId="3D6C3281" w14:textId="77777777" w:rsidR="00C37757" w:rsidRPr="00C37757" w:rsidRDefault="00C37757" w:rsidP="00C37757">
            <w:pPr>
              <w:widowControl w:val="0"/>
              <w:spacing w:after="0" w:line="276" w:lineRule="auto"/>
              <w:jc w:val="center"/>
              <w:rPr>
                <w:rFonts w:ascii="Arial" w:eastAsia="MS Mincho" w:hAnsi="Arial" w:cs="Arial"/>
                <w:b/>
                <w:sz w:val="18"/>
                <w:szCs w:val="18"/>
              </w:rPr>
            </w:pPr>
          </w:p>
        </w:tc>
        <w:tc>
          <w:tcPr>
            <w:tcW w:w="5941" w:type="dxa"/>
            <w:gridSpan w:val="5"/>
            <w:tcBorders>
              <w:top w:val="single" w:sz="2" w:space="0" w:color="1F4E79"/>
              <w:bottom w:val="single" w:sz="2" w:space="0" w:color="1F4E79"/>
            </w:tcBorders>
            <w:shd w:val="clear" w:color="auto" w:fill="auto"/>
            <w:vAlign w:val="center"/>
          </w:tcPr>
          <w:p w14:paraId="7ADA6177" w14:textId="77777777" w:rsidR="00C37757" w:rsidRPr="00C37757" w:rsidRDefault="00C37757" w:rsidP="00C37757">
            <w:pPr>
              <w:widowControl w:val="0"/>
              <w:spacing w:after="0" w:line="276" w:lineRule="auto"/>
              <w:jc w:val="center"/>
              <w:rPr>
                <w:rFonts w:ascii="Arial" w:eastAsia="MS Mincho" w:hAnsi="Arial" w:cs="Arial"/>
                <w:b/>
                <w:sz w:val="14"/>
                <w:szCs w:val="14"/>
              </w:rPr>
            </w:pPr>
            <w:r w:rsidRPr="00C37757">
              <w:rPr>
                <w:rFonts w:ascii="Arial" w:eastAsia="MS Mincho" w:hAnsi="Arial" w:cs="Arial"/>
                <w:b/>
                <w:sz w:val="14"/>
                <w:szCs w:val="14"/>
              </w:rPr>
              <w:t>Controlador</w:t>
            </w:r>
          </w:p>
        </w:tc>
      </w:tr>
      <w:tr w:rsidR="00C37757" w:rsidRPr="00C37757" w14:paraId="68A6A51C" w14:textId="77777777" w:rsidTr="00C37757">
        <w:trPr>
          <w:trHeight w:val="238"/>
        </w:trPr>
        <w:tc>
          <w:tcPr>
            <w:tcW w:w="3094" w:type="dxa"/>
            <w:tcBorders>
              <w:top w:val="nil"/>
              <w:bottom w:val="single" w:sz="2" w:space="0" w:color="1F4E79"/>
            </w:tcBorders>
            <w:shd w:val="clear" w:color="auto" w:fill="auto"/>
            <w:vAlign w:val="center"/>
          </w:tcPr>
          <w:p w14:paraId="173B7B7D" w14:textId="77777777" w:rsidR="00C37757" w:rsidRPr="00C37757" w:rsidRDefault="00C37757" w:rsidP="00C37757">
            <w:pPr>
              <w:widowControl w:val="0"/>
              <w:spacing w:before="40" w:after="40" w:line="240" w:lineRule="auto"/>
              <w:jc w:val="center"/>
              <w:rPr>
                <w:rFonts w:ascii="Arial" w:eastAsia="Times New Roman" w:hAnsi="Arial" w:cs="Arial"/>
                <w:b/>
                <w:spacing w:val="-2"/>
                <w:sz w:val="14"/>
                <w:szCs w:val="18"/>
                <w:lang w:eastAsia="pt-BR"/>
              </w:rPr>
            </w:pPr>
          </w:p>
        </w:tc>
        <w:tc>
          <w:tcPr>
            <w:tcW w:w="604" w:type="dxa"/>
            <w:tcBorders>
              <w:top w:val="nil"/>
              <w:bottom w:val="single" w:sz="2" w:space="0" w:color="1F4E79"/>
            </w:tcBorders>
            <w:shd w:val="clear" w:color="auto" w:fill="auto"/>
            <w:vAlign w:val="center"/>
          </w:tcPr>
          <w:p w14:paraId="5FFD1EB5" w14:textId="77777777" w:rsidR="00C37757" w:rsidRPr="00C37757" w:rsidRDefault="00C37757" w:rsidP="00C37757">
            <w:pPr>
              <w:widowControl w:val="0"/>
              <w:spacing w:before="40" w:after="40" w:line="240" w:lineRule="auto"/>
              <w:jc w:val="center"/>
              <w:rPr>
                <w:rFonts w:ascii="Arial" w:eastAsia="Times New Roman" w:hAnsi="Arial" w:cs="Arial"/>
                <w:b/>
                <w:spacing w:val="-2"/>
                <w:sz w:val="14"/>
                <w:szCs w:val="18"/>
                <w:lang w:eastAsia="pt-BR"/>
              </w:rPr>
            </w:pPr>
          </w:p>
        </w:tc>
        <w:tc>
          <w:tcPr>
            <w:tcW w:w="1411" w:type="dxa"/>
            <w:tcBorders>
              <w:top w:val="single" w:sz="2" w:space="0" w:color="1F4E79"/>
              <w:bottom w:val="single" w:sz="2" w:space="0" w:color="1F4E79"/>
            </w:tcBorders>
            <w:shd w:val="clear" w:color="auto" w:fill="auto"/>
            <w:vAlign w:val="center"/>
          </w:tcPr>
          <w:p w14:paraId="0C8FFDB8"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8"/>
                <w:lang w:eastAsia="pt-BR"/>
              </w:rPr>
            </w:pPr>
            <w:r w:rsidRPr="00C37757">
              <w:rPr>
                <w:rFonts w:ascii="Arial" w:eastAsia="Times New Roman" w:hAnsi="Arial" w:cs="Arial"/>
                <w:b/>
                <w:spacing w:val="-2"/>
                <w:sz w:val="14"/>
                <w:szCs w:val="18"/>
                <w:lang w:eastAsia="pt-BR"/>
              </w:rPr>
              <w:t>31.12.2022</w:t>
            </w:r>
          </w:p>
        </w:tc>
        <w:tc>
          <w:tcPr>
            <w:tcW w:w="1412" w:type="dxa"/>
            <w:tcBorders>
              <w:top w:val="single" w:sz="2" w:space="0" w:color="1F4E79"/>
              <w:bottom w:val="single" w:sz="2" w:space="0" w:color="1F4E79"/>
            </w:tcBorders>
            <w:shd w:val="clear" w:color="auto" w:fill="auto"/>
            <w:vAlign w:val="center"/>
          </w:tcPr>
          <w:p w14:paraId="0B0527E8"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8"/>
                <w:lang w:eastAsia="pt-BR"/>
              </w:rPr>
            </w:pPr>
            <w:r w:rsidRPr="00C37757">
              <w:rPr>
                <w:rFonts w:ascii="Arial" w:eastAsia="Times New Roman" w:hAnsi="Arial" w:cs="Arial"/>
                <w:b/>
                <w:spacing w:val="-2"/>
                <w:sz w:val="14"/>
                <w:szCs w:val="18"/>
                <w:lang w:eastAsia="pt-BR"/>
              </w:rPr>
              <w:t>Constituição</w:t>
            </w:r>
          </w:p>
        </w:tc>
        <w:tc>
          <w:tcPr>
            <w:tcW w:w="283" w:type="dxa"/>
            <w:tcBorders>
              <w:top w:val="single" w:sz="2" w:space="0" w:color="1F4E79"/>
              <w:bottom w:val="single" w:sz="2" w:space="0" w:color="1F4E79"/>
            </w:tcBorders>
            <w:shd w:val="clear" w:color="auto" w:fill="auto"/>
            <w:vAlign w:val="center"/>
          </w:tcPr>
          <w:p w14:paraId="5FD89B43"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8"/>
                <w:lang w:eastAsia="pt-BR"/>
              </w:rPr>
            </w:pPr>
          </w:p>
        </w:tc>
        <w:tc>
          <w:tcPr>
            <w:tcW w:w="1417" w:type="dxa"/>
            <w:tcBorders>
              <w:top w:val="single" w:sz="2" w:space="0" w:color="1F4E79"/>
              <w:bottom w:val="single" w:sz="2" w:space="0" w:color="1F4E79"/>
            </w:tcBorders>
            <w:shd w:val="clear" w:color="auto" w:fill="auto"/>
            <w:vAlign w:val="center"/>
          </w:tcPr>
          <w:p w14:paraId="13C94B16"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8"/>
                <w:lang w:eastAsia="pt-BR"/>
              </w:rPr>
            </w:pPr>
            <w:r w:rsidRPr="00C37757">
              <w:rPr>
                <w:rFonts w:ascii="Arial" w:eastAsia="Times New Roman" w:hAnsi="Arial" w:cs="Arial"/>
                <w:b/>
                <w:spacing w:val="-2"/>
                <w:sz w:val="14"/>
                <w:szCs w:val="18"/>
                <w:lang w:eastAsia="pt-BR"/>
              </w:rPr>
              <w:t>Baixa</w:t>
            </w:r>
          </w:p>
        </w:tc>
        <w:tc>
          <w:tcPr>
            <w:tcW w:w="1418" w:type="dxa"/>
            <w:tcBorders>
              <w:top w:val="single" w:sz="2" w:space="0" w:color="1F4E79"/>
              <w:bottom w:val="single" w:sz="2" w:space="0" w:color="1F4E79"/>
            </w:tcBorders>
            <w:shd w:val="clear" w:color="auto" w:fill="auto"/>
            <w:vAlign w:val="center"/>
          </w:tcPr>
          <w:p w14:paraId="2C523421"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8"/>
                <w:lang w:eastAsia="pt-BR"/>
              </w:rPr>
            </w:pPr>
            <w:r w:rsidRPr="00C37757">
              <w:rPr>
                <w:rFonts w:ascii="Arial" w:eastAsia="Times New Roman" w:hAnsi="Arial" w:cs="Arial"/>
                <w:b/>
                <w:spacing w:val="-2"/>
                <w:sz w:val="14"/>
                <w:szCs w:val="18"/>
                <w:lang w:eastAsia="pt-BR"/>
              </w:rPr>
              <w:t>31.12.2023</w:t>
            </w:r>
          </w:p>
        </w:tc>
      </w:tr>
      <w:tr w:rsidR="00C37757" w:rsidRPr="00C37757" w14:paraId="1409DBAA" w14:textId="77777777" w:rsidTr="00C37757">
        <w:trPr>
          <w:trHeight w:val="238"/>
        </w:trPr>
        <w:tc>
          <w:tcPr>
            <w:tcW w:w="3094" w:type="dxa"/>
            <w:tcBorders>
              <w:top w:val="single" w:sz="2" w:space="0" w:color="1F4E79"/>
            </w:tcBorders>
            <w:shd w:val="clear" w:color="auto" w:fill="auto"/>
          </w:tcPr>
          <w:p w14:paraId="5C191C2E" w14:textId="77777777" w:rsidR="00C37757" w:rsidRPr="00C37757" w:rsidRDefault="00C37757" w:rsidP="00C37757">
            <w:pPr>
              <w:widowControl w:val="0"/>
              <w:spacing w:before="40" w:after="40" w:line="240" w:lineRule="auto"/>
              <w:rPr>
                <w:rFonts w:ascii="Arial" w:eastAsia="Times New Roman" w:hAnsi="Arial" w:cs="Arial"/>
                <w:b/>
                <w:bCs/>
                <w:spacing w:val="-2"/>
                <w:sz w:val="14"/>
                <w:szCs w:val="14"/>
                <w:lang w:eastAsia="pt-BR"/>
              </w:rPr>
            </w:pPr>
            <w:r w:rsidRPr="00C37757">
              <w:rPr>
                <w:rFonts w:ascii="Arial" w:eastAsia="Times New Roman" w:hAnsi="Arial" w:cs="Arial"/>
                <w:b/>
                <w:bCs/>
                <w:spacing w:val="-2"/>
                <w:sz w:val="14"/>
                <w:szCs w:val="14"/>
                <w:lang w:eastAsia="pt-BR"/>
              </w:rPr>
              <w:t>Diferenças Temporárias</w:t>
            </w:r>
          </w:p>
        </w:tc>
        <w:tc>
          <w:tcPr>
            <w:tcW w:w="604" w:type="dxa"/>
            <w:tcBorders>
              <w:top w:val="single" w:sz="2" w:space="0" w:color="1F4E79"/>
            </w:tcBorders>
            <w:shd w:val="clear" w:color="auto" w:fill="auto"/>
          </w:tcPr>
          <w:p w14:paraId="4A5AF7F6" w14:textId="77777777" w:rsidR="00C37757" w:rsidRPr="00C37757" w:rsidRDefault="00C37757" w:rsidP="00C37757">
            <w:pPr>
              <w:widowControl w:val="0"/>
              <w:spacing w:before="40" w:after="40" w:line="240" w:lineRule="auto"/>
              <w:rPr>
                <w:rFonts w:ascii="Arial" w:eastAsia="Times New Roman" w:hAnsi="Arial" w:cs="Arial"/>
                <w:b/>
                <w:bCs/>
                <w:spacing w:val="-2"/>
                <w:sz w:val="14"/>
                <w:szCs w:val="14"/>
                <w:lang w:eastAsia="pt-BR"/>
              </w:rPr>
            </w:pPr>
          </w:p>
        </w:tc>
        <w:tc>
          <w:tcPr>
            <w:tcW w:w="1411" w:type="dxa"/>
            <w:tcBorders>
              <w:top w:val="single" w:sz="2" w:space="0" w:color="1F4E79"/>
            </w:tcBorders>
            <w:shd w:val="clear" w:color="auto" w:fill="auto"/>
          </w:tcPr>
          <w:p w14:paraId="1EE77DBF" w14:textId="77777777" w:rsidR="00C37757" w:rsidRPr="00C37757" w:rsidRDefault="00C37757" w:rsidP="00C37757">
            <w:pPr>
              <w:widowControl w:val="0"/>
              <w:spacing w:before="40" w:after="40" w:line="240" w:lineRule="auto"/>
              <w:jc w:val="right"/>
              <w:rPr>
                <w:rFonts w:ascii="Arial" w:eastAsia="Times New Roman" w:hAnsi="Arial" w:cs="Arial"/>
                <w:b/>
                <w:bCs/>
                <w:spacing w:val="-2"/>
                <w:sz w:val="14"/>
                <w:szCs w:val="14"/>
                <w:lang w:eastAsia="pt-BR"/>
              </w:rPr>
            </w:pPr>
          </w:p>
        </w:tc>
        <w:tc>
          <w:tcPr>
            <w:tcW w:w="1412" w:type="dxa"/>
            <w:tcBorders>
              <w:top w:val="single" w:sz="2" w:space="0" w:color="1F4E79"/>
            </w:tcBorders>
            <w:shd w:val="clear" w:color="auto" w:fill="auto"/>
          </w:tcPr>
          <w:p w14:paraId="31CFD903" w14:textId="77777777" w:rsidR="00C37757" w:rsidRPr="00C37757" w:rsidRDefault="00C37757" w:rsidP="00C37757">
            <w:pPr>
              <w:widowControl w:val="0"/>
              <w:spacing w:before="40" w:after="40" w:line="240" w:lineRule="auto"/>
              <w:jc w:val="right"/>
              <w:rPr>
                <w:rFonts w:ascii="Arial" w:eastAsia="Times New Roman" w:hAnsi="Arial" w:cs="Arial"/>
                <w:b/>
                <w:bCs/>
                <w:spacing w:val="-2"/>
                <w:sz w:val="14"/>
                <w:szCs w:val="14"/>
                <w:lang w:eastAsia="pt-BR"/>
              </w:rPr>
            </w:pPr>
          </w:p>
        </w:tc>
        <w:tc>
          <w:tcPr>
            <w:tcW w:w="283" w:type="dxa"/>
            <w:tcBorders>
              <w:top w:val="single" w:sz="2" w:space="0" w:color="1F4E79"/>
            </w:tcBorders>
            <w:shd w:val="clear" w:color="auto" w:fill="auto"/>
          </w:tcPr>
          <w:p w14:paraId="0DC50CA7" w14:textId="77777777" w:rsidR="00C37757" w:rsidRPr="00C37757" w:rsidRDefault="00C37757" w:rsidP="00C37757">
            <w:pPr>
              <w:widowControl w:val="0"/>
              <w:spacing w:before="40" w:after="40" w:line="240" w:lineRule="auto"/>
              <w:rPr>
                <w:rFonts w:ascii="Arial" w:eastAsia="Times New Roman" w:hAnsi="Arial" w:cs="Arial"/>
                <w:b/>
                <w:bCs/>
                <w:spacing w:val="-2"/>
                <w:sz w:val="14"/>
                <w:szCs w:val="14"/>
                <w:lang w:eastAsia="pt-BR"/>
              </w:rPr>
            </w:pPr>
          </w:p>
        </w:tc>
        <w:tc>
          <w:tcPr>
            <w:tcW w:w="1417" w:type="dxa"/>
            <w:tcBorders>
              <w:top w:val="single" w:sz="2" w:space="0" w:color="1F4E79"/>
            </w:tcBorders>
            <w:shd w:val="clear" w:color="auto" w:fill="auto"/>
          </w:tcPr>
          <w:p w14:paraId="5B831DDC" w14:textId="77777777" w:rsidR="00C37757" w:rsidRPr="00C37757" w:rsidRDefault="00C37757" w:rsidP="00C37757">
            <w:pPr>
              <w:widowControl w:val="0"/>
              <w:spacing w:before="40" w:after="40" w:line="240" w:lineRule="auto"/>
              <w:jc w:val="right"/>
              <w:rPr>
                <w:rFonts w:ascii="Arial" w:eastAsia="Times New Roman" w:hAnsi="Arial" w:cs="Arial"/>
                <w:b/>
                <w:bCs/>
                <w:spacing w:val="-2"/>
                <w:sz w:val="14"/>
                <w:szCs w:val="14"/>
                <w:lang w:eastAsia="pt-BR"/>
              </w:rPr>
            </w:pPr>
          </w:p>
        </w:tc>
        <w:tc>
          <w:tcPr>
            <w:tcW w:w="1418" w:type="dxa"/>
            <w:tcBorders>
              <w:top w:val="single" w:sz="2" w:space="0" w:color="1F4E79"/>
            </w:tcBorders>
            <w:shd w:val="clear" w:color="auto" w:fill="auto"/>
          </w:tcPr>
          <w:p w14:paraId="501D6DCB" w14:textId="77777777" w:rsidR="00C37757" w:rsidRPr="00C37757" w:rsidRDefault="00C37757" w:rsidP="00C37757">
            <w:pPr>
              <w:widowControl w:val="0"/>
              <w:spacing w:before="40" w:after="40" w:line="240" w:lineRule="auto"/>
              <w:jc w:val="right"/>
              <w:rPr>
                <w:rFonts w:ascii="Arial" w:eastAsia="Times New Roman" w:hAnsi="Arial" w:cs="Arial"/>
                <w:b/>
                <w:bCs/>
                <w:spacing w:val="-2"/>
                <w:sz w:val="14"/>
                <w:szCs w:val="14"/>
                <w:lang w:eastAsia="pt-BR"/>
              </w:rPr>
            </w:pPr>
          </w:p>
        </w:tc>
      </w:tr>
      <w:tr w:rsidR="00C37757" w:rsidRPr="00C37757" w14:paraId="320D65A6" w14:textId="77777777" w:rsidTr="00C37757">
        <w:trPr>
          <w:trHeight w:val="238"/>
        </w:trPr>
        <w:tc>
          <w:tcPr>
            <w:tcW w:w="3094" w:type="dxa"/>
            <w:shd w:val="clear" w:color="auto" w:fill="auto"/>
          </w:tcPr>
          <w:p w14:paraId="593CD735" w14:textId="77777777" w:rsidR="00C37757" w:rsidRPr="00C37757" w:rsidRDefault="00C37757" w:rsidP="00C37757">
            <w:pPr>
              <w:widowControl w:val="0"/>
              <w:spacing w:before="40" w:after="40" w:line="240" w:lineRule="auto"/>
              <w:ind w:left="113"/>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Provisões passivas</w:t>
            </w:r>
          </w:p>
        </w:tc>
        <w:tc>
          <w:tcPr>
            <w:tcW w:w="604" w:type="dxa"/>
            <w:shd w:val="clear" w:color="auto" w:fill="auto"/>
          </w:tcPr>
          <w:p w14:paraId="0E18ECEA" w14:textId="77777777" w:rsidR="00C37757" w:rsidRPr="00C37757" w:rsidRDefault="00C37757" w:rsidP="00C37757">
            <w:pPr>
              <w:widowControl w:val="0"/>
              <w:spacing w:before="40" w:after="40" w:line="240" w:lineRule="auto"/>
              <w:jc w:val="center"/>
              <w:rPr>
                <w:rFonts w:ascii="Arial" w:eastAsia="Times New Roman" w:hAnsi="Arial" w:cs="Arial"/>
                <w:spacing w:val="-2"/>
                <w:sz w:val="14"/>
                <w:szCs w:val="14"/>
                <w:lang w:eastAsia="pt-BR"/>
              </w:rPr>
            </w:pPr>
          </w:p>
        </w:tc>
        <w:tc>
          <w:tcPr>
            <w:tcW w:w="1411" w:type="dxa"/>
            <w:shd w:val="clear" w:color="auto" w:fill="auto"/>
          </w:tcPr>
          <w:p w14:paraId="6D458C9F" w14:textId="77777777" w:rsidR="00C37757" w:rsidRPr="00C37757" w:rsidRDefault="00C37757" w:rsidP="00C37757">
            <w:pPr>
              <w:widowControl w:val="0"/>
              <w:spacing w:before="40" w:after="40" w:line="240" w:lineRule="auto"/>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28</w:t>
            </w:r>
          </w:p>
        </w:tc>
        <w:tc>
          <w:tcPr>
            <w:tcW w:w="1412" w:type="dxa"/>
            <w:shd w:val="clear" w:color="auto" w:fill="auto"/>
          </w:tcPr>
          <w:p w14:paraId="203091C5" w14:textId="77777777" w:rsidR="00C37757" w:rsidRPr="00C37757" w:rsidRDefault="00C37757" w:rsidP="00C37757">
            <w:pPr>
              <w:widowControl w:val="0"/>
              <w:spacing w:before="40" w:after="40" w:line="240" w:lineRule="auto"/>
              <w:jc w:val="right"/>
              <w:rPr>
                <w:rFonts w:ascii="Arial" w:eastAsia="Times New Roman" w:hAnsi="Arial" w:cs="Arial"/>
                <w:spacing w:val="-2"/>
                <w:sz w:val="14"/>
                <w:szCs w:val="18"/>
                <w:lang w:eastAsia="pt-BR"/>
              </w:rPr>
            </w:pPr>
            <w:r w:rsidRPr="00C37757">
              <w:rPr>
                <w:rFonts w:ascii="Arial" w:eastAsia="Times New Roman" w:hAnsi="Arial" w:cs="Arial"/>
                <w:spacing w:val="-2"/>
                <w:sz w:val="14"/>
                <w:szCs w:val="18"/>
                <w:lang w:eastAsia="pt-BR"/>
              </w:rPr>
              <w:t>277</w:t>
            </w:r>
          </w:p>
        </w:tc>
        <w:tc>
          <w:tcPr>
            <w:tcW w:w="283" w:type="dxa"/>
            <w:shd w:val="clear" w:color="auto" w:fill="auto"/>
          </w:tcPr>
          <w:p w14:paraId="0254FC86" w14:textId="77777777" w:rsidR="00C37757" w:rsidRPr="00C37757" w:rsidRDefault="00C37757" w:rsidP="00C37757">
            <w:pPr>
              <w:widowControl w:val="0"/>
              <w:spacing w:before="40" w:after="40" w:line="240" w:lineRule="auto"/>
              <w:jc w:val="right"/>
              <w:rPr>
                <w:rFonts w:ascii="Arial" w:eastAsia="Times New Roman" w:hAnsi="Arial" w:cs="Arial"/>
                <w:spacing w:val="-2"/>
                <w:sz w:val="14"/>
                <w:szCs w:val="14"/>
                <w:lang w:eastAsia="pt-BR"/>
              </w:rPr>
            </w:pPr>
          </w:p>
        </w:tc>
        <w:tc>
          <w:tcPr>
            <w:tcW w:w="1417" w:type="dxa"/>
            <w:shd w:val="clear" w:color="auto" w:fill="auto"/>
          </w:tcPr>
          <w:p w14:paraId="11685EE0" w14:textId="77777777" w:rsidR="00C37757" w:rsidRPr="00C37757" w:rsidRDefault="00C37757" w:rsidP="00C37757">
            <w:pPr>
              <w:widowControl w:val="0"/>
              <w:spacing w:before="40" w:after="40" w:line="240" w:lineRule="auto"/>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(83)</w:t>
            </w:r>
          </w:p>
        </w:tc>
        <w:tc>
          <w:tcPr>
            <w:tcW w:w="1418" w:type="dxa"/>
            <w:shd w:val="clear" w:color="auto" w:fill="auto"/>
          </w:tcPr>
          <w:p w14:paraId="6C0C61B6" w14:textId="77777777" w:rsidR="00C37757" w:rsidRPr="00C37757" w:rsidRDefault="00C37757" w:rsidP="00C37757">
            <w:pPr>
              <w:widowControl w:val="0"/>
              <w:spacing w:before="40" w:after="40" w:line="240" w:lineRule="auto"/>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222</w:t>
            </w:r>
          </w:p>
        </w:tc>
      </w:tr>
      <w:tr w:rsidR="00C37757" w:rsidRPr="00C37757" w14:paraId="6E7C2A04" w14:textId="77777777" w:rsidTr="00C37757">
        <w:trPr>
          <w:trHeight w:val="238"/>
        </w:trPr>
        <w:tc>
          <w:tcPr>
            <w:tcW w:w="3094" w:type="dxa"/>
            <w:shd w:val="clear" w:color="auto" w:fill="auto"/>
          </w:tcPr>
          <w:p w14:paraId="470165C0" w14:textId="77777777" w:rsidR="00C37757" w:rsidRPr="00C37757" w:rsidRDefault="00C37757" w:rsidP="00C37757">
            <w:pPr>
              <w:widowControl w:val="0"/>
              <w:spacing w:before="40" w:after="40" w:line="240" w:lineRule="auto"/>
              <w:rPr>
                <w:rFonts w:ascii="Arial" w:eastAsia="Times New Roman" w:hAnsi="Arial" w:cs="Arial"/>
                <w:b/>
                <w:spacing w:val="-2"/>
                <w:sz w:val="14"/>
                <w:szCs w:val="18"/>
                <w:lang w:eastAsia="pt-BR"/>
              </w:rPr>
            </w:pPr>
            <w:r w:rsidRPr="00C37757">
              <w:rPr>
                <w:rFonts w:ascii="Arial" w:eastAsia="Times New Roman" w:hAnsi="Arial" w:cs="Arial"/>
                <w:b/>
                <w:spacing w:val="-2"/>
                <w:sz w:val="14"/>
                <w:szCs w:val="18"/>
                <w:lang w:eastAsia="pt-BR"/>
              </w:rPr>
              <w:t>Total dos Créditos Tributários Ativados</w:t>
            </w:r>
          </w:p>
        </w:tc>
        <w:tc>
          <w:tcPr>
            <w:tcW w:w="604" w:type="dxa"/>
            <w:shd w:val="clear" w:color="auto" w:fill="auto"/>
          </w:tcPr>
          <w:p w14:paraId="1BA9456D" w14:textId="77777777" w:rsidR="00C37757" w:rsidRPr="00C37757" w:rsidRDefault="00C37757" w:rsidP="00C37757">
            <w:pPr>
              <w:widowControl w:val="0"/>
              <w:spacing w:before="40" w:after="40" w:line="240" w:lineRule="auto"/>
              <w:jc w:val="center"/>
              <w:rPr>
                <w:rFonts w:ascii="Arial" w:eastAsia="Times New Roman" w:hAnsi="Arial" w:cs="Arial"/>
                <w:b/>
                <w:spacing w:val="-2"/>
                <w:sz w:val="14"/>
                <w:szCs w:val="14"/>
                <w:lang w:eastAsia="pt-BR"/>
              </w:rPr>
            </w:pPr>
          </w:p>
        </w:tc>
        <w:tc>
          <w:tcPr>
            <w:tcW w:w="1411" w:type="dxa"/>
            <w:shd w:val="clear" w:color="auto" w:fill="auto"/>
          </w:tcPr>
          <w:p w14:paraId="47D935CC"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4"/>
                <w:lang w:eastAsia="pt-BR"/>
              </w:rPr>
            </w:pPr>
            <w:r w:rsidRPr="00C37757">
              <w:rPr>
                <w:rFonts w:ascii="Arial" w:eastAsia="Times New Roman" w:hAnsi="Arial" w:cs="Arial"/>
                <w:b/>
                <w:spacing w:val="-2"/>
                <w:sz w:val="14"/>
                <w:szCs w:val="14"/>
                <w:lang w:eastAsia="pt-BR"/>
              </w:rPr>
              <w:t>28</w:t>
            </w:r>
          </w:p>
        </w:tc>
        <w:tc>
          <w:tcPr>
            <w:tcW w:w="1412" w:type="dxa"/>
            <w:shd w:val="clear" w:color="auto" w:fill="auto"/>
          </w:tcPr>
          <w:p w14:paraId="72F1ACB9"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8"/>
                <w:lang w:eastAsia="pt-BR"/>
              </w:rPr>
            </w:pPr>
            <w:r w:rsidRPr="00C37757">
              <w:rPr>
                <w:rFonts w:ascii="Arial" w:eastAsia="Times New Roman" w:hAnsi="Arial" w:cs="Arial"/>
                <w:b/>
                <w:spacing w:val="-2"/>
                <w:sz w:val="14"/>
                <w:szCs w:val="18"/>
                <w:lang w:eastAsia="pt-BR"/>
              </w:rPr>
              <w:t>277</w:t>
            </w:r>
          </w:p>
        </w:tc>
        <w:tc>
          <w:tcPr>
            <w:tcW w:w="283" w:type="dxa"/>
            <w:shd w:val="clear" w:color="auto" w:fill="auto"/>
          </w:tcPr>
          <w:p w14:paraId="3C7C1856"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4"/>
                <w:lang w:eastAsia="pt-BR"/>
              </w:rPr>
            </w:pPr>
          </w:p>
        </w:tc>
        <w:tc>
          <w:tcPr>
            <w:tcW w:w="1417" w:type="dxa"/>
            <w:shd w:val="clear" w:color="auto" w:fill="auto"/>
          </w:tcPr>
          <w:p w14:paraId="7FBE8111"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4"/>
                <w:lang w:eastAsia="pt-BR"/>
              </w:rPr>
            </w:pPr>
            <w:r w:rsidRPr="00C37757">
              <w:rPr>
                <w:rFonts w:ascii="Arial" w:eastAsia="Times New Roman" w:hAnsi="Arial" w:cs="Arial"/>
                <w:b/>
                <w:spacing w:val="-2"/>
                <w:sz w:val="14"/>
                <w:szCs w:val="14"/>
                <w:lang w:eastAsia="pt-BR"/>
              </w:rPr>
              <w:t>(83)</w:t>
            </w:r>
          </w:p>
        </w:tc>
        <w:tc>
          <w:tcPr>
            <w:tcW w:w="1418" w:type="dxa"/>
            <w:shd w:val="clear" w:color="auto" w:fill="auto"/>
          </w:tcPr>
          <w:p w14:paraId="4A6A639C"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4"/>
                <w:lang w:eastAsia="pt-BR"/>
              </w:rPr>
            </w:pPr>
            <w:r w:rsidRPr="00C37757">
              <w:rPr>
                <w:rFonts w:ascii="Arial" w:eastAsia="Times New Roman" w:hAnsi="Arial" w:cs="Arial"/>
                <w:b/>
                <w:spacing w:val="-2"/>
                <w:sz w:val="14"/>
                <w:szCs w:val="14"/>
                <w:lang w:eastAsia="pt-BR"/>
              </w:rPr>
              <w:t>222</w:t>
            </w:r>
          </w:p>
        </w:tc>
      </w:tr>
      <w:tr w:rsidR="00C37757" w:rsidRPr="00C37757" w14:paraId="39572C7D" w14:textId="77777777" w:rsidTr="00C37757">
        <w:trPr>
          <w:trHeight w:val="238"/>
        </w:trPr>
        <w:tc>
          <w:tcPr>
            <w:tcW w:w="3094" w:type="dxa"/>
            <w:tcBorders>
              <w:bottom w:val="nil"/>
            </w:tcBorders>
            <w:shd w:val="clear" w:color="auto" w:fill="auto"/>
          </w:tcPr>
          <w:p w14:paraId="2C64CD32" w14:textId="77777777" w:rsidR="00C37757" w:rsidRPr="00C37757" w:rsidRDefault="00C37757" w:rsidP="00C37757">
            <w:pPr>
              <w:widowControl w:val="0"/>
              <w:spacing w:before="40" w:after="40" w:line="240" w:lineRule="auto"/>
              <w:ind w:left="113"/>
              <w:rPr>
                <w:rFonts w:ascii="Arial" w:eastAsia="Times New Roman" w:hAnsi="Arial" w:cs="Arial"/>
                <w:spacing w:val="-2"/>
                <w:sz w:val="14"/>
                <w:szCs w:val="18"/>
                <w:lang w:eastAsia="pt-BR"/>
              </w:rPr>
            </w:pPr>
            <w:r w:rsidRPr="00C37757">
              <w:rPr>
                <w:rFonts w:ascii="Arial" w:eastAsia="Times New Roman" w:hAnsi="Arial" w:cs="Arial"/>
                <w:spacing w:val="-2"/>
                <w:sz w:val="14"/>
                <w:szCs w:val="18"/>
                <w:lang w:eastAsia="pt-BR"/>
              </w:rPr>
              <w:t>Imposto de renda</w:t>
            </w:r>
          </w:p>
        </w:tc>
        <w:tc>
          <w:tcPr>
            <w:tcW w:w="604" w:type="dxa"/>
            <w:tcBorders>
              <w:bottom w:val="nil"/>
            </w:tcBorders>
            <w:shd w:val="clear" w:color="auto" w:fill="auto"/>
          </w:tcPr>
          <w:p w14:paraId="3220C6D0" w14:textId="77777777" w:rsidR="00C37757" w:rsidRPr="00C37757" w:rsidRDefault="00C37757" w:rsidP="00C37757">
            <w:pPr>
              <w:widowControl w:val="0"/>
              <w:spacing w:before="40" w:after="40" w:line="240" w:lineRule="auto"/>
              <w:jc w:val="center"/>
              <w:rPr>
                <w:rFonts w:ascii="Arial" w:eastAsia="Times New Roman" w:hAnsi="Arial" w:cs="Arial"/>
                <w:spacing w:val="-2"/>
                <w:sz w:val="14"/>
                <w:szCs w:val="14"/>
                <w:lang w:eastAsia="pt-BR"/>
              </w:rPr>
            </w:pPr>
          </w:p>
        </w:tc>
        <w:tc>
          <w:tcPr>
            <w:tcW w:w="1411" w:type="dxa"/>
            <w:tcBorders>
              <w:bottom w:val="nil"/>
            </w:tcBorders>
            <w:shd w:val="clear" w:color="auto" w:fill="auto"/>
          </w:tcPr>
          <w:p w14:paraId="2E77F6A0" w14:textId="77777777" w:rsidR="00C37757" w:rsidRPr="00C37757" w:rsidRDefault="00C37757" w:rsidP="00C37757">
            <w:pPr>
              <w:widowControl w:val="0"/>
              <w:spacing w:before="40" w:after="40" w:line="240" w:lineRule="auto"/>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20</w:t>
            </w:r>
          </w:p>
        </w:tc>
        <w:tc>
          <w:tcPr>
            <w:tcW w:w="1412" w:type="dxa"/>
            <w:tcBorders>
              <w:bottom w:val="nil"/>
            </w:tcBorders>
            <w:shd w:val="clear" w:color="auto" w:fill="auto"/>
          </w:tcPr>
          <w:p w14:paraId="4B3D2287" w14:textId="77777777" w:rsidR="00C37757" w:rsidRPr="00C37757" w:rsidRDefault="00C37757" w:rsidP="00C37757">
            <w:pPr>
              <w:widowControl w:val="0"/>
              <w:spacing w:before="40" w:after="40" w:line="240" w:lineRule="auto"/>
              <w:jc w:val="right"/>
              <w:rPr>
                <w:rFonts w:ascii="Arial" w:eastAsia="Times New Roman" w:hAnsi="Arial" w:cs="Arial"/>
                <w:spacing w:val="-2"/>
                <w:sz w:val="14"/>
                <w:szCs w:val="18"/>
                <w:lang w:eastAsia="pt-BR"/>
              </w:rPr>
            </w:pPr>
            <w:r w:rsidRPr="00C37757">
              <w:rPr>
                <w:rFonts w:ascii="Arial" w:eastAsia="Times New Roman" w:hAnsi="Arial" w:cs="Arial"/>
                <w:spacing w:val="-2"/>
                <w:sz w:val="14"/>
                <w:szCs w:val="18"/>
                <w:lang w:eastAsia="pt-BR"/>
              </w:rPr>
              <w:t>204</w:t>
            </w:r>
          </w:p>
        </w:tc>
        <w:tc>
          <w:tcPr>
            <w:tcW w:w="283" w:type="dxa"/>
            <w:tcBorders>
              <w:bottom w:val="nil"/>
            </w:tcBorders>
            <w:shd w:val="clear" w:color="auto" w:fill="auto"/>
          </w:tcPr>
          <w:p w14:paraId="03627D0C" w14:textId="77777777" w:rsidR="00C37757" w:rsidRPr="00C37757" w:rsidRDefault="00C37757" w:rsidP="00C37757">
            <w:pPr>
              <w:widowControl w:val="0"/>
              <w:spacing w:before="40" w:after="40" w:line="240" w:lineRule="auto"/>
              <w:jc w:val="right"/>
              <w:rPr>
                <w:rFonts w:ascii="Arial" w:eastAsia="Times New Roman" w:hAnsi="Arial" w:cs="Arial"/>
                <w:spacing w:val="-2"/>
                <w:sz w:val="14"/>
                <w:szCs w:val="14"/>
                <w:lang w:eastAsia="pt-BR"/>
              </w:rPr>
            </w:pPr>
          </w:p>
        </w:tc>
        <w:tc>
          <w:tcPr>
            <w:tcW w:w="1417" w:type="dxa"/>
            <w:tcBorders>
              <w:bottom w:val="nil"/>
            </w:tcBorders>
            <w:shd w:val="clear" w:color="auto" w:fill="auto"/>
          </w:tcPr>
          <w:p w14:paraId="7463ED54" w14:textId="77777777" w:rsidR="00C37757" w:rsidRPr="00C37757" w:rsidRDefault="00C37757" w:rsidP="00C37757">
            <w:pPr>
              <w:widowControl w:val="0"/>
              <w:spacing w:before="40" w:after="40" w:line="240" w:lineRule="auto"/>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(61)</w:t>
            </w:r>
          </w:p>
        </w:tc>
        <w:tc>
          <w:tcPr>
            <w:tcW w:w="1418" w:type="dxa"/>
            <w:tcBorders>
              <w:bottom w:val="nil"/>
            </w:tcBorders>
            <w:shd w:val="clear" w:color="auto" w:fill="auto"/>
          </w:tcPr>
          <w:p w14:paraId="3894A3A8" w14:textId="77777777" w:rsidR="00C37757" w:rsidRPr="00C37757" w:rsidRDefault="00C37757" w:rsidP="00C37757">
            <w:pPr>
              <w:widowControl w:val="0"/>
              <w:spacing w:before="40" w:after="40" w:line="240" w:lineRule="auto"/>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163</w:t>
            </w:r>
          </w:p>
        </w:tc>
      </w:tr>
      <w:tr w:rsidR="00C37757" w:rsidRPr="00C37757" w14:paraId="09739494" w14:textId="77777777" w:rsidTr="00C37757">
        <w:trPr>
          <w:trHeight w:val="238"/>
        </w:trPr>
        <w:tc>
          <w:tcPr>
            <w:tcW w:w="3094" w:type="dxa"/>
            <w:tcBorders>
              <w:top w:val="nil"/>
              <w:bottom w:val="single" w:sz="2" w:space="0" w:color="1F4E79"/>
            </w:tcBorders>
            <w:shd w:val="clear" w:color="auto" w:fill="auto"/>
          </w:tcPr>
          <w:p w14:paraId="605283AF" w14:textId="77777777" w:rsidR="00C37757" w:rsidRPr="00C37757" w:rsidRDefault="00C37757" w:rsidP="00C37757">
            <w:pPr>
              <w:widowControl w:val="0"/>
              <w:spacing w:before="40" w:after="40" w:line="240" w:lineRule="auto"/>
              <w:ind w:left="113"/>
              <w:rPr>
                <w:rFonts w:ascii="Arial" w:eastAsia="Times New Roman" w:hAnsi="Arial" w:cs="Arial"/>
                <w:spacing w:val="-2"/>
                <w:sz w:val="14"/>
                <w:szCs w:val="18"/>
                <w:lang w:eastAsia="pt-BR"/>
              </w:rPr>
            </w:pPr>
            <w:r w:rsidRPr="00C37757">
              <w:rPr>
                <w:rFonts w:ascii="Arial" w:eastAsia="Times New Roman" w:hAnsi="Arial" w:cs="Arial"/>
                <w:spacing w:val="-2"/>
                <w:sz w:val="14"/>
                <w:szCs w:val="18"/>
                <w:lang w:eastAsia="pt-BR"/>
              </w:rPr>
              <w:t>Contribuição social</w:t>
            </w:r>
          </w:p>
        </w:tc>
        <w:tc>
          <w:tcPr>
            <w:tcW w:w="604" w:type="dxa"/>
            <w:tcBorders>
              <w:top w:val="nil"/>
              <w:bottom w:val="single" w:sz="2" w:space="0" w:color="1F4E79"/>
            </w:tcBorders>
            <w:shd w:val="clear" w:color="auto" w:fill="auto"/>
          </w:tcPr>
          <w:p w14:paraId="5892CD54" w14:textId="77777777" w:rsidR="00C37757" w:rsidRPr="00C37757" w:rsidRDefault="00C37757" w:rsidP="00C37757">
            <w:pPr>
              <w:widowControl w:val="0"/>
              <w:spacing w:before="40" w:after="40" w:line="240" w:lineRule="auto"/>
              <w:jc w:val="center"/>
              <w:rPr>
                <w:rFonts w:ascii="Arial" w:eastAsia="Times New Roman" w:hAnsi="Arial" w:cs="Arial"/>
                <w:spacing w:val="-2"/>
                <w:sz w:val="14"/>
                <w:szCs w:val="14"/>
                <w:lang w:eastAsia="pt-BR"/>
              </w:rPr>
            </w:pPr>
          </w:p>
        </w:tc>
        <w:tc>
          <w:tcPr>
            <w:tcW w:w="1411" w:type="dxa"/>
            <w:tcBorders>
              <w:top w:val="nil"/>
              <w:bottom w:val="single" w:sz="2" w:space="0" w:color="1F4E79"/>
            </w:tcBorders>
            <w:shd w:val="clear" w:color="auto" w:fill="auto"/>
          </w:tcPr>
          <w:p w14:paraId="12DBF9EB" w14:textId="77777777" w:rsidR="00C37757" w:rsidRPr="00C37757" w:rsidRDefault="00C37757" w:rsidP="00C37757">
            <w:pPr>
              <w:widowControl w:val="0"/>
              <w:spacing w:before="40" w:after="40" w:line="240" w:lineRule="auto"/>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8</w:t>
            </w:r>
          </w:p>
        </w:tc>
        <w:tc>
          <w:tcPr>
            <w:tcW w:w="1412" w:type="dxa"/>
            <w:tcBorders>
              <w:top w:val="nil"/>
              <w:bottom w:val="single" w:sz="2" w:space="0" w:color="1F4E79"/>
            </w:tcBorders>
            <w:shd w:val="clear" w:color="auto" w:fill="auto"/>
          </w:tcPr>
          <w:p w14:paraId="1C0F5D27" w14:textId="77777777" w:rsidR="00C37757" w:rsidRPr="00C37757" w:rsidRDefault="00C37757" w:rsidP="00C37757">
            <w:pPr>
              <w:widowControl w:val="0"/>
              <w:spacing w:before="40" w:after="40" w:line="240" w:lineRule="auto"/>
              <w:jc w:val="right"/>
              <w:rPr>
                <w:rFonts w:ascii="Arial" w:eastAsia="Times New Roman" w:hAnsi="Arial" w:cs="Arial"/>
                <w:spacing w:val="-2"/>
                <w:sz w:val="14"/>
                <w:szCs w:val="18"/>
                <w:lang w:eastAsia="pt-BR"/>
              </w:rPr>
            </w:pPr>
            <w:r w:rsidRPr="00C37757">
              <w:rPr>
                <w:rFonts w:ascii="Arial" w:eastAsia="Times New Roman" w:hAnsi="Arial" w:cs="Arial"/>
                <w:spacing w:val="-2"/>
                <w:sz w:val="14"/>
                <w:szCs w:val="18"/>
                <w:lang w:eastAsia="pt-BR"/>
              </w:rPr>
              <w:t>73</w:t>
            </w:r>
          </w:p>
        </w:tc>
        <w:tc>
          <w:tcPr>
            <w:tcW w:w="283" w:type="dxa"/>
            <w:tcBorders>
              <w:top w:val="nil"/>
              <w:bottom w:val="single" w:sz="2" w:space="0" w:color="1F4E79"/>
            </w:tcBorders>
            <w:shd w:val="clear" w:color="auto" w:fill="auto"/>
          </w:tcPr>
          <w:p w14:paraId="14755E2A" w14:textId="77777777" w:rsidR="00C37757" w:rsidRPr="00C37757" w:rsidRDefault="00C37757" w:rsidP="00C37757">
            <w:pPr>
              <w:widowControl w:val="0"/>
              <w:spacing w:before="40" w:after="40" w:line="240" w:lineRule="auto"/>
              <w:jc w:val="right"/>
              <w:rPr>
                <w:rFonts w:ascii="Arial" w:eastAsia="Times New Roman" w:hAnsi="Arial" w:cs="Arial"/>
                <w:spacing w:val="-2"/>
                <w:sz w:val="14"/>
                <w:szCs w:val="14"/>
                <w:lang w:eastAsia="pt-BR"/>
              </w:rPr>
            </w:pPr>
          </w:p>
        </w:tc>
        <w:tc>
          <w:tcPr>
            <w:tcW w:w="1417" w:type="dxa"/>
            <w:tcBorders>
              <w:top w:val="nil"/>
              <w:bottom w:val="single" w:sz="2" w:space="0" w:color="1F4E79"/>
            </w:tcBorders>
            <w:shd w:val="clear" w:color="auto" w:fill="auto"/>
          </w:tcPr>
          <w:p w14:paraId="75AA1F30" w14:textId="77777777" w:rsidR="00C37757" w:rsidRPr="00C37757" w:rsidRDefault="00C37757" w:rsidP="00C37757">
            <w:pPr>
              <w:widowControl w:val="0"/>
              <w:spacing w:before="40" w:after="40" w:line="240" w:lineRule="auto"/>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(22)</w:t>
            </w:r>
          </w:p>
        </w:tc>
        <w:tc>
          <w:tcPr>
            <w:tcW w:w="1418" w:type="dxa"/>
            <w:tcBorders>
              <w:top w:val="nil"/>
              <w:bottom w:val="single" w:sz="2" w:space="0" w:color="1F4E79"/>
            </w:tcBorders>
            <w:shd w:val="clear" w:color="auto" w:fill="auto"/>
          </w:tcPr>
          <w:p w14:paraId="1A7B5B8B" w14:textId="77777777" w:rsidR="00C37757" w:rsidRPr="00C37757" w:rsidRDefault="00C37757" w:rsidP="00C37757">
            <w:pPr>
              <w:widowControl w:val="0"/>
              <w:spacing w:before="40" w:after="40" w:line="240" w:lineRule="auto"/>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59</w:t>
            </w:r>
          </w:p>
        </w:tc>
      </w:tr>
    </w:tbl>
    <w:p w14:paraId="3217A445" w14:textId="77777777" w:rsidR="00C37757" w:rsidRPr="00C37757" w:rsidRDefault="00C37757" w:rsidP="00C37757">
      <w:pPr>
        <w:widowControl w:val="0"/>
        <w:spacing w:after="0" w:line="240" w:lineRule="auto"/>
        <w:jc w:val="right"/>
        <w:rPr>
          <w:rFonts w:ascii="Arial" w:eastAsia="MS Mincho" w:hAnsi="Arial" w:cs="Arial"/>
          <w:b/>
          <w:sz w:val="14"/>
          <w:szCs w:val="22"/>
          <w:lang w:eastAsia="pt-BR"/>
        </w:rPr>
      </w:pPr>
    </w:p>
    <w:p w14:paraId="5005AEE0" w14:textId="77777777" w:rsidR="00C37757" w:rsidRPr="00C37757" w:rsidRDefault="00C37757" w:rsidP="00C37757">
      <w:pPr>
        <w:widowControl w:val="0"/>
        <w:spacing w:after="0" w:line="240" w:lineRule="auto"/>
        <w:jc w:val="right"/>
        <w:rPr>
          <w:rFonts w:ascii="Arial" w:eastAsia="MS Mincho" w:hAnsi="Arial" w:cs="Arial"/>
          <w:b/>
          <w:sz w:val="14"/>
          <w:szCs w:val="22"/>
          <w:lang w:eastAsia="pt-BR"/>
        </w:rPr>
      </w:pPr>
    </w:p>
    <w:p w14:paraId="0512AFFB" w14:textId="77777777" w:rsidR="00C37757" w:rsidRPr="00C37757" w:rsidRDefault="00C37757" w:rsidP="00C37757">
      <w:pPr>
        <w:widowControl w:val="0"/>
        <w:spacing w:after="0" w:line="240" w:lineRule="auto"/>
        <w:jc w:val="right"/>
        <w:rPr>
          <w:rFonts w:ascii="Arial" w:eastAsia="MS Mincho" w:hAnsi="Arial" w:cs="Arial"/>
          <w:b/>
          <w:sz w:val="14"/>
          <w:szCs w:val="22"/>
          <w:lang w:eastAsia="pt-BR"/>
        </w:rPr>
      </w:pPr>
      <w:r w:rsidRPr="00C37757">
        <w:rPr>
          <w:rFonts w:ascii="Arial" w:eastAsia="MS Mincho" w:hAnsi="Arial" w:cs="Arial"/>
          <w:b/>
          <w:sz w:val="14"/>
          <w:szCs w:val="22"/>
          <w:lang w:eastAsia="pt-BR"/>
        </w:rPr>
        <w:t>R$ mil</w:t>
      </w:r>
    </w:p>
    <w:tbl>
      <w:tblPr>
        <w:tblW w:w="9639" w:type="dxa"/>
        <w:tblBorders>
          <w:top w:val="single" w:sz="2" w:space="0" w:color="8EAADB"/>
          <w:bottom w:val="single" w:sz="2" w:space="0" w:color="8EAADB"/>
        </w:tblBorders>
        <w:tblLook w:val="04A0" w:firstRow="1" w:lastRow="0" w:firstColumn="1" w:lastColumn="0" w:noHBand="0" w:noVBand="1"/>
      </w:tblPr>
      <w:tblGrid>
        <w:gridCol w:w="3094"/>
        <w:gridCol w:w="604"/>
        <w:gridCol w:w="1411"/>
        <w:gridCol w:w="1412"/>
        <w:gridCol w:w="283"/>
        <w:gridCol w:w="1417"/>
        <w:gridCol w:w="1418"/>
      </w:tblGrid>
      <w:tr w:rsidR="00C37757" w:rsidRPr="00C37757" w14:paraId="478CC94B" w14:textId="77777777" w:rsidTr="00C37757">
        <w:trPr>
          <w:trHeight w:val="238"/>
        </w:trPr>
        <w:tc>
          <w:tcPr>
            <w:tcW w:w="3094" w:type="dxa"/>
            <w:tcBorders>
              <w:top w:val="single" w:sz="2" w:space="0" w:color="1F4E79"/>
              <w:bottom w:val="nil"/>
            </w:tcBorders>
            <w:shd w:val="clear" w:color="auto" w:fill="auto"/>
          </w:tcPr>
          <w:p w14:paraId="38F5D32D" w14:textId="77777777" w:rsidR="00C37757" w:rsidRPr="00C37757" w:rsidRDefault="00C37757" w:rsidP="00C37757">
            <w:pPr>
              <w:widowControl w:val="0"/>
              <w:spacing w:after="0" w:line="276" w:lineRule="auto"/>
              <w:jc w:val="center"/>
              <w:rPr>
                <w:rFonts w:ascii="Arial" w:eastAsia="MS Mincho" w:hAnsi="Arial" w:cs="Arial"/>
                <w:b/>
                <w:sz w:val="18"/>
                <w:szCs w:val="18"/>
              </w:rPr>
            </w:pPr>
          </w:p>
        </w:tc>
        <w:tc>
          <w:tcPr>
            <w:tcW w:w="604" w:type="dxa"/>
            <w:tcBorders>
              <w:top w:val="single" w:sz="2" w:space="0" w:color="1F4E79"/>
              <w:bottom w:val="nil"/>
            </w:tcBorders>
            <w:shd w:val="clear" w:color="auto" w:fill="auto"/>
          </w:tcPr>
          <w:p w14:paraId="49B33885" w14:textId="77777777" w:rsidR="00C37757" w:rsidRPr="00C37757" w:rsidRDefault="00C37757" w:rsidP="00C37757">
            <w:pPr>
              <w:widowControl w:val="0"/>
              <w:spacing w:after="0" w:line="276" w:lineRule="auto"/>
              <w:jc w:val="center"/>
              <w:rPr>
                <w:rFonts w:ascii="Arial" w:eastAsia="MS Mincho" w:hAnsi="Arial" w:cs="Arial"/>
                <w:b/>
                <w:sz w:val="18"/>
                <w:szCs w:val="18"/>
              </w:rPr>
            </w:pPr>
          </w:p>
        </w:tc>
        <w:tc>
          <w:tcPr>
            <w:tcW w:w="5941" w:type="dxa"/>
            <w:gridSpan w:val="5"/>
            <w:tcBorders>
              <w:top w:val="single" w:sz="2" w:space="0" w:color="1F4E79"/>
              <w:bottom w:val="single" w:sz="2" w:space="0" w:color="1F4E79"/>
            </w:tcBorders>
            <w:shd w:val="clear" w:color="auto" w:fill="auto"/>
            <w:vAlign w:val="center"/>
          </w:tcPr>
          <w:p w14:paraId="7B8C119E" w14:textId="77777777" w:rsidR="00C37757" w:rsidRPr="00C37757" w:rsidRDefault="00C37757" w:rsidP="00C37757">
            <w:pPr>
              <w:widowControl w:val="0"/>
              <w:spacing w:after="0" w:line="276" w:lineRule="auto"/>
              <w:jc w:val="center"/>
              <w:rPr>
                <w:rFonts w:ascii="Arial" w:eastAsia="MS Mincho" w:hAnsi="Arial" w:cs="Arial"/>
                <w:b/>
                <w:sz w:val="14"/>
                <w:szCs w:val="14"/>
              </w:rPr>
            </w:pPr>
            <w:r w:rsidRPr="00C37757">
              <w:rPr>
                <w:rFonts w:ascii="Arial" w:eastAsia="MS Mincho" w:hAnsi="Arial" w:cs="Arial"/>
                <w:b/>
                <w:sz w:val="14"/>
                <w:szCs w:val="14"/>
              </w:rPr>
              <w:t>Consolidado</w:t>
            </w:r>
          </w:p>
        </w:tc>
      </w:tr>
      <w:tr w:rsidR="00C37757" w:rsidRPr="00C37757" w14:paraId="009559CB" w14:textId="77777777" w:rsidTr="00C37757">
        <w:trPr>
          <w:trHeight w:val="238"/>
        </w:trPr>
        <w:tc>
          <w:tcPr>
            <w:tcW w:w="3094" w:type="dxa"/>
            <w:tcBorders>
              <w:top w:val="nil"/>
              <w:bottom w:val="single" w:sz="2" w:space="0" w:color="1F4E79"/>
            </w:tcBorders>
            <w:shd w:val="clear" w:color="auto" w:fill="auto"/>
          </w:tcPr>
          <w:p w14:paraId="7F13157D"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8"/>
                <w:lang w:eastAsia="pt-BR"/>
              </w:rPr>
            </w:pPr>
          </w:p>
        </w:tc>
        <w:tc>
          <w:tcPr>
            <w:tcW w:w="604" w:type="dxa"/>
            <w:tcBorders>
              <w:top w:val="nil"/>
              <w:bottom w:val="single" w:sz="2" w:space="0" w:color="1F4E79"/>
            </w:tcBorders>
            <w:shd w:val="clear" w:color="auto" w:fill="auto"/>
          </w:tcPr>
          <w:p w14:paraId="1A2C550C"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8"/>
                <w:lang w:eastAsia="pt-BR"/>
              </w:rPr>
            </w:pPr>
          </w:p>
        </w:tc>
        <w:tc>
          <w:tcPr>
            <w:tcW w:w="1411" w:type="dxa"/>
            <w:tcBorders>
              <w:top w:val="single" w:sz="2" w:space="0" w:color="1F4E79"/>
              <w:bottom w:val="single" w:sz="2" w:space="0" w:color="1F4E79"/>
            </w:tcBorders>
            <w:shd w:val="clear" w:color="auto" w:fill="auto"/>
            <w:vAlign w:val="center"/>
          </w:tcPr>
          <w:p w14:paraId="31C771EC"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8"/>
                <w:lang w:eastAsia="pt-BR"/>
              </w:rPr>
            </w:pPr>
            <w:r w:rsidRPr="00C37757">
              <w:rPr>
                <w:rFonts w:ascii="Arial" w:eastAsia="Times New Roman" w:hAnsi="Arial" w:cs="Arial"/>
                <w:b/>
                <w:spacing w:val="-2"/>
                <w:sz w:val="14"/>
                <w:szCs w:val="18"/>
                <w:lang w:eastAsia="pt-BR"/>
              </w:rPr>
              <w:t>31.12.2023</w:t>
            </w:r>
          </w:p>
        </w:tc>
        <w:tc>
          <w:tcPr>
            <w:tcW w:w="1412" w:type="dxa"/>
            <w:tcBorders>
              <w:top w:val="single" w:sz="2" w:space="0" w:color="1F4E79"/>
              <w:bottom w:val="single" w:sz="2" w:space="0" w:color="1F4E79"/>
            </w:tcBorders>
            <w:shd w:val="clear" w:color="auto" w:fill="auto"/>
            <w:vAlign w:val="center"/>
          </w:tcPr>
          <w:p w14:paraId="4B6A25ED"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8"/>
                <w:lang w:eastAsia="pt-BR"/>
              </w:rPr>
            </w:pPr>
            <w:r w:rsidRPr="00C37757">
              <w:rPr>
                <w:rFonts w:ascii="Arial" w:eastAsia="Times New Roman" w:hAnsi="Arial" w:cs="Arial"/>
                <w:b/>
                <w:spacing w:val="-2"/>
                <w:sz w:val="14"/>
                <w:szCs w:val="18"/>
                <w:lang w:eastAsia="pt-BR"/>
              </w:rPr>
              <w:t>Constituição</w:t>
            </w:r>
          </w:p>
        </w:tc>
        <w:tc>
          <w:tcPr>
            <w:tcW w:w="283" w:type="dxa"/>
            <w:tcBorders>
              <w:top w:val="single" w:sz="2" w:space="0" w:color="1F4E79"/>
              <w:bottom w:val="single" w:sz="2" w:space="0" w:color="1F4E79"/>
            </w:tcBorders>
            <w:shd w:val="clear" w:color="auto" w:fill="auto"/>
            <w:vAlign w:val="center"/>
          </w:tcPr>
          <w:p w14:paraId="423DE1F8"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8"/>
                <w:lang w:eastAsia="pt-BR"/>
              </w:rPr>
            </w:pPr>
          </w:p>
        </w:tc>
        <w:tc>
          <w:tcPr>
            <w:tcW w:w="1417" w:type="dxa"/>
            <w:tcBorders>
              <w:top w:val="single" w:sz="2" w:space="0" w:color="1F4E79"/>
              <w:bottom w:val="single" w:sz="2" w:space="0" w:color="1F4E79"/>
            </w:tcBorders>
            <w:shd w:val="clear" w:color="auto" w:fill="auto"/>
            <w:vAlign w:val="center"/>
          </w:tcPr>
          <w:p w14:paraId="5B12BE02"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8"/>
                <w:vertAlign w:val="superscript"/>
                <w:lang w:eastAsia="pt-BR"/>
              </w:rPr>
            </w:pPr>
            <w:r w:rsidRPr="00C37757">
              <w:rPr>
                <w:rFonts w:ascii="Arial" w:eastAsia="Times New Roman" w:hAnsi="Arial" w:cs="Arial"/>
                <w:b/>
                <w:spacing w:val="-2"/>
                <w:sz w:val="14"/>
                <w:szCs w:val="18"/>
                <w:lang w:eastAsia="pt-BR"/>
              </w:rPr>
              <w:t>Baixa</w:t>
            </w:r>
            <w:r w:rsidRPr="00C37757">
              <w:rPr>
                <w:rFonts w:ascii="Arial" w:eastAsia="Times New Roman" w:hAnsi="Arial" w:cs="Arial"/>
                <w:b/>
                <w:spacing w:val="-2"/>
                <w:sz w:val="14"/>
                <w:szCs w:val="18"/>
                <w:vertAlign w:val="superscript"/>
                <w:lang w:eastAsia="pt-BR"/>
              </w:rPr>
              <w:t xml:space="preserve"> </w:t>
            </w:r>
          </w:p>
        </w:tc>
        <w:tc>
          <w:tcPr>
            <w:tcW w:w="1418" w:type="dxa"/>
            <w:tcBorders>
              <w:top w:val="single" w:sz="2" w:space="0" w:color="1F4E79"/>
              <w:bottom w:val="single" w:sz="2" w:space="0" w:color="1F4E79"/>
            </w:tcBorders>
            <w:shd w:val="clear" w:color="auto" w:fill="auto"/>
            <w:vAlign w:val="center"/>
          </w:tcPr>
          <w:p w14:paraId="79104789"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8"/>
                <w:lang w:eastAsia="pt-BR"/>
              </w:rPr>
            </w:pPr>
            <w:r w:rsidRPr="00C37757">
              <w:rPr>
                <w:rFonts w:ascii="Arial" w:eastAsia="Times New Roman" w:hAnsi="Arial" w:cs="Arial"/>
                <w:b/>
                <w:spacing w:val="-2"/>
                <w:sz w:val="14"/>
                <w:szCs w:val="18"/>
                <w:lang w:eastAsia="pt-BR"/>
              </w:rPr>
              <w:t>31.12.2024</w:t>
            </w:r>
          </w:p>
        </w:tc>
      </w:tr>
      <w:tr w:rsidR="00C37757" w:rsidRPr="00C37757" w14:paraId="0795A023" w14:textId="77777777" w:rsidTr="00C37757">
        <w:trPr>
          <w:trHeight w:val="238"/>
        </w:trPr>
        <w:tc>
          <w:tcPr>
            <w:tcW w:w="3094" w:type="dxa"/>
            <w:tcBorders>
              <w:top w:val="single" w:sz="2" w:space="0" w:color="1F4E79"/>
            </w:tcBorders>
            <w:shd w:val="clear" w:color="auto" w:fill="auto"/>
          </w:tcPr>
          <w:p w14:paraId="7CA28082" w14:textId="77777777" w:rsidR="00C37757" w:rsidRPr="00C37757" w:rsidRDefault="00C37757" w:rsidP="00C37757">
            <w:pPr>
              <w:widowControl w:val="0"/>
              <w:spacing w:before="40" w:after="40" w:line="240" w:lineRule="auto"/>
              <w:rPr>
                <w:rFonts w:ascii="Arial" w:eastAsia="Times New Roman" w:hAnsi="Arial" w:cs="Arial"/>
                <w:b/>
                <w:bCs/>
                <w:spacing w:val="-2"/>
                <w:sz w:val="14"/>
                <w:szCs w:val="14"/>
                <w:lang w:eastAsia="pt-BR"/>
              </w:rPr>
            </w:pPr>
            <w:r w:rsidRPr="00C37757">
              <w:rPr>
                <w:rFonts w:ascii="Arial" w:eastAsia="Times New Roman" w:hAnsi="Arial" w:cs="Arial"/>
                <w:b/>
                <w:bCs/>
                <w:spacing w:val="-2"/>
                <w:sz w:val="14"/>
                <w:szCs w:val="14"/>
                <w:lang w:eastAsia="pt-BR"/>
              </w:rPr>
              <w:t>Diferenças Temporárias</w:t>
            </w:r>
          </w:p>
        </w:tc>
        <w:tc>
          <w:tcPr>
            <w:tcW w:w="604" w:type="dxa"/>
            <w:tcBorders>
              <w:top w:val="single" w:sz="2" w:space="0" w:color="1F4E79"/>
            </w:tcBorders>
            <w:shd w:val="clear" w:color="auto" w:fill="auto"/>
          </w:tcPr>
          <w:p w14:paraId="0128EB2D" w14:textId="77777777" w:rsidR="00C37757" w:rsidRPr="00C37757" w:rsidRDefault="00C37757" w:rsidP="00C37757">
            <w:pPr>
              <w:widowControl w:val="0"/>
              <w:spacing w:before="40" w:after="40" w:line="240" w:lineRule="auto"/>
              <w:rPr>
                <w:rFonts w:ascii="Arial" w:eastAsia="Times New Roman" w:hAnsi="Arial" w:cs="Arial"/>
                <w:b/>
                <w:bCs/>
                <w:spacing w:val="-2"/>
                <w:sz w:val="14"/>
                <w:szCs w:val="14"/>
                <w:lang w:eastAsia="pt-BR"/>
              </w:rPr>
            </w:pPr>
          </w:p>
        </w:tc>
        <w:tc>
          <w:tcPr>
            <w:tcW w:w="1411" w:type="dxa"/>
            <w:tcBorders>
              <w:top w:val="single" w:sz="2" w:space="0" w:color="1F4E79"/>
            </w:tcBorders>
            <w:shd w:val="clear" w:color="auto" w:fill="auto"/>
          </w:tcPr>
          <w:p w14:paraId="19D2C43D" w14:textId="77777777" w:rsidR="00C37757" w:rsidRPr="00C37757" w:rsidRDefault="00C37757" w:rsidP="00C37757">
            <w:pPr>
              <w:widowControl w:val="0"/>
              <w:spacing w:before="40" w:after="40" w:line="240" w:lineRule="auto"/>
              <w:jc w:val="right"/>
              <w:rPr>
                <w:rFonts w:ascii="Arial" w:eastAsia="Times New Roman" w:hAnsi="Arial" w:cs="Arial"/>
                <w:b/>
                <w:bCs/>
                <w:spacing w:val="-2"/>
                <w:sz w:val="14"/>
                <w:szCs w:val="14"/>
                <w:lang w:eastAsia="pt-BR"/>
              </w:rPr>
            </w:pPr>
          </w:p>
        </w:tc>
        <w:tc>
          <w:tcPr>
            <w:tcW w:w="1412" w:type="dxa"/>
            <w:tcBorders>
              <w:top w:val="single" w:sz="2" w:space="0" w:color="1F4E79"/>
            </w:tcBorders>
            <w:shd w:val="clear" w:color="auto" w:fill="auto"/>
          </w:tcPr>
          <w:p w14:paraId="45BF160D" w14:textId="77777777" w:rsidR="00C37757" w:rsidRPr="00C37757" w:rsidRDefault="00C37757" w:rsidP="00C37757">
            <w:pPr>
              <w:widowControl w:val="0"/>
              <w:spacing w:before="40" w:after="40" w:line="240" w:lineRule="auto"/>
              <w:jc w:val="right"/>
              <w:rPr>
                <w:rFonts w:ascii="Arial" w:eastAsia="Times New Roman" w:hAnsi="Arial" w:cs="Arial"/>
                <w:b/>
                <w:bCs/>
                <w:spacing w:val="-2"/>
                <w:sz w:val="14"/>
                <w:szCs w:val="14"/>
                <w:lang w:eastAsia="pt-BR"/>
              </w:rPr>
            </w:pPr>
          </w:p>
        </w:tc>
        <w:tc>
          <w:tcPr>
            <w:tcW w:w="283" w:type="dxa"/>
            <w:tcBorders>
              <w:top w:val="single" w:sz="2" w:space="0" w:color="1F4E79"/>
            </w:tcBorders>
            <w:shd w:val="clear" w:color="auto" w:fill="auto"/>
          </w:tcPr>
          <w:p w14:paraId="4EBDD769" w14:textId="77777777" w:rsidR="00C37757" w:rsidRPr="00C37757" w:rsidRDefault="00C37757" w:rsidP="00C37757">
            <w:pPr>
              <w:widowControl w:val="0"/>
              <w:spacing w:before="40" w:after="40" w:line="240" w:lineRule="auto"/>
              <w:rPr>
                <w:rFonts w:ascii="Arial" w:eastAsia="Times New Roman" w:hAnsi="Arial" w:cs="Arial"/>
                <w:b/>
                <w:bCs/>
                <w:spacing w:val="-2"/>
                <w:sz w:val="14"/>
                <w:szCs w:val="14"/>
                <w:lang w:eastAsia="pt-BR"/>
              </w:rPr>
            </w:pPr>
          </w:p>
        </w:tc>
        <w:tc>
          <w:tcPr>
            <w:tcW w:w="1417" w:type="dxa"/>
            <w:tcBorders>
              <w:top w:val="single" w:sz="2" w:space="0" w:color="1F4E79"/>
            </w:tcBorders>
            <w:shd w:val="clear" w:color="auto" w:fill="auto"/>
          </w:tcPr>
          <w:p w14:paraId="63FDC1D7" w14:textId="77777777" w:rsidR="00C37757" w:rsidRPr="00C37757" w:rsidRDefault="00C37757" w:rsidP="00C37757">
            <w:pPr>
              <w:widowControl w:val="0"/>
              <w:spacing w:before="40" w:after="40" w:line="240" w:lineRule="auto"/>
              <w:rPr>
                <w:rFonts w:ascii="Arial" w:eastAsia="Times New Roman" w:hAnsi="Arial" w:cs="Arial"/>
                <w:b/>
                <w:bCs/>
                <w:spacing w:val="-2"/>
                <w:sz w:val="14"/>
                <w:szCs w:val="14"/>
                <w:lang w:eastAsia="pt-BR"/>
              </w:rPr>
            </w:pPr>
          </w:p>
        </w:tc>
        <w:tc>
          <w:tcPr>
            <w:tcW w:w="1418" w:type="dxa"/>
            <w:tcBorders>
              <w:top w:val="single" w:sz="2" w:space="0" w:color="1F4E79"/>
            </w:tcBorders>
            <w:shd w:val="clear" w:color="auto" w:fill="auto"/>
          </w:tcPr>
          <w:p w14:paraId="19024820" w14:textId="77777777" w:rsidR="00C37757" w:rsidRPr="00C37757" w:rsidRDefault="00C37757" w:rsidP="00C37757">
            <w:pPr>
              <w:widowControl w:val="0"/>
              <w:spacing w:before="40" w:after="40" w:line="240" w:lineRule="auto"/>
              <w:jc w:val="right"/>
              <w:rPr>
                <w:rFonts w:ascii="Arial" w:eastAsia="Times New Roman" w:hAnsi="Arial" w:cs="Arial"/>
                <w:b/>
                <w:bCs/>
                <w:spacing w:val="-2"/>
                <w:sz w:val="14"/>
                <w:szCs w:val="14"/>
                <w:lang w:eastAsia="pt-BR"/>
              </w:rPr>
            </w:pPr>
          </w:p>
        </w:tc>
      </w:tr>
      <w:tr w:rsidR="00C37757" w:rsidRPr="00C37757" w14:paraId="4AB7BA78" w14:textId="77777777" w:rsidTr="00C37757">
        <w:trPr>
          <w:trHeight w:val="238"/>
        </w:trPr>
        <w:tc>
          <w:tcPr>
            <w:tcW w:w="3094" w:type="dxa"/>
            <w:shd w:val="clear" w:color="auto" w:fill="auto"/>
          </w:tcPr>
          <w:p w14:paraId="122D0E26" w14:textId="77777777" w:rsidR="00C37757" w:rsidRPr="00C37757" w:rsidRDefault="00C37757" w:rsidP="00C37757">
            <w:pPr>
              <w:widowControl w:val="0"/>
              <w:spacing w:before="40" w:after="40" w:line="240" w:lineRule="auto"/>
              <w:ind w:left="113"/>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Provisões passivas</w:t>
            </w:r>
          </w:p>
        </w:tc>
        <w:tc>
          <w:tcPr>
            <w:tcW w:w="604" w:type="dxa"/>
            <w:shd w:val="clear" w:color="auto" w:fill="auto"/>
          </w:tcPr>
          <w:p w14:paraId="65847A74" w14:textId="77777777" w:rsidR="00C37757" w:rsidRPr="00C37757" w:rsidRDefault="00C37757" w:rsidP="00C37757">
            <w:pPr>
              <w:widowControl w:val="0"/>
              <w:spacing w:before="40" w:after="40" w:line="240" w:lineRule="auto"/>
              <w:ind w:left="113"/>
              <w:jc w:val="center"/>
              <w:rPr>
                <w:rFonts w:ascii="Arial" w:eastAsia="Times New Roman" w:hAnsi="Arial" w:cs="Arial"/>
                <w:spacing w:val="-2"/>
                <w:sz w:val="14"/>
                <w:szCs w:val="14"/>
                <w:lang w:eastAsia="pt-BR"/>
              </w:rPr>
            </w:pPr>
          </w:p>
        </w:tc>
        <w:tc>
          <w:tcPr>
            <w:tcW w:w="1411" w:type="dxa"/>
            <w:shd w:val="clear" w:color="auto" w:fill="auto"/>
          </w:tcPr>
          <w:p w14:paraId="265AAC41" w14:textId="77777777" w:rsidR="00C37757" w:rsidRPr="00C37757" w:rsidRDefault="00C37757" w:rsidP="00C37757">
            <w:pPr>
              <w:widowControl w:val="0"/>
              <w:spacing w:before="40" w:after="40" w:line="240" w:lineRule="auto"/>
              <w:ind w:left="113"/>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10.191</w:t>
            </w:r>
          </w:p>
        </w:tc>
        <w:tc>
          <w:tcPr>
            <w:tcW w:w="1412" w:type="dxa"/>
            <w:shd w:val="clear" w:color="auto" w:fill="auto"/>
          </w:tcPr>
          <w:p w14:paraId="7F8EF39B" w14:textId="77777777" w:rsidR="00C37757" w:rsidRPr="00C37757" w:rsidRDefault="00C37757" w:rsidP="00C37757">
            <w:pPr>
              <w:widowControl w:val="0"/>
              <w:spacing w:before="40" w:after="40" w:line="240" w:lineRule="auto"/>
              <w:ind w:left="113"/>
              <w:jc w:val="right"/>
              <w:rPr>
                <w:rFonts w:ascii="Arial" w:eastAsia="Times New Roman" w:hAnsi="Arial" w:cs="Arial"/>
                <w:spacing w:val="-2"/>
                <w:sz w:val="14"/>
                <w:szCs w:val="18"/>
                <w:lang w:eastAsia="pt-BR"/>
              </w:rPr>
            </w:pPr>
            <w:r w:rsidRPr="00C37757">
              <w:rPr>
                <w:rFonts w:ascii="Arial" w:eastAsia="Times New Roman" w:hAnsi="Arial" w:cs="Arial"/>
                <w:spacing w:val="-2"/>
                <w:sz w:val="14"/>
                <w:szCs w:val="18"/>
                <w:lang w:eastAsia="pt-BR"/>
              </w:rPr>
              <w:t>22.718</w:t>
            </w:r>
          </w:p>
        </w:tc>
        <w:tc>
          <w:tcPr>
            <w:tcW w:w="283" w:type="dxa"/>
            <w:shd w:val="clear" w:color="auto" w:fill="auto"/>
          </w:tcPr>
          <w:p w14:paraId="2A2471C7" w14:textId="77777777" w:rsidR="00C37757" w:rsidRPr="00C37757" w:rsidRDefault="00C37757" w:rsidP="00C37757">
            <w:pPr>
              <w:widowControl w:val="0"/>
              <w:spacing w:before="40" w:after="40" w:line="240" w:lineRule="auto"/>
              <w:ind w:left="113"/>
              <w:jc w:val="right"/>
              <w:rPr>
                <w:rFonts w:ascii="Arial" w:eastAsia="Times New Roman" w:hAnsi="Arial" w:cs="Arial"/>
                <w:spacing w:val="-2"/>
                <w:sz w:val="14"/>
                <w:szCs w:val="14"/>
                <w:lang w:eastAsia="pt-BR"/>
              </w:rPr>
            </w:pPr>
          </w:p>
        </w:tc>
        <w:tc>
          <w:tcPr>
            <w:tcW w:w="1417" w:type="dxa"/>
            <w:shd w:val="clear" w:color="auto" w:fill="auto"/>
          </w:tcPr>
          <w:p w14:paraId="532DAB7F" w14:textId="77777777" w:rsidR="00C37757" w:rsidRPr="00C37757" w:rsidRDefault="00C37757" w:rsidP="00C37757">
            <w:pPr>
              <w:widowControl w:val="0"/>
              <w:spacing w:before="40" w:after="40" w:line="240" w:lineRule="auto"/>
              <w:ind w:left="113"/>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(7.011)</w:t>
            </w:r>
          </w:p>
        </w:tc>
        <w:tc>
          <w:tcPr>
            <w:tcW w:w="1418" w:type="dxa"/>
            <w:shd w:val="clear" w:color="auto" w:fill="auto"/>
          </w:tcPr>
          <w:p w14:paraId="1A18F690" w14:textId="77777777" w:rsidR="00C37757" w:rsidRPr="00C37757" w:rsidRDefault="00C37757" w:rsidP="00C37757">
            <w:pPr>
              <w:widowControl w:val="0"/>
              <w:spacing w:before="40" w:after="40" w:line="240" w:lineRule="auto"/>
              <w:ind w:left="113"/>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25.898</w:t>
            </w:r>
          </w:p>
        </w:tc>
      </w:tr>
      <w:tr w:rsidR="00C37757" w:rsidRPr="00C37757" w14:paraId="402048AF" w14:textId="77777777" w:rsidTr="00C37757">
        <w:trPr>
          <w:trHeight w:val="238"/>
        </w:trPr>
        <w:tc>
          <w:tcPr>
            <w:tcW w:w="3094" w:type="dxa"/>
            <w:shd w:val="clear" w:color="auto" w:fill="auto"/>
          </w:tcPr>
          <w:p w14:paraId="0579645D" w14:textId="77777777" w:rsidR="00C37757" w:rsidRPr="00C37757" w:rsidRDefault="00C37757" w:rsidP="00C37757">
            <w:pPr>
              <w:widowControl w:val="0"/>
              <w:spacing w:before="40" w:after="40" w:line="240" w:lineRule="auto"/>
              <w:ind w:left="113"/>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Amortização de ágio</w:t>
            </w:r>
          </w:p>
        </w:tc>
        <w:tc>
          <w:tcPr>
            <w:tcW w:w="604" w:type="dxa"/>
            <w:shd w:val="clear" w:color="auto" w:fill="auto"/>
          </w:tcPr>
          <w:p w14:paraId="1D0C044D" w14:textId="77777777" w:rsidR="00C37757" w:rsidRPr="00C37757" w:rsidRDefault="00C37757" w:rsidP="00C37757">
            <w:pPr>
              <w:widowControl w:val="0"/>
              <w:spacing w:before="40" w:after="40" w:line="240" w:lineRule="auto"/>
              <w:ind w:left="113"/>
              <w:jc w:val="center"/>
              <w:rPr>
                <w:rFonts w:ascii="Arial" w:eastAsia="Times New Roman" w:hAnsi="Arial" w:cs="Arial"/>
                <w:spacing w:val="-2"/>
                <w:sz w:val="14"/>
                <w:szCs w:val="14"/>
                <w:lang w:eastAsia="pt-BR"/>
              </w:rPr>
            </w:pPr>
          </w:p>
        </w:tc>
        <w:tc>
          <w:tcPr>
            <w:tcW w:w="1411" w:type="dxa"/>
            <w:shd w:val="clear" w:color="auto" w:fill="auto"/>
          </w:tcPr>
          <w:p w14:paraId="710DC082" w14:textId="77777777" w:rsidR="00C37757" w:rsidRPr="00C37757" w:rsidRDefault="00C37757" w:rsidP="00C37757">
            <w:pPr>
              <w:widowControl w:val="0"/>
              <w:spacing w:before="40" w:after="40" w:line="240" w:lineRule="auto"/>
              <w:ind w:left="113"/>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3.053</w:t>
            </w:r>
          </w:p>
        </w:tc>
        <w:tc>
          <w:tcPr>
            <w:tcW w:w="1412" w:type="dxa"/>
            <w:shd w:val="clear" w:color="auto" w:fill="auto"/>
          </w:tcPr>
          <w:p w14:paraId="379F2075" w14:textId="77777777" w:rsidR="00C37757" w:rsidRPr="00C37757" w:rsidRDefault="00C37757" w:rsidP="00C37757">
            <w:pPr>
              <w:widowControl w:val="0"/>
              <w:spacing w:before="40" w:after="40" w:line="240" w:lineRule="auto"/>
              <w:ind w:left="113"/>
              <w:jc w:val="right"/>
              <w:rPr>
                <w:rFonts w:ascii="Arial" w:eastAsia="Times New Roman" w:hAnsi="Arial" w:cs="Arial"/>
                <w:spacing w:val="-2"/>
                <w:sz w:val="14"/>
                <w:szCs w:val="18"/>
                <w:lang w:eastAsia="pt-BR"/>
              </w:rPr>
            </w:pPr>
            <w:r w:rsidRPr="00C37757">
              <w:rPr>
                <w:rFonts w:ascii="Arial" w:eastAsia="Times New Roman" w:hAnsi="Arial" w:cs="Arial"/>
                <w:spacing w:val="-2"/>
                <w:sz w:val="14"/>
                <w:szCs w:val="18"/>
                <w:lang w:eastAsia="pt-BR"/>
              </w:rPr>
              <w:t>--</w:t>
            </w:r>
          </w:p>
        </w:tc>
        <w:tc>
          <w:tcPr>
            <w:tcW w:w="283" w:type="dxa"/>
            <w:shd w:val="clear" w:color="auto" w:fill="auto"/>
          </w:tcPr>
          <w:p w14:paraId="6EACEB43" w14:textId="77777777" w:rsidR="00C37757" w:rsidRPr="00C37757" w:rsidRDefault="00C37757" w:rsidP="00C37757">
            <w:pPr>
              <w:widowControl w:val="0"/>
              <w:spacing w:before="40" w:after="40" w:line="240" w:lineRule="auto"/>
              <w:ind w:left="113"/>
              <w:jc w:val="right"/>
              <w:rPr>
                <w:rFonts w:ascii="Arial" w:eastAsia="Times New Roman" w:hAnsi="Arial" w:cs="Arial"/>
                <w:spacing w:val="-2"/>
                <w:sz w:val="14"/>
                <w:szCs w:val="14"/>
                <w:lang w:eastAsia="pt-BR"/>
              </w:rPr>
            </w:pPr>
          </w:p>
        </w:tc>
        <w:tc>
          <w:tcPr>
            <w:tcW w:w="1417" w:type="dxa"/>
            <w:shd w:val="clear" w:color="auto" w:fill="auto"/>
          </w:tcPr>
          <w:p w14:paraId="7ACA6378" w14:textId="77777777" w:rsidR="00C37757" w:rsidRPr="00C37757" w:rsidRDefault="00C37757" w:rsidP="00C37757">
            <w:pPr>
              <w:widowControl w:val="0"/>
              <w:spacing w:before="40" w:after="40" w:line="240" w:lineRule="auto"/>
              <w:ind w:left="113"/>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w:t>
            </w:r>
          </w:p>
        </w:tc>
        <w:tc>
          <w:tcPr>
            <w:tcW w:w="1418" w:type="dxa"/>
            <w:shd w:val="clear" w:color="auto" w:fill="auto"/>
          </w:tcPr>
          <w:p w14:paraId="4156F5CB" w14:textId="77777777" w:rsidR="00C37757" w:rsidRPr="00C37757" w:rsidRDefault="00C37757" w:rsidP="00C37757">
            <w:pPr>
              <w:widowControl w:val="0"/>
              <w:spacing w:before="40" w:after="40" w:line="240" w:lineRule="auto"/>
              <w:ind w:left="113"/>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3.053</w:t>
            </w:r>
          </w:p>
        </w:tc>
      </w:tr>
      <w:tr w:rsidR="00C37757" w:rsidRPr="00C37757" w14:paraId="5C34DB19" w14:textId="77777777" w:rsidTr="00C37757">
        <w:trPr>
          <w:trHeight w:val="238"/>
        </w:trPr>
        <w:tc>
          <w:tcPr>
            <w:tcW w:w="3094" w:type="dxa"/>
            <w:shd w:val="clear" w:color="auto" w:fill="auto"/>
          </w:tcPr>
          <w:p w14:paraId="3191368B" w14:textId="77777777" w:rsidR="00C37757" w:rsidRPr="00C37757" w:rsidRDefault="00C37757" w:rsidP="00C37757">
            <w:pPr>
              <w:widowControl w:val="0"/>
              <w:spacing w:before="40" w:after="40" w:line="240" w:lineRule="auto"/>
              <w:rPr>
                <w:rFonts w:ascii="Arial" w:eastAsia="Times New Roman" w:hAnsi="Arial" w:cs="Arial"/>
                <w:b/>
                <w:spacing w:val="-2"/>
                <w:sz w:val="14"/>
                <w:szCs w:val="18"/>
                <w:lang w:eastAsia="pt-BR"/>
              </w:rPr>
            </w:pPr>
            <w:r w:rsidRPr="00C37757">
              <w:rPr>
                <w:rFonts w:ascii="Arial" w:eastAsia="Times New Roman" w:hAnsi="Arial" w:cs="Arial"/>
                <w:b/>
                <w:spacing w:val="-2"/>
                <w:sz w:val="14"/>
                <w:szCs w:val="18"/>
                <w:lang w:eastAsia="pt-BR"/>
              </w:rPr>
              <w:t>Total dos Créditos Tributários Ativados</w:t>
            </w:r>
          </w:p>
        </w:tc>
        <w:tc>
          <w:tcPr>
            <w:tcW w:w="604" w:type="dxa"/>
            <w:shd w:val="clear" w:color="auto" w:fill="auto"/>
          </w:tcPr>
          <w:p w14:paraId="2AE64B96" w14:textId="77777777" w:rsidR="00C37757" w:rsidRPr="00C37757" w:rsidRDefault="00C37757" w:rsidP="00C37757">
            <w:pPr>
              <w:widowControl w:val="0"/>
              <w:spacing w:before="40" w:after="40" w:line="240" w:lineRule="auto"/>
              <w:jc w:val="center"/>
              <w:rPr>
                <w:rFonts w:ascii="Arial" w:eastAsia="Times New Roman" w:hAnsi="Arial" w:cs="Arial"/>
                <w:b/>
                <w:spacing w:val="-2"/>
                <w:sz w:val="14"/>
                <w:szCs w:val="14"/>
                <w:lang w:eastAsia="pt-BR"/>
              </w:rPr>
            </w:pPr>
          </w:p>
        </w:tc>
        <w:tc>
          <w:tcPr>
            <w:tcW w:w="1411" w:type="dxa"/>
            <w:shd w:val="clear" w:color="auto" w:fill="auto"/>
          </w:tcPr>
          <w:p w14:paraId="5FEE9235"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4"/>
                <w:lang w:eastAsia="pt-BR"/>
              </w:rPr>
            </w:pPr>
            <w:r w:rsidRPr="00C37757">
              <w:rPr>
                <w:rFonts w:ascii="Arial" w:eastAsia="Times New Roman" w:hAnsi="Arial" w:cs="Arial"/>
                <w:b/>
                <w:spacing w:val="-2"/>
                <w:sz w:val="14"/>
                <w:szCs w:val="14"/>
                <w:lang w:eastAsia="pt-BR"/>
              </w:rPr>
              <w:t>13.244</w:t>
            </w:r>
          </w:p>
        </w:tc>
        <w:tc>
          <w:tcPr>
            <w:tcW w:w="1412" w:type="dxa"/>
            <w:shd w:val="clear" w:color="auto" w:fill="auto"/>
          </w:tcPr>
          <w:p w14:paraId="5E6BD77D"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8"/>
                <w:lang w:eastAsia="pt-BR"/>
              </w:rPr>
            </w:pPr>
            <w:r w:rsidRPr="00C37757">
              <w:rPr>
                <w:rFonts w:ascii="Arial" w:eastAsia="Times New Roman" w:hAnsi="Arial" w:cs="Arial"/>
                <w:b/>
                <w:spacing w:val="-2"/>
                <w:sz w:val="14"/>
                <w:szCs w:val="18"/>
                <w:lang w:eastAsia="pt-BR"/>
              </w:rPr>
              <w:t>22.718</w:t>
            </w:r>
          </w:p>
        </w:tc>
        <w:tc>
          <w:tcPr>
            <w:tcW w:w="283" w:type="dxa"/>
            <w:shd w:val="clear" w:color="auto" w:fill="auto"/>
          </w:tcPr>
          <w:p w14:paraId="6A36C740"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4"/>
                <w:lang w:eastAsia="pt-BR"/>
              </w:rPr>
            </w:pPr>
          </w:p>
        </w:tc>
        <w:tc>
          <w:tcPr>
            <w:tcW w:w="1417" w:type="dxa"/>
            <w:shd w:val="clear" w:color="auto" w:fill="auto"/>
          </w:tcPr>
          <w:p w14:paraId="5286D138"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4"/>
                <w:lang w:eastAsia="pt-BR"/>
              </w:rPr>
            </w:pPr>
            <w:r w:rsidRPr="00C37757">
              <w:rPr>
                <w:rFonts w:ascii="Arial" w:eastAsia="Times New Roman" w:hAnsi="Arial" w:cs="Arial"/>
                <w:b/>
                <w:spacing w:val="-2"/>
                <w:sz w:val="14"/>
                <w:szCs w:val="14"/>
                <w:lang w:eastAsia="pt-BR"/>
              </w:rPr>
              <w:t>(7.011)</w:t>
            </w:r>
          </w:p>
        </w:tc>
        <w:tc>
          <w:tcPr>
            <w:tcW w:w="1418" w:type="dxa"/>
            <w:shd w:val="clear" w:color="auto" w:fill="auto"/>
          </w:tcPr>
          <w:p w14:paraId="19152B8F"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4"/>
                <w:lang w:eastAsia="pt-BR"/>
              </w:rPr>
            </w:pPr>
            <w:r w:rsidRPr="00C37757">
              <w:rPr>
                <w:rFonts w:ascii="Arial" w:eastAsia="Times New Roman" w:hAnsi="Arial" w:cs="Arial"/>
                <w:b/>
                <w:spacing w:val="-2"/>
                <w:sz w:val="14"/>
                <w:szCs w:val="14"/>
                <w:lang w:eastAsia="pt-BR"/>
              </w:rPr>
              <w:t>28.951</w:t>
            </w:r>
          </w:p>
        </w:tc>
      </w:tr>
      <w:tr w:rsidR="00C37757" w:rsidRPr="00C37757" w14:paraId="300E93E9" w14:textId="77777777" w:rsidTr="00C37757">
        <w:trPr>
          <w:trHeight w:val="238"/>
        </w:trPr>
        <w:tc>
          <w:tcPr>
            <w:tcW w:w="3094" w:type="dxa"/>
            <w:tcBorders>
              <w:bottom w:val="nil"/>
            </w:tcBorders>
            <w:shd w:val="clear" w:color="auto" w:fill="auto"/>
          </w:tcPr>
          <w:p w14:paraId="72C6393A" w14:textId="77777777" w:rsidR="00C37757" w:rsidRPr="00C37757" w:rsidRDefault="00C37757" w:rsidP="00C37757">
            <w:pPr>
              <w:widowControl w:val="0"/>
              <w:spacing w:before="40" w:after="40" w:line="240" w:lineRule="auto"/>
              <w:ind w:left="113"/>
              <w:rPr>
                <w:rFonts w:ascii="Arial" w:eastAsia="Times New Roman" w:hAnsi="Arial" w:cs="Arial"/>
                <w:spacing w:val="-2"/>
                <w:sz w:val="14"/>
                <w:szCs w:val="18"/>
                <w:lang w:eastAsia="pt-BR"/>
              </w:rPr>
            </w:pPr>
            <w:r w:rsidRPr="00C37757">
              <w:rPr>
                <w:rFonts w:ascii="Arial" w:eastAsia="Times New Roman" w:hAnsi="Arial" w:cs="Arial"/>
                <w:spacing w:val="-2"/>
                <w:sz w:val="14"/>
                <w:szCs w:val="18"/>
                <w:lang w:eastAsia="pt-BR"/>
              </w:rPr>
              <w:t>Imposto de renda</w:t>
            </w:r>
          </w:p>
        </w:tc>
        <w:tc>
          <w:tcPr>
            <w:tcW w:w="604" w:type="dxa"/>
            <w:tcBorders>
              <w:bottom w:val="nil"/>
            </w:tcBorders>
            <w:shd w:val="clear" w:color="auto" w:fill="auto"/>
          </w:tcPr>
          <w:p w14:paraId="398E5C88" w14:textId="77777777" w:rsidR="00C37757" w:rsidRPr="00C37757" w:rsidRDefault="00C37757" w:rsidP="00C37757">
            <w:pPr>
              <w:widowControl w:val="0"/>
              <w:spacing w:before="40" w:after="40" w:line="240" w:lineRule="auto"/>
              <w:jc w:val="center"/>
              <w:rPr>
                <w:rFonts w:ascii="Arial" w:eastAsia="Times New Roman" w:hAnsi="Arial" w:cs="Arial"/>
                <w:spacing w:val="-2"/>
                <w:sz w:val="14"/>
                <w:szCs w:val="14"/>
                <w:lang w:eastAsia="pt-BR"/>
              </w:rPr>
            </w:pPr>
          </w:p>
        </w:tc>
        <w:tc>
          <w:tcPr>
            <w:tcW w:w="1411" w:type="dxa"/>
            <w:tcBorders>
              <w:bottom w:val="nil"/>
            </w:tcBorders>
            <w:shd w:val="clear" w:color="auto" w:fill="auto"/>
          </w:tcPr>
          <w:p w14:paraId="2580ADFE" w14:textId="77777777" w:rsidR="00C37757" w:rsidRPr="00C37757" w:rsidRDefault="00C37757" w:rsidP="00C37757">
            <w:pPr>
              <w:widowControl w:val="0"/>
              <w:spacing w:before="40" w:after="40" w:line="240" w:lineRule="auto"/>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10.543</w:t>
            </w:r>
          </w:p>
        </w:tc>
        <w:tc>
          <w:tcPr>
            <w:tcW w:w="1412" w:type="dxa"/>
            <w:tcBorders>
              <w:bottom w:val="nil"/>
            </w:tcBorders>
            <w:shd w:val="clear" w:color="auto" w:fill="auto"/>
          </w:tcPr>
          <w:p w14:paraId="549FA1EB" w14:textId="77777777" w:rsidR="00C37757" w:rsidRPr="00C37757" w:rsidRDefault="00C37757" w:rsidP="00C37757">
            <w:pPr>
              <w:widowControl w:val="0"/>
              <w:spacing w:before="40" w:after="40" w:line="240" w:lineRule="auto"/>
              <w:jc w:val="right"/>
              <w:rPr>
                <w:rFonts w:ascii="Arial" w:eastAsia="Times New Roman" w:hAnsi="Arial" w:cs="Arial"/>
                <w:spacing w:val="-2"/>
                <w:sz w:val="14"/>
                <w:szCs w:val="18"/>
                <w:lang w:eastAsia="pt-BR"/>
              </w:rPr>
            </w:pPr>
            <w:r w:rsidRPr="00C37757">
              <w:rPr>
                <w:rFonts w:ascii="Arial" w:eastAsia="Times New Roman" w:hAnsi="Arial" w:cs="Arial"/>
                <w:spacing w:val="-2"/>
                <w:sz w:val="14"/>
                <w:szCs w:val="18"/>
                <w:lang w:eastAsia="pt-BR"/>
              </w:rPr>
              <w:t>16.704</w:t>
            </w:r>
          </w:p>
        </w:tc>
        <w:tc>
          <w:tcPr>
            <w:tcW w:w="283" w:type="dxa"/>
            <w:tcBorders>
              <w:bottom w:val="nil"/>
            </w:tcBorders>
            <w:shd w:val="clear" w:color="auto" w:fill="auto"/>
          </w:tcPr>
          <w:p w14:paraId="0B139A80" w14:textId="77777777" w:rsidR="00C37757" w:rsidRPr="00C37757" w:rsidRDefault="00C37757" w:rsidP="00C37757">
            <w:pPr>
              <w:widowControl w:val="0"/>
              <w:spacing w:before="40" w:after="40" w:line="240" w:lineRule="auto"/>
              <w:jc w:val="right"/>
              <w:rPr>
                <w:rFonts w:ascii="Arial" w:eastAsia="Times New Roman" w:hAnsi="Arial" w:cs="Arial"/>
                <w:spacing w:val="-2"/>
                <w:sz w:val="14"/>
                <w:szCs w:val="14"/>
                <w:lang w:eastAsia="pt-BR"/>
              </w:rPr>
            </w:pPr>
          </w:p>
        </w:tc>
        <w:tc>
          <w:tcPr>
            <w:tcW w:w="1417" w:type="dxa"/>
            <w:tcBorders>
              <w:bottom w:val="nil"/>
            </w:tcBorders>
            <w:shd w:val="clear" w:color="auto" w:fill="auto"/>
          </w:tcPr>
          <w:p w14:paraId="0A1AEA15" w14:textId="77777777" w:rsidR="00C37757" w:rsidRPr="00C37757" w:rsidRDefault="00C37757" w:rsidP="00C37757">
            <w:pPr>
              <w:widowControl w:val="0"/>
              <w:spacing w:before="40" w:after="40" w:line="240" w:lineRule="auto"/>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(5.153)</w:t>
            </w:r>
          </w:p>
        </w:tc>
        <w:tc>
          <w:tcPr>
            <w:tcW w:w="1418" w:type="dxa"/>
            <w:tcBorders>
              <w:bottom w:val="nil"/>
            </w:tcBorders>
            <w:shd w:val="clear" w:color="auto" w:fill="auto"/>
          </w:tcPr>
          <w:p w14:paraId="4592E957" w14:textId="77777777" w:rsidR="00C37757" w:rsidRPr="00C37757" w:rsidRDefault="00C37757" w:rsidP="00C37757">
            <w:pPr>
              <w:widowControl w:val="0"/>
              <w:spacing w:before="40" w:after="40" w:line="240" w:lineRule="auto"/>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22.094</w:t>
            </w:r>
          </w:p>
        </w:tc>
      </w:tr>
      <w:tr w:rsidR="00C37757" w:rsidRPr="00C37757" w14:paraId="377BDB01" w14:textId="77777777" w:rsidTr="00C37757">
        <w:trPr>
          <w:trHeight w:val="238"/>
        </w:trPr>
        <w:tc>
          <w:tcPr>
            <w:tcW w:w="3094" w:type="dxa"/>
            <w:tcBorders>
              <w:top w:val="nil"/>
              <w:bottom w:val="single" w:sz="2" w:space="0" w:color="1F4E79"/>
            </w:tcBorders>
            <w:shd w:val="clear" w:color="auto" w:fill="auto"/>
          </w:tcPr>
          <w:p w14:paraId="3A4D1B4D" w14:textId="77777777" w:rsidR="00C37757" w:rsidRPr="00C37757" w:rsidRDefault="00C37757" w:rsidP="00C37757">
            <w:pPr>
              <w:widowControl w:val="0"/>
              <w:spacing w:before="40" w:after="40" w:line="240" w:lineRule="auto"/>
              <w:ind w:left="113"/>
              <w:rPr>
                <w:rFonts w:ascii="Arial" w:eastAsia="Times New Roman" w:hAnsi="Arial" w:cs="Arial"/>
                <w:spacing w:val="-2"/>
                <w:sz w:val="14"/>
                <w:szCs w:val="18"/>
                <w:lang w:eastAsia="pt-BR"/>
              </w:rPr>
            </w:pPr>
            <w:r w:rsidRPr="00C37757">
              <w:rPr>
                <w:rFonts w:ascii="Arial" w:eastAsia="Times New Roman" w:hAnsi="Arial" w:cs="Arial"/>
                <w:spacing w:val="-2"/>
                <w:sz w:val="14"/>
                <w:szCs w:val="18"/>
                <w:lang w:eastAsia="pt-BR"/>
              </w:rPr>
              <w:t>Contribuição social</w:t>
            </w:r>
          </w:p>
        </w:tc>
        <w:tc>
          <w:tcPr>
            <w:tcW w:w="604" w:type="dxa"/>
            <w:tcBorders>
              <w:top w:val="nil"/>
              <w:bottom w:val="single" w:sz="2" w:space="0" w:color="1F4E79"/>
            </w:tcBorders>
            <w:shd w:val="clear" w:color="auto" w:fill="auto"/>
          </w:tcPr>
          <w:p w14:paraId="3B1D21A7" w14:textId="77777777" w:rsidR="00C37757" w:rsidRPr="00C37757" w:rsidRDefault="00C37757" w:rsidP="00C37757">
            <w:pPr>
              <w:widowControl w:val="0"/>
              <w:spacing w:before="40" w:after="40" w:line="240" w:lineRule="auto"/>
              <w:jc w:val="center"/>
              <w:rPr>
                <w:rFonts w:ascii="Arial" w:eastAsia="Times New Roman" w:hAnsi="Arial" w:cs="Arial"/>
                <w:spacing w:val="-2"/>
                <w:sz w:val="14"/>
                <w:szCs w:val="14"/>
                <w:lang w:eastAsia="pt-BR"/>
              </w:rPr>
            </w:pPr>
          </w:p>
        </w:tc>
        <w:tc>
          <w:tcPr>
            <w:tcW w:w="1411" w:type="dxa"/>
            <w:tcBorders>
              <w:top w:val="nil"/>
              <w:bottom w:val="single" w:sz="2" w:space="0" w:color="1F4E79"/>
            </w:tcBorders>
            <w:shd w:val="clear" w:color="auto" w:fill="auto"/>
          </w:tcPr>
          <w:p w14:paraId="67A0E4D9" w14:textId="77777777" w:rsidR="00C37757" w:rsidRPr="00C37757" w:rsidRDefault="00C37757" w:rsidP="00C37757">
            <w:pPr>
              <w:widowControl w:val="0"/>
              <w:spacing w:before="40" w:after="40" w:line="240" w:lineRule="auto"/>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2.701</w:t>
            </w:r>
          </w:p>
        </w:tc>
        <w:tc>
          <w:tcPr>
            <w:tcW w:w="1412" w:type="dxa"/>
            <w:tcBorders>
              <w:top w:val="nil"/>
              <w:bottom w:val="single" w:sz="2" w:space="0" w:color="1F4E79"/>
            </w:tcBorders>
            <w:shd w:val="clear" w:color="auto" w:fill="auto"/>
          </w:tcPr>
          <w:p w14:paraId="2278493A" w14:textId="77777777" w:rsidR="00C37757" w:rsidRPr="00C37757" w:rsidRDefault="00C37757" w:rsidP="00C37757">
            <w:pPr>
              <w:widowControl w:val="0"/>
              <w:spacing w:before="40" w:after="40" w:line="240" w:lineRule="auto"/>
              <w:jc w:val="right"/>
              <w:rPr>
                <w:rFonts w:ascii="Arial" w:eastAsia="Times New Roman" w:hAnsi="Arial" w:cs="Arial"/>
                <w:spacing w:val="-2"/>
                <w:sz w:val="14"/>
                <w:szCs w:val="18"/>
                <w:lang w:eastAsia="pt-BR"/>
              </w:rPr>
            </w:pPr>
            <w:r w:rsidRPr="00C37757">
              <w:rPr>
                <w:rFonts w:ascii="Arial" w:eastAsia="Times New Roman" w:hAnsi="Arial" w:cs="Arial"/>
                <w:spacing w:val="-2"/>
                <w:sz w:val="14"/>
                <w:szCs w:val="18"/>
                <w:lang w:eastAsia="pt-BR"/>
              </w:rPr>
              <w:t>6.014</w:t>
            </w:r>
          </w:p>
        </w:tc>
        <w:tc>
          <w:tcPr>
            <w:tcW w:w="283" w:type="dxa"/>
            <w:tcBorders>
              <w:top w:val="nil"/>
              <w:bottom w:val="single" w:sz="2" w:space="0" w:color="1F4E79"/>
            </w:tcBorders>
            <w:shd w:val="clear" w:color="auto" w:fill="auto"/>
          </w:tcPr>
          <w:p w14:paraId="7B9DFB3A" w14:textId="77777777" w:rsidR="00C37757" w:rsidRPr="00C37757" w:rsidRDefault="00C37757" w:rsidP="00C37757">
            <w:pPr>
              <w:widowControl w:val="0"/>
              <w:spacing w:before="40" w:after="40" w:line="240" w:lineRule="auto"/>
              <w:jc w:val="right"/>
              <w:rPr>
                <w:rFonts w:ascii="Arial" w:eastAsia="Times New Roman" w:hAnsi="Arial" w:cs="Arial"/>
                <w:spacing w:val="-2"/>
                <w:sz w:val="14"/>
                <w:szCs w:val="14"/>
                <w:lang w:eastAsia="pt-BR"/>
              </w:rPr>
            </w:pPr>
          </w:p>
        </w:tc>
        <w:tc>
          <w:tcPr>
            <w:tcW w:w="1417" w:type="dxa"/>
            <w:tcBorders>
              <w:top w:val="nil"/>
              <w:bottom w:val="single" w:sz="2" w:space="0" w:color="1F4E79"/>
            </w:tcBorders>
            <w:shd w:val="clear" w:color="auto" w:fill="auto"/>
          </w:tcPr>
          <w:p w14:paraId="76BBD302" w14:textId="77777777" w:rsidR="00C37757" w:rsidRPr="00C37757" w:rsidRDefault="00C37757" w:rsidP="00C37757">
            <w:pPr>
              <w:widowControl w:val="0"/>
              <w:spacing w:before="40" w:after="40" w:line="240" w:lineRule="auto"/>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(1.858)</w:t>
            </w:r>
          </w:p>
        </w:tc>
        <w:tc>
          <w:tcPr>
            <w:tcW w:w="1418" w:type="dxa"/>
            <w:tcBorders>
              <w:top w:val="nil"/>
              <w:bottom w:val="single" w:sz="2" w:space="0" w:color="1F4E79"/>
            </w:tcBorders>
            <w:shd w:val="clear" w:color="auto" w:fill="auto"/>
          </w:tcPr>
          <w:p w14:paraId="1E9AE625" w14:textId="77777777" w:rsidR="00C37757" w:rsidRPr="00C37757" w:rsidRDefault="00C37757" w:rsidP="00C37757">
            <w:pPr>
              <w:widowControl w:val="0"/>
              <w:spacing w:before="40" w:after="40" w:line="240" w:lineRule="auto"/>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6.857</w:t>
            </w:r>
          </w:p>
        </w:tc>
      </w:tr>
    </w:tbl>
    <w:p w14:paraId="258D8CBB" w14:textId="77777777" w:rsidR="00C37757" w:rsidRPr="00C37757" w:rsidRDefault="00C37757" w:rsidP="00C37757">
      <w:pPr>
        <w:widowControl w:val="0"/>
        <w:spacing w:after="0" w:line="240" w:lineRule="auto"/>
        <w:jc w:val="right"/>
        <w:rPr>
          <w:rFonts w:ascii="Arial" w:eastAsia="MS Mincho" w:hAnsi="Arial" w:cs="Arial"/>
          <w:b/>
          <w:sz w:val="14"/>
          <w:szCs w:val="22"/>
          <w:lang w:eastAsia="pt-BR"/>
        </w:rPr>
      </w:pPr>
    </w:p>
    <w:p w14:paraId="425CB3D5" w14:textId="77777777" w:rsidR="00C37757" w:rsidRPr="00C37757" w:rsidRDefault="00C37757" w:rsidP="00C37757">
      <w:pPr>
        <w:widowControl w:val="0"/>
        <w:spacing w:after="0" w:line="240" w:lineRule="auto"/>
        <w:jc w:val="right"/>
        <w:rPr>
          <w:rFonts w:ascii="Arial" w:eastAsia="MS Mincho" w:hAnsi="Arial" w:cs="Arial"/>
          <w:b/>
          <w:sz w:val="14"/>
          <w:szCs w:val="22"/>
          <w:lang w:eastAsia="pt-BR"/>
        </w:rPr>
      </w:pPr>
      <w:r w:rsidRPr="00C37757">
        <w:rPr>
          <w:rFonts w:ascii="Arial" w:eastAsia="MS Mincho" w:hAnsi="Arial" w:cs="Arial"/>
          <w:b/>
          <w:sz w:val="14"/>
          <w:szCs w:val="22"/>
          <w:lang w:eastAsia="pt-BR"/>
        </w:rPr>
        <w:t>R$ mil</w:t>
      </w:r>
    </w:p>
    <w:tbl>
      <w:tblPr>
        <w:tblW w:w="9639" w:type="dxa"/>
        <w:tblBorders>
          <w:top w:val="single" w:sz="2" w:space="0" w:color="8EAADB"/>
          <w:bottom w:val="single" w:sz="2" w:space="0" w:color="8EAADB"/>
        </w:tblBorders>
        <w:tblLook w:val="04A0" w:firstRow="1" w:lastRow="0" w:firstColumn="1" w:lastColumn="0" w:noHBand="0" w:noVBand="1"/>
      </w:tblPr>
      <w:tblGrid>
        <w:gridCol w:w="3094"/>
        <w:gridCol w:w="604"/>
        <w:gridCol w:w="1411"/>
        <w:gridCol w:w="1412"/>
        <w:gridCol w:w="283"/>
        <w:gridCol w:w="1417"/>
        <w:gridCol w:w="1418"/>
      </w:tblGrid>
      <w:tr w:rsidR="00C37757" w:rsidRPr="00C37757" w14:paraId="4ABFF81A" w14:textId="77777777" w:rsidTr="00C37757">
        <w:trPr>
          <w:trHeight w:val="238"/>
        </w:trPr>
        <w:tc>
          <w:tcPr>
            <w:tcW w:w="3094" w:type="dxa"/>
            <w:tcBorders>
              <w:top w:val="single" w:sz="2" w:space="0" w:color="1F4E79"/>
              <w:bottom w:val="nil"/>
            </w:tcBorders>
            <w:shd w:val="clear" w:color="auto" w:fill="auto"/>
          </w:tcPr>
          <w:p w14:paraId="796BBA4F" w14:textId="77777777" w:rsidR="00C37757" w:rsidRPr="00C37757" w:rsidRDefault="00C37757" w:rsidP="00C37757">
            <w:pPr>
              <w:widowControl w:val="0"/>
              <w:spacing w:after="0" w:line="276" w:lineRule="auto"/>
              <w:jc w:val="center"/>
              <w:rPr>
                <w:rFonts w:ascii="Arial" w:eastAsia="MS Mincho" w:hAnsi="Arial" w:cs="Arial"/>
                <w:b/>
                <w:sz w:val="18"/>
                <w:szCs w:val="18"/>
              </w:rPr>
            </w:pPr>
          </w:p>
        </w:tc>
        <w:tc>
          <w:tcPr>
            <w:tcW w:w="604" w:type="dxa"/>
            <w:tcBorders>
              <w:top w:val="single" w:sz="2" w:space="0" w:color="1F4E79"/>
              <w:bottom w:val="nil"/>
            </w:tcBorders>
            <w:shd w:val="clear" w:color="auto" w:fill="auto"/>
          </w:tcPr>
          <w:p w14:paraId="34D750ED" w14:textId="77777777" w:rsidR="00C37757" w:rsidRPr="00C37757" w:rsidRDefault="00C37757" w:rsidP="00C37757">
            <w:pPr>
              <w:widowControl w:val="0"/>
              <w:spacing w:after="0" w:line="276" w:lineRule="auto"/>
              <w:jc w:val="center"/>
              <w:rPr>
                <w:rFonts w:ascii="Arial" w:eastAsia="MS Mincho" w:hAnsi="Arial" w:cs="Arial"/>
                <w:b/>
                <w:sz w:val="18"/>
                <w:szCs w:val="18"/>
              </w:rPr>
            </w:pPr>
          </w:p>
        </w:tc>
        <w:tc>
          <w:tcPr>
            <w:tcW w:w="5941" w:type="dxa"/>
            <w:gridSpan w:val="5"/>
            <w:tcBorders>
              <w:top w:val="single" w:sz="2" w:space="0" w:color="1F4E79"/>
              <w:bottom w:val="single" w:sz="2" w:space="0" w:color="1F4E79"/>
            </w:tcBorders>
            <w:shd w:val="clear" w:color="auto" w:fill="auto"/>
            <w:vAlign w:val="center"/>
          </w:tcPr>
          <w:p w14:paraId="4348610D" w14:textId="77777777" w:rsidR="00C37757" w:rsidRPr="00C37757" w:rsidRDefault="00C37757" w:rsidP="00C37757">
            <w:pPr>
              <w:widowControl w:val="0"/>
              <w:spacing w:after="0" w:line="276" w:lineRule="auto"/>
              <w:jc w:val="center"/>
              <w:rPr>
                <w:rFonts w:ascii="Arial" w:eastAsia="MS Mincho" w:hAnsi="Arial" w:cs="Arial"/>
                <w:b/>
                <w:sz w:val="14"/>
                <w:szCs w:val="14"/>
              </w:rPr>
            </w:pPr>
            <w:r w:rsidRPr="00C37757">
              <w:rPr>
                <w:rFonts w:ascii="Arial" w:eastAsia="MS Mincho" w:hAnsi="Arial" w:cs="Arial"/>
                <w:b/>
                <w:sz w:val="14"/>
                <w:szCs w:val="14"/>
              </w:rPr>
              <w:t>Consolidado</w:t>
            </w:r>
          </w:p>
        </w:tc>
      </w:tr>
      <w:tr w:rsidR="00C37757" w:rsidRPr="00C37757" w14:paraId="15FDC180" w14:textId="77777777" w:rsidTr="00C37757">
        <w:trPr>
          <w:trHeight w:val="238"/>
        </w:trPr>
        <w:tc>
          <w:tcPr>
            <w:tcW w:w="3094" w:type="dxa"/>
            <w:tcBorders>
              <w:top w:val="nil"/>
              <w:bottom w:val="single" w:sz="2" w:space="0" w:color="1F4E79"/>
            </w:tcBorders>
            <w:shd w:val="clear" w:color="auto" w:fill="auto"/>
          </w:tcPr>
          <w:p w14:paraId="419DE91E"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8"/>
                <w:lang w:eastAsia="pt-BR"/>
              </w:rPr>
            </w:pPr>
          </w:p>
        </w:tc>
        <w:tc>
          <w:tcPr>
            <w:tcW w:w="604" w:type="dxa"/>
            <w:tcBorders>
              <w:top w:val="nil"/>
              <w:bottom w:val="single" w:sz="2" w:space="0" w:color="1F4E79"/>
            </w:tcBorders>
            <w:shd w:val="clear" w:color="auto" w:fill="auto"/>
          </w:tcPr>
          <w:p w14:paraId="6204FE69"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8"/>
                <w:lang w:eastAsia="pt-BR"/>
              </w:rPr>
            </w:pPr>
          </w:p>
        </w:tc>
        <w:tc>
          <w:tcPr>
            <w:tcW w:w="1411" w:type="dxa"/>
            <w:tcBorders>
              <w:top w:val="single" w:sz="2" w:space="0" w:color="1F4E79"/>
              <w:bottom w:val="single" w:sz="2" w:space="0" w:color="1F4E79"/>
            </w:tcBorders>
            <w:shd w:val="clear" w:color="auto" w:fill="auto"/>
            <w:vAlign w:val="center"/>
          </w:tcPr>
          <w:p w14:paraId="74A0EC2A"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8"/>
                <w:lang w:eastAsia="pt-BR"/>
              </w:rPr>
            </w:pPr>
            <w:r w:rsidRPr="00C37757">
              <w:rPr>
                <w:rFonts w:ascii="Arial" w:eastAsia="Times New Roman" w:hAnsi="Arial" w:cs="Arial"/>
                <w:b/>
                <w:spacing w:val="-2"/>
                <w:sz w:val="14"/>
                <w:szCs w:val="18"/>
                <w:lang w:eastAsia="pt-BR"/>
              </w:rPr>
              <w:t>31.12.2022</w:t>
            </w:r>
          </w:p>
        </w:tc>
        <w:tc>
          <w:tcPr>
            <w:tcW w:w="1412" w:type="dxa"/>
            <w:tcBorders>
              <w:top w:val="single" w:sz="2" w:space="0" w:color="1F4E79"/>
              <w:bottom w:val="single" w:sz="2" w:space="0" w:color="1F4E79"/>
            </w:tcBorders>
            <w:shd w:val="clear" w:color="auto" w:fill="auto"/>
            <w:vAlign w:val="center"/>
          </w:tcPr>
          <w:p w14:paraId="5C910848"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8"/>
                <w:lang w:eastAsia="pt-BR"/>
              </w:rPr>
            </w:pPr>
            <w:r w:rsidRPr="00C37757">
              <w:rPr>
                <w:rFonts w:ascii="Arial" w:eastAsia="Times New Roman" w:hAnsi="Arial" w:cs="Arial"/>
                <w:b/>
                <w:spacing w:val="-2"/>
                <w:sz w:val="14"/>
                <w:szCs w:val="18"/>
                <w:lang w:eastAsia="pt-BR"/>
              </w:rPr>
              <w:t>Constituição</w:t>
            </w:r>
          </w:p>
        </w:tc>
        <w:tc>
          <w:tcPr>
            <w:tcW w:w="283" w:type="dxa"/>
            <w:tcBorders>
              <w:top w:val="single" w:sz="2" w:space="0" w:color="1F4E79"/>
              <w:bottom w:val="single" w:sz="2" w:space="0" w:color="1F4E79"/>
            </w:tcBorders>
            <w:shd w:val="clear" w:color="auto" w:fill="auto"/>
            <w:vAlign w:val="center"/>
          </w:tcPr>
          <w:p w14:paraId="42F7AA44"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8"/>
                <w:lang w:eastAsia="pt-BR"/>
              </w:rPr>
            </w:pPr>
          </w:p>
        </w:tc>
        <w:tc>
          <w:tcPr>
            <w:tcW w:w="1417" w:type="dxa"/>
            <w:tcBorders>
              <w:top w:val="single" w:sz="2" w:space="0" w:color="1F4E79"/>
              <w:bottom w:val="single" w:sz="2" w:space="0" w:color="1F4E79"/>
            </w:tcBorders>
            <w:shd w:val="clear" w:color="auto" w:fill="auto"/>
            <w:vAlign w:val="center"/>
          </w:tcPr>
          <w:p w14:paraId="324BD310"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8"/>
                <w:vertAlign w:val="superscript"/>
                <w:lang w:eastAsia="pt-BR"/>
              </w:rPr>
            </w:pPr>
            <w:r w:rsidRPr="00C37757">
              <w:rPr>
                <w:rFonts w:ascii="Arial" w:eastAsia="Times New Roman" w:hAnsi="Arial" w:cs="Arial"/>
                <w:b/>
                <w:spacing w:val="-2"/>
                <w:sz w:val="14"/>
                <w:szCs w:val="18"/>
                <w:lang w:eastAsia="pt-BR"/>
              </w:rPr>
              <w:t>Baixa</w:t>
            </w:r>
            <w:r w:rsidRPr="00C37757">
              <w:rPr>
                <w:rFonts w:ascii="Arial" w:eastAsia="Times New Roman" w:hAnsi="Arial" w:cs="Arial"/>
                <w:b/>
                <w:spacing w:val="-2"/>
                <w:sz w:val="14"/>
                <w:szCs w:val="18"/>
                <w:vertAlign w:val="superscript"/>
                <w:lang w:eastAsia="pt-BR"/>
              </w:rPr>
              <w:t xml:space="preserve"> </w:t>
            </w:r>
          </w:p>
        </w:tc>
        <w:tc>
          <w:tcPr>
            <w:tcW w:w="1418" w:type="dxa"/>
            <w:tcBorders>
              <w:top w:val="single" w:sz="2" w:space="0" w:color="1F4E79"/>
              <w:bottom w:val="single" w:sz="2" w:space="0" w:color="1F4E79"/>
            </w:tcBorders>
            <w:shd w:val="clear" w:color="auto" w:fill="auto"/>
            <w:vAlign w:val="center"/>
          </w:tcPr>
          <w:p w14:paraId="21ECD6EB"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8"/>
                <w:lang w:eastAsia="pt-BR"/>
              </w:rPr>
            </w:pPr>
            <w:r w:rsidRPr="00C37757">
              <w:rPr>
                <w:rFonts w:ascii="Arial" w:eastAsia="Times New Roman" w:hAnsi="Arial" w:cs="Arial"/>
                <w:b/>
                <w:spacing w:val="-2"/>
                <w:sz w:val="14"/>
                <w:szCs w:val="18"/>
                <w:lang w:eastAsia="pt-BR"/>
              </w:rPr>
              <w:t>31.12.2023</w:t>
            </w:r>
          </w:p>
        </w:tc>
      </w:tr>
      <w:tr w:rsidR="00C37757" w:rsidRPr="00C37757" w14:paraId="12DD6063" w14:textId="77777777" w:rsidTr="00C37757">
        <w:trPr>
          <w:trHeight w:val="238"/>
        </w:trPr>
        <w:tc>
          <w:tcPr>
            <w:tcW w:w="3094" w:type="dxa"/>
            <w:tcBorders>
              <w:top w:val="single" w:sz="2" w:space="0" w:color="1F4E79"/>
            </w:tcBorders>
            <w:shd w:val="clear" w:color="auto" w:fill="auto"/>
          </w:tcPr>
          <w:p w14:paraId="42F513F5" w14:textId="77777777" w:rsidR="00C37757" w:rsidRPr="00C37757" w:rsidRDefault="00C37757" w:rsidP="00C37757">
            <w:pPr>
              <w:widowControl w:val="0"/>
              <w:spacing w:before="40" w:after="40" w:line="240" w:lineRule="auto"/>
              <w:rPr>
                <w:rFonts w:ascii="Arial" w:eastAsia="Times New Roman" w:hAnsi="Arial" w:cs="Arial"/>
                <w:b/>
                <w:bCs/>
                <w:spacing w:val="-2"/>
                <w:sz w:val="14"/>
                <w:szCs w:val="14"/>
                <w:lang w:eastAsia="pt-BR"/>
              </w:rPr>
            </w:pPr>
            <w:r w:rsidRPr="00C37757">
              <w:rPr>
                <w:rFonts w:ascii="Arial" w:eastAsia="Times New Roman" w:hAnsi="Arial" w:cs="Arial"/>
                <w:b/>
                <w:bCs/>
                <w:spacing w:val="-2"/>
                <w:sz w:val="14"/>
                <w:szCs w:val="14"/>
                <w:lang w:eastAsia="pt-BR"/>
              </w:rPr>
              <w:t>Diferenças Temporárias</w:t>
            </w:r>
          </w:p>
        </w:tc>
        <w:tc>
          <w:tcPr>
            <w:tcW w:w="604" w:type="dxa"/>
            <w:tcBorders>
              <w:top w:val="single" w:sz="2" w:space="0" w:color="1F4E79"/>
            </w:tcBorders>
            <w:shd w:val="clear" w:color="auto" w:fill="auto"/>
          </w:tcPr>
          <w:p w14:paraId="4F0B6A48" w14:textId="77777777" w:rsidR="00C37757" w:rsidRPr="00C37757" w:rsidRDefault="00C37757" w:rsidP="00C37757">
            <w:pPr>
              <w:widowControl w:val="0"/>
              <w:spacing w:before="40" w:after="40" w:line="240" w:lineRule="auto"/>
              <w:rPr>
                <w:rFonts w:ascii="Arial" w:eastAsia="Times New Roman" w:hAnsi="Arial" w:cs="Arial"/>
                <w:b/>
                <w:bCs/>
                <w:spacing w:val="-2"/>
                <w:sz w:val="14"/>
                <w:szCs w:val="14"/>
                <w:lang w:eastAsia="pt-BR"/>
              </w:rPr>
            </w:pPr>
          </w:p>
        </w:tc>
        <w:tc>
          <w:tcPr>
            <w:tcW w:w="1411" w:type="dxa"/>
            <w:tcBorders>
              <w:top w:val="single" w:sz="2" w:space="0" w:color="1F4E79"/>
            </w:tcBorders>
            <w:shd w:val="clear" w:color="auto" w:fill="auto"/>
          </w:tcPr>
          <w:p w14:paraId="03F9228D" w14:textId="77777777" w:rsidR="00C37757" w:rsidRPr="00C37757" w:rsidRDefault="00C37757" w:rsidP="00C37757">
            <w:pPr>
              <w:widowControl w:val="0"/>
              <w:spacing w:before="40" w:after="40" w:line="240" w:lineRule="auto"/>
              <w:jc w:val="right"/>
              <w:rPr>
                <w:rFonts w:ascii="Arial" w:eastAsia="Times New Roman" w:hAnsi="Arial" w:cs="Arial"/>
                <w:b/>
                <w:bCs/>
                <w:spacing w:val="-2"/>
                <w:sz w:val="14"/>
                <w:szCs w:val="14"/>
                <w:lang w:eastAsia="pt-BR"/>
              </w:rPr>
            </w:pPr>
          </w:p>
        </w:tc>
        <w:tc>
          <w:tcPr>
            <w:tcW w:w="1412" w:type="dxa"/>
            <w:tcBorders>
              <w:top w:val="single" w:sz="2" w:space="0" w:color="1F4E79"/>
            </w:tcBorders>
            <w:shd w:val="clear" w:color="auto" w:fill="auto"/>
          </w:tcPr>
          <w:p w14:paraId="07AF3F43" w14:textId="77777777" w:rsidR="00C37757" w:rsidRPr="00C37757" w:rsidRDefault="00C37757" w:rsidP="00C37757">
            <w:pPr>
              <w:widowControl w:val="0"/>
              <w:spacing w:before="40" w:after="40" w:line="240" w:lineRule="auto"/>
              <w:jc w:val="right"/>
              <w:rPr>
                <w:rFonts w:ascii="Arial" w:eastAsia="Times New Roman" w:hAnsi="Arial" w:cs="Arial"/>
                <w:b/>
                <w:bCs/>
                <w:spacing w:val="-2"/>
                <w:sz w:val="14"/>
                <w:szCs w:val="14"/>
                <w:lang w:eastAsia="pt-BR"/>
              </w:rPr>
            </w:pPr>
          </w:p>
        </w:tc>
        <w:tc>
          <w:tcPr>
            <w:tcW w:w="283" w:type="dxa"/>
            <w:tcBorders>
              <w:top w:val="single" w:sz="2" w:space="0" w:color="1F4E79"/>
            </w:tcBorders>
            <w:shd w:val="clear" w:color="auto" w:fill="auto"/>
          </w:tcPr>
          <w:p w14:paraId="691A9E1E" w14:textId="77777777" w:rsidR="00C37757" w:rsidRPr="00C37757" w:rsidRDefault="00C37757" w:rsidP="00C37757">
            <w:pPr>
              <w:widowControl w:val="0"/>
              <w:spacing w:before="40" w:after="40" w:line="240" w:lineRule="auto"/>
              <w:rPr>
                <w:rFonts w:ascii="Arial" w:eastAsia="Times New Roman" w:hAnsi="Arial" w:cs="Arial"/>
                <w:b/>
                <w:bCs/>
                <w:spacing w:val="-2"/>
                <w:sz w:val="14"/>
                <w:szCs w:val="14"/>
                <w:lang w:eastAsia="pt-BR"/>
              </w:rPr>
            </w:pPr>
          </w:p>
        </w:tc>
        <w:tc>
          <w:tcPr>
            <w:tcW w:w="1417" w:type="dxa"/>
            <w:tcBorders>
              <w:top w:val="single" w:sz="2" w:space="0" w:color="1F4E79"/>
            </w:tcBorders>
            <w:shd w:val="clear" w:color="auto" w:fill="auto"/>
          </w:tcPr>
          <w:p w14:paraId="3D30C841" w14:textId="77777777" w:rsidR="00C37757" w:rsidRPr="00C37757" w:rsidRDefault="00C37757" w:rsidP="00C37757">
            <w:pPr>
              <w:widowControl w:val="0"/>
              <w:spacing w:before="40" w:after="40" w:line="240" w:lineRule="auto"/>
              <w:rPr>
                <w:rFonts w:ascii="Arial" w:eastAsia="Times New Roman" w:hAnsi="Arial" w:cs="Arial"/>
                <w:b/>
                <w:bCs/>
                <w:spacing w:val="-2"/>
                <w:sz w:val="14"/>
                <w:szCs w:val="14"/>
                <w:lang w:eastAsia="pt-BR"/>
              </w:rPr>
            </w:pPr>
          </w:p>
        </w:tc>
        <w:tc>
          <w:tcPr>
            <w:tcW w:w="1418" w:type="dxa"/>
            <w:tcBorders>
              <w:top w:val="single" w:sz="2" w:space="0" w:color="1F4E79"/>
            </w:tcBorders>
            <w:shd w:val="clear" w:color="auto" w:fill="auto"/>
          </w:tcPr>
          <w:p w14:paraId="137F39E9" w14:textId="77777777" w:rsidR="00C37757" w:rsidRPr="00C37757" w:rsidRDefault="00C37757" w:rsidP="00C37757">
            <w:pPr>
              <w:widowControl w:val="0"/>
              <w:spacing w:before="40" w:after="40" w:line="240" w:lineRule="auto"/>
              <w:jc w:val="right"/>
              <w:rPr>
                <w:rFonts w:ascii="Arial" w:eastAsia="Times New Roman" w:hAnsi="Arial" w:cs="Arial"/>
                <w:b/>
                <w:bCs/>
                <w:spacing w:val="-2"/>
                <w:sz w:val="14"/>
                <w:szCs w:val="14"/>
                <w:lang w:eastAsia="pt-BR"/>
              </w:rPr>
            </w:pPr>
          </w:p>
        </w:tc>
      </w:tr>
      <w:tr w:rsidR="00C37757" w:rsidRPr="00C37757" w14:paraId="08601524" w14:textId="77777777" w:rsidTr="00C37757">
        <w:trPr>
          <w:trHeight w:val="238"/>
        </w:trPr>
        <w:tc>
          <w:tcPr>
            <w:tcW w:w="3094" w:type="dxa"/>
            <w:shd w:val="clear" w:color="auto" w:fill="auto"/>
          </w:tcPr>
          <w:p w14:paraId="51C7670B" w14:textId="77777777" w:rsidR="00C37757" w:rsidRPr="00C37757" w:rsidRDefault="00C37757" w:rsidP="00C37757">
            <w:pPr>
              <w:widowControl w:val="0"/>
              <w:spacing w:before="40" w:after="40" w:line="240" w:lineRule="auto"/>
              <w:ind w:left="113"/>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Provisões passivas</w:t>
            </w:r>
          </w:p>
        </w:tc>
        <w:tc>
          <w:tcPr>
            <w:tcW w:w="604" w:type="dxa"/>
            <w:shd w:val="clear" w:color="auto" w:fill="auto"/>
          </w:tcPr>
          <w:p w14:paraId="69C8E9DC" w14:textId="77777777" w:rsidR="00C37757" w:rsidRPr="00C37757" w:rsidRDefault="00C37757" w:rsidP="00C37757">
            <w:pPr>
              <w:widowControl w:val="0"/>
              <w:spacing w:before="40" w:after="40" w:line="240" w:lineRule="auto"/>
              <w:ind w:left="113"/>
              <w:jc w:val="center"/>
              <w:rPr>
                <w:rFonts w:ascii="Arial" w:eastAsia="Times New Roman" w:hAnsi="Arial" w:cs="Arial"/>
                <w:spacing w:val="-2"/>
                <w:sz w:val="14"/>
                <w:szCs w:val="14"/>
                <w:lang w:eastAsia="pt-BR"/>
              </w:rPr>
            </w:pPr>
          </w:p>
        </w:tc>
        <w:tc>
          <w:tcPr>
            <w:tcW w:w="1411" w:type="dxa"/>
            <w:shd w:val="clear" w:color="auto" w:fill="auto"/>
          </w:tcPr>
          <w:p w14:paraId="5BC08718" w14:textId="77777777" w:rsidR="00C37757" w:rsidRPr="00C37757" w:rsidRDefault="00C37757" w:rsidP="00C37757">
            <w:pPr>
              <w:widowControl w:val="0"/>
              <w:spacing w:before="40" w:after="40" w:line="240" w:lineRule="auto"/>
              <w:ind w:left="113"/>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4.720</w:t>
            </w:r>
          </w:p>
        </w:tc>
        <w:tc>
          <w:tcPr>
            <w:tcW w:w="1412" w:type="dxa"/>
            <w:shd w:val="clear" w:color="auto" w:fill="auto"/>
          </w:tcPr>
          <w:p w14:paraId="040B8C53" w14:textId="77777777" w:rsidR="00C37757" w:rsidRPr="00C37757" w:rsidRDefault="00C37757" w:rsidP="00C37757">
            <w:pPr>
              <w:widowControl w:val="0"/>
              <w:spacing w:before="40" w:after="40" w:line="240" w:lineRule="auto"/>
              <w:ind w:left="113"/>
              <w:jc w:val="right"/>
              <w:rPr>
                <w:rFonts w:ascii="Arial" w:eastAsia="Times New Roman" w:hAnsi="Arial" w:cs="Arial"/>
                <w:spacing w:val="-2"/>
                <w:sz w:val="14"/>
                <w:szCs w:val="18"/>
                <w:lang w:eastAsia="pt-BR"/>
              </w:rPr>
            </w:pPr>
            <w:r w:rsidRPr="00C37757">
              <w:rPr>
                <w:rFonts w:ascii="Arial" w:eastAsia="Times New Roman" w:hAnsi="Arial" w:cs="Arial"/>
                <w:spacing w:val="-2"/>
                <w:sz w:val="14"/>
                <w:szCs w:val="18"/>
                <w:lang w:eastAsia="pt-BR"/>
              </w:rPr>
              <w:t>12.231</w:t>
            </w:r>
          </w:p>
        </w:tc>
        <w:tc>
          <w:tcPr>
            <w:tcW w:w="283" w:type="dxa"/>
            <w:shd w:val="clear" w:color="auto" w:fill="auto"/>
          </w:tcPr>
          <w:p w14:paraId="4A12EF25" w14:textId="77777777" w:rsidR="00C37757" w:rsidRPr="00C37757" w:rsidRDefault="00C37757" w:rsidP="00C37757">
            <w:pPr>
              <w:widowControl w:val="0"/>
              <w:spacing w:before="40" w:after="40" w:line="240" w:lineRule="auto"/>
              <w:ind w:left="113"/>
              <w:jc w:val="right"/>
              <w:rPr>
                <w:rFonts w:ascii="Arial" w:eastAsia="Times New Roman" w:hAnsi="Arial" w:cs="Arial"/>
                <w:spacing w:val="-2"/>
                <w:sz w:val="14"/>
                <w:szCs w:val="14"/>
                <w:lang w:eastAsia="pt-BR"/>
              </w:rPr>
            </w:pPr>
          </w:p>
        </w:tc>
        <w:tc>
          <w:tcPr>
            <w:tcW w:w="1417" w:type="dxa"/>
            <w:shd w:val="clear" w:color="auto" w:fill="auto"/>
          </w:tcPr>
          <w:p w14:paraId="536D319C" w14:textId="77777777" w:rsidR="00C37757" w:rsidRPr="00C37757" w:rsidRDefault="00C37757" w:rsidP="00C37757">
            <w:pPr>
              <w:widowControl w:val="0"/>
              <w:spacing w:before="40" w:after="40" w:line="240" w:lineRule="auto"/>
              <w:ind w:left="113"/>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(6.760)</w:t>
            </w:r>
          </w:p>
        </w:tc>
        <w:tc>
          <w:tcPr>
            <w:tcW w:w="1418" w:type="dxa"/>
            <w:shd w:val="clear" w:color="auto" w:fill="auto"/>
          </w:tcPr>
          <w:p w14:paraId="1F151F57" w14:textId="77777777" w:rsidR="00C37757" w:rsidRPr="00C37757" w:rsidRDefault="00C37757" w:rsidP="00C37757">
            <w:pPr>
              <w:widowControl w:val="0"/>
              <w:spacing w:before="40" w:after="40" w:line="240" w:lineRule="auto"/>
              <w:ind w:left="113"/>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10.191</w:t>
            </w:r>
          </w:p>
        </w:tc>
      </w:tr>
      <w:tr w:rsidR="00C37757" w:rsidRPr="00C37757" w14:paraId="02C78691" w14:textId="77777777" w:rsidTr="00C37757">
        <w:trPr>
          <w:trHeight w:val="238"/>
        </w:trPr>
        <w:tc>
          <w:tcPr>
            <w:tcW w:w="3094" w:type="dxa"/>
            <w:shd w:val="clear" w:color="auto" w:fill="auto"/>
          </w:tcPr>
          <w:p w14:paraId="6917B2F5" w14:textId="77777777" w:rsidR="00C37757" w:rsidRPr="00C37757" w:rsidRDefault="00C37757" w:rsidP="00C37757">
            <w:pPr>
              <w:widowControl w:val="0"/>
              <w:spacing w:before="40" w:after="40" w:line="240" w:lineRule="auto"/>
              <w:ind w:left="113"/>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Amortização de ágio</w:t>
            </w:r>
          </w:p>
        </w:tc>
        <w:tc>
          <w:tcPr>
            <w:tcW w:w="604" w:type="dxa"/>
            <w:shd w:val="clear" w:color="auto" w:fill="auto"/>
          </w:tcPr>
          <w:p w14:paraId="4D3959A3" w14:textId="77777777" w:rsidR="00C37757" w:rsidRPr="00C37757" w:rsidRDefault="00C37757" w:rsidP="00C37757">
            <w:pPr>
              <w:widowControl w:val="0"/>
              <w:spacing w:before="40" w:after="40" w:line="240" w:lineRule="auto"/>
              <w:ind w:left="113"/>
              <w:jc w:val="center"/>
              <w:rPr>
                <w:rFonts w:ascii="Arial" w:eastAsia="Times New Roman" w:hAnsi="Arial" w:cs="Arial"/>
                <w:spacing w:val="-2"/>
                <w:sz w:val="14"/>
                <w:szCs w:val="14"/>
                <w:lang w:eastAsia="pt-BR"/>
              </w:rPr>
            </w:pPr>
          </w:p>
        </w:tc>
        <w:tc>
          <w:tcPr>
            <w:tcW w:w="1411" w:type="dxa"/>
            <w:shd w:val="clear" w:color="auto" w:fill="auto"/>
          </w:tcPr>
          <w:p w14:paraId="2C30ACFD" w14:textId="77777777" w:rsidR="00C37757" w:rsidRPr="00C37757" w:rsidRDefault="00C37757" w:rsidP="00C37757">
            <w:pPr>
              <w:widowControl w:val="0"/>
              <w:spacing w:before="40" w:after="40" w:line="240" w:lineRule="auto"/>
              <w:ind w:left="113"/>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3.053</w:t>
            </w:r>
          </w:p>
        </w:tc>
        <w:tc>
          <w:tcPr>
            <w:tcW w:w="1412" w:type="dxa"/>
            <w:shd w:val="clear" w:color="auto" w:fill="auto"/>
          </w:tcPr>
          <w:p w14:paraId="62693987" w14:textId="77777777" w:rsidR="00C37757" w:rsidRPr="00C37757" w:rsidRDefault="00C37757" w:rsidP="00C37757">
            <w:pPr>
              <w:widowControl w:val="0"/>
              <w:spacing w:before="40" w:after="40" w:line="240" w:lineRule="auto"/>
              <w:ind w:left="113"/>
              <w:jc w:val="right"/>
              <w:rPr>
                <w:rFonts w:ascii="Arial" w:eastAsia="Times New Roman" w:hAnsi="Arial" w:cs="Arial"/>
                <w:spacing w:val="-2"/>
                <w:sz w:val="14"/>
                <w:szCs w:val="18"/>
                <w:lang w:eastAsia="pt-BR"/>
              </w:rPr>
            </w:pPr>
            <w:r w:rsidRPr="00C37757">
              <w:rPr>
                <w:rFonts w:ascii="Arial" w:eastAsia="Times New Roman" w:hAnsi="Arial" w:cs="Arial"/>
                <w:spacing w:val="-2"/>
                <w:sz w:val="14"/>
                <w:szCs w:val="18"/>
                <w:lang w:eastAsia="pt-BR"/>
              </w:rPr>
              <w:t>--</w:t>
            </w:r>
          </w:p>
        </w:tc>
        <w:tc>
          <w:tcPr>
            <w:tcW w:w="283" w:type="dxa"/>
            <w:shd w:val="clear" w:color="auto" w:fill="auto"/>
          </w:tcPr>
          <w:p w14:paraId="79D0E527" w14:textId="77777777" w:rsidR="00C37757" w:rsidRPr="00C37757" w:rsidRDefault="00C37757" w:rsidP="00C37757">
            <w:pPr>
              <w:widowControl w:val="0"/>
              <w:spacing w:before="40" w:after="40" w:line="240" w:lineRule="auto"/>
              <w:ind w:left="113"/>
              <w:jc w:val="right"/>
              <w:rPr>
                <w:rFonts w:ascii="Arial" w:eastAsia="Times New Roman" w:hAnsi="Arial" w:cs="Arial"/>
                <w:spacing w:val="-2"/>
                <w:sz w:val="14"/>
                <w:szCs w:val="14"/>
                <w:lang w:eastAsia="pt-BR"/>
              </w:rPr>
            </w:pPr>
          </w:p>
        </w:tc>
        <w:tc>
          <w:tcPr>
            <w:tcW w:w="1417" w:type="dxa"/>
            <w:shd w:val="clear" w:color="auto" w:fill="auto"/>
          </w:tcPr>
          <w:p w14:paraId="5DF405B3" w14:textId="77777777" w:rsidR="00C37757" w:rsidRPr="00C37757" w:rsidRDefault="00C37757" w:rsidP="00C37757">
            <w:pPr>
              <w:widowControl w:val="0"/>
              <w:spacing w:before="40" w:after="40" w:line="240" w:lineRule="auto"/>
              <w:ind w:left="113"/>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w:t>
            </w:r>
          </w:p>
        </w:tc>
        <w:tc>
          <w:tcPr>
            <w:tcW w:w="1418" w:type="dxa"/>
            <w:shd w:val="clear" w:color="auto" w:fill="auto"/>
          </w:tcPr>
          <w:p w14:paraId="758B79AB" w14:textId="77777777" w:rsidR="00C37757" w:rsidRPr="00C37757" w:rsidRDefault="00C37757" w:rsidP="00C37757">
            <w:pPr>
              <w:widowControl w:val="0"/>
              <w:spacing w:before="40" w:after="40" w:line="240" w:lineRule="auto"/>
              <w:ind w:left="113"/>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3.053</w:t>
            </w:r>
          </w:p>
        </w:tc>
      </w:tr>
      <w:tr w:rsidR="00C37757" w:rsidRPr="00C37757" w14:paraId="33AD7593" w14:textId="77777777" w:rsidTr="00C37757">
        <w:trPr>
          <w:trHeight w:val="238"/>
        </w:trPr>
        <w:tc>
          <w:tcPr>
            <w:tcW w:w="3094" w:type="dxa"/>
            <w:shd w:val="clear" w:color="auto" w:fill="auto"/>
          </w:tcPr>
          <w:p w14:paraId="3B821C74" w14:textId="77777777" w:rsidR="00C37757" w:rsidRPr="00C37757" w:rsidRDefault="00C37757" w:rsidP="00C37757">
            <w:pPr>
              <w:widowControl w:val="0"/>
              <w:spacing w:before="40" w:after="40" w:line="240" w:lineRule="auto"/>
              <w:rPr>
                <w:rFonts w:ascii="Arial" w:eastAsia="Times New Roman" w:hAnsi="Arial" w:cs="Arial"/>
                <w:b/>
                <w:spacing w:val="-2"/>
                <w:sz w:val="14"/>
                <w:szCs w:val="18"/>
                <w:lang w:eastAsia="pt-BR"/>
              </w:rPr>
            </w:pPr>
            <w:r w:rsidRPr="00C37757">
              <w:rPr>
                <w:rFonts w:ascii="Arial" w:eastAsia="Times New Roman" w:hAnsi="Arial" w:cs="Arial"/>
                <w:b/>
                <w:spacing w:val="-2"/>
                <w:sz w:val="14"/>
                <w:szCs w:val="18"/>
                <w:lang w:eastAsia="pt-BR"/>
              </w:rPr>
              <w:t>Total dos Créditos Tributários Ativados</w:t>
            </w:r>
          </w:p>
        </w:tc>
        <w:tc>
          <w:tcPr>
            <w:tcW w:w="604" w:type="dxa"/>
            <w:shd w:val="clear" w:color="auto" w:fill="auto"/>
          </w:tcPr>
          <w:p w14:paraId="098A5554" w14:textId="77777777" w:rsidR="00C37757" w:rsidRPr="00C37757" w:rsidRDefault="00C37757" w:rsidP="00C37757">
            <w:pPr>
              <w:widowControl w:val="0"/>
              <w:spacing w:before="40" w:after="40" w:line="240" w:lineRule="auto"/>
              <w:jc w:val="center"/>
              <w:rPr>
                <w:rFonts w:ascii="Arial" w:eastAsia="Times New Roman" w:hAnsi="Arial" w:cs="Arial"/>
                <w:b/>
                <w:spacing w:val="-2"/>
                <w:sz w:val="14"/>
                <w:szCs w:val="14"/>
                <w:lang w:eastAsia="pt-BR"/>
              </w:rPr>
            </w:pPr>
          </w:p>
        </w:tc>
        <w:tc>
          <w:tcPr>
            <w:tcW w:w="1411" w:type="dxa"/>
            <w:shd w:val="clear" w:color="auto" w:fill="auto"/>
          </w:tcPr>
          <w:p w14:paraId="1AF83110"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4"/>
                <w:lang w:eastAsia="pt-BR"/>
              </w:rPr>
            </w:pPr>
            <w:r w:rsidRPr="00C37757">
              <w:rPr>
                <w:rFonts w:ascii="Arial" w:eastAsia="Times New Roman" w:hAnsi="Arial" w:cs="Arial"/>
                <w:b/>
                <w:spacing w:val="-2"/>
                <w:sz w:val="14"/>
                <w:szCs w:val="14"/>
                <w:lang w:eastAsia="pt-BR"/>
              </w:rPr>
              <w:t>7.773</w:t>
            </w:r>
          </w:p>
        </w:tc>
        <w:tc>
          <w:tcPr>
            <w:tcW w:w="1412" w:type="dxa"/>
            <w:shd w:val="clear" w:color="auto" w:fill="auto"/>
          </w:tcPr>
          <w:p w14:paraId="3E7EF978"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8"/>
                <w:lang w:eastAsia="pt-BR"/>
              </w:rPr>
            </w:pPr>
            <w:r w:rsidRPr="00C37757">
              <w:rPr>
                <w:rFonts w:ascii="Arial" w:eastAsia="Times New Roman" w:hAnsi="Arial" w:cs="Arial"/>
                <w:b/>
                <w:spacing w:val="-2"/>
                <w:sz w:val="14"/>
                <w:szCs w:val="18"/>
                <w:lang w:eastAsia="pt-BR"/>
              </w:rPr>
              <w:t>12.231</w:t>
            </w:r>
          </w:p>
        </w:tc>
        <w:tc>
          <w:tcPr>
            <w:tcW w:w="283" w:type="dxa"/>
            <w:shd w:val="clear" w:color="auto" w:fill="auto"/>
          </w:tcPr>
          <w:p w14:paraId="28355573"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4"/>
                <w:lang w:eastAsia="pt-BR"/>
              </w:rPr>
            </w:pPr>
          </w:p>
        </w:tc>
        <w:tc>
          <w:tcPr>
            <w:tcW w:w="1417" w:type="dxa"/>
            <w:shd w:val="clear" w:color="auto" w:fill="auto"/>
          </w:tcPr>
          <w:p w14:paraId="211BE2FD"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4"/>
                <w:lang w:eastAsia="pt-BR"/>
              </w:rPr>
            </w:pPr>
            <w:r w:rsidRPr="00C37757">
              <w:rPr>
                <w:rFonts w:ascii="Arial" w:eastAsia="Times New Roman" w:hAnsi="Arial" w:cs="Arial"/>
                <w:b/>
                <w:spacing w:val="-2"/>
                <w:sz w:val="14"/>
                <w:szCs w:val="14"/>
                <w:lang w:eastAsia="pt-BR"/>
              </w:rPr>
              <w:t>(6.760)</w:t>
            </w:r>
          </w:p>
        </w:tc>
        <w:tc>
          <w:tcPr>
            <w:tcW w:w="1418" w:type="dxa"/>
            <w:shd w:val="clear" w:color="auto" w:fill="auto"/>
          </w:tcPr>
          <w:p w14:paraId="45DFBEF4"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4"/>
                <w:lang w:eastAsia="pt-BR"/>
              </w:rPr>
            </w:pPr>
            <w:r w:rsidRPr="00C37757">
              <w:rPr>
                <w:rFonts w:ascii="Arial" w:eastAsia="Times New Roman" w:hAnsi="Arial" w:cs="Arial"/>
                <w:b/>
                <w:spacing w:val="-2"/>
                <w:sz w:val="14"/>
                <w:szCs w:val="14"/>
                <w:lang w:eastAsia="pt-BR"/>
              </w:rPr>
              <w:t>13.244</w:t>
            </w:r>
          </w:p>
        </w:tc>
      </w:tr>
      <w:tr w:rsidR="00C37757" w:rsidRPr="00C37757" w14:paraId="3D7933E7" w14:textId="77777777" w:rsidTr="00C37757">
        <w:trPr>
          <w:trHeight w:val="238"/>
        </w:trPr>
        <w:tc>
          <w:tcPr>
            <w:tcW w:w="3094" w:type="dxa"/>
            <w:tcBorders>
              <w:bottom w:val="nil"/>
            </w:tcBorders>
            <w:shd w:val="clear" w:color="auto" w:fill="auto"/>
          </w:tcPr>
          <w:p w14:paraId="20846790" w14:textId="77777777" w:rsidR="00C37757" w:rsidRPr="00C37757" w:rsidRDefault="00C37757" w:rsidP="00C37757">
            <w:pPr>
              <w:widowControl w:val="0"/>
              <w:spacing w:before="40" w:after="40" w:line="240" w:lineRule="auto"/>
              <w:ind w:left="113"/>
              <w:rPr>
                <w:rFonts w:ascii="Arial" w:eastAsia="Times New Roman" w:hAnsi="Arial" w:cs="Arial"/>
                <w:spacing w:val="-2"/>
                <w:sz w:val="14"/>
                <w:szCs w:val="18"/>
                <w:lang w:eastAsia="pt-BR"/>
              </w:rPr>
            </w:pPr>
            <w:r w:rsidRPr="00C37757">
              <w:rPr>
                <w:rFonts w:ascii="Arial" w:eastAsia="Times New Roman" w:hAnsi="Arial" w:cs="Arial"/>
                <w:spacing w:val="-2"/>
                <w:sz w:val="14"/>
                <w:szCs w:val="18"/>
                <w:lang w:eastAsia="pt-BR"/>
              </w:rPr>
              <w:t>Imposto de renda</w:t>
            </w:r>
          </w:p>
        </w:tc>
        <w:tc>
          <w:tcPr>
            <w:tcW w:w="604" w:type="dxa"/>
            <w:tcBorders>
              <w:bottom w:val="nil"/>
            </w:tcBorders>
            <w:shd w:val="clear" w:color="auto" w:fill="auto"/>
          </w:tcPr>
          <w:p w14:paraId="1285CD04" w14:textId="77777777" w:rsidR="00C37757" w:rsidRPr="00C37757" w:rsidRDefault="00C37757" w:rsidP="00C37757">
            <w:pPr>
              <w:widowControl w:val="0"/>
              <w:spacing w:before="40" w:after="40" w:line="240" w:lineRule="auto"/>
              <w:jc w:val="center"/>
              <w:rPr>
                <w:rFonts w:ascii="Arial" w:eastAsia="Times New Roman" w:hAnsi="Arial" w:cs="Arial"/>
                <w:spacing w:val="-2"/>
                <w:sz w:val="14"/>
                <w:szCs w:val="14"/>
                <w:lang w:eastAsia="pt-BR"/>
              </w:rPr>
            </w:pPr>
          </w:p>
        </w:tc>
        <w:tc>
          <w:tcPr>
            <w:tcW w:w="1411" w:type="dxa"/>
            <w:tcBorders>
              <w:bottom w:val="nil"/>
            </w:tcBorders>
            <w:shd w:val="clear" w:color="auto" w:fill="auto"/>
          </w:tcPr>
          <w:p w14:paraId="3216D3CB" w14:textId="77777777" w:rsidR="00C37757" w:rsidRPr="00C37757" w:rsidRDefault="00C37757" w:rsidP="00C37757">
            <w:pPr>
              <w:widowControl w:val="0"/>
              <w:spacing w:before="40" w:after="40" w:line="240" w:lineRule="auto"/>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6.521</w:t>
            </w:r>
          </w:p>
        </w:tc>
        <w:tc>
          <w:tcPr>
            <w:tcW w:w="1412" w:type="dxa"/>
            <w:tcBorders>
              <w:bottom w:val="nil"/>
            </w:tcBorders>
            <w:shd w:val="clear" w:color="auto" w:fill="auto"/>
          </w:tcPr>
          <w:p w14:paraId="30C7D535" w14:textId="77777777" w:rsidR="00C37757" w:rsidRPr="00C37757" w:rsidRDefault="00C37757" w:rsidP="00C37757">
            <w:pPr>
              <w:widowControl w:val="0"/>
              <w:spacing w:before="40" w:after="40" w:line="240" w:lineRule="auto"/>
              <w:jc w:val="right"/>
              <w:rPr>
                <w:rFonts w:ascii="Arial" w:eastAsia="Times New Roman" w:hAnsi="Arial" w:cs="Arial"/>
                <w:spacing w:val="-2"/>
                <w:sz w:val="14"/>
                <w:szCs w:val="18"/>
                <w:lang w:eastAsia="pt-BR"/>
              </w:rPr>
            </w:pPr>
            <w:r w:rsidRPr="00C37757">
              <w:rPr>
                <w:rFonts w:ascii="Arial" w:eastAsia="Times New Roman" w:hAnsi="Arial" w:cs="Arial"/>
                <w:spacing w:val="-2"/>
                <w:sz w:val="14"/>
                <w:szCs w:val="18"/>
                <w:lang w:eastAsia="pt-BR"/>
              </w:rPr>
              <w:t>8.993</w:t>
            </w:r>
          </w:p>
        </w:tc>
        <w:tc>
          <w:tcPr>
            <w:tcW w:w="283" w:type="dxa"/>
            <w:tcBorders>
              <w:bottom w:val="nil"/>
            </w:tcBorders>
            <w:shd w:val="clear" w:color="auto" w:fill="auto"/>
          </w:tcPr>
          <w:p w14:paraId="7D4B3083" w14:textId="77777777" w:rsidR="00C37757" w:rsidRPr="00C37757" w:rsidRDefault="00C37757" w:rsidP="00C37757">
            <w:pPr>
              <w:widowControl w:val="0"/>
              <w:spacing w:before="40" w:after="40" w:line="240" w:lineRule="auto"/>
              <w:jc w:val="right"/>
              <w:rPr>
                <w:rFonts w:ascii="Arial" w:eastAsia="Times New Roman" w:hAnsi="Arial" w:cs="Arial"/>
                <w:spacing w:val="-2"/>
                <w:sz w:val="14"/>
                <w:szCs w:val="14"/>
                <w:lang w:eastAsia="pt-BR"/>
              </w:rPr>
            </w:pPr>
          </w:p>
        </w:tc>
        <w:tc>
          <w:tcPr>
            <w:tcW w:w="1417" w:type="dxa"/>
            <w:tcBorders>
              <w:bottom w:val="nil"/>
            </w:tcBorders>
            <w:shd w:val="clear" w:color="auto" w:fill="auto"/>
          </w:tcPr>
          <w:p w14:paraId="4890FEC3" w14:textId="77777777" w:rsidR="00C37757" w:rsidRPr="00C37757" w:rsidRDefault="00C37757" w:rsidP="00C37757">
            <w:pPr>
              <w:widowControl w:val="0"/>
              <w:spacing w:before="40" w:after="40" w:line="240" w:lineRule="auto"/>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(4.971)</w:t>
            </w:r>
          </w:p>
        </w:tc>
        <w:tc>
          <w:tcPr>
            <w:tcW w:w="1418" w:type="dxa"/>
            <w:tcBorders>
              <w:bottom w:val="nil"/>
            </w:tcBorders>
            <w:shd w:val="clear" w:color="auto" w:fill="auto"/>
          </w:tcPr>
          <w:p w14:paraId="7D8A4B57" w14:textId="77777777" w:rsidR="00C37757" w:rsidRPr="00C37757" w:rsidRDefault="00C37757" w:rsidP="00C37757">
            <w:pPr>
              <w:widowControl w:val="0"/>
              <w:spacing w:before="40" w:after="40" w:line="240" w:lineRule="auto"/>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10.543</w:t>
            </w:r>
          </w:p>
        </w:tc>
      </w:tr>
      <w:tr w:rsidR="00C37757" w:rsidRPr="00C37757" w14:paraId="51454AD3" w14:textId="77777777" w:rsidTr="00C37757">
        <w:trPr>
          <w:trHeight w:val="238"/>
        </w:trPr>
        <w:tc>
          <w:tcPr>
            <w:tcW w:w="3094" w:type="dxa"/>
            <w:tcBorders>
              <w:top w:val="nil"/>
              <w:bottom w:val="single" w:sz="2" w:space="0" w:color="1F4E79"/>
            </w:tcBorders>
            <w:shd w:val="clear" w:color="auto" w:fill="auto"/>
          </w:tcPr>
          <w:p w14:paraId="6DC902F3" w14:textId="77777777" w:rsidR="00C37757" w:rsidRPr="00C37757" w:rsidRDefault="00C37757" w:rsidP="00C37757">
            <w:pPr>
              <w:widowControl w:val="0"/>
              <w:spacing w:before="40" w:after="40" w:line="240" w:lineRule="auto"/>
              <w:ind w:left="113"/>
              <w:rPr>
                <w:rFonts w:ascii="Arial" w:eastAsia="Times New Roman" w:hAnsi="Arial" w:cs="Arial"/>
                <w:spacing w:val="-2"/>
                <w:sz w:val="14"/>
                <w:szCs w:val="18"/>
                <w:lang w:eastAsia="pt-BR"/>
              </w:rPr>
            </w:pPr>
            <w:r w:rsidRPr="00C37757">
              <w:rPr>
                <w:rFonts w:ascii="Arial" w:eastAsia="Times New Roman" w:hAnsi="Arial" w:cs="Arial"/>
                <w:spacing w:val="-2"/>
                <w:sz w:val="14"/>
                <w:szCs w:val="18"/>
                <w:lang w:eastAsia="pt-BR"/>
              </w:rPr>
              <w:t>Contribuição social</w:t>
            </w:r>
          </w:p>
        </w:tc>
        <w:tc>
          <w:tcPr>
            <w:tcW w:w="604" w:type="dxa"/>
            <w:tcBorders>
              <w:top w:val="nil"/>
              <w:bottom w:val="single" w:sz="2" w:space="0" w:color="1F4E79"/>
            </w:tcBorders>
            <w:shd w:val="clear" w:color="auto" w:fill="auto"/>
          </w:tcPr>
          <w:p w14:paraId="538322E8" w14:textId="77777777" w:rsidR="00C37757" w:rsidRPr="00C37757" w:rsidRDefault="00C37757" w:rsidP="00C37757">
            <w:pPr>
              <w:widowControl w:val="0"/>
              <w:spacing w:before="40" w:after="40" w:line="240" w:lineRule="auto"/>
              <w:jc w:val="center"/>
              <w:rPr>
                <w:rFonts w:ascii="Arial" w:eastAsia="Times New Roman" w:hAnsi="Arial" w:cs="Arial"/>
                <w:spacing w:val="-2"/>
                <w:sz w:val="14"/>
                <w:szCs w:val="14"/>
                <w:lang w:eastAsia="pt-BR"/>
              </w:rPr>
            </w:pPr>
          </w:p>
        </w:tc>
        <w:tc>
          <w:tcPr>
            <w:tcW w:w="1411" w:type="dxa"/>
            <w:tcBorders>
              <w:top w:val="nil"/>
              <w:bottom w:val="single" w:sz="2" w:space="0" w:color="1F4E79"/>
            </w:tcBorders>
            <w:shd w:val="clear" w:color="auto" w:fill="auto"/>
          </w:tcPr>
          <w:p w14:paraId="68DEF738" w14:textId="77777777" w:rsidR="00C37757" w:rsidRPr="00C37757" w:rsidRDefault="00C37757" w:rsidP="00C37757">
            <w:pPr>
              <w:widowControl w:val="0"/>
              <w:spacing w:before="40" w:after="40" w:line="240" w:lineRule="auto"/>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1.252</w:t>
            </w:r>
          </w:p>
        </w:tc>
        <w:tc>
          <w:tcPr>
            <w:tcW w:w="1412" w:type="dxa"/>
            <w:tcBorders>
              <w:top w:val="nil"/>
              <w:bottom w:val="single" w:sz="2" w:space="0" w:color="1F4E79"/>
            </w:tcBorders>
            <w:shd w:val="clear" w:color="auto" w:fill="auto"/>
          </w:tcPr>
          <w:p w14:paraId="4CBF107C" w14:textId="77777777" w:rsidR="00C37757" w:rsidRPr="00C37757" w:rsidRDefault="00C37757" w:rsidP="00C37757">
            <w:pPr>
              <w:widowControl w:val="0"/>
              <w:spacing w:before="40" w:after="40" w:line="240" w:lineRule="auto"/>
              <w:jc w:val="right"/>
              <w:rPr>
                <w:rFonts w:ascii="Arial" w:eastAsia="Times New Roman" w:hAnsi="Arial" w:cs="Arial"/>
                <w:spacing w:val="-2"/>
                <w:sz w:val="14"/>
                <w:szCs w:val="18"/>
                <w:lang w:eastAsia="pt-BR"/>
              </w:rPr>
            </w:pPr>
            <w:r w:rsidRPr="00C37757">
              <w:rPr>
                <w:rFonts w:ascii="Arial" w:eastAsia="Times New Roman" w:hAnsi="Arial" w:cs="Arial"/>
                <w:spacing w:val="-2"/>
                <w:sz w:val="14"/>
                <w:szCs w:val="18"/>
                <w:lang w:eastAsia="pt-BR"/>
              </w:rPr>
              <w:t>3.238</w:t>
            </w:r>
          </w:p>
        </w:tc>
        <w:tc>
          <w:tcPr>
            <w:tcW w:w="283" w:type="dxa"/>
            <w:tcBorders>
              <w:top w:val="nil"/>
              <w:bottom w:val="single" w:sz="2" w:space="0" w:color="1F4E79"/>
            </w:tcBorders>
            <w:shd w:val="clear" w:color="auto" w:fill="auto"/>
          </w:tcPr>
          <w:p w14:paraId="58E84986" w14:textId="77777777" w:rsidR="00C37757" w:rsidRPr="00C37757" w:rsidRDefault="00C37757" w:rsidP="00C37757">
            <w:pPr>
              <w:widowControl w:val="0"/>
              <w:spacing w:before="40" w:after="40" w:line="240" w:lineRule="auto"/>
              <w:jc w:val="right"/>
              <w:rPr>
                <w:rFonts w:ascii="Arial" w:eastAsia="Times New Roman" w:hAnsi="Arial" w:cs="Arial"/>
                <w:spacing w:val="-2"/>
                <w:sz w:val="14"/>
                <w:szCs w:val="14"/>
                <w:lang w:eastAsia="pt-BR"/>
              </w:rPr>
            </w:pPr>
          </w:p>
        </w:tc>
        <w:tc>
          <w:tcPr>
            <w:tcW w:w="1417" w:type="dxa"/>
            <w:tcBorders>
              <w:top w:val="nil"/>
              <w:bottom w:val="single" w:sz="2" w:space="0" w:color="1F4E79"/>
            </w:tcBorders>
            <w:shd w:val="clear" w:color="auto" w:fill="auto"/>
          </w:tcPr>
          <w:p w14:paraId="625989C5" w14:textId="77777777" w:rsidR="00C37757" w:rsidRPr="00C37757" w:rsidRDefault="00C37757" w:rsidP="00C37757">
            <w:pPr>
              <w:widowControl w:val="0"/>
              <w:spacing w:before="40" w:after="40" w:line="240" w:lineRule="auto"/>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(1.789)</w:t>
            </w:r>
          </w:p>
        </w:tc>
        <w:tc>
          <w:tcPr>
            <w:tcW w:w="1418" w:type="dxa"/>
            <w:tcBorders>
              <w:top w:val="nil"/>
              <w:bottom w:val="single" w:sz="2" w:space="0" w:color="1F4E79"/>
            </w:tcBorders>
            <w:shd w:val="clear" w:color="auto" w:fill="auto"/>
          </w:tcPr>
          <w:p w14:paraId="20074095" w14:textId="77777777" w:rsidR="00C37757" w:rsidRPr="00C37757" w:rsidRDefault="00C37757" w:rsidP="00C37757">
            <w:pPr>
              <w:widowControl w:val="0"/>
              <w:spacing w:before="40" w:after="40" w:line="240" w:lineRule="auto"/>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2.701</w:t>
            </w:r>
          </w:p>
        </w:tc>
      </w:tr>
    </w:tbl>
    <w:p w14:paraId="1F5E3FE0" w14:textId="77777777" w:rsidR="005C1FDF" w:rsidRDefault="005C1FDF" w:rsidP="005C1FDF">
      <w:pPr>
        <w:widowControl w:val="0"/>
        <w:spacing w:after="40" w:line="276" w:lineRule="auto"/>
        <w:rPr>
          <w:rFonts w:ascii="Arial" w:eastAsia="MS Mincho" w:hAnsi="Arial" w:cs="Arial"/>
          <w:b/>
          <w:color w:val="1F4E79"/>
          <w:sz w:val="18"/>
          <w:szCs w:val="18"/>
        </w:rPr>
      </w:pPr>
    </w:p>
    <w:p w14:paraId="05EE7118" w14:textId="4D8C6DD4" w:rsidR="00C37757" w:rsidRPr="005C1FDF" w:rsidRDefault="00927E3F" w:rsidP="005C1FDF">
      <w:pPr>
        <w:widowControl w:val="0"/>
        <w:spacing w:after="40" w:line="276" w:lineRule="auto"/>
        <w:rPr>
          <w:rFonts w:ascii="Arial" w:eastAsia="MS Mincho" w:hAnsi="Arial" w:cs="Arial"/>
          <w:b/>
          <w:color w:val="1F4E79"/>
          <w:sz w:val="18"/>
          <w:szCs w:val="18"/>
        </w:rPr>
      </w:pPr>
      <w:r w:rsidRPr="005C1FDF">
        <w:rPr>
          <w:rFonts w:ascii="Arial" w:eastAsia="MS Mincho" w:hAnsi="Arial" w:cs="Arial"/>
          <w:b/>
          <w:color w:val="1F4E79"/>
          <w:sz w:val="18"/>
          <w:szCs w:val="18"/>
        </w:rPr>
        <w:t>f</w:t>
      </w:r>
      <w:r w:rsidR="00C37757" w:rsidRPr="005C1FDF">
        <w:rPr>
          <w:rFonts w:ascii="Arial" w:eastAsia="MS Mincho" w:hAnsi="Arial" w:cs="Arial"/>
          <w:b/>
          <w:color w:val="1F4E79"/>
          <w:sz w:val="18"/>
          <w:szCs w:val="18"/>
        </w:rPr>
        <w:t>) Passivos por Tributos Correntes</w:t>
      </w:r>
    </w:p>
    <w:p w14:paraId="27754783" w14:textId="77777777" w:rsidR="00C37757" w:rsidRPr="00C37757" w:rsidRDefault="00C37757" w:rsidP="00C37757">
      <w:pPr>
        <w:widowControl w:val="0"/>
        <w:spacing w:after="0" w:line="240" w:lineRule="auto"/>
        <w:jc w:val="right"/>
        <w:rPr>
          <w:rFonts w:ascii="Arial" w:eastAsia="MS Mincho" w:hAnsi="Arial" w:cs="Arial"/>
          <w:b/>
          <w:sz w:val="14"/>
          <w:szCs w:val="22"/>
          <w:lang w:eastAsia="pt-BR"/>
        </w:rPr>
      </w:pPr>
      <w:r w:rsidRPr="00C37757">
        <w:rPr>
          <w:rFonts w:ascii="Arial" w:eastAsia="MS Mincho" w:hAnsi="Arial" w:cs="Arial"/>
          <w:b/>
          <w:sz w:val="14"/>
          <w:szCs w:val="22"/>
          <w:lang w:eastAsia="pt-BR"/>
        </w:rPr>
        <w:t>R$ mil</w:t>
      </w:r>
    </w:p>
    <w:tbl>
      <w:tblPr>
        <w:tblW w:w="9639" w:type="dxa"/>
        <w:tblBorders>
          <w:top w:val="single" w:sz="2" w:space="0" w:color="8EAADB"/>
          <w:bottom w:val="single" w:sz="2" w:space="0" w:color="8EAADB"/>
        </w:tblBorders>
        <w:tblLook w:val="04A0" w:firstRow="1" w:lastRow="0" w:firstColumn="1" w:lastColumn="0" w:noHBand="0" w:noVBand="1"/>
      </w:tblPr>
      <w:tblGrid>
        <w:gridCol w:w="3402"/>
        <w:gridCol w:w="296"/>
        <w:gridCol w:w="1411"/>
        <w:gridCol w:w="1412"/>
        <w:gridCol w:w="283"/>
        <w:gridCol w:w="1417"/>
        <w:gridCol w:w="1418"/>
      </w:tblGrid>
      <w:tr w:rsidR="00C37757" w:rsidRPr="00C37757" w14:paraId="169A39AE" w14:textId="77777777" w:rsidTr="00C37757">
        <w:trPr>
          <w:trHeight w:val="238"/>
        </w:trPr>
        <w:tc>
          <w:tcPr>
            <w:tcW w:w="3402" w:type="dxa"/>
            <w:tcBorders>
              <w:top w:val="single" w:sz="2" w:space="0" w:color="1F4E79"/>
              <w:bottom w:val="nil"/>
            </w:tcBorders>
            <w:shd w:val="clear" w:color="auto" w:fill="auto"/>
          </w:tcPr>
          <w:p w14:paraId="5945435B" w14:textId="77777777" w:rsidR="00C37757" w:rsidRPr="00C37757" w:rsidRDefault="00C37757" w:rsidP="00C37757">
            <w:pPr>
              <w:widowControl w:val="0"/>
              <w:spacing w:after="0" w:line="276" w:lineRule="auto"/>
              <w:jc w:val="center"/>
              <w:rPr>
                <w:rFonts w:ascii="Arial" w:eastAsia="MS Mincho" w:hAnsi="Arial" w:cs="Arial"/>
                <w:b/>
                <w:sz w:val="18"/>
                <w:szCs w:val="18"/>
              </w:rPr>
            </w:pPr>
          </w:p>
        </w:tc>
        <w:tc>
          <w:tcPr>
            <w:tcW w:w="296" w:type="dxa"/>
            <w:tcBorders>
              <w:top w:val="single" w:sz="2" w:space="0" w:color="1F4E79"/>
              <w:bottom w:val="nil"/>
            </w:tcBorders>
            <w:shd w:val="clear" w:color="auto" w:fill="auto"/>
          </w:tcPr>
          <w:p w14:paraId="5135E0EF" w14:textId="77777777" w:rsidR="00C37757" w:rsidRPr="00C37757" w:rsidRDefault="00C37757" w:rsidP="00C37757">
            <w:pPr>
              <w:widowControl w:val="0"/>
              <w:spacing w:after="0" w:line="276" w:lineRule="auto"/>
              <w:jc w:val="center"/>
              <w:rPr>
                <w:rFonts w:ascii="Arial" w:eastAsia="MS Mincho" w:hAnsi="Arial" w:cs="Arial"/>
                <w:b/>
                <w:sz w:val="18"/>
                <w:szCs w:val="18"/>
              </w:rPr>
            </w:pPr>
          </w:p>
        </w:tc>
        <w:tc>
          <w:tcPr>
            <w:tcW w:w="2823" w:type="dxa"/>
            <w:gridSpan w:val="2"/>
            <w:tcBorders>
              <w:top w:val="single" w:sz="2" w:space="0" w:color="1F4E79"/>
              <w:bottom w:val="single" w:sz="2" w:space="0" w:color="1F4E79"/>
            </w:tcBorders>
            <w:shd w:val="clear" w:color="auto" w:fill="auto"/>
            <w:vAlign w:val="center"/>
          </w:tcPr>
          <w:p w14:paraId="1B0319BA" w14:textId="77777777" w:rsidR="00C37757" w:rsidRPr="00C37757" w:rsidRDefault="00C37757" w:rsidP="00C37757">
            <w:pPr>
              <w:widowControl w:val="0"/>
              <w:spacing w:after="0" w:line="276" w:lineRule="auto"/>
              <w:jc w:val="center"/>
              <w:rPr>
                <w:rFonts w:ascii="Arial" w:eastAsia="MS Mincho" w:hAnsi="Arial" w:cs="Arial"/>
                <w:b/>
                <w:sz w:val="14"/>
                <w:szCs w:val="18"/>
              </w:rPr>
            </w:pPr>
            <w:r w:rsidRPr="00C37757">
              <w:rPr>
                <w:rFonts w:ascii="Arial" w:eastAsia="MS Mincho" w:hAnsi="Arial" w:cs="Arial"/>
                <w:b/>
                <w:sz w:val="14"/>
                <w:szCs w:val="18"/>
              </w:rPr>
              <w:t>Controlador</w:t>
            </w:r>
          </w:p>
        </w:tc>
        <w:tc>
          <w:tcPr>
            <w:tcW w:w="283" w:type="dxa"/>
            <w:tcBorders>
              <w:top w:val="single" w:sz="2" w:space="0" w:color="1F4E79"/>
              <w:bottom w:val="nil"/>
            </w:tcBorders>
            <w:shd w:val="clear" w:color="auto" w:fill="auto"/>
            <w:vAlign w:val="center"/>
          </w:tcPr>
          <w:p w14:paraId="60FEB36F" w14:textId="77777777" w:rsidR="00C37757" w:rsidRPr="00C37757" w:rsidRDefault="00C37757" w:rsidP="00C37757">
            <w:pPr>
              <w:widowControl w:val="0"/>
              <w:spacing w:after="0" w:line="276" w:lineRule="auto"/>
              <w:jc w:val="center"/>
              <w:rPr>
                <w:rFonts w:ascii="Arial" w:eastAsia="MS Mincho" w:hAnsi="Arial" w:cs="Arial"/>
                <w:b/>
                <w:sz w:val="18"/>
                <w:szCs w:val="18"/>
              </w:rPr>
            </w:pPr>
          </w:p>
        </w:tc>
        <w:tc>
          <w:tcPr>
            <w:tcW w:w="2835" w:type="dxa"/>
            <w:gridSpan w:val="2"/>
            <w:tcBorders>
              <w:top w:val="single" w:sz="2" w:space="0" w:color="1F4E79"/>
              <w:bottom w:val="single" w:sz="2" w:space="0" w:color="1F4E79"/>
            </w:tcBorders>
            <w:shd w:val="clear" w:color="auto" w:fill="auto"/>
            <w:vAlign w:val="center"/>
          </w:tcPr>
          <w:p w14:paraId="26369260" w14:textId="77777777" w:rsidR="00C37757" w:rsidRPr="00C37757" w:rsidRDefault="00C37757" w:rsidP="00C37757">
            <w:pPr>
              <w:widowControl w:val="0"/>
              <w:spacing w:after="0" w:line="276" w:lineRule="auto"/>
              <w:jc w:val="center"/>
              <w:rPr>
                <w:rFonts w:ascii="Arial" w:eastAsia="MS Mincho" w:hAnsi="Arial" w:cs="Arial"/>
                <w:b/>
                <w:sz w:val="18"/>
                <w:szCs w:val="18"/>
                <w:vertAlign w:val="superscript"/>
              </w:rPr>
            </w:pPr>
            <w:r w:rsidRPr="00C37757">
              <w:rPr>
                <w:rFonts w:ascii="Arial" w:eastAsia="MS Mincho" w:hAnsi="Arial" w:cs="Arial"/>
                <w:b/>
                <w:sz w:val="14"/>
                <w:szCs w:val="18"/>
              </w:rPr>
              <w:t>Consolidado</w:t>
            </w:r>
          </w:p>
        </w:tc>
      </w:tr>
      <w:tr w:rsidR="00C37757" w:rsidRPr="00C37757" w14:paraId="71C92EC8" w14:textId="77777777" w:rsidTr="00C37757">
        <w:trPr>
          <w:trHeight w:val="238"/>
        </w:trPr>
        <w:tc>
          <w:tcPr>
            <w:tcW w:w="3402" w:type="dxa"/>
            <w:tcBorders>
              <w:top w:val="nil"/>
              <w:bottom w:val="single" w:sz="2" w:space="0" w:color="1F4E79"/>
            </w:tcBorders>
            <w:shd w:val="clear" w:color="auto" w:fill="auto"/>
          </w:tcPr>
          <w:p w14:paraId="35A382A8"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8"/>
                <w:lang w:eastAsia="pt-BR"/>
              </w:rPr>
            </w:pPr>
          </w:p>
        </w:tc>
        <w:tc>
          <w:tcPr>
            <w:tcW w:w="296" w:type="dxa"/>
            <w:tcBorders>
              <w:top w:val="nil"/>
              <w:bottom w:val="single" w:sz="2" w:space="0" w:color="1F4E79"/>
            </w:tcBorders>
            <w:shd w:val="clear" w:color="auto" w:fill="auto"/>
          </w:tcPr>
          <w:p w14:paraId="5CD83495"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8"/>
                <w:lang w:eastAsia="pt-BR"/>
              </w:rPr>
            </w:pPr>
          </w:p>
        </w:tc>
        <w:tc>
          <w:tcPr>
            <w:tcW w:w="1411" w:type="dxa"/>
            <w:tcBorders>
              <w:top w:val="single" w:sz="2" w:space="0" w:color="1F4E79"/>
              <w:bottom w:val="single" w:sz="2" w:space="0" w:color="1F4E79"/>
            </w:tcBorders>
            <w:shd w:val="clear" w:color="auto" w:fill="auto"/>
            <w:vAlign w:val="center"/>
          </w:tcPr>
          <w:p w14:paraId="6D6611E4"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8"/>
                <w:vertAlign w:val="superscript"/>
                <w:lang w:eastAsia="pt-BR"/>
              </w:rPr>
            </w:pPr>
            <w:r w:rsidRPr="00C37757">
              <w:rPr>
                <w:rFonts w:ascii="Arial" w:eastAsia="Times New Roman" w:hAnsi="Arial" w:cs="Arial"/>
                <w:b/>
                <w:spacing w:val="-2"/>
                <w:sz w:val="14"/>
                <w:szCs w:val="18"/>
                <w:lang w:eastAsia="pt-BR"/>
              </w:rPr>
              <w:t>31.12.2024</w:t>
            </w:r>
          </w:p>
        </w:tc>
        <w:tc>
          <w:tcPr>
            <w:tcW w:w="1412" w:type="dxa"/>
            <w:tcBorders>
              <w:top w:val="single" w:sz="2" w:space="0" w:color="1F4E79"/>
              <w:bottom w:val="single" w:sz="2" w:space="0" w:color="1F4E79"/>
            </w:tcBorders>
            <w:shd w:val="clear" w:color="auto" w:fill="auto"/>
            <w:vAlign w:val="center"/>
          </w:tcPr>
          <w:p w14:paraId="7FC948E4"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8"/>
                <w:vertAlign w:val="superscript"/>
                <w:lang w:eastAsia="pt-BR"/>
              </w:rPr>
            </w:pPr>
            <w:r w:rsidRPr="00C37757">
              <w:rPr>
                <w:rFonts w:ascii="Arial" w:eastAsia="Times New Roman" w:hAnsi="Arial" w:cs="Arial"/>
                <w:b/>
                <w:spacing w:val="-2"/>
                <w:sz w:val="14"/>
                <w:szCs w:val="18"/>
                <w:lang w:eastAsia="pt-BR"/>
              </w:rPr>
              <w:t>31.12.2023</w:t>
            </w:r>
          </w:p>
        </w:tc>
        <w:tc>
          <w:tcPr>
            <w:tcW w:w="283" w:type="dxa"/>
            <w:tcBorders>
              <w:top w:val="nil"/>
              <w:bottom w:val="single" w:sz="2" w:space="0" w:color="1F4E79"/>
            </w:tcBorders>
            <w:shd w:val="clear" w:color="auto" w:fill="auto"/>
            <w:vAlign w:val="center"/>
          </w:tcPr>
          <w:p w14:paraId="67FE56C6"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8"/>
                <w:lang w:eastAsia="pt-BR"/>
              </w:rPr>
            </w:pPr>
          </w:p>
        </w:tc>
        <w:tc>
          <w:tcPr>
            <w:tcW w:w="1417" w:type="dxa"/>
            <w:tcBorders>
              <w:top w:val="single" w:sz="2" w:space="0" w:color="1F4E79"/>
              <w:bottom w:val="single" w:sz="2" w:space="0" w:color="1F4E79"/>
            </w:tcBorders>
            <w:shd w:val="clear" w:color="auto" w:fill="auto"/>
            <w:vAlign w:val="center"/>
          </w:tcPr>
          <w:p w14:paraId="2353E530"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8"/>
                <w:lang w:eastAsia="pt-BR"/>
              </w:rPr>
            </w:pPr>
            <w:r w:rsidRPr="00C37757">
              <w:rPr>
                <w:rFonts w:ascii="Arial" w:eastAsia="Times New Roman" w:hAnsi="Arial" w:cs="Arial"/>
                <w:b/>
                <w:spacing w:val="-2"/>
                <w:sz w:val="14"/>
                <w:szCs w:val="18"/>
                <w:lang w:eastAsia="pt-BR"/>
              </w:rPr>
              <w:t>31.12.2024</w:t>
            </w:r>
          </w:p>
        </w:tc>
        <w:tc>
          <w:tcPr>
            <w:tcW w:w="1418" w:type="dxa"/>
            <w:tcBorders>
              <w:top w:val="single" w:sz="2" w:space="0" w:color="1F4E79"/>
              <w:bottom w:val="single" w:sz="2" w:space="0" w:color="1F4E79"/>
            </w:tcBorders>
            <w:shd w:val="clear" w:color="auto" w:fill="auto"/>
            <w:vAlign w:val="center"/>
          </w:tcPr>
          <w:p w14:paraId="648C348F"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8"/>
                <w:lang w:eastAsia="pt-BR"/>
              </w:rPr>
            </w:pPr>
            <w:r w:rsidRPr="00C37757">
              <w:rPr>
                <w:rFonts w:ascii="Arial" w:eastAsia="Times New Roman" w:hAnsi="Arial" w:cs="Arial"/>
                <w:b/>
                <w:spacing w:val="-2"/>
                <w:sz w:val="14"/>
                <w:szCs w:val="18"/>
                <w:lang w:eastAsia="pt-BR"/>
              </w:rPr>
              <w:t>31.12.2023</w:t>
            </w:r>
          </w:p>
        </w:tc>
      </w:tr>
      <w:tr w:rsidR="00C37757" w:rsidRPr="00C37757" w14:paraId="2E6926B0" w14:textId="77777777" w:rsidTr="00C37757">
        <w:trPr>
          <w:trHeight w:val="238"/>
        </w:trPr>
        <w:tc>
          <w:tcPr>
            <w:tcW w:w="3402" w:type="dxa"/>
            <w:tcBorders>
              <w:top w:val="single" w:sz="2" w:space="0" w:color="1F4E79"/>
            </w:tcBorders>
            <w:shd w:val="clear" w:color="auto" w:fill="auto"/>
          </w:tcPr>
          <w:p w14:paraId="4E14B0E2" w14:textId="77777777" w:rsidR="00C37757" w:rsidRPr="00C37757" w:rsidRDefault="00C37757" w:rsidP="00C37757">
            <w:pPr>
              <w:widowControl w:val="0"/>
              <w:spacing w:before="40" w:after="40" w:line="240" w:lineRule="auto"/>
              <w:ind w:left="113"/>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Imposto de renda</w:t>
            </w:r>
          </w:p>
        </w:tc>
        <w:tc>
          <w:tcPr>
            <w:tcW w:w="296" w:type="dxa"/>
            <w:tcBorders>
              <w:top w:val="single" w:sz="2" w:space="0" w:color="1F4E79"/>
            </w:tcBorders>
            <w:shd w:val="clear" w:color="auto" w:fill="auto"/>
          </w:tcPr>
          <w:p w14:paraId="0AD29C41" w14:textId="77777777" w:rsidR="00C37757" w:rsidRPr="00C37757" w:rsidRDefault="00C37757" w:rsidP="00C37757">
            <w:pPr>
              <w:widowControl w:val="0"/>
              <w:spacing w:before="40" w:after="40" w:line="240" w:lineRule="auto"/>
              <w:ind w:left="113"/>
              <w:jc w:val="center"/>
              <w:rPr>
                <w:rFonts w:ascii="Arial" w:eastAsia="Times New Roman" w:hAnsi="Arial" w:cs="Arial"/>
                <w:spacing w:val="-2"/>
                <w:sz w:val="14"/>
                <w:szCs w:val="14"/>
                <w:lang w:eastAsia="pt-BR"/>
              </w:rPr>
            </w:pPr>
          </w:p>
        </w:tc>
        <w:tc>
          <w:tcPr>
            <w:tcW w:w="1411" w:type="dxa"/>
            <w:tcBorders>
              <w:top w:val="single" w:sz="2" w:space="0" w:color="1F4E79"/>
            </w:tcBorders>
            <w:shd w:val="clear" w:color="auto" w:fill="auto"/>
            <w:vAlign w:val="center"/>
          </w:tcPr>
          <w:p w14:paraId="4CC12E66" w14:textId="77777777" w:rsidR="00C37757" w:rsidRPr="00C37757" w:rsidRDefault="00C37757" w:rsidP="00C37757">
            <w:pPr>
              <w:widowControl w:val="0"/>
              <w:spacing w:before="40" w:after="40" w:line="240" w:lineRule="auto"/>
              <w:ind w:left="113"/>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920</w:t>
            </w:r>
          </w:p>
        </w:tc>
        <w:tc>
          <w:tcPr>
            <w:tcW w:w="1412" w:type="dxa"/>
            <w:tcBorders>
              <w:top w:val="single" w:sz="2" w:space="0" w:color="1F4E79"/>
            </w:tcBorders>
            <w:shd w:val="clear" w:color="auto" w:fill="auto"/>
            <w:vAlign w:val="center"/>
          </w:tcPr>
          <w:p w14:paraId="2A1DCF28" w14:textId="77777777" w:rsidR="00C37757" w:rsidRPr="00C37757" w:rsidRDefault="00C37757" w:rsidP="00C37757">
            <w:pPr>
              <w:widowControl w:val="0"/>
              <w:spacing w:before="40" w:after="40" w:line="240" w:lineRule="auto"/>
              <w:ind w:left="113"/>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1.963</w:t>
            </w:r>
          </w:p>
        </w:tc>
        <w:tc>
          <w:tcPr>
            <w:tcW w:w="283" w:type="dxa"/>
            <w:tcBorders>
              <w:top w:val="single" w:sz="2" w:space="0" w:color="1F4E79"/>
            </w:tcBorders>
            <w:shd w:val="clear" w:color="auto" w:fill="auto"/>
            <w:vAlign w:val="center"/>
          </w:tcPr>
          <w:p w14:paraId="54A0EBAD" w14:textId="77777777" w:rsidR="00C37757" w:rsidRPr="00C37757" w:rsidRDefault="00C37757" w:rsidP="00C37757">
            <w:pPr>
              <w:widowControl w:val="0"/>
              <w:spacing w:before="40" w:after="40" w:line="240" w:lineRule="auto"/>
              <w:ind w:left="113"/>
              <w:jc w:val="right"/>
              <w:rPr>
                <w:rFonts w:ascii="Arial" w:eastAsia="Times New Roman" w:hAnsi="Arial" w:cs="Arial"/>
                <w:spacing w:val="-2"/>
                <w:sz w:val="14"/>
                <w:szCs w:val="14"/>
                <w:lang w:eastAsia="pt-BR"/>
              </w:rPr>
            </w:pPr>
          </w:p>
        </w:tc>
        <w:tc>
          <w:tcPr>
            <w:tcW w:w="1417" w:type="dxa"/>
            <w:tcBorders>
              <w:top w:val="single" w:sz="2" w:space="0" w:color="1F4E79"/>
            </w:tcBorders>
            <w:shd w:val="clear" w:color="auto" w:fill="auto"/>
            <w:vAlign w:val="center"/>
          </w:tcPr>
          <w:p w14:paraId="3C7E23E4" w14:textId="77777777" w:rsidR="00C37757" w:rsidRPr="00C37757" w:rsidRDefault="00C37757" w:rsidP="00C37757">
            <w:pPr>
              <w:widowControl w:val="0"/>
              <w:spacing w:before="40" w:after="40" w:line="240" w:lineRule="auto"/>
              <w:ind w:left="113"/>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832.772</w:t>
            </w:r>
          </w:p>
        </w:tc>
        <w:tc>
          <w:tcPr>
            <w:tcW w:w="1418" w:type="dxa"/>
            <w:tcBorders>
              <w:top w:val="single" w:sz="2" w:space="0" w:color="1F4E79"/>
            </w:tcBorders>
            <w:shd w:val="clear" w:color="auto" w:fill="auto"/>
            <w:vAlign w:val="center"/>
          </w:tcPr>
          <w:p w14:paraId="4E33A5B6" w14:textId="77777777" w:rsidR="00C37757" w:rsidRPr="00C37757" w:rsidRDefault="00C37757" w:rsidP="00C37757">
            <w:pPr>
              <w:widowControl w:val="0"/>
              <w:spacing w:before="40" w:after="40" w:line="240" w:lineRule="auto"/>
              <w:ind w:left="113"/>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743.296</w:t>
            </w:r>
          </w:p>
        </w:tc>
      </w:tr>
      <w:tr w:rsidR="00C37757" w:rsidRPr="00C37757" w14:paraId="6DD677E0" w14:textId="77777777" w:rsidTr="00C37757">
        <w:trPr>
          <w:trHeight w:val="238"/>
        </w:trPr>
        <w:tc>
          <w:tcPr>
            <w:tcW w:w="3402" w:type="dxa"/>
            <w:shd w:val="clear" w:color="auto" w:fill="auto"/>
          </w:tcPr>
          <w:p w14:paraId="12FDF32D" w14:textId="77777777" w:rsidR="00C37757" w:rsidRPr="00C37757" w:rsidRDefault="00C37757" w:rsidP="00C37757">
            <w:pPr>
              <w:widowControl w:val="0"/>
              <w:tabs>
                <w:tab w:val="right" w:pos="2878"/>
              </w:tabs>
              <w:spacing w:before="40" w:after="40" w:line="240" w:lineRule="auto"/>
              <w:ind w:left="113"/>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Contribuição social</w:t>
            </w:r>
            <w:r w:rsidRPr="00C37757">
              <w:rPr>
                <w:rFonts w:ascii="Arial" w:eastAsia="Times New Roman" w:hAnsi="Arial" w:cs="Arial"/>
                <w:spacing w:val="-2"/>
                <w:sz w:val="14"/>
                <w:szCs w:val="14"/>
                <w:lang w:eastAsia="pt-BR"/>
              </w:rPr>
              <w:tab/>
            </w:r>
          </w:p>
        </w:tc>
        <w:tc>
          <w:tcPr>
            <w:tcW w:w="296" w:type="dxa"/>
            <w:shd w:val="clear" w:color="auto" w:fill="auto"/>
          </w:tcPr>
          <w:p w14:paraId="3366B288" w14:textId="77777777" w:rsidR="00C37757" w:rsidRPr="00C37757" w:rsidRDefault="00C37757" w:rsidP="00C37757">
            <w:pPr>
              <w:widowControl w:val="0"/>
              <w:spacing w:before="40" w:after="40" w:line="240" w:lineRule="auto"/>
              <w:ind w:left="113"/>
              <w:jc w:val="center"/>
              <w:rPr>
                <w:rFonts w:ascii="Arial" w:eastAsia="Times New Roman" w:hAnsi="Arial" w:cs="Arial"/>
                <w:spacing w:val="-2"/>
                <w:sz w:val="14"/>
                <w:szCs w:val="14"/>
                <w:lang w:eastAsia="pt-BR"/>
              </w:rPr>
            </w:pPr>
          </w:p>
        </w:tc>
        <w:tc>
          <w:tcPr>
            <w:tcW w:w="1411" w:type="dxa"/>
            <w:shd w:val="clear" w:color="auto" w:fill="auto"/>
            <w:vAlign w:val="center"/>
          </w:tcPr>
          <w:p w14:paraId="05DBD331" w14:textId="77777777" w:rsidR="00C37757" w:rsidRPr="00C37757" w:rsidRDefault="00C37757" w:rsidP="00C37757">
            <w:pPr>
              <w:widowControl w:val="0"/>
              <w:spacing w:before="40" w:after="40" w:line="240" w:lineRule="auto"/>
              <w:ind w:left="113"/>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463</w:t>
            </w:r>
          </w:p>
        </w:tc>
        <w:tc>
          <w:tcPr>
            <w:tcW w:w="1412" w:type="dxa"/>
            <w:shd w:val="clear" w:color="auto" w:fill="auto"/>
            <w:vAlign w:val="center"/>
          </w:tcPr>
          <w:p w14:paraId="5D41B2BA" w14:textId="77777777" w:rsidR="00C37757" w:rsidRPr="00C37757" w:rsidRDefault="00C37757" w:rsidP="00C37757">
            <w:pPr>
              <w:widowControl w:val="0"/>
              <w:spacing w:before="40" w:after="40" w:line="240" w:lineRule="auto"/>
              <w:ind w:left="113"/>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670</w:t>
            </w:r>
          </w:p>
        </w:tc>
        <w:tc>
          <w:tcPr>
            <w:tcW w:w="283" w:type="dxa"/>
            <w:shd w:val="clear" w:color="auto" w:fill="auto"/>
            <w:vAlign w:val="center"/>
          </w:tcPr>
          <w:p w14:paraId="3C725EB0" w14:textId="77777777" w:rsidR="00C37757" w:rsidRPr="00C37757" w:rsidRDefault="00C37757" w:rsidP="00C37757">
            <w:pPr>
              <w:widowControl w:val="0"/>
              <w:spacing w:before="40" w:after="40" w:line="240" w:lineRule="auto"/>
              <w:ind w:left="113"/>
              <w:jc w:val="right"/>
              <w:rPr>
                <w:rFonts w:ascii="Arial" w:eastAsia="Times New Roman" w:hAnsi="Arial" w:cs="Arial"/>
                <w:spacing w:val="-2"/>
                <w:sz w:val="14"/>
                <w:szCs w:val="14"/>
                <w:lang w:eastAsia="pt-BR"/>
              </w:rPr>
            </w:pPr>
          </w:p>
        </w:tc>
        <w:tc>
          <w:tcPr>
            <w:tcW w:w="1417" w:type="dxa"/>
            <w:shd w:val="clear" w:color="auto" w:fill="auto"/>
            <w:vAlign w:val="center"/>
          </w:tcPr>
          <w:p w14:paraId="0AA76CF8" w14:textId="77777777" w:rsidR="00C37757" w:rsidRPr="00C37757" w:rsidRDefault="00C37757" w:rsidP="00C37757">
            <w:pPr>
              <w:widowControl w:val="0"/>
              <w:spacing w:before="40" w:after="40" w:line="240" w:lineRule="auto"/>
              <w:ind w:left="113"/>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270.915</w:t>
            </w:r>
          </w:p>
        </w:tc>
        <w:tc>
          <w:tcPr>
            <w:tcW w:w="1418" w:type="dxa"/>
            <w:shd w:val="clear" w:color="auto" w:fill="auto"/>
            <w:vAlign w:val="center"/>
          </w:tcPr>
          <w:p w14:paraId="540C1034" w14:textId="77777777" w:rsidR="00C37757" w:rsidRPr="00C37757" w:rsidRDefault="00C37757" w:rsidP="00C37757">
            <w:pPr>
              <w:widowControl w:val="0"/>
              <w:spacing w:before="40" w:after="40" w:line="240" w:lineRule="auto"/>
              <w:ind w:left="113"/>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239.225</w:t>
            </w:r>
          </w:p>
        </w:tc>
      </w:tr>
      <w:tr w:rsidR="00C37757" w:rsidRPr="00C37757" w14:paraId="2DA8A9B1" w14:textId="77777777" w:rsidTr="00C37757">
        <w:trPr>
          <w:trHeight w:val="238"/>
        </w:trPr>
        <w:tc>
          <w:tcPr>
            <w:tcW w:w="3402" w:type="dxa"/>
            <w:shd w:val="clear" w:color="auto" w:fill="auto"/>
          </w:tcPr>
          <w:p w14:paraId="57C1B62C" w14:textId="77777777" w:rsidR="00C37757" w:rsidRPr="00C37757" w:rsidRDefault="00C37757" w:rsidP="00C37757">
            <w:pPr>
              <w:widowControl w:val="0"/>
              <w:spacing w:before="40" w:after="40" w:line="240" w:lineRule="auto"/>
              <w:ind w:left="113"/>
              <w:rPr>
                <w:rFonts w:ascii="Arial" w:eastAsia="Times New Roman" w:hAnsi="Arial" w:cs="Arial"/>
                <w:spacing w:val="-2"/>
                <w:sz w:val="14"/>
                <w:szCs w:val="14"/>
                <w:lang w:eastAsia="pt-BR"/>
              </w:rPr>
            </w:pPr>
            <w:proofErr w:type="spellStart"/>
            <w:r w:rsidRPr="00C37757">
              <w:rPr>
                <w:rFonts w:ascii="Arial" w:eastAsia="Times New Roman" w:hAnsi="Arial" w:cs="Arial"/>
                <w:spacing w:val="-2"/>
                <w:sz w:val="14"/>
                <w:szCs w:val="14"/>
                <w:lang w:eastAsia="pt-BR"/>
              </w:rPr>
              <w:t>Cofins</w:t>
            </w:r>
            <w:proofErr w:type="spellEnd"/>
          </w:p>
        </w:tc>
        <w:tc>
          <w:tcPr>
            <w:tcW w:w="296" w:type="dxa"/>
            <w:shd w:val="clear" w:color="auto" w:fill="auto"/>
          </w:tcPr>
          <w:p w14:paraId="3D76A21B" w14:textId="77777777" w:rsidR="00C37757" w:rsidRPr="00C37757" w:rsidRDefault="00C37757" w:rsidP="00C37757">
            <w:pPr>
              <w:widowControl w:val="0"/>
              <w:spacing w:before="40" w:after="40" w:line="240" w:lineRule="auto"/>
              <w:ind w:left="113"/>
              <w:jc w:val="center"/>
              <w:rPr>
                <w:rFonts w:ascii="Arial" w:eastAsia="Times New Roman" w:hAnsi="Arial" w:cs="Arial"/>
                <w:spacing w:val="-2"/>
                <w:sz w:val="14"/>
                <w:szCs w:val="14"/>
                <w:lang w:eastAsia="pt-BR"/>
              </w:rPr>
            </w:pPr>
          </w:p>
        </w:tc>
        <w:tc>
          <w:tcPr>
            <w:tcW w:w="1411" w:type="dxa"/>
            <w:shd w:val="clear" w:color="auto" w:fill="auto"/>
            <w:vAlign w:val="center"/>
          </w:tcPr>
          <w:p w14:paraId="0B35C3C6" w14:textId="77777777" w:rsidR="00C37757" w:rsidRPr="00C37757" w:rsidRDefault="00C37757" w:rsidP="00C37757">
            <w:pPr>
              <w:widowControl w:val="0"/>
              <w:spacing w:before="40" w:after="40" w:line="240" w:lineRule="auto"/>
              <w:ind w:left="113"/>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155</w:t>
            </w:r>
          </w:p>
        </w:tc>
        <w:tc>
          <w:tcPr>
            <w:tcW w:w="1412" w:type="dxa"/>
            <w:shd w:val="clear" w:color="auto" w:fill="auto"/>
            <w:vAlign w:val="center"/>
          </w:tcPr>
          <w:p w14:paraId="28A42DDE" w14:textId="77777777" w:rsidR="00C37757" w:rsidRPr="00C37757" w:rsidRDefault="00C37757" w:rsidP="00C37757">
            <w:pPr>
              <w:widowControl w:val="0"/>
              <w:spacing w:before="40" w:after="40" w:line="240" w:lineRule="auto"/>
              <w:ind w:left="113"/>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127</w:t>
            </w:r>
          </w:p>
        </w:tc>
        <w:tc>
          <w:tcPr>
            <w:tcW w:w="283" w:type="dxa"/>
            <w:shd w:val="clear" w:color="auto" w:fill="auto"/>
            <w:vAlign w:val="center"/>
          </w:tcPr>
          <w:p w14:paraId="3D805432" w14:textId="77777777" w:rsidR="00C37757" w:rsidRPr="00C37757" w:rsidRDefault="00C37757" w:rsidP="00C37757">
            <w:pPr>
              <w:widowControl w:val="0"/>
              <w:spacing w:before="40" w:after="40" w:line="240" w:lineRule="auto"/>
              <w:ind w:left="113"/>
              <w:jc w:val="right"/>
              <w:rPr>
                <w:rFonts w:ascii="Arial" w:eastAsia="Times New Roman" w:hAnsi="Arial" w:cs="Arial"/>
                <w:spacing w:val="-2"/>
                <w:sz w:val="14"/>
                <w:szCs w:val="14"/>
                <w:lang w:eastAsia="pt-BR"/>
              </w:rPr>
            </w:pPr>
          </w:p>
        </w:tc>
        <w:tc>
          <w:tcPr>
            <w:tcW w:w="1417" w:type="dxa"/>
            <w:shd w:val="clear" w:color="auto" w:fill="auto"/>
            <w:vAlign w:val="center"/>
          </w:tcPr>
          <w:p w14:paraId="7F2AE4FE" w14:textId="77777777" w:rsidR="00C37757" w:rsidRPr="00C37757" w:rsidRDefault="00C37757" w:rsidP="00C37757">
            <w:pPr>
              <w:widowControl w:val="0"/>
              <w:spacing w:before="40" w:after="40" w:line="240" w:lineRule="auto"/>
              <w:ind w:left="113"/>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40.841</w:t>
            </w:r>
          </w:p>
        </w:tc>
        <w:tc>
          <w:tcPr>
            <w:tcW w:w="1418" w:type="dxa"/>
            <w:shd w:val="clear" w:color="auto" w:fill="auto"/>
            <w:vAlign w:val="center"/>
          </w:tcPr>
          <w:p w14:paraId="2B9FD485" w14:textId="77777777" w:rsidR="00C37757" w:rsidRPr="00C37757" w:rsidRDefault="00C37757" w:rsidP="00C37757">
            <w:pPr>
              <w:widowControl w:val="0"/>
              <w:spacing w:before="40" w:after="40" w:line="240" w:lineRule="auto"/>
              <w:ind w:left="113"/>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36.739</w:t>
            </w:r>
          </w:p>
        </w:tc>
      </w:tr>
      <w:tr w:rsidR="00C37757" w:rsidRPr="00C37757" w14:paraId="1C72DE74" w14:textId="77777777" w:rsidTr="00C37757">
        <w:trPr>
          <w:trHeight w:val="238"/>
        </w:trPr>
        <w:tc>
          <w:tcPr>
            <w:tcW w:w="3402" w:type="dxa"/>
            <w:shd w:val="clear" w:color="auto" w:fill="auto"/>
          </w:tcPr>
          <w:p w14:paraId="3A82A7B2" w14:textId="77777777" w:rsidR="00C37757" w:rsidRPr="00C37757" w:rsidRDefault="00C37757" w:rsidP="00C37757">
            <w:pPr>
              <w:widowControl w:val="0"/>
              <w:spacing w:before="40" w:after="40" w:line="240" w:lineRule="auto"/>
              <w:ind w:left="113"/>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ISS</w:t>
            </w:r>
          </w:p>
        </w:tc>
        <w:tc>
          <w:tcPr>
            <w:tcW w:w="296" w:type="dxa"/>
            <w:shd w:val="clear" w:color="auto" w:fill="auto"/>
          </w:tcPr>
          <w:p w14:paraId="41681A93" w14:textId="77777777" w:rsidR="00C37757" w:rsidRPr="00C37757" w:rsidRDefault="00C37757" w:rsidP="00C37757">
            <w:pPr>
              <w:widowControl w:val="0"/>
              <w:spacing w:before="40" w:after="40" w:line="240" w:lineRule="auto"/>
              <w:ind w:left="113"/>
              <w:jc w:val="center"/>
              <w:rPr>
                <w:rFonts w:ascii="Arial" w:eastAsia="Times New Roman" w:hAnsi="Arial" w:cs="Arial"/>
                <w:spacing w:val="-2"/>
                <w:sz w:val="14"/>
                <w:szCs w:val="14"/>
                <w:lang w:eastAsia="pt-BR"/>
              </w:rPr>
            </w:pPr>
          </w:p>
        </w:tc>
        <w:tc>
          <w:tcPr>
            <w:tcW w:w="1411" w:type="dxa"/>
            <w:shd w:val="clear" w:color="auto" w:fill="auto"/>
            <w:vAlign w:val="center"/>
          </w:tcPr>
          <w:p w14:paraId="51D05B1C" w14:textId="77777777" w:rsidR="00C37757" w:rsidRPr="00C37757" w:rsidRDefault="00C37757" w:rsidP="00C37757">
            <w:pPr>
              <w:widowControl w:val="0"/>
              <w:spacing w:before="40" w:after="40" w:line="240" w:lineRule="auto"/>
              <w:ind w:left="113"/>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w:t>
            </w:r>
          </w:p>
        </w:tc>
        <w:tc>
          <w:tcPr>
            <w:tcW w:w="1412" w:type="dxa"/>
            <w:shd w:val="clear" w:color="auto" w:fill="auto"/>
            <w:vAlign w:val="center"/>
          </w:tcPr>
          <w:p w14:paraId="4144159E" w14:textId="77777777" w:rsidR="00C37757" w:rsidRPr="00C37757" w:rsidRDefault="00C37757" w:rsidP="00C37757">
            <w:pPr>
              <w:widowControl w:val="0"/>
              <w:spacing w:before="40" w:after="40" w:line="240" w:lineRule="auto"/>
              <w:ind w:left="113"/>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w:t>
            </w:r>
          </w:p>
        </w:tc>
        <w:tc>
          <w:tcPr>
            <w:tcW w:w="283" w:type="dxa"/>
            <w:shd w:val="clear" w:color="auto" w:fill="auto"/>
            <w:vAlign w:val="center"/>
          </w:tcPr>
          <w:p w14:paraId="6BFE1D12" w14:textId="77777777" w:rsidR="00C37757" w:rsidRPr="00C37757" w:rsidRDefault="00C37757" w:rsidP="00C37757">
            <w:pPr>
              <w:widowControl w:val="0"/>
              <w:spacing w:before="40" w:after="40" w:line="240" w:lineRule="auto"/>
              <w:ind w:left="113"/>
              <w:jc w:val="right"/>
              <w:rPr>
                <w:rFonts w:ascii="Arial" w:eastAsia="Times New Roman" w:hAnsi="Arial" w:cs="Arial"/>
                <w:spacing w:val="-2"/>
                <w:sz w:val="14"/>
                <w:szCs w:val="14"/>
                <w:lang w:eastAsia="pt-BR"/>
              </w:rPr>
            </w:pPr>
          </w:p>
        </w:tc>
        <w:tc>
          <w:tcPr>
            <w:tcW w:w="1417" w:type="dxa"/>
            <w:shd w:val="clear" w:color="auto" w:fill="auto"/>
            <w:vAlign w:val="center"/>
          </w:tcPr>
          <w:p w14:paraId="0EAE311B" w14:textId="77777777" w:rsidR="00C37757" w:rsidRPr="00C37757" w:rsidRDefault="00C37757" w:rsidP="00C37757">
            <w:pPr>
              <w:widowControl w:val="0"/>
              <w:spacing w:before="40" w:after="40" w:line="240" w:lineRule="auto"/>
              <w:ind w:left="113"/>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11.501</w:t>
            </w:r>
          </w:p>
        </w:tc>
        <w:tc>
          <w:tcPr>
            <w:tcW w:w="1418" w:type="dxa"/>
            <w:shd w:val="clear" w:color="auto" w:fill="auto"/>
            <w:vAlign w:val="center"/>
          </w:tcPr>
          <w:p w14:paraId="4B9E8C22" w14:textId="77777777" w:rsidR="00C37757" w:rsidRPr="00C37757" w:rsidRDefault="00C37757" w:rsidP="00C37757">
            <w:pPr>
              <w:widowControl w:val="0"/>
              <w:spacing w:before="40" w:after="40" w:line="240" w:lineRule="auto"/>
              <w:ind w:left="113"/>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10.861</w:t>
            </w:r>
          </w:p>
        </w:tc>
      </w:tr>
      <w:tr w:rsidR="00C37757" w:rsidRPr="00C37757" w14:paraId="05CC1930" w14:textId="77777777" w:rsidTr="00C37757">
        <w:trPr>
          <w:trHeight w:val="238"/>
        </w:trPr>
        <w:tc>
          <w:tcPr>
            <w:tcW w:w="3402" w:type="dxa"/>
            <w:shd w:val="clear" w:color="auto" w:fill="auto"/>
          </w:tcPr>
          <w:p w14:paraId="7DCCC368" w14:textId="77777777" w:rsidR="00C37757" w:rsidRPr="00C37757" w:rsidRDefault="00C37757" w:rsidP="00C37757">
            <w:pPr>
              <w:widowControl w:val="0"/>
              <w:spacing w:before="40" w:after="40" w:line="240" w:lineRule="auto"/>
              <w:ind w:left="113"/>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Pasep</w:t>
            </w:r>
          </w:p>
        </w:tc>
        <w:tc>
          <w:tcPr>
            <w:tcW w:w="296" w:type="dxa"/>
            <w:shd w:val="clear" w:color="auto" w:fill="auto"/>
          </w:tcPr>
          <w:p w14:paraId="3371609F" w14:textId="77777777" w:rsidR="00C37757" w:rsidRPr="00C37757" w:rsidRDefault="00C37757" w:rsidP="00C37757">
            <w:pPr>
              <w:widowControl w:val="0"/>
              <w:spacing w:before="40" w:after="40" w:line="240" w:lineRule="auto"/>
              <w:ind w:left="113"/>
              <w:jc w:val="center"/>
              <w:rPr>
                <w:rFonts w:ascii="Arial" w:eastAsia="Times New Roman" w:hAnsi="Arial" w:cs="Arial"/>
                <w:spacing w:val="-2"/>
                <w:sz w:val="14"/>
                <w:szCs w:val="14"/>
                <w:lang w:eastAsia="pt-BR"/>
              </w:rPr>
            </w:pPr>
          </w:p>
        </w:tc>
        <w:tc>
          <w:tcPr>
            <w:tcW w:w="1411" w:type="dxa"/>
            <w:shd w:val="clear" w:color="auto" w:fill="auto"/>
            <w:vAlign w:val="center"/>
          </w:tcPr>
          <w:p w14:paraId="1F9486B6" w14:textId="77777777" w:rsidR="00C37757" w:rsidRPr="00C37757" w:rsidRDefault="00C37757" w:rsidP="00C37757">
            <w:pPr>
              <w:widowControl w:val="0"/>
              <w:spacing w:before="40" w:after="40" w:line="240" w:lineRule="auto"/>
              <w:ind w:left="113"/>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25</w:t>
            </w:r>
          </w:p>
        </w:tc>
        <w:tc>
          <w:tcPr>
            <w:tcW w:w="1412" w:type="dxa"/>
            <w:shd w:val="clear" w:color="auto" w:fill="auto"/>
            <w:vAlign w:val="center"/>
          </w:tcPr>
          <w:p w14:paraId="2000AA84" w14:textId="77777777" w:rsidR="00C37757" w:rsidRPr="00C37757" w:rsidRDefault="00C37757" w:rsidP="00C37757">
            <w:pPr>
              <w:widowControl w:val="0"/>
              <w:spacing w:before="40" w:after="40" w:line="240" w:lineRule="auto"/>
              <w:ind w:left="113"/>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20</w:t>
            </w:r>
          </w:p>
        </w:tc>
        <w:tc>
          <w:tcPr>
            <w:tcW w:w="283" w:type="dxa"/>
            <w:shd w:val="clear" w:color="auto" w:fill="auto"/>
            <w:vAlign w:val="center"/>
          </w:tcPr>
          <w:p w14:paraId="549A5ED9" w14:textId="77777777" w:rsidR="00C37757" w:rsidRPr="00C37757" w:rsidRDefault="00C37757" w:rsidP="00C37757">
            <w:pPr>
              <w:widowControl w:val="0"/>
              <w:spacing w:before="40" w:after="40" w:line="240" w:lineRule="auto"/>
              <w:ind w:left="113"/>
              <w:jc w:val="right"/>
              <w:rPr>
                <w:rFonts w:ascii="Arial" w:eastAsia="Times New Roman" w:hAnsi="Arial" w:cs="Arial"/>
                <w:spacing w:val="-2"/>
                <w:sz w:val="14"/>
                <w:szCs w:val="14"/>
                <w:lang w:eastAsia="pt-BR"/>
              </w:rPr>
            </w:pPr>
          </w:p>
        </w:tc>
        <w:tc>
          <w:tcPr>
            <w:tcW w:w="1417" w:type="dxa"/>
            <w:shd w:val="clear" w:color="auto" w:fill="auto"/>
            <w:vAlign w:val="center"/>
          </w:tcPr>
          <w:p w14:paraId="41357CF4" w14:textId="77777777" w:rsidR="00C37757" w:rsidRPr="00C37757" w:rsidRDefault="00C37757" w:rsidP="00C37757">
            <w:pPr>
              <w:widowControl w:val="0"/>
              <w:spacing w:before="40" w:after="40" w:line="240" w:lineRule="auto"/>
              <w:ind w:left="113"/>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8.680</w:t>
            </w:r>
          </w:p>
        </w:tc>
        <w:tc>
          <w:tcPr>
            <w:tcW w:w="1418" w:type="dxa"/>
            <w:shd w:val="clear" w:color="auto" w:fill="auto"/>
            <w:vAlign w:val="center"/>
          </w:tcPr>
          <w:p w14:paraId="3C07797A" w14:textId="77777777" w:rsidR="00C37757" w:rsidRPr="00C37757" w:rsidRDefault="00C37757" w:rsidP="00C37757">
            <w:pPr>
              <w:widowControl w:val="0"/>
              <w:spacing w:before="40" w:after="40" w:line="240" w:lineRule="auto"/>
              <w:ind w:left="113"/>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7.856</w:t>
            </w:r>
          </w:p>
        </w:tc>
      </w:tr>
      <w:tr w:rsidR="00C37757" w:rsidRPr="00C37757" w14:paraId="4FDF702F" w14:textId="77777777" w:rsidTr="00C37757">
        <w:trPr>
          <w:trHeight w:val="238"/>
        </w:trPr>
        <w:tc>
          <w:tcPr>
            <w:tcW w:w="3402" w:type="dxa"/>
            <w:shd w:val="clear" w:color="auto" w:fill="auto"/>
          </w:tcPr>
          <w:p w14:paraId="01EEEE14" w14:textId="77777777" w:rsidR="00C37757" w:rsidRPr="00C37757" w:rsidRDefault="00C37757" w:rsidP="00C37757">
            <w:pPr>
              <w:widowControl w:val="0"/>
              <w:spacing w:before="40" w:after="40" w:line="240" w:lineRule="auto"/>
              <w:ind w:left="113"/>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Outros</w:t>
            </w:r>
          </w:p>
        </w:tc>
        <w:tc>
          <w:tcPr>
            <w:tcW w:w="296" w:type="dxa"/>
            <w:shd w:val="clear" w:color="auto" w:fill="auto"/>
          </w:tcPr>
          <w:p w14:paraId="46302C1D" w14:textId="77777777" w:rsidR="00C37757" w:rsidRPr="00C37757" w:rsidRDefault="00C37757" w:rsidP="00C37757">
            <w:pPr>
              <w:widowControl w:val="0"/>
              <w:spacing w:before="40" w:after="40" w:line="240" w:lineRule="auto"/>
              <w:jc w:val="center"/>
              <w:rPr>
                <w:rFonts w:ascii="Arial" w:eastAsia="Times New Roman" w:hAnsi="Arial" w:cs="Arial"/>
                <w:spacing w:val="-2"/>
                <w:sz w:val="14"/>
                <w:szCs w:val="14"/>
                <w:lang w:eastAsia="pt-BR"/>
              </w:rPr>
            </w:pPr>
          </w:p>
        </w:tc>
        <w:tc>
          <w:tcPr>
            <w:tcW w:w="1411" w:type="dxa"/>
            <w:shd w:val="clear" w:color="auto" w:fill="auto"/>
            <w:vAlign w:val="center"/>
          </w:tcPr>
          <w:p w14:paraId="41192CE1" w14:textId="77777777" w:rsidR="00C37757" w:rsidRPr="00C37757" w:rsidRDefault="00C37757" w:rsidP="00C37757">
            <w:pPr>
              <w:widowControl w:val="0"/>
              <w:spacing w:before="40" w:after="40" w:line="240" w:lineRule="auto"/>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138</w:t>
            </w:r>
          </w:p>
        </w:tc>
        <w:tc>
          <w:tcPr>
            <w:tcW w:w="1412" w:type="dxa"/>
            <w:shd w:val="clear" w:color="auto" w:fill="auto"/>
            <w:vAlign w:val="center"/>
          </w:tcPr>
          <w:p w14:paraId="7DDB8422" w14:textId="77777777" w:rsidR="00C37757" w:rsidRPr="00C37757" w:rsidRDefault="00C37757" w:rsidP="00C37757">
            <w:pPr>
              <w:widowControl w:val="0"/>
              <w:spacing w:before="40" w:after="40" w:line="240" w:lineRule="auto"/>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19</w:t>
            </w:r>
          </w:p>
        </w:tc>
        <w:tc>
          <w:tcPr>
            <w:tcW w:w="283" w:type="dxa"/>
            <w:shd w:val="clear" w:color="auto" w:fill="auto"/>
            <w:vAlign w:val="center"/>
          </w:tcPr>
          <w:p w14:paraId="696908BB" w14:textId="77777777" w:rsidR="00C37757" w:rsidRPr="00C37757" w:rsidRDefault="00C37757" w:rsidP="00C37757">
            <w:pPr>
              <w:widowControl w:val="0"/>
              <w:spacing w:before="40" w:after="40" w:line="240" w:lineRule="auto"/>
              <w:jc w:val="right"/>
              <w:rPr>
                <w:rFonts w:ascii="Arial" w:eastAsia="Times New Roman" w:hAnsi="Arial" w:cs="Arial"/>
                <w:spacing w:val="-2"/>
                <w:sz w:val="14"/>
                <w:szCs w:val="14"/>
                <w:lang w:eastAsia="pt-BR"/>
              </w:rPr>
            </w:pPr>
          </w:p>
        </w:tc>
        <w:tc>
          <w:tcPr>
            <w:tcW w:w="1417" w:type="dxa"/>
            <w:shd w:val="clear" w:color="auto" w:fill="auto"/>
            <w:vAlign w:val="center"/>
          </w:tcPr>
          <w:p w14:paraId="7D80DBDA" w14:textId="77777777" w:rsidR="00C37757" w:rsidRPr="00C37757" w:rsidRDefault="00C37757" w:rsidP="00C37757">
            <w:pPr>
              <w:widowControl w:val="0"/>
              <w:spacing w:before="40" w:after="40" w:line="240" w:lineRule="auto"/>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168</w:t>
            </w:r>
          </w:p>
        </w:tc>
        <w:tc>
          <w:tcPr>
            <w:tcW w:w="1418" w:type="dxa"/>
            <w:shd w:val="clear" w:color="auto" w:fill="auto"/>
            <w:vAlign w:val="center"/>
          </w:tcPr>
          <w:p w14:paraId="537F25F1" w14:textId="77777777" w:rsidR="00C37757" w:rsidRPr="00C37757" w:rsidRDefault="00C37757" w:rsidP="00C37757">
            <w:pPr>
              <w:widowControl w:val="0"/>
              <w:spacing w:before="40" w:after="40" w:line="240" w:lineRule="auto"/>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61</w:t>
            </w:r>
          </w:p>
        </w:tc>
      </w:tr>
      <w:tr w:rsidR="00C37757" w:rsidRPr="00C37757" w14:paraId="1559A479" w14:textId="77777777" w:rsidTr="00C37757">
        <w:trPr>
          <w:trHeight w:val="238"/>
        </w:trPr>
        <w:tc>
          <w:tcPr>
            <w:tcW w:w="3402" w:type="dxa"/>
            <w:tcBorders>
              <w:bottom w:val="nil"/>
            </w:tcBorders>
            <w:shd w:val="clear" w:color="auto" w:fill="auto"/>
          </w:tcPr>
          <w:p w14:paraId="49DF888D" w14:textId="77777777" w:rsidR="00C37757" w:rsidRPr="00C37757" w:rsidRDefault="00C37757" w:rsidP="00C37757">
            <w:pPr>
              <w:widowControl w:val="0"/>
              <w:spacing w:before="40" w:after="40" w:line="240" w:lineRule="auto"/>
              <w:ind w:left="113"/>
              <w:rPr>
                <w:rFonts w:ascii="Arial" w:eastAsia="Times New Roman" w:hAnsi="Arial" w:cs="Arial"/>
                <w:spacing w:val="-2"/>
                <w:sz w:val="14"/>
                <w:szCs w:val="14"/>
                <w:vertAlign w:val="superscript"/>
                <w:lang w:eastAsia="pt-BR"/>
              </w:rPr>
            </w:pPr>
            <w:r w:rsidRPr="00C37757">
              <w:rPr>
                <w:rFonts w:ascii="Arial" w:eastAsia="Times New Roman" w:hAnsi="Arial" w:cs="Arial"/>
                <w:spacing w:val="-2"/>
                <w:sz w:val="14"/>
                <w:szCs w:val="14"/>
                <w:lang w:eastAsia="pt-BR"/>
              </w:rPr>
              <w:t>(-) Impostos correntes deduzidos/compensados</w:t>
            </w:r>
            <w:r w:rsidRPr="00C37757">
              <w:rPr>
                <w:rFonts w:ascii="Arial" w:eastAsia="Times New Roman" w:hAnsi="Arial" w:cs="Arial"/>
                <w:spacing w:val="-2"/>
                <w:sz w:val="14"/>
                <w:szCs w:val="14"/>
                <w:vertAlign w:val="superscript"/>
                <w:lang w:eastAsia="pt-BR"/>
              </w:rPr>
              <w:t xml:space="preserve"> </w:t>
            </w:r>
          </w:p>
        </w:tc>
        <w:tc>
          <w:tcPr>
            <w:tcW w:w="296" w:type="dxa"/>
            <w:tcBorders>
              <w:bottom w:val="nil"/>
            </w:tcBorders>
            <w:shd w:val="clear" w:color="auto" w:fill="auto"/>
          </w:tcPr>
          <w:p w14:paraId="1F865C05" w14:textId="77777777" w:rsidR="00C37757" w:rsidRPr="00C37757" w:rsidRDefault="00C37757" w:rsidP="00C37757">
            <w:pPr>
              <w:widowControl w:val="0"/>
              <w:spacing w:before="40" w:after="40" w:line="240" w:lineRule="auto"/>
              <w:ind w:left="113"/>
              <w:jc w:val="center"/>
              <w:rPr>
                <w:rFonts w:ascii="Arial" w:eastAsia="Times New Roman" w:hAnsi="Arial" w:cs="Arial"/>
                <w:spacing w:val="-2"/>
                <w:sz w:val="14"/>
                <w:szCs w:val="14"/>
                <w:lang w:eastAsia="pt-BR"/>
              </w:rPr>
            </w:pPr>
          </w:p>
        </w:tc>
        <w:tc>
          <w:tcPr>
            <w:tcW w:w="1411" w:type="dxa"/>
            <w:tcBorders>
              <w:bottom w:val="nil"/>
            </w:tcBorders>
            <w:shd w:val="clear" w:color="auto" w:fill="auto"/>
            <w:vAlign w:val="center"/>
          </w:tcPr>
          <w:p w14:paraId="0084FAA5" w14:textId="77777777" w:rsidR="00C37757" w:rsidRPr="00C37757" w:rsidRDefault="00C37757" w:rsidP="00C37757">
            <w:pPr>
              <w:widowControl w:val="0"/>
              <w:spacing w:before="40" w:after="40" w:line="240" w:lineRule="auto"/>
              <w:ind w:left="113"/>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(1.100)</w:t>
            </w:r>
          </w:p>
        </w:tc>
        <w:tc>
          <w:tcPr>
            <w:tcW w:w="1412" w:type="dxa"/>
            <w:tcBorders>
              <w:bottom w:val="nil"/>
            </w:tcBorders>
            <w:shd w:val="clear" w:color="auto" w:fill="auto"/>
            <w:vAlign w:val="center"/>
          </w:tcPr>
          <w:p w14:paraId="089042B8" w14:textId="77777777" w:rsidR="00C37757" w:rsidRPr="00C37757" w:rsidRDefault="00C37757" w:rsidP="00C37757">
            <w:pPr>
              <w:widowControl w:val="0"/>
              <w:spacing w:before="40" w:after="40" w:line="240" w:lineRule="auto"/>
              <w:ind w:left="113"/>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(2.110)</w:t>
            </w:r>
          </w:p>
        </w:tc>
        <w:tc>
          <w:tcPr>
            <w:tcW w:w="283" w:type="dxa"/>
            <w:tcBorders>
              <w:bottom w:val="nil"/>
            </w:tcBorders>
            <w:shd w:val="clear" w:color="auto" w:fill="auto"/>
            <w:vAlign w:val="center"/>
          </w:tcPr>
          <w:p w14:paraId="215C37DB" w14:textId="77777777" w:rsidR="00C37757" w:rsidRPr="00C37757" w:rsidRDefault="00C37757" w:rsidP="00C37757">
            <w:pPr>
              <w:widowControl w:val="0"/>
              <w:spacing w:before="40" w:after="40" w:line="240" w:lineRule="auto"/>
              <w:ind w:left="113"/>
              <w:jc w:val="right"/>
              <w:rPr>
                <w:rFonts w:ascii="Arial" w:eastAsia="Times New Roman" w:hAnsi="Arial" w:cs="Arial"/>
                <w:spacing w:val="-2"/>
                <w:sz w:val="14"/>
                <w:szCs w:val="14"/>
                <w:lang w:eastAsia="pt-BR"/>
              </w:rPr>
            </w:pPr>
          </w:p>
        </w:tc>
        <w:tc>
          <w:tcPr>
            <w:tcW w:w="1417" w:type="dxa"/>
            <w:tcBorders>
              <w:bottom w:val="nil"/>
            </w:tcBorders>
            <w:shd w:val="clear" w:color="auto" w:fill="auto"/>
            <w:vAlign w:val="center"/>
          </w:tcPr>
          <w:p w14:paraId="69D79593" w14:textId="77777777" w:rsidR="00C37757" w:rsidRPr="00C37757" w:rsidRDefault="00C37757" w:rsidP="00C37757">
            <w:pPr>
              <w:widowControl w:val="0"/>
              <w:spacing w:before="40" w:after="40" w:line="240" w:lineRule="auto"/>
              <w:ind w:left="113"/>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(47.072)</w:t>
            </w:r>
          </w:p>
        </w:tc>
        <w:tc>
          <w:tcPr>
            <w:tcW w:w="1418" w:type="dxa"/>
            <w:tcBorders>
              <w:bottom w:val="nil"/>
            </w:tcBorders>
            <w:shd w:val="clear" w:color="auto" w:fill="auto"/>
            <w:vAlign w:val="center"/>
          </w:tcPr>
          <w:p w14:paraId="0E9215C3" w14:textId="77777777" w:rsidR="00C37757" w:rsidRPr="00C37757" w:rsidRDefault="00C37757" w:rsidP="00C37757">
            <w:pPr>
              <w:widowControl w:val="0"/>
              <w:spacing w:before="40" w:after="40" w:line="240" w:lineRule="auto"/>
              <w:ind w:left="113"/>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(87.375)</w:t>
            </w:r>
          </w:p>
        </w:tc>
      </w:tr>
      <w:tr w:rsidR="00C37757" w:rsidRPr="00C37757" w14:paraId="449B281C" w14:textId="77777777" w:rsidTr="00C37757">
        <w:trPr>
          <w:trHeight w:val="238"/>
        </w:trPr>
        <w:tc>
          <w:tcPr>
            <w:tcW w:w="3402" w:type="dxa"/>
            <w:tcBorders>
              <w:top w:val="nil"/>
              <w:bottom w:val="single" w:sz="2" w:space="0" w:color="1F4E79"/>
            </w:tcBorders>
            <w:shd w:val="clear" w:color="auto" w:fill="auto"/>
          </w:tcPr>
          <w:p w14:paraId="2B076623" w14:textId="77777777" w:rsidR="00C37757" w:rsidRPr="00C37757" w:rsidRDefault="00C37757" w:rsidP="00C37757">
            <w:pPr>
              <w:widowControl w:val="0"/>
              <w:spacing w:before="40" w:after="40" w:line="240" w:lineRule="auto"/>
              <w:rPr>
                <w:rFonts w:ascii="Arial" w:eastAsia="Times New Roman" w:hAnsi="Arial" w:cs="Arial"/>
                <w:b/>
                <w:spacing w:val="-2"/>
                <w:sz w:val="14"/>
                <w:szCs w:val="18"/>
                <w:vertAlign w:val="superscript"/>
                <w:lang w:eastAsia="pt-BR"/>
              </w:rPr>
            </w:pPr>
            <w:r w:rsidRPr="00C37757">
              <w:rPr>
                <w:rFonts w:ascii="Arial" w:eastAsia="Times New Roman" w:hAnsi="Arial" w:cs="Arial"/>
                <w:b/>
                <w:spacing w:val="-2"/>
                <w:sz w:val="14"/>
                <w:szCs w:val="18"/>
                <w:lang w:eastAsia="pt-BR"/>
              </w:rPr>
              <w:t>Total</w:t>
            </w:r>
          </w:p>
        </w:tc>
        <w:tc>
          <w:tcPr>
            <w:tcW w:w="296" w:type="dxa"/>
            <w:tcBorders>
              <w:top w:val="nil"/>
              <w:bottom w:val="single" w:sz="2" w:space="0" w:color="1F4E79"/>
            </w:tcBorders>
            <w:shd w:val="clear" w:color="auto" w:fill="auto"/>
          </w:tcPr>
          <w:p w14:paraId="55E61EAF" w14:textId="77777777" w:rsidR="00C37757" w:rsidRPr="00C37757" w:rsidRDefault="00C37757" w:rsidP="00C37757">
            <w:pPr>
              <w:widowControl w:val="0"/>
              <w:spacing w:before="40" w:after="40" w:line="240" w:lineRule="auto"/>
              <w:jc w:val="center"/>
              <w:rPr>
                <w:rFonts w:ascii="Arial" w:eastAsia="Times New Roman" w:hAnsi="Arial" w:cs="Arial"/>
                <w:b/>
                <w:spacing w:val="-2"/>
                <w:sz w:val="14"/>
                <w:szCs w:val="14"/>
                <w:lang w:eastAsia="pt-BR"/>
              </w:rPr>
            </w:pPr>
          </w:p>
        </w:tc>
        <w:tc>
          <w:tcPr>
            <w:tcW w:w="1411" w:type="dxa"/>
            <w:tcBorders>
              <w:top w:val="nil"/>
              <w:bottom w:val="single" w:sz="2" w:space="0" w:color="1F4E79"/>
            </w:tcBorders>
            <w:shd w:val="clear" w:color="auto" w:fill="auto"/>
            <w:vAlign w:val="center"/>
          </w:tcPr>
          <w:p w14:paraId="783414D5"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4"/>
                <w:lang w:eastAsia="pt-BR"/>
              </w:rPr>
            </w:pPr>
            <w:r w:rsidRPr="00C37757">
              <w:rPr>
                <w:rFonts w:ascii="Arial" w:eastAsia="Times New Roman" w:hAnsi="Arial" w:cs="Arial"/>
                <w:b/>
                <w:spacing w:val="-2"/>
                <w:sz w:val="14"/>
                <w:szCs w:val="14"/>
                <w:lang w:eastAsia="pt-BR"/>
              </w:rPr>
              <w:t>602</w:t>
            </w:r>
          </w:p>
        </w:tc>
        <w:tc>
          <w:tcPr>
            <w:tcW w:w="1412" w:type="dxa"/>
            <w:tcBorders>
              <w:top w:val="nil"/>
              <w:bottom w:val="single" w:sz="2" w:space="0" w:color="1F4E79"/>
            </w:tcBorders>
            <w:shd w:val="clear" w:color="auto" w:fill="auto"/>
            <w:vAlign w:val="center"/>
          </w:tcPr>
          <w:p w14:paraId="011039DA"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4"/>
                <w:lang w:eastAsia="pt-BR"/>
              </w:rPr>
            </w:pPr>
            <w:r w:rsidRPr="00C37757">
              <w:rPr>
                <w:rFonts w:ascii="Arial" w:eastAsia="Times New Roman" w:hAnsi="Arial" w:cs="Arial"/>
                <w:b/>
                <w:spacing w:val="-2"/>
                <w:sz w:val="14"/>
                <w:szCs w:val="14"/>
                <w:lang w:eastAsia="pt-BR"/>
              </w:rPr>
              <w:t>689</w:t>
            </w:r>
          </w:p>
        </w:tc>
        <w:tc>
          <w:tcPr>
            <w:tcW w:w="283" w:type="dxa"/>
            <w:tcBorders>
              <w:top w:val="nil"/>
              <w:bottom w:val="single" w:sz="2" w:space="0" w:color="1F4E79"/>
            </w:tcBorders>
            <w:shd w:val="clear" w:color="auto" w:fill="auto"/>
            <w:vAlign w:val="center"/>
          </w:tcPr>
          <w:p w14:paraId="66880715"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4"/>
                <w:lang w:eastAsia="pt-BR"/>
              </w:rPr>
            </w:pPr>
          </w:p>
        </w:tc>
        <w:tc>
          <w:tcPr>
            <w:tcW w:w="1417" w:type="dxa"/>
            <w:tcBorders>
              <w:top w:val="nil"/>
              <w:bottom w:val="single" w:sz="2" w:space="0" w:color="1F4E79"/>
            </w:tcBorders>
            <w:shd w:val="clear" w:color="auto" w:fill="auto"/>
            <w:vAlign w:val="center"/>
          </w:tcPr>
          <w:p w14:paraId="0B8494E3"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4"/>
                <w:lang w:eastAsia="pt-BR"/>
              </w:rPr>
            </w:pPr>
            <w:r w:rsidRPr="00C37757">
              <w:rPr>
                <w:rFonts w:ascii="Arial" w:eastAsia="Times New Roman" w:hAnsi="Arial" w:cs="Arial"/>
                <w:b/>
                <w:spacing w:val="-2"/>
                <w:sz w:val="14"/>
                <w:szCs w:val="14"/>
                <w:lang w:eastAsia="pt-BR"/>
              </w:rPr>
              <w:t>1.117.805</w:t>
            </w:r>
          </w:p>
        </w:tc>
        <w:tc>
          <w:tcPr>
            <w:tcW w:w="1418" w:type="dxa"/>
            <w:tcBorders>
              <w:top w:val="nil"/>
              <w:bottom w:val="single" w:sz="2" w:space="0" w:color="1F4E79"/>
            </w:tcBorders>
            <w:shd w:val="clear" w:color="auto" w:fill="auto"/>
            <w:vAlign w:val="center"/>
          </w:tcPr>
          <w:p w14:paraId="785088C0"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4"/>
                <w:lang w:eastAsia="pt-BR"/>
              </w:rPr>
            </w:pPr>
            <w:r w:rsidRPr="00C37757">
              <w:rPr>
                <w:rFonts w:ascii="Arial" w:eastAsia="Times New Roman" w:hAnsi="Arial" w:cs="Arial"/>
                <w:b/>
                <w:spacing w:val="-2"/>
                <w:sz w:val="14"/>
                <w:szCs w:val="14"/>
                <w:lang w:eastAsia="pt-BR"/>
              </w:rPr>
              <w:t>950.663</w:t>
            </w:r>
          </w:p>
        </w:tc>
      </w:tr>
    </w:tbl>
    <w:p w14:paraId="0F5E857A" w14:textId="77777777" w:rsidR="00C37757" w:rsidRPr="00C37757" w:rsidRDefault="00C37757" w:rsidP="00C37757">
      <w:pPr>
        <w:widowControl w:val="0"/>
        <w:spacing w:after="40" w:line="276" w:lineRule="auto"/>
        <w:rPr>
          <w:rFonts w:ascii="Arial" w:eastAsia="MS Mincho" w:hAnsi="Arial" w:cs="Arial"/>
          <w:b/>
          <w:color w:val="1F4E79"/>
          <w:sz w:val="18"/>
          <w:szCs w:val="18"/>
        </w:rPr>
      </w:pPr>
    </w:p>
    <w:p w14:paraId="383361DA" w14:textId="386A353C" w:rsidR="00C37757" w:rsidRPr="00C37757" w:rsidRDefault="00927E3F" w:rsidP="00D5649F">
      <w:pPr>
        <w:widowControl w:val="0"/>
        <w:spacing w:after="40" w:line="276" w:lineRule="auto"/>
        <w:rPr>
          <w:rFonts w:ascii="Arial" w:eastAsia="MS Mincho" w:hAnsi="Arial" w:cs="Arial"/>
          <w:b/>
          <w:color w:val="1F4E79"/>
          <w:sz w:val="18"/>
          <w:szCs w:val="18"/>
        </w:rPr>
      </w:pPr>
      <w:r>
        <w:rPr>
          <w:rFonts w:ascii="Arial" w:eastAsia="MS Mincho" w:hAnsi="Arial" w:cs="Arial"/>
          <w:b/>
          <w:color w:val="1F4E79"/>
          <w:sz w:val="18"/>
          <w:szCs w:val="18"/>
        </w:rPr>
        <w:t>g</w:t>
      </w:r>
      <w:r w:rsidR="00C37757" w:rsidRPr="00C37757">
        <w:rPr>
          <w:rFonts w:ascii="Arial" w:eastAsia="MS Mincho" w:hAnsi="Arial" w:cs="Arial"/>
          <w:b/>
          <w:color w:val="1F4E79"/>
          <w:sz w:val="18"/>
          <w:szCs w:val="18"/>
        </w:rPr>
        <w:t>) Passivos por Tributos Diferidos</w:t>
      </w:r>
    </w:p>
    <w:p w14:paraId="263DBB71" w14:textId="77777777" w:rsidR="00C37757" w:rsidRPr="00C37757" w:rsidRDefault="00C37757" w:rsidP="00C37757">
      <w:pPr>
        <w:widowControl w:val="0"/>
        <w:spacing w:after="0" w:line="240" w:lineRule="auto"/>
        <w:jc w:val="right"/>
        <w:rPr>
          <w:rFonts w:ascii="Arial" w:eastAsia="MS Mincho" w:hAnsi="Arial" w:cs="Arial"/>
          <w:b/>
          <w:sz w:val="14"/>
          <w:szCs w:val="22"/>
          <w:lang w:eastAsia="pt-BR"/>
        </w:rPr>
      </w:pPr>
      <w:r w:rsidRPr="00C37757">
        <w:rPr>
          <w:rFonts w:ascii="Arial" w:eastAsia="MS Mincho" w:hAnsi="Arial" w:cs="Arial"/>
          <w:b/>
          <w:sz w:val="14"/>
          <w:szCs w:val="22"/>
          <w:lang w:eastAsia="pt-BR"/>
        </w:rPr>
        <w:t>R$ mil</w:t>
      </w:r>
    </w:p>
    <w:tbl>
      <w:tblPr>
        <w:tblW w:w="9639" w:type="dxa"/>
        <w:tblBorders>
          <w:top w:val="single" w:sz="2" w:space="0" w:color="8EAADB"/>
          <w:bottom w:val="single" w:sz="2" w:space="0" w:color="8EAADB"/>
        </w:tblBorders>
        <w:tblLook w:val="04A0" w:firstRow="1" w:lastRow="0" w:firstColumn="1" w:lastColumn="0" w:noHBand="0" w:noVBand="1"/>
      </w:tblPr>
      <w:tblGrid>
        <w:gridCol w:w="5030"/>
        <w:gridCol w:w="2304"/>
        <w:gridCol w:w="2305"/>
      </w:tblGrid>
      <w:tr w:rsidR="00C37757" w:rsidRPr="00C37757" w14:paraId="0C287BF0" w14:textId="77777777" w:rsidTr="00C37757">
        <w:trPr>
          <w:trHeight w:val="238"/>
        </w:trPr>
        <w:tc>
          <w:tcPr>
            <w:tcW w:w="5030" w:type="dxa"/>
            <w:tcBorders>
              <w:top w:val="single" w:sz="2" w:space="0" w:color="1F4E79"/>
              <w:bottom w:val="nil"/>
            </w:tcBorders>
            <w:shd w:val="clear" w:color="auto" w:fill="auto"/>
          </w:tcPr>
          <w:p w14:paraId="294CB053" w14:textId="77777777" w:rsidR="00C37757" w:rsidRPr="00C37757" w:rsidRDefault="00C37757" w:rsidP="00C37757">
            <w:pPr>
              <w:widowControl w:val="0"/>
              <w:spacing w:after="0" w:line="276" w:lineRule="auto"/>
              <w:jc w:val="center"/>
              <w:rPr>
                <w:rFonts w:ascii="Arial" w:eastAsia="MS Mincho" w:hAnsi="Arial" w:cs="Arial"/>
                <w:b/>
                <w:sz w:val="18"/>
                <w:szCs w:val="18"/>
              </w:rPr>
            </w:pPr>
          </w:p>
        </w:tc>
        <w:tc>
          <w:tcPr>
            <w:tcW w:w="4609" w:type="dxa"/>
            <w:gridSpan w:val="2"/>
            <w:tcBorders>
              <w:top w:val="single" w:sz="2" w:space="0" w:color="1F4E79"/>
              <w:bottom w:val="single" w:sz="2" w:space="0" w:color="1F4E79"/>
            </w:tcBorders>
            <w:shd w:val="clear" w:color="auto" w:fill="auto"/>
            <w:vAlign w:val="center"/>
          </w:tcPr>
          <w:p w14:paraId="7E15248F" w14:textId="77777777" w:rsidR="00C37757" w:rsidRPr="00C37757" w:rsidRDefault="00C37757" w:rsidP="00C37757">
            <w:pPr>
              <w:widowControl w:val="0"/>
              <w:spacing w:after="0" w:line="276" w:lineRule="auto"/>
              <w:jc w:val="center"/>
              <w:rPr>
                <w:rFonts w:ascii="Arial" w:eastAsia="MS Mincho" w:hAnsi="Arial" w:cs="Arial"/>
                <w:b/>
                <w:sz w:val="18"/>
                <w:szCs w:val="18"/>
              </w:rPr>
            </w:pPr>
            <w:r w:rsidRPr="00C37757">
              <w:rPr>
                <w:rFonts w:ascii="Arial" w:eastAsia="MS Mincho" w:hAnsi="Arial" w:cs="Arial"/>
                <w:b/>
                <w:sz w:val="14"/>
                <w:szCs w:val="18"/>
              </w:rPr>
              <w:t>Consolidado</w:t>
            </w:r>
          </w:p>
        </w:tc>
      </w:tr>
      <w:tr w:rsidR="00C37757" w:rsidRPr="00C37757" w14:paraId="33FE6DE9" w14:textId="77777777" w:rsidTr="00C37757">
        <w:trPr>
          <w:trHeight w:val="238"/>
        </w:trPr>
        <w:tc>
          <w:tcPr>
            <w:tcW w:w="5030" w:type="dxa"/>
            <w:tcBorders>
              <w:top w:val="nil"/>
              <w:bottom w:val="single" w:sz="2" w:space="0" w:color="1F4E79"/>
            </w:tcBorders>
            <w:shd w:val="clear" w:color="auto" w:fill="auto"/>
          </w:tcPr>
          <w:p w14:paraId="08274E94"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8"/>
                <w:lang w:eastAsia="pt-BR"/>
              </w:rPr>
            </w:pPr>
          </w:p>
        </w:tc>
        <w:tc>
          <w:tcPr>
            <w:tcW w:w="2304" w:type="dxa"/>
            <w:tcBorders>
              <w:top w:val="single" w:sz="2" w:space="0" w:color="1F4E79"/>
              <w:bottom w:val="single" w:sz="2" w:space="0" w:color="1F4E79"/>
            </w:tcBorders>
            <w:shd w:val="clear" w:color="auto" w:fill="auto"/>
            <w:vAlign w:val="center"/>
          </w:tcPr>
          <w:p w14:paraId="66FE3391"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8"/>
                <w:lang w:eastAsia="pt-BR"/>
              </w:rPr>
            </w:pPr>
            <w:r w:rsidRPr="00C37757">
              <w:rPr>
                <w:rFonts w:ascii="Arial" w:eastAsia="Times New Roman" w:hAnsi="Arial" w:cs="Arial"/>
                <w:b/>
                <w:spacing w:val="-2"/>
                <w:sz w:val="14"/>
                <w:szCs w:val="18"/>
                <w:lang w:eastAsia="pt-BR"/>
              </w:rPr>
              <w:t>31.12.2024</w:t>
            </w:r>
          </w:p>
        </w:tc>
        <w:tc>
          <w:tcPr>
            <w:tcW w:w="2305" w:type="dxa"/>
            <w:tcBorders>
              <w:top w:val="single" w:sz="2" w:space="0" w:color="1F4E79"/>
              <w:bottom w:val="single" w:sz="2" w:space="0" w:color="1F4E79"/>
            </w:tcBorders>
            <w:shd w:val="clear" w:color="auto" w:fill="auto"/>
            <w:vAlign w:val="center"/>
          </w:tcPr>
          <w:p w14:paraId="410D3D88"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8"/>
                <w:lang w:eastAsia="pt-BR"/>
              </w:rPr>
            </w:pPr>
            <w:r w:rsidRPr="00C37757">
              <w:rPr>
                <w:rFonts w:ascii="Arial" w:eastAsia="Times New Roman" w:hAnsi="Arial" w:cs="Arial"/>
                <w:b/>
                <w:spacing w:val="-2"/>
                <w:sz w:val="14"/>
                <w:szCs w:val="18"/>
                <w:lang w:eastAsia="pt-BR"/>
              </w:rPr>
              <w:t>31.12.2023</w:t>
            </w:r>
          </w:p>
        </w:tc>
      </w:tr>
      <w:tr w:rsidR="00C37757" w:rsidRPr="00C37757" w14:paraId="53C605BB" w14:textId="77777777" w:rsidTr="00C37757">
        <w:trPr>
          <w:trHeight w:val="238"/>
        </w:trPr>
        <w:tc>
          <w:tcPr>
            <w:tcW w:w="5030" w:type="dxa"/>
            <w:tcBorders>
              <w:top w:val="single" w:sz="2" w:space="0" w:color="1F4E79"/>
            </w:tcBorders>
            <w:shd w:val="clear" w:color="auto" w:fill="auto"/>
          </w:tcPr>
          <w:p w14:paraId="42CB65E0" w14:textId="77777777" w:rsidR="00C37757" w:rsidRPr="00C37757" w:rsidRDefault="00C37757" w:rsidP="00C37757">
            <w:pPr>
              <w:widowControl w:val="0"/>
              <w:spacing w:before="40" w:after="40" w:line="240" w:lineRule="auto"/>
              <w:ind w:left="113"/>
              <w:rPr>
                <w:rFonts w:ascii="Arial" w:eastAsia="Times New Roman" w:hAnsi="Arial" w:cs="Arial"/>
                <w:spacing w:val="-2"/>
                <w:sz w:val="14"/>
                <w:szCs w:val="14"/>
                <w:vertAlign w:val="superscript"/>
                <w:lang w:eastAsia="pt-BR"/>
              </w:rPr>
            </w:pPr>
            <w:r w:rsidRPr="00C37757">
              <w:rPr>
                <w:rFonts w:ascii="Arial" w:eastAsia="Times New Roman" w:hAnsi="Arial" w:cs="Arial"/>
                <w:spacing w:val="-2"/>
                <w:sz w:val="14"/>
                <w:szCs w:val="14"/>
                <w:lang w:eastAsia="pt-BR"/>
              </w:rPr>
              <w:t xml:space="preserve">Decorrentes da parceria com a MAPFRE </w:t>
            </w:r>
            <w:r w:rsidRPr="00C37757">
              <w:rPr>
                <w:rFonts w:ascii="Arial" w:eastAsia="Times New Roman" w:hAnsi="Arial" w:cs="Times New Roman"/>
                <w:spacing w:val="-2"/>
                <w:sz w:val="14"/>
                <w:szCs w:val="18"/>
                <w:vertAlign w:val="superscript"/>
                <w:lang w:eastAsia="pt-BR"/>
              </w:rPr>
              <w:t>(1)</w:t>
            </w:r>
          </w:p>
        </w:tc>
        <w:tc>
          <w:tcPr>
            <w:tcW w:w="2304" w:type="dxa"/>
            <w:tcBorders>
              <w:top w:val="single" w:sz="2" w:space="0" w:color="1F4E79"/>
            </w:tcBorders>
            <w:shd w:val="clear" w:color="auto" w:fill="auto"/>
            <w:vAlign w:val="center"/>
          </w:tcPr>
          <w:p w14:paraId="1010213D" w14:textId="77777777" w:rsidR="00C37757" w:rsidRPr="00C37757" w:rsidRDefault="00C37757" w:rsidP="00C37757">
            <w:pPr>
              <w:widowControl w:val="0"/>
              <w:spacing w:before="40" w:after="40" w:line="240" w:lineRule="auto"/>
              <w:ind w:left="113"/>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223.387</w:t>
            </w:r>
          </w:p>
        </w:tc>
        <w:tc>
          <w:tcPr>
            <w:tcW w:w="2305" w:type="dxa"/>
            <w:tcBorders>
              <w:top w:val="single" w:sz="2" w:space="0" w:color="1F4E79"/>
            </w:tcBorders>
            <w:shd w:val="clear" w:color="auto" w:fill="auto"/>
            <w:vAlign w:val="center"/>
          </w:tcPr>
          <w:p w14:paraId="55D7D2FD" w14:textId="77777777" w:rsidR="00C37757" w:rsidRPr="00C37757" w:rsidRDefault="00C37757" w:rsidP="00C37757">
            <w:pPr>
              <w:widowControl w:val="0"/>
              <w:spacing w:before="40" w:after="40" w:line="240" w:lineRule="auto"/>
              <w:ind w:left="113"/>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223.387</w:t>
            </w:r>
          </w:p>
        </w:tc>
      </w:tr>
      <w:tr w:rsidR="00C37757" w:rsidRPr="00C37757" w14:paraId="075983B6" w14:textId="77777777" w:rsidTr="00C37757">
        <w:trPr>
          <w:trHeight w:val="238"/>
        </w:trPr>
        <w:tc>
          <w:tcPr>
            <w:tcW w:w="5030" w:type="dxa"/>
            <w:shd w:val="clear" w:color="auto" w:fill="auto"/>
          </w:tcPr>
          <w:p w14:paraId="6ED6BE42" w14:textId="77777777" w:rsidR="00C37757" w:rsidRPr="00C37757" w:rsidRDefault="00C37757" w:rsidP="00C37757">
            <w:pPr>
              <w:widowControl w:val="0"/>
              <w:spacing w:before="40" w:after="40" w:line="240" w:lineRule="auto"/>
              <w:ind w:left="113"/>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 xml:space="preserve">Decorrentes de amortização de ágio da </w:t>
            </w:r>
            <w:proofErr w:type="spellStart"/>
            <w:r w:rsidRPr="00C37757">
              <w:rPr>
                <w:rFonts w:ascii="Arial" w:eastAsia="Times New Roman" w:hAnsi="Arial" w:cs="Arial"/>
                <w:spacing w:val="-2"/>
                <w:sz w:val="14"/>
                <w:szCs w:val="14"/>
                <w:lang w:eastAsia="pt-BR"/>
              </w:rPr>
              <w:t>Brasilcap</w:t>
            </w:r>
            <w:proofErr w:type="spellEnd"/>
          </w:p>
        </w:tc>
        <w:tc>
          <w:tcPr>
            <w:tcW w:w="2304" w:type="dxa"/>
            <w:shd w:val="clear" w:color="auto" w:fill="auto"/>
            <w:vAlign w:val="center"/>
          </w:tcPr>
          <w:p w14:paraId="3F4DD653" w14:textId="77777777" w:rsidR="00C37757" w:rsidRPr="00C37757" w:rsidRDefault="00C37757" w:rsidP="00C37757">
            <w:pPr>
              <w:widowControl w:val="0"/>
              <w:spacing w:before="40" w:after="40" w:line="240" w:lineRule="auto"/>
              <w:ind w:left="113"/>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4.647</w:t>
            </w:r>
          </w:p>
        </w:tc>
        <w:tc>
          <w:tcPr>
            <w:tcW w:w="2305" w:type="dxa"/>
            <w:shd w:val="clear" w:color="auto" w:fill="auto"/>
            <w:vAlign w:val="center"/>
          </w:tcPr>
          <w:p w14:paraId="2823FACE" w14:textId="77777777" w:rsidR="00C37757" w:rsidRPr="00C37757" w:rsidRDefault="00C37757" w:rsidP="00C37757">
            <w:pPr>
              <w:widowControl w:val="0"/>
              <w:spacing w:before="40" w:after="40" w:line="240" w:lineRule="auto"/>
              <w:ind w:left="113"/>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4.647</w:t>
            </w:r>
          </w:p>
        </w:tc>
      </w:tr>
      <w:tr w:rsidR="00C37757" w:rsidRPr="00C37757" w14:paraId="22EBE3B2" w14:textId="77777777" w:rsidTr="00C37757">
        <w:trPr>
          <w:trHeight w:val="238"/>
        </w:trPr>
        <w:tc>
          <w:tcPr>
            <w:tcW w:w="5030" w:type="dxa"/>
            <w:tcBorders>
              <w:bottom w:val="nil"/>
            </w:tcBorders>
            <w:shd w:val="clear" w:color="auto" w:fill="auto"/>
          </w:tcPr>
          <w:p w14:paraId="101E8C8D" w14:textId="77777777" w:rsidR="00C37757" w:rsidRPr="00C37757" w:rsidRDefault="00C37757" w:rsidP="00C37757">
            <w:pPr>
              <w:widowControl w:val="0"/>
              <w:spacing w:before="40" w:after="40" w:line="240" w:lineRule="auto"/>
              <w:ind w:left="113"/>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Outras diferenças temporárias</w:t>
            </w:r>
          </w:p>
        </w:tc>
        <w:tc>
          <w:tcPr>
            <w:tcW w:w="2304" w:type="dxa"/>
            <w:tcBorders>
              <w:bottom w:val="nil"/>
            </w:tcBorders>
            <w:shd w:val="clear" w:color="auto" w:fill="auto"/>
            <w:vAlign w:val="center"/>
          </w:tcPr>
          <w:p w14:paraId="7F02AFDF" w14:textId="77777777" w:rsidR="00C37757" w:rsidRPr="00C37757" w:rsidRDefault="00C37757" w:rsidP="00C37757">
            <w:pPr>
              <w:widowControl w:val="0"/>
              <w:spacing w:before="40" w:after="40" w:line="240" w:lineRule="auto"/>
              <w:ind w:left="113"/>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531</w:t>
            </w:r>
          </w:p>
        </w:tc>
        <w:tc>
          <w:tcPr>
            <w:tcW w:w="2305" w:type="dxa"/>
            <w:tcBorders>
              <w:bottom w:val="nil"/>
            </w:tcBorders>
            <w:shd w:val="clear" w:color="auto" w:fill="auto"/>
            <w:vAlign w:val="center"/>
          </w:tcPr>
          <w:p w14:paraId="2521F620" w14:textId="77777777" w:rsidR="00C37757" w:rsidRPr="00C37757" w:rsidRDefault="00C37757" w:rsidP="00C37757">
            <w:pPr>
              <w:widowControl w:val="0"/>
              <w:spacing w:before="40" w:after="40" w:line="240" w:lineRule="auto"/>
              <w:ind w:left="113"/>
              <w:jc w:val="right"/>
              <w:rPr>
                <w:rFonts w:ascii="Arial" w:eastAsia="Times New Roman" w:hAnsi="Arial" w:cs="Arial"/>
                <w:spacing w:val="-2"/>
                <w:sz w:val="14"/>
                <w:szCs w:val="14"/>
                <w:lang w:eastAsia="pt-BR"/>
              </w:rPr>
            </w:pPr>
            <w:r w:rsidRPr="00C37757">
              <w:rPr>
                <w:rFonts w:ascii="Arial" w:eastAsia="Times New Roman" w:hAnsi="Arial" w:cs="Arial"/>
                <w:spacing w:val="-2"/>
                <w:sz w:val="14"/>
                <w:szCs w:val="14"/>
                <w:lang w:eastAsia="pt-BR"/>
              </w:rPr>
              <w:t>531</w:t>
            </w:r>
          </w:p>
        </w:tc>
      </w:tr>
      <w:tr w:rsidR="00C37757" w:rsidRPr="00C37757" w14:paraId="70634F65" w14:textId="77777777" w:rsidTr="00C37757">
        <w:trPr>
          <w:trHeight w:val="238"/>
        </w:trPr>
        <w:tc>
          <w:tcPr>
            <w:tcW w:w="5030" w:type="dxa"/>
            <w:tcBorders>
              <w:top w:val="nil"/>
              <w:bottom w:val="single" w:sz="2" w:space="0" w:color="1F4E79"/>
            </w:tcBorders>
            <w:shd w:val="clear" w:color="auto" w:fill="auto"/>
          </w:tcPr>
          <w:p w14:paraId="4E8AF4BC" w14:textId="77777777" w:rsidR="00C37757" w:rsidRPr="00C37757" w:rsidRDefault="00C37757" w:rsidP="00C37757">
            <w:pPr>
              <w:widowControl w:val="0"/>
              <w:spacing w:before="40" w:after="40" w:line="240" w:lineRule="auto"/>
              <w:rPr>
                <w:rFonts w:ascii="Arial" w:eastAsia="Times New Roman" w:hAnsi="Arial" w:cs="Arial"/>
                <w:b/>
                <w:spacing w:val="-2"/>
                <w:sz w:val="14"/>
                <w:szCs w:val="14"/>
                <w:lang w:eastAsia="pt-BR"/>
              </w:rPr>
            </w:pPr>
            <w:r w:rsidRPr="00C37757">
              <w:rPr>
                <w:rFonts w:ascii="Arial" w:eastAsia="Times New Roman" w:hAnsi="Arial" w:cs="Arial"/>
                <w:b/>
                <w:spacing w:val="-2"/>
                <w:sz w:val="14"/>
                <w:szCs w:val="18"/>
                <w:lang w:eastAsia="pt-BR"/>
              </w:rPr>
              <w:t>Total da Obrigações Fiscais Diferidas</w:t>
            </w:r>
          </w:p>
        </w:tc>
        <w:tc>
          <w:tcPr>
            <w:tcW w:w="2304" w:type="dxa"/>
            <w:tcBorders>
              <w:top w:val="nil"/>
              <w:bottom w:val="single" w:sz="2" w:space="0" w:color="1F4E79"/>
            </w:tcBorders>
            <w:shd w:val="clear" w:color="auto" w:fill="auto"/>
            <w:vAlign w:val="center"/>
          </w:tcPr>
          <w:p w14:paraId="43DBBEAB"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4"/>
                <w:lang w:eastAsia="pt-BR"/>
              </w:rPr>
            </w:pPr>
            <w:r w:rsidRPr="00C37757">
              <w:rPr>
                <w:rFonts w:ascii="Arial" w:eastAsia="Times New Roman" w:hAnsi="Arial" w:cs="Arial"/>
                <w:b/>
                <w:spacing w:val="-2"/>
                <w:sz w:val="14"/>
                <w:szCs w:val="14"/>
                <w:lang w:eastAsia="pt-BR"/>
              </w:rPr>
              <w:t>228.565</w:t>
            </w:r>
          </w:p>
        </w:tc>
        <w:tc>
          <w:tcPr>
            <w:tcW w:w="2305" w:type="dxa"/>
            <w:tcBorders>
              <w:top w:val="nil"/>
              <w:bottom w:val="single" w:sz="2" w:space="0" w:color="1F4E79"/>
            </w:tcBorders>
            <w:shd w:val="clear" w:color="auto" w:fill="auto"/>
            <w:vAlign w:val="center"/>
          </w:tcPr>
          <w:p w14:paraId="602E6EF3" w14:textId="77777777" w:rsidR="00C37757" w:rsidRPr="00C37757" w:rsidRDefault="00C37757" w:rsidP="00C37757">
            <w:pPr>
              <w:widowControl w:val="0"/>
              <w:spacing w:before="40" w:after="40" w:line="240" w:lineRule="auto"/>
              <w:jc w:val="right"/>
              <w:rPr>
                <w:rFonts w:ascii="Arial" w:eastAsia="Times New Roman" w:hAnsi="Arial" w:cs="Arial"/>
                <w:b/>
                <w:spacing w:val="-2"/>
                <w:sz w:val="14"/>
                <w:szCs w:val="14"/>
                <w:lang w:eastAsia="pt-BR"/>
              </w:rPr>
            </w:pPr>
            <w:r w:rsidRPr="00C37757">
              <w:rPr>
                <w:rFonts w:ascii="Arial" w:eastAsia="Times New Roman" w:hAnsi="Arial" w:cs="Arial"/>
                <w:b/>
                <w:spacing w:val="-2"/>
                <w:sz w:val="14"/>
                <w:szCs w:val="14"/>
                <w:lang w:eastAsia="pt-BR"/>
              </w:rPr>
              <w:t>228.565</w:t>
            </w:r>
          </w:p>
        </w:tc>
      </w:tr>
    </w:tbl>
    <w:p w14:paraId="2CE9BDD8" w14:textId="0459DAFE" w:rsidR="00C37757" w:rsidRPr="00C37757" w:rsidRDefault="00C37757" w:rsidP="002C3B56">
      <w:pPr>
        <w:keepLines/>
        <w:numPr>
          <w:ilvl w:val="0"/>
          <w:numId w:val="7"/>
        </w:numPr>
        <w:tabs>
          <w:tab w:val="left" w:pos="284"/>
        </w:tabs>
        <w:spacing w:before="40" w:after="0" w:line="240" w:lineRule="auto"/>
        <w:ind w:left="284" w:hanging="284"/>
        <w:jc w:val="both"/>
        <w:rPr>
          <w:rFonts w:ascii="Arial" w:eastAsia="Times New Roman" w:hAnsi="Arial" w:cs="Arial"/>
          <w:spacing w:val="-2"/>
          <w:sz w:val="14"/>
          <w:szCs w:val="14"/>
          <w:lang w:eastAsia="pt-BR"/>
        </w:rPr>
      </w:pPr>
      <w:r w:rsidRPr="00C37757">
        <w:rPr>
          <w:rFonts w:ascii="Arial" w:eastAsia="Times New Roman" w:hAnsi="Arial" w:cs="Arial"/>
          <w:sz w:val="14"/>
          <w:szCs w:val="14"/>
          <w:lang w:eastAsia="pt-BR"/>
        </w:rPr>
        <w:t>Refere-se a provisão de tributos diferidos decorrentes de intangíveis no investimento na BB M</w:t>
      </w:r>
      <w:r w:rsidR="00992044">
        <w:rPr>
          <w:rFonts w:ascii="Arial" w:eastAsia="Times New Roman" w:hAnsi="Arial" w:cs="Arial"/>
          <w:sz w:val="14"/>
          <w:szCs w:val="14"/>
          <w:lang w:eastAsia="pt-BR"/>
        </w:rPr>
        <w:t>APFRE</w:t>
      </w:r>
      <w:r w:rsidRPr="00C37757">
        <w:rPr>
          <w:rFonts w:ascii="Arial" w:eastAsia="Times New Roman" w:hAnsi="Arial" w:cs="Arial"/>
          <w:sz w:val="14"/>
          <w:szCs w:val="14"/>
          <w:lang w:eastAsia="pt-BR"/>
        </w:rPr>
        <w:t>.</w:t>
      </w:r>
    </w:p>
    <w:p w14:paraId="1E24CD87" w14:textId="77777777" w:rsidR="00C37757" w:rsidRPr="00C37757" w:rsidRDefault="00C37757" w:rsidP="00C37757">
      <w:pPr>
        <w:widowControl w:val="0"/>
        <w:spacing w:after="0" w:line="276" w:lineRule="auto"/>
        <w:jc w:val="right"/>
        <w:rPr>
          <w:rFonts w:ascii="Arial" w:eastAsia="MS Mincho" w:hAnsi="Arial" w:cs="Arial"/>
          <w:b/>
          <w:sz w:val="14"/>
          <w:szCs w:val="22"/>
          <w:lang w:eastAsia="pt-BR"/>
        </w:rPr>
      </w:pPr>
    </w:p>
    <w:p w14:paraId="04ED8784" w14:textId="77777777" w:rsidR="00C37757" w:rsidRPr="00C37757" w:rsidRDefault="00C37757" w:rsidP="00C37757">
      <w:pPr>
        <w:widowControl w:val="0"/>
        <w:spacing w:after="0" w:line="276" w:lineRule="auto"/>
        <w:jc w:val="right"/>
        <w:rPr>
          <w:rFonts w:ascii="Arial" w:eastAsia="MS Mincho" w:hAnsi="Arial" w:cs="Arial"/>
          <w:b/>
          <w:sz w:val="14"/>
          <w:szCs w:val="22"/>
          <w:lang w:eastAsia="pt-BR"/>
        </w:rPr>
      </w:pPr>
    </w:p>
    <w:p w14:paraId="277493C5" w14:textId="77777777" w:rsidR="00C37757" w:rsidRPr="00C37757" w:rsidRDefault="00C37757" w:rsidP="00C37757">
      <w:pPr>
        <w:widowControl w:val="0"/>
        <w:spacing w:before="120" w:after="120" w:line="276" w:lineRule="auto"/>
        <w:jc w:val="both"/>
        <w:rPr>
          <w:rFonts w:ascii="Arial" w:eastAsia="Times New Roman" w:hAnsi="Arial" w:cs="Arial"/>
          <w:spacing w:val="-2"/>
          <w:sz w:val="18"/>
          <w:szCs w:val="18"/>
          <w:lang w:eastAsia="pt-BR"/>
        </w:rPr>
      </w:pPr>
      <w:r w:rsidRPr="00C37757">
        <w:rPr>
          <w:rFonts w:ascii="Arial" w:eastAsia="Times New Roman" w:hAnsi="Arial" w:cs="Times New Roman"/>
          <w:spacing w:val="-2"/>
          <w:sz w:val="18"/>
          <w:szCs w:val="18"/>
          <w:lang w:eastAsia="pt-BR"/>
        </w:rPr>
        <w:t>Não há saldo de passivos por impostos diferidos no Controlador.</w:t>
      </w:r>
    </w:p>
    <w:p w14:paraId="3A6831F4" w14:textId="23E6F7DA" w:rsidR="0003075B" w:rsidRPr="00BF2AAF" w:rsidRDefault="0003075B" w:rsidP="0003075B">
      <w:pPr>
        <w:pStyle w:val="05-Textonormal"/>
        <w:widowControl w:val="0"/>
        <w:rPr>
          <w:rFonts w:cs="Arial"/>
        </w:rPr>
      </w:pPr>
    </w:p>
    <w:p w14:paraId="0D7AB92D" w14:textId="3A97D40E" w:rsidR="00AB7B01" w:rsidRPr="00662D2A" w:rsidRDefault="007D4AB0" w:rsidP="00662D2A">
      <w:pPr>
        <w:pStyle w:val="02-TtulodeNota"/>
      </w:pPr>
      <w:bookmarkStart w:id="93" w:name="_Toc189757079"/>
      <w:r w:rsidRPr="00662D2A">
        <w:t>1</w:t>
      </w:r>
      <w:r w:rsidR="005C6C41" w:rsidRPr="00C07D63">
        <w:t>3</w:t>
      </w:r>
      <w:r w:rsidRPr="00C07D63">
        <w:t xml:space="preserve"> – OUTRAS RECEITAS E DESPESAS</w:t>
      </w:r>
      <w:bookmarkEnd w:id="93"/>
    </w:p>
    <w:p w14:paraId="75B041FE" w14:textId="77777777" w:rsidR="00F6331B" w:rsidRPr="00FB494F" w:rsidRDefault="00F6331B" w:rsidP="00F6331B">
      <w:pPr>
        <w:pStyle w:val="06-Rmil"/>
        <w:rPr>
          <w:rFonts w:cs="Arial"/>
          <w:sz w:val="12"/>
          <w:szCs w:val="12"/>
        </w:rPr>
      </w:pPr>
      <w:bookmarkStart w:id="94" w:name="_Hlk180149338"/>
      <w:r w:rsidRPr="00FB494F">
        <w:rPr>
          <w:rFonts w:cs="Arial"/>
          <w:szCs w:val="12"/>
        </w:rPr>
        <w:t>R$ mil</w:t>
      </w: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850"/>
        <w:gridCol w:w="2848"/>
        <w:gridCol w:w="1411"/>
        <w:gridCol w:w="1412"/>
        <w:gridCol w:w="283"/>
        <w:gridCol w:w="1417"/>
        <w:gridCol w:w="1418"/>
      </w:tblGrid>
      <w:tr w:rsidR="00F6331B" w:rsidRPr="00FB494F" w14:paraId="7A499E2C" w14:textId="77777777">
        <w:trPr>
          <w:trHeight w:hRule="exact" w:val="283"/>
          <w:jc w:val="center"/>
        </w:trPr>
        <w:tc>
          <w:tcPr>
            <w:tcW w:w="850" w:type="dxa"/>
            <w:tcBorders>
              <w:top w:val="single" w:sz="2" w:space="0" w:color="1F3864" w:themeColor="accent1" w:themeShade="80"/>
              <w:bottom w:val="nil"/>
            </w:tcBorders>
            <w:shd w:val="clear" w:color="auto" w:fill="auto"/>
          </w:tcPr>
          <w:p w14:paraId="05E0B44C" w14:textId="77777777" w:rsidR="00F6331B" w:rsidRPr="00FB494F" w:rsidRDefault="00F6331B">
            <w:pPr>
              <w:keepNext/>
              <w:keepLines/>
              <w:spacing w:before="40" w:after="40"/>
              <w:jc w:val="center"/>
              <w:rPr>
                <w:rFonts w:ascii="Arial" w:hAnsi="Arial" w:cs="Arial"/>
                <w:b/>
                <w:bCs/>
                <w:spacing w:val="-2"/>
                <w:sz w:val="14"/>
                <w:szCs w:val="14"/>
              </w:rPr>
            </w:pPr>
          </w:p>
        </w:tc>
        <w:tc>
          <w:tcPr>
            <w:tcW w:w="2848" w:type="dxa"/>
            <w:tcBorders>
              <w:top w:val="single" w:sz="2" w:space="0" w:color="1F3864" w:themeColor="accent1" w:themeShade="80"/>
              <w:bottom w:val="nil"/>
            </w:tcBorders>
            <w:shd w:val="clear" w:color="auto" w:fill="auto"/>
          </w:tcPr>
          <w:p w14:paraId="18718760" w14:textId="77777777" w:rsidR="00F6331B" w:rsidRPr="00FB494F" w:rsidRDefault="00F6331B">
            <w:pPr>
              <w:keepNext/>
              <w:keepLines/>
              <w:spacing w:before="40" w:after="40"/>
              <w:jc w:val="center"/>
              <w:rPr>
                <w:rFonts w:ascii="Arial" w:hAnsi="Arial" w:cs="Arial"/>
                <w:b/>
                <w:spacing w:val="-2"/>
                <w:sz w:val="14"/>
                <w:szCs w:val="14"/>
              </w:rPr>
            </w:pPr>
          </w:p>
        </w:tc>
        <w:tc>
          <w:tcPr>
            <w:tcW w:w="2823" w:type="dxa"/>
            <w:gridSpan w:val="2"/>
            <w:tcBorders>
              <w:top w:val="single" w:sz="2" w:space="0" w:color="1F3864" w:themeColor="accent1" w:themeShade="80"/>
              <w:bottom w:val="single" w:sz="2" w:space="0" w:color="222A35" w:themeColor="text2" w:themeShade="80"/>
            </w:tcBorders>
            <w:shd w:val="clear" w:color="auto" w:fill="auto"/>
            <w:vAlign w:val="center"/>
          </w:tcPr>
          <w:p w14:paraId="56633774" w14:textId="77777777" w:rsidR="00F6331B" w:rsidRPr="00FB494F" w:rsidRDefault="00F6331B">
            <w:pPr>
              <w:keepNext/>
              <w:keepLines/>
              <w:spacing w:before="40" w:after="40"/>
              <w:jc w:val="center"/>
              <w:rPr>
                <w:rFonts w:ascii="Arial" w:hAnsi="Arial" w:cs="Arial"/>
                <w:b/>
                <w:spacing w:val="-2"/>
                <w:sz w:val="14"/>
                <w:szCs w:val="14"/>
              </w:rPr>
            </w:pPr>
            <w:r w:rsidRPr="00FB494F">
              <w:rPr>
                <w:rFonts w:ascii="Arial" w:hAnsi="Arial" w:cs="Arial"/>
                <w:b/>
                <w:spacing w:val="-2"/>
                <w:sz w:val="14"/>
                <w:szCs w:val="14"/>
              </w:rPr>
              <w:t>Controlador</w:t>
            </w:r>
          </w:p>
        </w:tc>
        <w:tc>
          <w:tcPr>
            <w:tcW w:w="283" w:type="dxa"/>
            <w:tcBorders>
              <w:top w:val="single" w:sz="2" w:space="0" w:color="1F3864" w:themeColor="accent1" w:themeShade="80"/>
              <w:bottom w:val="nil"/>
            </w:tcBorders>
            <w:shd w:val="clear" w:color="auto" w:fill="auto"/>
            <w:vAlign w:val="center"/>
          </w:tcPr>
          <w:p w14:paraId="37534538" w14:textId="77777777" w:rsidR="00F6331B" w:rsidRPr="00FB494F" w:rsidRDefault="00F6331B">
            <w:pPr>
              <w:keepNext/>
              <w:keepLines/>
              <w:spacing w:before="40" w:after="40"/>
              <w:jc w:val="center"/>
              <w:rPr>
                <w:rFonts w:ascii="Arial" w:hAnsi="Arial" w:cs="Arial"/>
                <w:b/>
                <w:bCs/>
                <w:spacing w:val="-2"/>
                <w:sz w:val="14"/>
                <w:szCs w:val="14"/>
              </w:rPr>
            </w:pPr>
          </w:p>
        </w:tc>
        <w:tc>
          <w:tcPr>
            <w:tcW w:w="2835" w:type="dxa"/>
            <w:gridSpan w:val="2"/>
            <w:tcBorders>
              <w:top w:val="single" w:sz="2" w:space="0" w:color="1F3864" w:themeColor="accent1" w:themeShade="80"/>
              <w:bottom w:val="single" w:sz="2" w:space="0" w:color="222A35" w:themeColor="text2" w:themeShade="80"/>
            </w:tcBorders>
            <w:shd w:val="clear" w:color="auto" w:fill="auto"/>
            <w:vAlign w:val="center"/>
          </w:tcPr>
          <w:p w14:paraId="10933449" w14:textId="77777777" w:rsidR="00F6331B" w:rsidRPr="00FB494F" w:rsidRDefault="00F6331B">
            <w:pPr>
              <w:keepNext/>
              <w:keepLines/>
              <w:spacing w:before="40" w:after="40"/>
              <w:jc w:val="center"/>
              <w:rPr>
                <w:rFonts w:ascii="Arial" w:hAnsi="Arial" w:cs="Arial"/>
                <w:b/>
                <w:spacing w:val="-2"/>
                <w:sz w:val="14"/>
                <w:szCs w:val="14"/>
              </w:rPr>
            </w:pPr>
            <w:r w:rsidRPr="00FB494F">
              <w:rPr>
                <w:rFonts w:ascii="Arial" w:hAnsi="Arial" w:cs="Arial"/>
                <w:b/>
                <w:spacing w:val="-2"/>
                <w:sz w:val="14"/>
                <w:szCs w:val="14"/>
              </w:rPr>
              <w:t>Consolidado</w:t>
            </w:r>
          </w:p>
        </w:tc>
      </w:tr>
      <w:tr w:rsidR="00F6331B" w:rsidRPr="00FB494F" w14:paraId="4B0034B1" w14:textId="77777777">
        <w:trPr>
          <w:trHeight w:hRule="exact" w:val="238"/>
          <w:jc w:val="center"/>
        </w:trPr>
        <w:tc>
          <w:tcPr>
            <w:tcW w:w="3698" w:type="dxa"/>
            <w:gridSpan w:val="2"/>
            <w:tcBorders>
              <w:top w:val="nil"/>
              <w:bottom w:val="single" w:sz="2" w:space="0" w:color="1F3864" w:themeColor="accent1" w:themeShade="80"/>
            </w:tcBorders>
            <w:shd w:val="clear" w:color="auto" w:fill="auto"/>
          </w:tcPr>
          <w:p w14:paraId="7545ED06" w14:textId="77777777" w:rsidR="00F6331B" w:rsidRPr="00FB494F" w:rsidRDefault="00F6331B">
            <w:pPr>
              <w:keepNext/>
              <w:keepLines/>
              <w:spacing w:before="40" w:after="40"/>
              <w:jc w:val="right"/>
              <w:rPr>
                <w:rFonts w:ascii="Arial" w:hAnsi="Arial" w:cs="Arial"/>
                <w:b/>
                <w:spacing w:val="-2"/>
                <w:sz w:val="14"/>
                <w:szCs w:val="14"/>
              </w:rPr>
            </w:pPr>
          </w:p>
        </w:tc>
        <w:tc>
          <w:tcPr>
            <w:tcW w:w="1411" w:type="dxa"/>
            <w:tcBorders>
              <w:top w:val="single" w:sz="2" w:space="0" w:color="222A35" w:themeColor="text2" w:themeShade="80"/>
              <w:bottom w:val="single" w:sz="2" w:space="0" w:color="1F3864" w:themeColor="accent1" w:themeShade="80"/>
            </w:tcBorders>
            <w:shd w:val="clear" w:color="auto" w:fill="auto"/>
            <w:vAlign w:val="center"/>
          </w:tcPr>
          <w:p w14:paraId="16A306E1" w14:textId="77777777" w:rsidR="00F6331B" w:rsidRPr="00FB494F" w:rsidRDefault="00F6331B">
            <w:pPr>
              <w:pStyle w:val="08-Tabelageral"/>
              <w:rPr>
                <w:rFonts w:cs="Arial"/>
                <w:b/>
                <w:szCs w:val="14"/>
              </w:rPr>
            </w:pPr>
            <w:r>
              <w:rPr>
                <w:rFonts w:cs="Arial"/>
                <w:b/>
                <w:szCs w:val="14"/>
              </w:rPr>
              <w:t>Exercício 2024</w:t>
            </w:r>
          </w:p>
        </w:tc>
        <w:tc>
          <w:tcPr>
            <w:tcW w:w="1412" w:type="dxa"/>
            <w:tcBorders>
              <w:top w:val="single" w:sz="2" w:space="0" w:color="222A35" w:themeColor="text2" w:themeShade="80"/>
              <w:bottom w:val="single" w:sz="2" w:space="0" w:color="1F3864" w:themeColor="accent1" w:themeShade="80"/>
            </w:tcBorders>
            <w:shd w:val="clear" w:color="auto" w:fill="auto"/>
            <w:vAlign w:val="center"/>
          </w:tcPr>
          <w:p w14:paraId="074B976B" w14:textId="77777777" w:rsidR="00F6331B" w:rsidRPr="00FB494F" w:rsidRDefault="00F6331B">
            <w:pPr>
              <w:pStyle w:val="08-Tabelageral"/>
              <w:rPr>
                <w:rFonts w:cs="Arial"/>
                <w:b/>
                <w:szCs w:val="14"/>
              </w:rPr>
            </w:pPr>
            <w:r>
              <w:rPr>
                <w:rFonts w:cs="Arial"/>
                <w:b/>
                <w:szCs w:val="14"/>
              </w:rPr>
              <w:t>Exercício 2023</w:t>
            </w:r>
          </w:p>
        </w:tc>
        <w:tc>
          <w:tcPr>
            <w:tcW w:w="283" w:type="dxa"/>
            <w:tcBorders>
              <w:top w:val="nil"/>
              <w:bottom w:val="single" w:sz="2" w:space="0" w:color="1F3864" w:themeColor="accent1" w:themeShade="80"/>
            </w:tcBorders>
            <w:shd w:val="clear" w:color="auto" w:fill="auto"/>
            <w:vAlign w:val="center"/>
          </w:tcPr>
          <w:p w14:paraId="79FCA7C1" w14:textId="77777777" w:rsidR="00F6331B" w:rsidRPr="00FB494F" w:rsidRDefault="00F6331B">
            <w:pPr>
              <w:pStyle w:val="08-Tabelageral"/>
              <w:rPr>
                <w:rFonts w:cs="Arial"/>
                <w:b/>
                <w:szCs w:val="14"/>
              </w:rPr>
            </w:pPr>
          </w:p>
        </w:tc>
        <w:tc>
          <w:tcPr>
            <w:tcW w:w="1417" w:type="dxa"/>
            <w:tcBorders>
              <w:top w:val="single" w:sz="2" w:space="0" w:color="222A35" w:themeColor="text2" w:themeShade="80"/>
              <w:bottom w:val="single" w:sz="2" w:space="0" w:color="1F3864" w:themeColor="accent1" w:themeShade="80"/>
            </w:tcBorders>
            <w:shd w:val="clear" w:color="auto" w:fill="auto"/>
            <w:vAlign w:val="center"/>
          </w:tcPr>
          <w:p w14:paraId="6CBC86AE" w14:textId="77777777" w:rsidR="00F6331B" w:rsidRPr="00FB494F" w:rsidRDefault="00F6331B">
            <w:pPr>
              <w:pStyle w:val="08-Tabelageral"/>
              <w:rPr>
                <w:rFonts w:cs="Arial"/>
                <w:b/>
                <w:szCs w:val="14"/>
              </w:rPr>
            </w:pPr>
            <w:r>
              <w:rPr>
                <w:rFonts w:cs="Arial"/>
                <w:b/>
                <w:szCs w:val="14"/>
              </w:rPr>
              <w:t>Exercício 2024</w:t>
            </w:r>
          </w:p>
        </w:tc>
        <w:tc>
          <w:tcPr>
            <w:tcW w:w="1418" w:type="dxa"/>
            <w:tcBorders>
              <w:top w:val="single" w:sz="2" w:space="0" w:color="222A35" w:themeColor="text2" w:themeShade="80"/>
              <w:bottom w:val="single" w:sz="2" w:space="0" w:color="1F3864" w:themeColor="accent1" w:themeShade="80"/>
            </w:tcBorders>
            <w:shd w:val="clear" w:color="auto" w:fill="auto"/>
            <w:vAlign w:val="center"/>
          </w:tcPr>
          <w:p w14:paraId="1787ACE3" w14:textId="77777777" w:rsidR="00F6331B" w:rsidRPr="00FB494F" w:rsidRDefault="00F6331B">
            <w:pPr>
              <w:pStyle w:val="08-Tabelageral"/>
              <w:rPr>
                <w:rFonts w:cs="Arial"/>
                <w:b/>
                <w:szCs w:val="14"/>
              </w:rPr>
            </w:pPr>
            <w:r>
              <w:rPr>
                <w:rFonts w:cs="Arial"/>
                <w:b/>
                <w:szCs w:val="14"/>
              </w:rPr>
              <w:t>Exercício 2023</w:t>
            </w:r>
          </w:p>
        </w:tc>
      </w:tr>
      <w:tr w:rsidR="00F6331B" w:rsidRPr="00E04CBB" w14:paraId="11189069" w14:textId="77777777">
        <w:trPr>
          <w:trHeight w:val="263"/>
          <w:jc w:val="center"/>
        </w:trPr>
        <w:tc>
          <w:tcPr>
            <w:tcW w:w="3698" w:type="dxa"/>
            <w:gridSpan w:val="2"/>
            <w:tcBorders>
              <w:top w:val="single" w:sz="2" w:space="0" w:color="1F3864" w:themeColor="accent1" w:themeShade="80"/>
              <w:bottom w:val="nil"/>
            </w:tcBorders>
            <w:shd w:val="clear" w:color="auto" w:fill="auto"/>
            <w:vAlign w:val="bottom"/>
          </w:tcPr>
          <w:p w14:paraId="61F234ED" w14:textId="77777777" w:rsidR="00F6331B" w:rsidRPr="00EB6D95" w:rsidRDefault="00F6331B">
            <w:pPr>
              <w:pStyle w:val="08-Tabelageral"/>
              <w:jc w:val="left"/>
              <w:rPr>
                <w:rFonts w:cs="Arial"/>
                <w:szCs w:val="14"/>
              </w:rPr>
            </w:pPr>
            <w:r w:rsidRPr="00F2437C">
              <w:rPr>
                <w:rFonts w:cs="Arial"/>
                <w:b/>
                <w:bCs/>
                <w:szCs w:val="14"/>
              </w:rPr>
              <w:t>Outras receitas operacionais</w:t>
            </w:r>
          </w:p>
        </w:tc>
        <w:tc>
          <w:tcPr>
            <w:tcW w:w="1411" w:type="dxa"/>
            <w:tcBorders>
              <w:top w:val="single" w:sz="2" w:space="0" w:color="1F3864" w:themeColor="accent1" w:themeShade="80"/>
              <w:left w:val="nil"/>
              <w:bottom w:val="nil"/>
              <w:right w:val="nil"/>
            </w:tcBorders>
            <w:shd w:val="clear" w:color="auto" w:fill="auto"/>
            <w:vAlign w:val="center"/>
          </w:tcPr>
          <w:p w14:paraId="23E56501" w14:textId="77777777" w:rsidR="00F6331B" w:rsidRPr="00C80CAE" w:rsidRDefault="00F6331B">
            <w:pPr>
              <w:pStyle w:val="08-Tabelageral"/>
              <w:rPr>
                <w:b/>
                <w:bCs/>
              </w:rPr>
            </w:pPr>
            <w:r w:rsidRPr="00C80CAE">
              <w:rPr>
                <w:b/>
                <w:bCs/>
              </w:rPr>
              <w:t>3.</w:t>
            </w:r>
            <w:r>
              <w:rPr>
                <w:b/>
                <w:bCs/>
              </w:rPr>
              <w:t>889</w:t>
            </w:r>
          </w:p>
        </w:tc>
        <w:tc>
          <w:tcPr>
            <w:tcW w:w="1412" w:type="dxa"/>
            <w:tcBorders>
              <w:top w:val="single" w:sz="2" w:space="0" w:color="1F3864" w:themeColor="accent1" w:themeShade="80"/>
              <w:left w:val="nil"/>
              <w:bottom w:val="nil"/>
              <w:right w:val="nil"/>
            </w:tcBorders>
            <w:shd w:val="clear" w:color="auto" w:fill="auto"/>
            <w:vAlign w:val="center"/>
          </w:tcPr>
          <w:p w14:paraId="3260A956" w14:textId="77777777" w:rsidR="00F6331B" w:rsidRPr="00C80CAE" w:rsidRDefault="00F6331B">
            <w:pPr>
              <w:pStyle w:val="08-Tabelageral"/>
              <w:rPr>
                <w:b/>
                <w:bCs/>
              </w:rPr>
            </w:pPr>
            <w:r>
              <w:rPr>
                <w:b/>
                <w:bCs/>
              </w:rPr>
              <w:t>6.237</w:t>
            </w:r>
          </w:p>
        </w:tc>
        <w:tc>
          <w:tcPr>
            <w:tcW w:w="283" w:type="dxa"/>
            <w:tcBorders>
              <w:top w:val="single" w:sz="2" w:space="0" w:color="1F3864" w:themeColor="accent1" w:themeShade="80"/>
              <w:left w:val="nil"/>
              <w:bottom w:val="nil"/>
              <w:right w:val="nil"/>
            </w:tcBorders>
            <w:shd w:val="clear" w:color="auto" w:fill="auto"/>
            <w:vAlign w:val="center"/>
          </w:tcPr>
          <w:p w14:paraId="414D1724" w14:textId="77777777" w:rsidR="00F6331B" w:rsidRPr="00C80CAE" w:rsidRDefault="00F6331B">
            <w:pPr>
              <w:pStyle w:val="08-Tabelageral"/>
              <w:rPr>
                <w:b/>
                <w:bCs/>
              </w:rPr>
            </w:pPr>
          </w:p>
        </w:tc>
        <w:tc>
          <w:tcPr>
            <w:tcW w:w="1417" w:type="dxa"/>
            <w:tcBorders>
              <w:top w:val="single" w:sz="2" w:space="0" w:color="1F3864" w:themeColor="accent1" w:themeShade="80"/>
              <w:left w:val="nil"/>
              <w:bottom w:val="nil"/>
              <w:right w:val="nil"/>
            </w:tcBorders>
            <w:shd w:val="clear" w:color="auto" w:fill="auto"/>
            <w:vAlign w:val="center"/>
          </w:tcPr>
          <w:p w14:paraId="457DA42F" w14:textId="77777777" w:rsidR="00F6331B" w:rsidRPr="00C80CAE" w:rsidRDefault="00F6331B">
            <w:pPr>
              <w:pStyle w:val="08-Tabelageral"/>
              <w:rPr>
                <w:b/>
                <w:bCs/>
              </w:rPr>
            </w:pPr>
            <w:r>
              <w:rPr>
                <w:b/>
                <w:bCs/>
              </w:rPr>
              <w:t>20.350</w:t>
            </w:r>
          </w:p>
        </w:tc>
        <w:tc>
          <w:tcPr>
            <w:tcW w:w="1418" w:type="dxa"/>
            <w:tcBorders>
              <w:top w:val="single" w:sz="2" w:space="0" w:color="1F3864" w:themeColor="accent1" w:themeShade="80"/>
              <w:left w:val="nil"/>
              <w:bottom w:val="nil"/>
              <w:right w:val="nil"/>
            </w:tcBorders>
            <w:shd w:val="clear" w:color="auto" w:fill="auto"/>
            <w:vAlign w:val="center"/>
          </w:tcPr>
          <w:p w14:paraId="00106C54" w14:textId="01378EFB" w:rsidR="00F6331B" w:rsidRPr="00C80CAE" w:rsidRDefault="00F6331B">
            <w:pPr>
              <w:pStyle w:val="08-Tabelageral"/>
              <w:rPr>
                <w:b/>
                <w:bCs/>
              </w:rPr>
            </w:pPr>
            <w:r w:rsidRPr="00C80CAE">
              <w:rPr>
                <w:b/>
                <w:bCs/>
              </w:rPr>
              <w:t>1</w:t>
            </w:r>
            <w:r>
              <w:rPr>
                <w:b/>
                <w:bCs/>
              </w:rPr>
              <w:t>6</w:t>
            </w:r>
            <w:r w:rsidRPr="00C80CAE">
              <w:rPr>
                <w:b/>
                <w:bCs/>
              </w:rPr>
              <w:t>.</w:t>
            </w:r>
            <w:r>
              <w:rPr>
                <w:b/>
                <w:bCs/>
              </w:rPr>
              <w:t>22</w:t>
            </w:r>
            <w:r w:rsidR="00B55D64">
              <w:rPr>
                <w:b/>
                <w:bCs/>
              </w:rPr>
              <w:t>6</w:t>
            </w:r>
          </w:p>
        </w:tc>
      </w:tr>
      <w:tr w:rsidR="00F6331B" w:rsidRPr="00E04CBB" w14:paraId="509534C7" w14:textId="77777777">
        <w:trPr>
          <w:trHeight w:val="263"/>
          <w:jc w:val="center"/>
        </w:trPr>
        <w:tc>
          <w:tcPr>
            <w:tcW w:w="3698" w:type="dxa"/>
            <w:gridSpan w:val="2"/>
            <w:tcBorders>
              <w:top w:val="nil"/>
            </w:tcBorders>
            <w:shd w:val="clear" w:color="auto" w:fill="auto"/>
            <w:vAlign w:val="bottom"/>
          </w:tcPr>
          <w:p w14:paraId="7668C0F8" w14:textId="77777777" w:rsidR="00F6331B" w:rsidRPr="00EB6D95" w:rsidRDefault="00F6331B">
            <w:pPr>
              <w:pStyle w:val="08-Tabelageral"/>
              <w:jc w:val="left"/>
              <w:rPr>
                <w:rFonts w:cs="Arial"/>
                <w:szCs w:val="14"/>
              </w:rPr>
            </w:pPr>
            <w:r w:rsidRPr="00F2437C">
              <w:rPr>
                <w:rFonts w:cs="Arial"/>
                <w:color w:val="000000"/>
                <w:szCs w:val="14"/>
              </w:rPr>
              <w:t>Receita com ADR</w:t>
            </w:r>
            <w:r>
              <w:rPr>
                <w:rFonts w:cs="Arial"/>
                <w:color w:val="000000"/>
                <w:szCs w:val="14"/>
              </w:rPr>
              <w:t xml:space="preserve"> </w:t>
            </w:r>
            <w:r w:rsidRPr="00EB6D95">
              <w:rPr>
                <w:rFonts w:cs="Arial"/>
                <w:szCs w:val="14"/>
                <w:vertAlign w:val="superscript"/>
              </w:rPr>
              <w:t>(1)</w:t>
            </w:r>
          </w:p>
        </w:tc>
        <w:tc>
          <w:tcPr>
            <w:tcW w:w="1411" w:type="dxa"/>
            <w:tcBorders>
              <w:top w:val="nil"/>
            </w:tcBorders>
            <w:shd w:val="clear" w:color="auto" w:fill="auto"/>
            <w:vAlign w:val="center"/>
          </w:tcPr>
          <w:p w14:paraId="2BBFD3C3" w14:textId="77777777" w:rsidR="00F6331B" w:rsidRPr="00C80CAE" w:rsidRDefault="00F6331B">
            <w:pPr>
              <w:pStyle w:val="08-Tabelageral"/>
            </w:pPr>
            <w:r w:rsidRPr="00C80CAE">
              <w:t>2.</w:t>
            </w:r>
            <w:r>
              <w:t>689</w:t>
            </w:r>
          </w:p>
        </w:tc>
        <w:tc>
          <w:tcPr>
            <w:tcW w:w="1412" w:type="dxa"/>
            <w:tcBorders>
              <w:top w:val="nil"/>
            </w:tcBorders>
            <w:shd w:val="clear" w:color="auto" w:fill="auto"/>
            <w:vAlign w:val="center"/>
          </w:tcPr>
          <w:p w14:paraId="792BB63B" w14:textId="77777777" w:rsidR="00F6331B" w:rsidRPr="00C80CAE" w:rsidRDefault="00F6331B">
            <w:pPr>
              <w:pStyle w:val="08-Tabelageral"/>
            </w:pPr>
            <w:r>
              <w:t>6.141</w:t>
            </w:r>
          </w:p>
        </w:tc>
        <w:tc>
          <w:tcPr>
            <w:tcW w:w="283" w:type="dxa"/>
            <w:tcBorders>
              <w:top w:val="nil"/>
            </w:tcBorders>
            <w:shd w:val="clear" w:color="auto" w:fill="auto"/>
            <w:vAlign w:val="center"/>
          </w:tcPr>
          <w:p w14:paraId="1CFADFD6" w14:textId="77777777" w:rsidR="00F6331B" w:rsidRPr="00C80CAE" w:rsidRDefault="00F6331B">
            <w:pPr>
              <w:pStyle w:val="08-Tabelageral"/>
            </w:pPr>
          </w:p>
        </w:tc>
        <w:tc>
          <w:tcPr>
            <w:tcW w:w="1417" w:type="dxa"/>
            <w:tcBorders>
              <w:top w:val="nil"/>
            </w:tcBorders>
            <w:shd w:val="clear" w:color="auto" w:fill="auto"/>
            <w:vAlign w:val="center"/>
          </w:tcPr>
          <w:p w14:paraId="5F69C585" w14:textId="77777777" w:rsidR="00F6331B" w:rsidRPr="00C80CAE" w:rsidRDefault="00F6331B">
            <w:pPr>
              <w:pStyle w:val="08-Tabelageral"/>
            </w:pPr>
            <w:r w:rsidRPr="00C80CAE">
              <w:t>2.</w:t>
            </w:r>
            <w:r>
              <w:t>689</w:t>
            </w:r>
          </w:p>
        </w:tc>
        <w:tc>
          <w:tcPr>
            <w:tcW w:w="1418" w:type="dxa"/>
            <w:tcBorders>
              <w:top w:val="nil"/>
            </w:tcBorders>
            <w:shd w:val="clear" w:color="auto" w:fill="auto"/>
            <w:vAlign w:val="center"/>
          </w:tcPr>
          <w:p w14:paraId="77CB62AB" w14:textId="77777777" w:rsidR="00F6331B" w:rsidRPr="00C80CAE" w:rsidRDefault="00F6331B">
            <w:pPr>
              <w:pStyle w:val="08-Tabelageral"/>
            </w:pPr>
            <w:r>
              <w:t>6.141</w:t>
            </w:r>
          </w:p>
        </w:tc>
      </w:tr>
      <w:tr w:rsidR="00F6331B" w:rsidRPr="00E04CBB" w14:paraId="1CC72AD8" w14:textId="77777777">
        <w:trPr>
          <w:trHeight w:val="263"/>
          <w:jc w:val="center"/>
        </w:trPr>
        <w:tc>
          <w:tcPr>
            <w:tcW w:w="3698" w:type="dxa"/>
            <w:gridSpan w:val="2"/>
            <w:shd w:val="clear" w:color="auto" w:fill="auto"/>
            <w:vAlign w:val="bottom"/>
          </w:tcPr>
          <w:p w14:paraId="07169D79" w14:textId="77777777" w:rsidR="00F6331B" w:rsidRPr="00EB6D95" w:rsidRDefault="00F6331B">
            <w:pPr>
              <w:pStyle w:val="08-Tabelageral"/>
              <w:jc w:val="left"/>
              <w:rPr>
                <w:rFonts w:cs="Arial"/>
                <w:szCs w:val="14"/>
              </w:rPr>
            </w:pPr>
            <w:r>
              <w:rPr>
                <w:rFonts w:cs="Arial"/>
                <w:color w:val="000000"/>
                <w:szCs w:val="14"/>
              </w:rPr>
              <w:t>R</w:t>
            </w:r>
            <w:r w:rsidRPr="00F2437C">
              <w:rPr>
                <w:rFonts w:cs="Arial"/>
                <w:color w:val="000000"/>
                <w:szCs w:val="14"/>
              </w:rPr>
              <w:t>eversão de provisões trabalhistas, fiscais e cíveis</w:t>
            </w:r>
          </w:p>
        </w:tc>
        <w:tc>
          <w:tcPr>
            <w:tcW w:w="1411" w:type="dxa"/>
            <w:shd w:val="clear" w:color="auto" w:fill="auto"/>
            <w:vAlign w:val="center"/>
          </w:tcPr>
          <w:p w14:paraId="09A3E302" w14:textId="77777777" w:rsidR="00F6331B" w:rsidRPr="00C80CAE" w:rsidRDefault="00F6331B">
            <w:pPr>
              <w:pStyle w:val="08-Tabelageral"/>
            </w:pPr>
            <w:r>
              <w:t>1.200</w:t>
            </w:r>
          </w:p>
        </w:tc>
        <w:tc>
          <w:tcPr>
            <w:tcW w:w="1412" w:type="dxa"/>
            <w:shd w:val="clear" w:color="auto" w:fill="auto"/>
            <w:vAlign w:val="center"/>
          </w:tcPr>
          <w:p w14:paraId="6F48721B" w14:textId="77777777" w:rsidR="00F6331B" w:rsidRPr="00C80CAE" w:rsidRDefault="00F6331B">
            <w:pPr>
              <w:pStyle w:val="08-Tabelageral"/>
            </w:pPr>
            <w:r>
              <w:t>96</w:t>
            </w:r>
          </w:p>
        </w:tc>
        <w:tc>
          <w:tcPr>
            <w:tcW w:w="283" w:type="dxa"/>
            <w:shd w:val="clear" w:color="auto" w:fill="auto"/>
            <w:vAlign w:val="center"/>
          </w:tcPr>
          <w:p w14:paraId="494E605B" w14:textId="77777777" w:rsidR="00F6331B" w:rsidRPr="00C80CAE" w:rsidRDefault="00F6331B">
            <w:pPr>
              <w:pStyle w:val="08-Tabelageral"/>
            </w:pPr>
          </w:p>
        </w:tc>
        <w:tc>
          <w:tcPr>
            <w:tcW w:w="1417" w:type="dxa"/>
            <w:shd w:val="clear" w:color="auto" w:fill="auto"/>
            <w:vAlign w:val="center"/>
          </w:tcPr>
          <w:p w14:paraId="5ED36849" w14:textId="77777777" w:rsidR="00F6331B" w:rsidRPr="00C80CAE" w:rsidRDefault="00F6331B">
            <w:pPr>
              <w:pStyle w:val="08-Tabelageral"/>
            </w:pPr>
            <w:r w:rsidRPr="00C80CAE">
              <w:t>1</w:t>
            </w:r>
            <w:r>
              <w:t>7</w:t>
            </w:r>
            <w:r w:rsidRPr="00C80CAE">
              <w:t>.</w:t>
            </w:r>
            <w:r>
              <w:t>661</w:t>
            </w:r>
          </w:p>
        </w:tc>
        <w:tc>
          <w:tcPr>
            <w:tcW w:w="1418" w:type="dxa"/>
            <w:shd w:val="clear" w:color="auto" w:fill="auto"/>
            <w:vAlign w:val="center"/>
          </w:tcPr>
          <w:p w14:paraId="6F54A191" w14:textId="25808DC4" w:rsidR="00F6331B" w:rsidRPr="00C80CAE" w:rsidRDefault="00F6331B">
            <w:pPr>
              <w:pStyle w:val="08-Tabelageral"/>
            </w:pPr>
            <w:r>
              <w:t>8</w:t>
            </w:r>
            <w:r w:rsidRPr="00C80CAE">
              <w:t>.</w:t>
            </w:r>
            <w:r>
              <w:t>25</w:t>
            </w:r>
            <w:r w:rsidR="0034477F">
              <w:t>3</w:t>
            </w:r>
          </w:p>
        </w:tc>
      </w:tr>
      <w:tr w:rsidR="00F6331B" w:rsidRPr="00F2437C" w14:paraId="20736966" w14:textId="77777777">
        <w:trPr>
          <w:trHeight w:val="263"/>
          <w:jc w:val="center"/>
        </w:trPr>
        <w:tc>
          <w:tcPr>
            <w:tcW w:w="3698" w:type="dxa"/>
            <w:gridSpan w:val="2"/>
            <w:shd w:val="clear" w:color="auto" w:fill="auto"/>
            <w:vAlign w:val="bottom"/>
          </w:tcPr>
          <w:p w14:paraId="1FC35AFD" w14:textId="77777777" w:rsidR="00F6331B" w:rsidRPr="00B5422A" w:rsidRDefault="00F6331B">
            <w:pPr>
              <w:pStyle w:val="08-Tabelageral"/>
              <w:jc w:val="left"/>
              <w:rPr>
                <w:rFonts w:cs="Arial"/>
                <w:szCs w:val="14"/>
                <w:lang w:val="en-US"/>
              </w:rPr>
            </w:pPr>
            <w:proofErr w:type="spellStart"/>
            <w:r w:rsidRPr="00F2437C">
              <w:rPr>
                <w:rFonts w:cs="Arial"/>
                <w:color w:val="000000"/>
                <w:szCs w:val="14"/>
                <w:lang w:val="en-US"/>
              </w:rPr>
              <w:t>Ganho</w:t>
            </w:r>
            <w:proofErr w:type="spellEnd"/>
            <w:r w:rsidRPr="00F2437C">
              <w:rPr>
                <w:rFonts w:cs="Arial"/>
                <w:color w:val="000000"/>
                <w:szCs w:val="14"/>
                <w:lang w:val="en-US"/>
              </w:rPr>
              <w:t xml:space="preserve"> earn in earn out</w:t>
            </w:r>
            <w:r>
              <w:rPr>
                <w:rFonts w:cs="Arial"/>
                <w:color w:val="000000"/>
                <w:szCs w:val="14"/>
                <w:lang w:val="en-US"/>
              </w:rPr>
              <w:t xml:space="preserve"> </w:t>
            </w:r>
            <w:r w:rsidRPr="00B5422A">
              <w:rPr>
                <w:rFonts w:cs="Arial"/>
                <w:szCs w:val="14"/>
                <w:vertAlign w:val="superscript"/>
                <w:lang w:val="en-US"/>
              </w:rPr>
              <w:t>(</w:t>
            </w:r>
            <w:r>
              <w:rPr>
                <w:rFonts w:cs="Arial"/>
                <w:szCs w:val="14"/>
                <w:vertAlign w:val="superscript"/>
                <w:lang w:val="en-US"/>
              </w:rPr>
              <w:t>3</w:t>
            </w:r>
            <w:r w:rsidRPr="00B5422A">
              <w:rPr>
                <w:rFonts w:cs="Arial"/>
                <w:szCs w:val="14"/>
                <w:vertAlign w:val="superscript"/>
                <w:lang w:val="en-US"/>
              </w:rPr>
              <w:t>)</w:t>
            </w:r>
          </w:p>
        </w:tc>
        <w:tc>
          <w:tcPr>
            <w:tcW w:w="1411" w:type="dxa"/>
            <w:shd w:val="clear" w:color="auto" w:fill="auto"/>
            <w:vAlign w:val="center"/>
          </w:tcPr>
          <w:p w14:paraId="2486706E" w14:textId="77777777" w:rsidR="00F6331B" w:rsidRPr="00C80CAE" w:rsidRDefault="00F6331B">
            <w:pPr>
              <w:pStyle w:val="08-Tabelageral"/>
              <w:rPr>
                <w:lang w:val="en-US"/>
              </w:rPr>
            </w:pPr>
            <w:r w:rsidRPr="00C80CAE">
              <w:rPr>
                <w:lang w:val="en-US"/>
              </w:rPr>
              <w:t>--</w:t>
            </w:r>
          </w:p>
        </w:tc>
        <w:tc>
          <w:tcPr>
            <w:tcW w:w="1412" w:type="dxa"/>
            <w:shd w:val="clear" w:color="auto" w:fill="auto"/>
            <w:vAlign w:val="center"/>
          </w:tcPr>
          <w:p w14:paraId="5494019A" w14:textId="77777777" w:rsidR="00F6331B" w:rsidRPr="00C80CAE" w:rsidRDefault="00F6331B">
            <w:pPr>
              <w:pStyle w:val="08-Tabelageral"/>
              <w:rPr>
                <w:lang w:val="en-US"/>
              </w:rPr>
            </w:pPr>
            <w:r w:rsidRPr="00C80CAE">
              <w:t>--</w:t>
            </w:r>
          </w:p>
        </w:tc>
        <w:tc>
          <w:tcPr>
            <w:tcW w:w="283" w:type="dxa"/>
            <w:shd w:val="clear" w:color="auto" w:fill="auto"/>
            <w:vAlign w:val="center"/>
          </w:tcPr>
          <w:p w14:paraId="4D0E6263" w14:textId="77777777" w:rsidR="00F6331B" w:rsidRPr="00C80CAE" w:rsidRDefault="00F6331B">
            <w:pPr>
              <w:pStyle w:val="08-Tabelageral"/>
              <w:rPr>
                <w:lang w:val="en-US"/>
              </w:rPr>
            </w:pPr>
          </w:p>
        </w:tc>
        <w:tc>
          <w:tcPr>
            <w:tcW w:w="1417" w:type="dxa"/>
            <w:shd w:val="clear" w:color="auto" w:fill="auto"/>
            <w:vAlign w:val="center"/>
          </w:tcPr>
          <w:p w14:paraId="3BE149F4" w14:textId="77777777" w:rsidR="00F6331B" w:rsidRPr="00C80CAE" w:rsidRDefault="00F6331B">
            <w:pPr>
              <w:pStyle w:val="08-Tabelageral"/>
              <w:rPr>
                <w:lang w:val="en-US"/>
              </w:rPr>
            </w:pPr>
            <w:r w:rsidRPr="00C80CAE">
              <w:rPr>
                <w:lang w:val="en-US"/>
              </w:rPr>
              <w:t>--</w:t>
            </w:r>
          </w:p>
        </w:tc>
        <w:tc>
          <w:tcPr>
            <w:tcW w:w="1418" w:type="dxa"/>
            <w:shd w:val="clear" w:color="auto" w:fill="auto"/>
            <w:vAlign w:val="center"/>
          </w:tcPr>
          <w:p w14:paraId="4CDEF540" w14:textId="77777777" w:rsidR="00F6331B" w:rsidRPr="00C80CAE" w:rsidRDefault="00F6331B">
            <w:pPr>
              <w:pStyle w:val="08-Tabelageral"/>
              <w:rPr>
                <w:lang w:val="en-US"/>
              </w:rPr>
            </w:pPr>
            <w:r w:rsidRPr="00C80CAE">
              <w:rPr>
                <w:lang w:val="en-US"/>
              </w:rPr>
              <w:t>1.832</w:t>
            </w:r>
          </w:p>
        </w:tc>
      </w:tr>
      <w:tr w:rsidR="00F6331B" w:rsidRPr="00E04CBB" w14:paraId="5B034736" w14:textId="77777777">
        <w:trPr>
          <w:trHeight w:val="263"/>
          <w:jc w:val="center"/>
        </w:trPr>
        <w:tc>
          <w:tcPr>
            <w:tcW w:w="3698" w:type="dxa"/>
            <w:gridSpan w:val="2"/>
            <w:shd w:val="clear" w:color="auto" w:fill="auto"/>
            <w:vAlign w:val="bottom"/>
          </w:tcPr>
          <w:p w14:paraId="069F3D08" w14:textId="3E6D43EB" w:rsidR="00F6331B" w:rsidRPr="00EB6D95" w:rsidRDefault="00F6331B">
            <w:pPr>
              <w:pStyle w:val="08-Tabelageral"/>
              <w:jc w:val="left"/>
              <w:rPr>
                <w:rFonts w:cs="Arial"/>
                <w:szCs w:val="14"/>
                <w:lang w:val="en-US"/>
              </w:rPr>
            </w:pPr>
            <w:r w:rsidRPr="00F2437C">
              <w:rPr>
                <w:rFonts w:cs="Arial"/>
                <w:b/>
                <w:bCs/>
                <w:szCs w:val="14"/>
              </w:rPr>
              <w:t>Outras de</w:t>
            </w:r>
            <w:r w:rsidR="008E41E6">
              <w:rPr>
                <w:rFonts w:cs="Arial"/>
                <w:b/>
                <w:bCs/>
                <w:szCs w:val="14"/>
              </w:rPr>
              <w:t>s</w:t>
            </w:r>
            <w:r w:rsidRPr="00F2437C">
              <w:rPr>
                <w:rFonts w:cs="Arial"/>
                <w:b/>
                <w:bCs/>
                <w:szCs w:val="14"/>
              </w:rPr>
              <w:t>pesas operacionais</w:t>
            </w:r>
          </w:p>
        </w:tc>
        <w:tc>
          <w:tcPr>
            <w:tcW w:w="1411" w:type="dxa"/>
            <w:shd w:val="clear" w:color="auto" w:fill="auto"/>
            <w:vAlign w:val="center"/>
          </w:tcPr>
          <w:p w14:paraId="25F5209E" w14:textId="046EC765" w:rsidR="00F6331B" w:rsidRPr="00C80CAE" w:rsidRDefault="00F6331B">
            <w:pPr>
              <w:pStyle w:val="08-Tabelageral"/>
              <w:rPr>
                <w:b/>
                <w:bCs/>
                <w:lang w:val="en-US"/>
              </w:rPr>
            </w:pPr>
            <w:r w:rsidRPr="00C80CAE">
              <w:rPr>
                <w:b/>
                <w:bCs/>
              </w:rPr>
              <w:t>(</w:t>
            </w:r>
            <w:r>
              <w:rPr>
                <w:b/>
                <w:bCs/>
              </w:rPr>
              <w:t>2</w:t>
            </w:r>
            <w:r w:rsidRPr="00C80CAE">
              <w:rPr>
                <w:b/>
                <w:bCs/>
              </w:rPr>
              <w:t>.</w:t>
            </w:r>
            <w:r>
              <w:rPr>
                <w:b/>
                <w:bCs/>
              </w:rPr>
              <w:t>55</w:t>
            </w:r>
            <w:r w:rsidR="005B64A3">
              <w:rPr>
                <w:b/>
                <w:bCs/>
              </w:rPr>
              <w:t>6</w:t>
            </w:r>
            <w:r w:rsidRPr="00C80CAE">
              <w:rPr>
                <w:b/>
                <w:bCs/>
              </w:rPr>
              <w:t>)</w:t>
            </w:r>
          </w:p>
        </w:tc>
        <w:tc>
          <w:tcPr>
            <w:tcW w:w="1412" w:type="dxa"/>
            <w:shd w:val="clear" w:color="auto" w:fill="auto"/>
            <w:vAlign w:val="center"/>
          </w:tcPr>
          <w:p w14:paraId="47F11687" w14:textId="37C268BE" w:rsidR="00F6331B" w:rsidRPr="00C80CAE" w:rsidRDefault="00F6331B">
            <w:pPr>
              <w:pStyle w:val="08-Tabelageral"/>
              <w:rPr>
                <w:b/>
                <w:bCs/>
                <w:lang w:val="en-US"/>
              </w:rPr>
            </w:pPr>
            <w:r w:rsidRPr="00C80CAE">
              <w:rPr>
                <w:b/>
                <w:bCs/>
              </w:rPr>
              <w:t>(</w:t>
            </w:r>
            <w:r>
              <w:rPr>
                <w:b/>
                <w:bCs/>
              </w:rPr>
              <w:t>83</w:t>
            </w:r>
            <w:r w:rsidR="001469AB">
              <w:rPr>
                <w:b/>
                <w:bCs/>
              </w:rPr>
              <w:t>8</w:t>
            </w:r>
            <w:r w:rsidRPr="00C80CAE">
              <w:rPr>
                <w:b/>
                <w:bCs/>
              </w:rPr>
              <w:t>)</w:t>
            </w:r>
          </w:p>
        </w:tc>
        <w:tc>
          <w:tcPr>
            <w:tcW w:w="283" w:type="dxa"/>
            <w:shd w:val="clear" w:color="auto" w:fill="auto"/>
            <w:vAlign w:val="center"/>
          </w:tcPr>
          <w:p w14:paraId="06FA1DAD" w14:textId="77777777" w:rsidR="00F6331B" w:rsidRPr="00C80CAE" w:rsidRDefault="00F6331B">
            <w:pPr>
              <w:pStyle w:val="08-Tabelageral"/>
              <w:rPr>
                <w:b/>
                <w:bCs/>
              </w:rPr>
            </w:pPr>
          </w:p>
        </w:tc>
        <w:tc>
          <w:tcPr>
            <w:tcW w:w="1417" w:type="dxa"/>
            <w:shd w:val="clear" w:color="auto" w:fill="auto"/>
            <w:vAlign w:val="center"/>
          </w:tcPr>
          <w:p w14:paraId="44512727" w14:textId="33DF544A" w:rsidR="00F6331B" w:rsidRPr="00C80CAE" w:rsidRDefault="00F6331B">
            <w:pPr>
              <w:pStyle w:val="08-Tabelageral"/>
              <w:rPr>
                <w:b/>
                <w:bCs/>
              </w:rPr>
            </w:pPr>
            <w:r w:rsidRPr="00C80CAE">
              <w:rPr>
                <w:b/>
                <w:bCs/>
              </w:rPr>
              <w:t>(3</w:t>
            </w:r>
            <w:r>
              <w:rPr>
                <w:b/>
                <w:bCs/>
              </w:rPr>
              <w:t>9</w:t>
            </w:r>
            <w:r w:rsidRPr="00C80CAE">
              <w:rPr>
                <w:b/>
                <w:bCs/>
              </w:rPr>
              <w:t>.</w:t>
            </w:r>
            <w:r>
              <w:rPr>
                <w:b/>
                <w:bCs/>
              </w:rPr>
              <w:t>36</w:t>
            </w:r>
            <w:r w:rsidR="001C4086">
              <w:rPr>
                <w:b/>
                <w:bCs/>
              </w:rPr>
              <w:t>5</w:t>
            </w:r>
            <w:r w:rsidRPr="00C80CAE">
              <w:rPr>
                <w:b/>
                <w:bCs/>
              </w:rPr>
              <w:t>)</w:t>
            </w:r>
          </w:p>
        </w:tc>
        <w:tc>
          <w:tcPr>
            <w:tcW w:w="1418" w:type="dxa"/>
            <w:shd w:val="clear" w:color="auto" w:fill="auto"/>
            <w:vAlign w:val="center"/>
          </w:tcPr>
          <w:p w14:paraId="7857CA92" w14:textId="729DF915" w:rsidR="00F6331B" w:rsidRPr="00C80CAE" w:rsidRDefault="00F6331B">
            <w:pPr>
              <w:pStyle w:val="08-Tabelageral"/>
              <w:rPr>
                <w:b/>
                <w:bCs/>
              </w:rPr>
            </w:pPr>
            <w:r w:rsidRPr="00C80CAE">
              <w:rPr>
                <w:b/>
                <w:bCs/>
              </w:rPr>
              <w:t>(</w:t>
            </w:r>
            <w:r>
              <w:rPr>
                <w:b/>
                <w:bCs/>
              </w:rPr>
              <w:t>26</w:t>
            </w:r>
            <w:r w:rsidRPr="00C80CAE">
              <w:rPr>
                <w:b/>
                <w:bCs/>
              </w:rPr>
              <w:t>.</w:t>
            </w:r>
            <w:r>
              <w:rPr>
                <w:b/>
                <w:bCs/>
              </w:rPr>
              <w:t>16</w:t>
            </w:r>
            <w:r w:rsidR="00B335AA">
              <w:rPr>
                <w:b/>
                <w:bCs/>
              </w:rPr>
              <w:t>7</w:t>
            </w:r>
            <w:r w:rsidRPr="00C80CAE">
              <w:rPr>
                <w:b/>
                <w:bCs/>
              </w:rPr>
              <w:t>)</w:t>
            </w:r>
          </w:p>
        </w:tc>
      </w:tr>
      <w:tr w:rsidR="00F6331B" w:rsidRPr="00E04CBB" w14:paraId="6A36805C" w14:textId="77777777">
        <w:trPr>
          <w:trHeight w:val="263"/>
          <w:jc w:val="center"/>
        </w:trPr>
        <w:tc>
          <w:tcPr>
            <w:tcW w:w="3698" w:type="dxa"/>
            <w:gridSpan w:val="2"/>
            <w:shd w:val="clear" w:color="auto" w:fill="auto"/>
            <w:vAlign w:val="bottom"/>
          </w:tcPr>
          <w:p w14:paraId="27CFCC58" w14:textId="77777777" w:rsidR="00F6331B" w:rsidRPr="00F2437C" w:rsidRDefault="00F6331B">
            <w:pPr>
              <w:pStyle w:val="08-Tabelageral"/>
              <w:jc w:val="left"/>
              <w:rPr>
                <w:rFonts w:cs="Arial"/>
                <w:szCs w:val="14"/>
              </w:rPr>
            </w:pPr>
            <w:r w:rsidRPr="00F2437C">
              <w:rPr>
                <w:rFonts w:cs="Arial"/>
                <w:color w:val="000000"/>
                <w:szCs w:val="14"/>
              </w:rPr>
              <w:t>Constituição de provisões trabalhistas, fiscais e cíveis</w:t>
            </w:r>
            <w:r>
              <w:rPr>
                <w:rFonts w:cs="Arial"/>
                <w:color w:val="000000"/>
                <w:szCs w:val="14"/>
              </w:rPr>
              <w:t xml:space="preserve"> </w:t>
            </w:r>
            <w:r w:rsidRPr="00EB6D95">
              <w:rPr>
                <w:rFonts w:cs="Arial"/>
                <w:szCs w:val="14"/>
                <w:vertAlign w:val="superscript"/>
              </w:rPr>
              <w:t>(</w:t>
            </w:r>
            <w:r>
              <w:rPr>
                <w:rFonts w:cs="Arial"/>
                <w:szCs w:val="14"/>
                <w:vertAlign w:val="superscript"/>
              </w:rPr>
              <w:t>2</w:t>
            </w:r>
            <w:r w:rsidRPr="00EB6D95">
              <w:rPr>
                <w:rFonts w:cs="Arial"/>
                <w:szCs w:val="14"/>
                <w:vertAlign w:val="superscript"/>
              </w:rPr>
              <w:t>)</w:t>
            </w:r>
          </w:p>
        </w:tc>
        <w:tc>
          <w:tcPr>
            <w:tcW w:w="1411" w:type="dxa"/>
            <w:shd w:val="clear" w:color="auto" w:fill="auto"/>
            <w:vAlign w:val="center"/>
          </w:tcPr>
          <w:p w14:paraId="69DF0AC2" w14:textId="77777777" w:rsidR="00F6331B" w:rsidRPr="00C80CAE" w:rsidRDefault="00F6331B">
            <w:pPr>
              <w:pStyle w:val="08-Tabelageral"/>
            </w:pPr>
            <w:r w:rsidRPr="00C80CAE">
              <w:t>(</w:t>
            </w:r>
            <w:r>
              <w:t>2</w:t>
            </w:r>
            <w:r w:rsidRPr="00C80CAE">
              <w:t>.</w:t>
            </w:r>
            <w:r>
              <w:t>388</w:t>
            </w:r>
            <w:r w:rsidRPr="00C80CAE">
              <w:t>)</w:t>
            </w:r>
          </w:p>
        </w:tc>
        <w:tc>
          <w:tcPr>
            <w:tcW w:w="1412" w:type="dxa"/>
            <w:shd w:val="clear" w:color="auto" w:fill="auto"/>
            <w:vAlign w:val="center"/>
          </w:tcPr>
          <w:p w14:paraId="2CAC968F" w14:textId="77777777" w:rsidR="00F6331B" w:rsidRPr="00C80CAE" w:rsidRDefault="00F6331B">
            <w:pPr>
              <w:pStyle w:val="08-Tabelageral"/>
            </w:pPr>
            <w:r w:rsidRPr="00C80CAE">
              <w:t>(</w:t>
            </w:r>
            <w:r>
              <w:t>668</w:t>
            </w:r>
            <w:r w:rsidRPr="00C80CAE">
              <w:t>)</w:t>
            </w:r>
          </w:p>
        </w:tc>
        <w:tc>
          <w:tcPr>
            <w:tcW w:w="283" w:type="dxa"/>
            <w:shd w:val="clear" w:color="auto" w:fill="auto"/>
            <w:vAlign w:val="center"/>
          </w:tcPr>
          <w:p w14:paraId="7418BCDE" w14:textId="77777777" w:rsidR="00F6331B" w:rsidRPr="00C80CAE" w:rsidRDefault="00F6331B">
            <w:pPr>
              <w:pStyle w:val="08-Tabelageral"/>
            </w:pPr>
          </w:p>
        </w:tc>
        <w:tc>
          <w:tcPr>
            <w:tcW w:w="1417" w:type="dxa"/>
            <w:shd w:val="clear" w:color="auto" w:fill="auto"/>
            <w:vAlign w:val="center"/>
          </w:tcPr>
          <w:p w14:paraId="74129771" w14:textId="77777777" w:rsidR="00F6331B" w:rsidRPr="00C80CAE" w:rsidRDefault="00F6331B">
            <w:pPr>
              <w:pStyle w:val="08-Tabelageral"/>
            </w:pPr>
            <w:r w:rsidRPr="00C80CAE">
              <w:t>(3</w:t>
            </w:r>
            <w:r>
              <w:t>8</w:t>
            </w:r>
            <w:r w:rsidRPr="00C80CAE">
              <w:t>.</w:t>
            </w:r>
            <w:r>
              <w:t>090</w:t>
            </w:r>
            <w:r w:rsidRPr="00C80CAE">
              <w:t>)</w:t>
            </w:r>
          </w:p>
        </w:tc>
        <w:tc>
          <w:tcPr>
            <w:tcW w:w="1418" w:type="dxa"/>
            <w:shd w:val="clear" w:color="auto" w:fill="auto"/>
            <w:vAlign w:val="center"/>
          </w:tcPr>
          <w:p w14:paraId="0848C191" w14:textId="77777777" w:rsidR="00F6331B" w:rsidRPr="00C80CAE" w:rsidRDefault="00F6331B">
            <w:pPr>
              <w:pStyle w:val="08-Tabelageral"/>
            </w:pPr>
            <w:r w:rsidRPr="00C80CAE">
              <w:t>(</w:t>
            </w:r>
            <w:r>
              <w:t>24</w:t>
            </w:r>
            <w:r w:rsidRPr="00C80CAE">
              <w:t>.</w:t>
            </w:r>
            <w:r>
              <w:t>370</w:t>
            </w:r>
            <w:r w:rsidRPr="00C80CAE">
              <w:t>)</w:t>
            </w:r>
          </w:p>
        </w:tc>
      </w:tr>
      <w:tr w:rsidR="00F6331B" w:rsidRPr="00E04CBB" w14:paraId="7F095BAD" w14:textId="77777777">
        <w:trPr>
          <w:trHeight w:val="263"/>
          <w:jc w:val="center"/>
        </w:trPr>
        <w:tc>
          <w:tcPr>
            <w:tcW w:w="3698" w:type="dxa"/>
            <w:gridSpan w:val="2"/>
            <w:tcBorders>
              <w:bottom w:val="nil"/>
            </w:tcBorders>
            <w:shd w:val="clear" w:color="auto" w:fill="auto"/>
            <w:vAlign w:val="bottom"/>
          </w:tcPr>
          <w:p w14:paraId="47E73B76" w14:textId="77777777" w:rsidR="00F6331B" w:rsidRPr="00EB6D95" w:rsidRDefault="00F6331B">
            <w:pPr>
              <w:pStyle w:val="08-Tabelageral"/>
              <w:jc w:val="left"/>
              <w:rPr>
                <w:rFonts w:cs="Arial"/>
                <w:szCs w:val="14"/>
              </w:rPr>
            </w:pPr>
            <w:r w:rsidRPr="00F2437C">
              <w:rPr>
                <w:rFonts w:cs="Arial"/>
                <w:color w:val="000000"/>
                <w:szCs w:val="14"/>
              </w:rPr>
              <w:t>Despesas de depreciação/amortização</w:t>
            </w:r>
          </w:p>
        </w:tc>
        <w:tc>
          <w:tcPr>
            <w:tcW w:w="1411" w:type="dxa"/>
            <w:tcBorders>
              <w:bottom w:val="nil"/>
            </w:tcBorders>
            <w:shd w:val="clear" w:color="auto" w:fill="auto"/>
            <w:vAlign w:val="center"/>
          </w:tcPr>
          <w:p w14:paraId="0CE1093E" w14:textId="77777777" w:rsidR="00F6331B" w:rsidRPr="00C80CAE" w:rsidRDefault="00F6331B">
            <w:pPr>
              <w:pStyle w:val="08-Tabelageral"/>
            </w:pPr>
            <w:r w:rsidRPr="00C80CAE">
              <w:t>(</w:t>
            </w:r>
            <w:r>
              <w:t>162</w:t>
            </w:r>
            <w:r w:rsidRPr="00C80CAE">
              <w:t>)</w:t>
            </w:r>
          </w:p>
        </w:tc>
        <w:tc>
          <w:tcPr>
            <w:tcW w:w="1412" w:type="dxa"/>
            <w:tcBorders>
              <w:bottom w:val="nil"/>
            </w:tcBorders>
            <w:shd w:val="clear" w:color="auto" w:fill="auto"/>
            <w:vAlign w:val="center"/>
          </w:tcPr>
          <w:p w14:paraId="302C4E2A" w14:textId="77777777" w:rsidR="00F6331B" w:rsidRPr="00C80CAE" w:rsidRDefault="00F6331B">
            <w:pPr>
              <w:pStyle w:val="08-Tabelageral"/>
            </w:pPr>
            <w:r w:rsidRPr="00C80CAE">
              <w:t>(1</w:t>
            </w:r>
            <w:r>
              <w:t>67</w:t>
            </w:r>
            <w:r w:rsidRPr="00C80CAE">
              <w:t>)</w:t>
            </w:r>
          </w:p>
        </w:tc>
        <w:tc>
          <w:tcPr>
            <w:tcW w:w="283" w:type="dxa"/>
            <w:tcBorders>
              <w:bottom w:val="nil"/>
            </w:tcBorders>
            <w:shd w:val="clear" w:color="auto" w:fill="auto"/>
            <w:vAlign w:val="center"/>
          </w:tcPr>
          <w:p w14:paraId="2EBF7567" w14:textId="77777777" w:rsidR="00F6331B" w:rsidRPr="00C80CAE" w:rsidRDefault="00F6331B">
            <w:pPr>
              <w:pStyle w:val="08-Tabelageral"/>
            </w:pPr>
          </w:p>
        </w:tc>
        <w:tc>
          <w:tcPr>
            <w:tcW w:w="1417" w:type="dxa"/>
            <w:tcBorders>
              <w:bottom w:val="nil"/>
            </w:tcBorders>
            <w:shd w:val="clear" w:color="auto" w:fill="auto"/>
            <w:vAlign w:val="center"/>
          </w:tcPr>
          <w:p w14:paraId="0207C996" w14:textId="77777777" w:rsidR="00F6331B" w:rsidRPr="00C80CAE" w:rsidRDefault="00F6331B">
            <w:pPr>
              <w:pStyle w:val="08-Tabelageral"/>
            </w:pPr>
            <w:r w:rsidRPr="00C80CAE">
              <w:t>(</w:t>
            </w:r>
            <w:r>
              <w:t>1.268</w:t>
            </w:r>
            <w:r w:rsidRPr="00C80CAE">
              <w:t>)</w:t>
            </w:r>
          </w:p>
        </w:tc>
        <w:tc>
          <w:tcPr>
            <w:tcW w:w="1418" w:type="dxa"/>
            <w:tcBorders>
              <w:bottom w:val="nil"/>
            </w:tcBorders>
            <w:shd w:val="clear" w:color="auto" w:fill="auto"/>
            <w:vAlign w:val="center"/>
          </w:tcPr>
          <w:p w14:paraId="7FCD38CF" w14:textId="77777777" w:rsidR="00F6331B" w:rsidRPr="00C80CAE" w:rsidRDefault="00F6331B">
            <w:pPr>
              <w:pStyle w:val="08-Tabelageral"/>
            </w:pPr>
            <w:r w:rsidRPr="00C80CAE">
              <w:t>(</w:t>
            </w:r>
            <w:r>
              <w:t>1.303</w:t>
            </w:r>
            <w:r w:rsidRPr="00C80CAE">
              <w:t>)</w:t>
            </w:r>
          </w:p>
        </w:tc>
      </w:tr>
      <w:tr w:rsidR="00F6331B" w:rsidRPr="00E04CBB" w14:paraId="7AFC892D" w14:textId="77777777">
        <w:trPr>
          <w:trHeight w:val="263"/>
          <w:jc w:val="center"/>
        </w:trPr>
        <w:tc>
          <w:tcPr>
            <w:tcW w:w="3698" w:type="dxa"/>
            <w:gridSpan w:val="2"/>
            <w:tcBorders>
              <w:bottom w:val="nil"/>
            </w:tcBorders>
            <w:shd w:val="clear" w:color="auto" w:fill="auto"/>
            <w:vAlign w:val="bottom"/>
          </w:tcPr>
          <w:p w14:paraId="250F0425" w14:textId="77777777" w:rsidR="00F6331B" w:rsidRPr="00EB6D95" w:rsidRDefault="00F6331B">
            <w:pPr>
              <w:pStyle w:val="08-Tabelageral"/>
              <w:jc w:val="left"/>
              <w:rPr>
                <w:rFonts w:cs="Arial"/>
                <w:szCs w:val="14"/>
              </w:rPr>
            </w:pPr>
            <w:r w:rsidRPr="00F2437C">
              <w:rPr>
                <w:rFonts w:cs="Arial"/>
                <w:color w:val="000000"/>
                <w:szCs w:val="14"/>
              </w:rPr>
              <w:t xml:space="preserve">Outras </w:t>
            </w:r>
            <w:r>
              <w:rPr>
                <w:rFonts w:cs="Arial"/>
                <w:color w:val="000000"/>
                <w:szCs w:val="14"/>
              </w:rPr>
              <w:t>d</w:t>
            </w:r>
            <w:r w:rsidRPr="00F2437C">
              <w:rPr>
                <w:rFonts w:cs="Arial"/>
                <w:color w:val="000000"/>
                <w:szCs w:val="14"/>
              </w:rPr>
              <w:t>espesas</w:t>
            </w:r>
            <w:r>
              <w:rPr>
                <w:rFonts w:cs="Arial"/>
                <w:color w:val="000000"/>
                <w:szCs w:val="14"/>
              </w:rPr>
              <w:t xml:space="preserve"> operacionais</w:t>
            </w:r>
          </w:p>
        </w:tc>
        <w:tc>
          <w:tcPr>
            <w:tcW w:w="1411" w:type="dxa"/>
            <w:tcBorders>
              <w:bottom w:val="nil"/>
            </w:tcBorders>
            <w:shd w:val="clear" w:color="auto" w:fill="auto"/>
            <w:vAlign w:val="center"/>
          </w:tcPr>
          <w:p w14:paraId="4C1EC280" w14:textId="70A2C251" w:rsidR="00F6331B" w:rsidRPr="00C80CAE" w:rsidRDefault="00F6331B">
            <w:pPr>
              <w:pStyle w:val="08-Tabelageral"/>
            </w:pPr>
            <w:r w:rsidRPr="00C80CAE">
              <w:t>(</w:t>
            </w:r>
            <w:r w:rsidR="005B64A3">
              <w:t>6</w:t>
            </w:r>
            <w:r w:rsidRPr="00C80CAE">
              <w:t>)</w:t>
            </w:r>
          </w:p>
        </w:tc>
        <w:tc>
          <w:tcPr>
            <w:tcW w:w="1412" w:type="dxa"/>
            <w:tcBorders>
              <w:bottom w:val="nil"/>
            </w:tcBorders>
            <w:shd w:val="clear" w:color="auto" w:fill="auto"/>
            <w:vAlign w:val="center"/>
          </w:tcPr>
          <w:p w14:paraId="53189824" w14:textId="77777777" w:rsidR="00F6331B" w:rsidRPr="00C80CAE" w:rsidRDefault="00F6331B">
            <w:pPr>
              <w:pStyle w:val="08-Tabelageral"/>
            </w:pPr>
            <w:r w:rsidRPr="00C80CAE">
              <w:t>(</w:t>
            </w:r>
            <w:r>
              <w:t>3</w:t>
            </w:r>
            <w:r w:rsidRPr="00C80CAE">
              <w:t>)</w:t>
            </w:r>
          </w:p>
        </w:tc>
        <w:tc>
          <w:tcPr>
            <w:tcW w:w="283" w:type="dxa"/>
            <w:tcBorders>
              <w:bottom w:val="nil"/>
            </w:tcBorders>
            <w:shd w:val="clear" w:color="auto" w:fill="auto"/>
            <w:vAlign w:val="center"/>
          </w:tcPr>
          <w:p w14:paraId="71918FA4" w14:textId="77777777" w:rsidR="00F6331B" w:rsidRPr="00C80CAE" w:rsidRDefault="00F6331B">
            <w:pPr>
              <w:pStyle w:val="08-Tabelageral"/>
            </w:pPr>
          </w:p>
        </w:tc>
        <w:tc>
          <w:tcPr>
            <w:tcW w:w="1417" w:type="dxa"/>
            <w:tcBorders>
              <w:bottom w:val="nil"/>
            </w:tcBorders>
            <w:shd w:val="clear" w:color="auto" w:fill="auto"/>
            <w:vAlign w:val="center"/>
          </w:tcPr>
          <w:p w14:paraId="78407C5D" w14:textId="46118350" w:rsidR="00F6331B" w:rsidRPr="00C80CAE" w:rsidRDefault="00F6331B">
            <w:pPr>
              <w:pStyle w:val="08-Tabelageral"/>
            </w:pPr>
            <w:r w:rsidRPr="00C80CAE">
              <w:t>(</w:t>
            </w:r>
            <w:r w:rsidR="001C4086">
              <w:t>7</w:t>
            </w:r>
            <w:r w:rsidRPr="00C80CAE">
              <w:t>)</w:t>
            </w:r>
          </w:p>
        </w:tc>
        <w:tc>
          <w:tcPr>
            <w:tcW w:w="1418" w:type="dxa"/>
            <w:tcBorders>
              <w:bottom w:val="nil"/>
            </w:tcBorders>
            <w:shd w:val="clear" w:color="auto" w:fill="auto"/>
            <w:vAlign w:val="center"/>
          </w:tcPr>
          <w:p w14:paraId="5CEFEA4E" w14:textId="401F0DA2" w:rsidR="00F6331B" w:rsidRPr="00C80CAE" w:rsidRDefault="00F6331B">
            <w:pPr>
              <w:pStyle w:val="08-Tabelageral"/>
            </w:pPr>
            <w:r w:rsidRPr="00C80CAE">
              <w:t>(49</w:t>
            </w:r>
            <w:r w:rsidR="00271226">
              <w:t>4</w:t>
            </w:r>
            <w:r w:rsidRPr="00C80CAE">
              <w:t>)</w:t>
            </w:r>
          </w:p>
        </w:tc>
      </w:tr>
      <w:tr w:rsidR="00F6331B" w:rsidRPr="00E04CBB" w14:paraId="01C310FD" w14:textId="77777777">
        <w:trPr>
          <w:trHeight w:val="263"/>
          <w:jc w:val="center"/>
        </w:trPr>
        <w:tc>
          <w:tcPr>
            <w:tcW w:w="3698" w:type="dxa"/>
            <w:gridSpan w:val="2"/>
            <w:tcBorders>
              <w:top w:val="nil"/>
              <w:bottom w:val="single" w:sz="2" w:space="0" w:color="1F3864" w:themeColor="accent1" w:themeShade="80"/>
            </w:tcBorders>
            <w:shd w:val="clear" w:color="auto" w:fill="auto"/>
            <w:vAlign w:val="bottom"/>
          </w:tcPr>
          <w:p w14:paraId="45277131" w14:textId="77777777" w:rsidR="00F6331B" w:rsidRPr="00EB6D95" w:rsidRDefault="00F6331B">
            <w:pPr>
              <w:pStyle w:val="08-Tabelageral"/>
              <w:jc w:val="left"/>
              <w:rPr>
                <w:rFonts w:cs="Arial"/>
                <w:b/>
                <w:szCs w:val="14"/>
              </w:rPr>
            </w:pPr>
            <w:r w:rsidRPr="00F2437C">
              <w:rPr>
                <w:rFonts w:cs="Arial"/>
                <w:b/>
                <w:bCs/>
                <w:szCs w:val="14"/>
              </w:rPr>
              <w:t>Outras receitas e despesas operacionais</w:t>
            </w:r>
          </w:p>
        </w:tc>
        <w:tc>
          <w:tcPr>
            <w:tcW w:w="1411" w:type="dxa"/>
            <w:tcBorders>
              <w:top w:val="nil"/>
              <w:bottom w:val="single" w:sz="2" w:space="0" w:color="1F3864" w:themeColor="accent1" w:themeShade="80"/>
            </w:tcBorders>
            <w:shd w:val="clear" w:color="auto" w:fill="auto"/>
            <w:vAlign w:val="center"/>
          </w:tcPr>
          <w:p w14:paraId="152E49BB" w14:textId="773E2A21" w:rsidR="00F6331B" w:rsidRPr="00C80CAE" w:rsidRDefault="00F6331B">
            <w:pPr>
              <w:pStyle w:val="08-Tabelageral"/>
              <w:rPr>
                <w:b/>
              </w:rPr>
            </w:pPr>
            <w:r w:rsidRPr="00C80CAE">
              <w:rPr>
                <w:b/>
                <w:bCs/>
              </w:rPr>
              <w:t>1.3</w:t>
            </w:r>
            <w:r>
              <w:rPr>
                <w:b/>
                <w:bCs/>
              </w:rPr>
              <w:t>3</w:t>
            </w:r>
            <w:r w:rsidR="00A05C84">
              <w:rPr>
                <w:b/>
                <w:bCs/>
              </w:rPr>
              <w:t>3</w:t>
            </w:r>
          </w:p>
        </w:tc>
        <w:tc>
          <w:tcPr>
            <w:tcW w:w="1412" w:type="dxa"/>
            <w:tcBorders>
              <w:top w:val="nil"/>
              <w:bottom w:val="single" w:sz="2" w:space="0" w:color="1F3864" w:themeColor="accent1" w:themeShade="80"/>
            </w:tcBorders>
            <w:shd w:val="clear" w:color="auto" w:fill="auto"/>
            <w:vAlign w:val="center"/>
          </w:tcPr>
          <w:p w14:paraId="2BCF581C" w14:textId="7F7301D4" w:rsidR="00F6331B" w:rsidRPr="00C80CAE" w:rsidRDefault="00F6331B">
            <w:pPr>
              <w:pStyle w:val="08-Tabelageral"/>
              <w:rPr>
                <w:b/>
              </w:rPr>
            </w:pPr>
            <w:r w:rsidRPr="00C80CAE">
              <w:rPr>
                <w:b/>
                <w:bCs/>
              </w:rPr>
              <w:t>5.</w:t>
            </w:r>
            <w:r w:rsidR="00C23E59">
              <w:rPr>
                <w:b/>
                <w:bCs/>
              </w:rPr>
              <w:t>399</w:t>
            </w:r>
          </w:p>
        </w:tc>
        <w:tc>
          <w:tcPr>
            <w:tcW w:w="283" w:type="dxa"/>
            <w:tcBorders>
              <w:top w:val="nil"/>
              <w:bottom w:val="single" w:sz="2" w:space="0" w:color="1F3864" w:themeColor="accent1" w:themeShade="80"/>
            </w:tcBorders>
            <w:shd w:val="clear" w:color="auto" w:fill="auto"/>
            <w:vAlign w:val="center"/>
          </w:tcPr>
          <w:p w14:paraId="4C740775" w14:textId="77777777" w:rsidR="00F6331B" w:rsidRPr="00C80CAE" w:rsidRDefault="00F6331B">
            <w:pPr>
              <w:pStyle w:val="08-Tabelageral"/>
              <w:rPr>
                <w:b/>
              </w:rPr>
            </w:pPr>
          </w:p>
        </w:tc>
        <w:tc>
          <w:tcPr>
            <w:tcW w:w="1417" w:type="dxa"/>
            <w:tcBorders>
              <w:top w:val="nil"/>
              <w:bottom w:val="single" w:sz="2" w:space="0" w:color="1F3864" w:themeColor="accent1" w:themeShade="80"/>
            </w:tcBorders>
            <w:shd w:val="clear" w:color="auto" w:fill="auto"/>
            <w:vAlign w:val="center"/>
          </w:tcPr>
          <w:p w14:paraId="1A4EF2D1" w14:textId="0C3C5C2A" w:rsidR="00F6331B" w:rsidRPr="00C80CAE" w:rsidRDefault="00F6331B">
            <w:pPr>
              <w:pStyle w:val="08-Tabelageral"/>
              <w:rPr>
                <w:b/>
              </w:rPr>
            </w:pPr>
            <w:r w:rsidRPr="00C80CAE">
              <w:rPr>
                <w:b/>
              </w:rPr>
              <w:t>(1</w:t>
            </w:r>
            <w:r>
              <w:rPr>
                <w:b/>
              </w:rPr>
              <w:t>9.01</w:t>
            </w:r>
            <w:r w:rsidR="002861CA">
              <w:rPr>
                <w:b/>
              </w:rPr>
              <w:t>5</w:t>
            </w:r>
            <w:r w:rsidRPr="00C80CAE">
              <w:rPr>
                <w:b/>
              </w:rPr>
              <w:t>)</w:t>
            </w:r>
          </w:p>
        </w:tc>
        <w:tc>
          <w:tcPr>
            <w:tcW w:w="1418" w:type="dxa"/>
            <w:tcBorders>
              <w:top w:val="nil"/>
              <w:bottom w:val="single" w:sz="2" w:space="0" w:color="1F3864" w:themeColor="accent1" w:themeShade="80"/>
            </w:tcBorders>
            <w:shd w:val="clear" w:color="auto" w:fill="auto"/>
            <w:vAlign w:val="center"/>
          </w:tcPr>
          <w:p w14:paraId="61C5F133" w14:textId="0112EAA0" w:rsidR="00F6331B" w:rsidRPr="00C80CAE" w:rsidRDefault="00F6331B">
            <w:pPr>
              <w:pStyle w:val="08-Tabelageral"/>
              <w:rPr>
                <w:b/>
              </w:rPr>
            </w:pPr>
            <w:r w:rsidRPr="00C80CAE">
              <w:rPr>
                <w:b/>
              </w:rPr>
              <w:t>(</w:t>
            </w:r>
            <w:r>
              <w:rPr>
                <w:b/>
              </w:rPr>
              <w:t>9.9</w:t>
            </w:r>
            <w:r w:rsidR="008410A7">
              <w:rPr>
                <w:b/>
              </w:rPr>
              <w:t>41</w:t>
            </w:r>
            <w:r w:rsidRPr="00C80CAE">
              <w:rPr>
                <w:b/>
              </w:rPr>
              <w:t>)</w:t>
            </w:r>
          </w:p>
        </w:tc>
      </w:tr>
    </w:tbl>
    <w:p w14:paraId="336F7D1F" w14:textId="77777777" w:rsidR="00F6331B" w:rsidRPr="00904C7E" w:rsidRDefault="00F6331B" w:rsidP="00F6331B">
      <w:pPr>
        <w:pStyle w:val="07-Legenda"/>
        <w:numPr>
          <w:ilvl w:val="0"/>
          <w:numId w:val="4"/>
        </w:numPr>
        <w:tabs>
          <w:tab w:val="clear" w:pos="284"/>
        </w:tabs>
        <w:ind w:left="284" w:hanging="284"/>
        <w:rPr>
          <w:rFonts w:cs="Arial"/>
          <w:szCs w:val="14"/>
        </w:rPr>
      </w:pPr>
      <w:r w:rsidRPr="00904C7E">
        <w:rPr>
          <w:rFonts w:cs="Arial"/>
          <w:szCs w:val="14"/>
        </w:rPr>
        <w:t>Refere-se ao compartilhamento, pelo banco depositário do programa de ADR Nível I, das receitas com tarifas de emissão, cancelamento e processamento de dividendos cobradas dos investidores que detêm ADRs (</w:t>
      </w:r>
      <w:r w:rsidRPr="00904C7E">
        <w:rPr>
          <w:rFonts w:cs="Arial"/>
          <w:i/>
          <w:iCs/>
          <w:szCs w:val="14"/>
        </w:rPr>
        <w:t xml:space="preserve">American Depositary </w:t>
      </w:r>
      <w:proofErr w:type="spellStart"/>
      <w:r w:rsidRPr="00904C7E">
        <w:rPr>
          <w:rFonts w:cs="Arial"/>
          <w:i/>
          <w:iCs/>
          <w:szCs w:val="14"/>
        </w:rPr>
        <w:t>Receipts</w:t>
      </w:r>
      <w:proofErr w:type="spellEnd"/>
      <w:r w:rsidRPr="00904C7E">
        <w:rPr>
          <w:rFonts w:cs="Arial"/>
          <w:szCs w:val="14"/>
        </w:rPr>
        <w:t>) da BB Seguridade, com o objetivo de custear as despesas do Programa.</w:t>
      </w:r>
    </w:p>
    <w:p w14:paraId="571FE57B" w14:textId="4875CCB9" w:rsidR="00F6331B" w:rsidRDefault="0002588F" w:rsidP="00F6331B">
      <w:pPr>
        <w:pStyle w:val="07-Legenda"/>
        <w:numPr>
          <w:ilvl w:val="0"/>
          <w:numId w:val="4"/>
        </w:numPr>
        <w:tabs>
          <w:tab w:val="clear" w:pos="284"/>
        </w:tabs>
        <w:ind w:left="284" w:hanging="284"/>
        <w:rPr>
          <w:rFonts w:cs="Arial"/>
          <w:szCs w:val="14"/>
        </w:rPr>
      </w:pPr>
      <w:r>
        <w:rPr>
          <w:rFonts w:cs="Arial"/>
          <w:szCs w:val="14"/>
        </w:rPr>
        <w:t>Houve</w:t>
      </w:r>
      <w:r w:rsidR="00CC0CE9" w:rsidRPr="00CC0CE9">
        <w:rPr>
          <w:rFonts w:cs="Arial"/>
          <w:szCs w:val="14"/>
        </w:rPr>
        <w:t xml:space="preserve"> </w:t>
      </w:r>
      <w:r w:rsidR="00CC0CE9" w:rsidRPr="00904C7E">
        <w:rPr>
          <w:rFonts w:cs="Arial"/>
          <w:szCs w:val="14"/>
        </w:rPr>
        <w:t>na BB Corretora</w:t>
      </w:r>
      <w:r w:rsidR="00CC0CE9">
        <w:rPr>
          <w:rFonts w:cs="Arial"/>
          <w:szCs w:val="14"/>
        </w:rPr>
        <w:t>, n</w:t>
      </w:r>
      <w:r w:rsidR="00F6331B" w:rsidRPr="00904C7E">
        <w:rPr>
          <w:rFonts w:cs="Arial"/>
          <w:szCs w:val="14"/>
        </w:rPr>
        <w:t xml:space="preserve">o período de </w:t>
      </w:r>
      <w:r w:rsidR="00F6331B">
        <w:rPr>
          <w:rFonts w:cs="Arial"/>
          <w:szCs w:val="14"/>
        </w:rPr>
        <w:t>12</w:t>
      </w:r>
      <w:r w:rsidR="00F6331B" w:rsidRPr="00904C7E">
        <w:rPr>
          <w:rFonts w:cs="Arial"/>
          <w:szCs w:val="14"/>
        </w:rPr>
        <w:t xml:space="preserve"> meses findo em 3</w:t>
      </w:r>
      <w:r w:rsidR="00F6331B">
        <w:rPr>
          <w:rFonts w:cs="Arial"/>
          <w:szCs w:val="14"/>
        </w:rPr>
        <w:t>1</w:t>
      </w:r>
      <w:r w:rsidR="00F6331B" w:rsidRPr="00904C7E">
        <w:rPr>
          <w:rFonts w:cs="Arial"/>
          <w:szCs w:val="14"/>
        </w:rPr>
        <w:t>.</w:t>
      </w:r>
      <w:r w:rsidR="00F6331B">
        <w:rPr>
          <w:rFonts w:cs="Arial"/>
          <w:szCs w:val="14"/>
        </w:rPr>
        <w:t>12</w:t>
      </w:r>
      <w:r w:rsidR="00F6331B" w:rsidRPr="00904C7E">
        <w:rPr>
          <w:rFonts w:cs="Arial"/>
          <w:szCs w:val="14"/>
        </w:rPr>
        <w:t>.2024</w:t>
      </w:r>
      <w:r w:rsidR="00CC0CE9">
        <w:rPr>
          <w:rFonts w:cs="Arial"/>
          <w:szCs w:val="14"/>
        </w:rPr>
        <w:t xml:space="preserve">, </w:t>
      </w:r>
      <w:r w:rsidR="00F6331B" w:rsidRPr="00904C7E">
        <w:rPr>
          <w:rFonts w:cs="Arial"/>
          <w:szCs w:val="14"/>
        </w:rPr>
        <w:t>além de um aumento no volume de demandas cíveis, a revisão da classificação dos processos já existentes, com agravamento da probabilidade de perda.</w:t>
      </w:r>
    </w:p>
    <w:p w14:paraId="7DB37AA5" w14:textId="77777777" w:rsidR="00F6331B" w:rsidRPr="00815A2D" w:rsidRDefault="00F6331B" w:rsidP="00F6331B">
      <w:pPr>
        <w:pStyle w:val="07-Legenda"/>
        <w:numPr>
          <w:ilvl w:val="0"/>
          <w:numId w:val="4"/>
        </w:numPr>
        <w:shd w:val="clear" w:color="auto" w:fill="FFFFFF" w:themeFill="background1"/>
        <w:tabs>
          <w:tab w:val="left" w:pos="0"/>
        </w:tabs>
        <w:ind w:left="284" w:hanging="284"/>
        <w:rPr>
          <w:rFonts w:cs="Arial"/>
          <w:snapToGrid w:val="0"/>
        </w:rPr>
      </w:pPr>
      <w:r w:rsidRPr="00815A2D">
        <w:rPr>
          <w:rFonts w:cs="Arial"/>
          <w:snapToGrid w:val="0"/>
        </w:rPr>
        <w:t xml:space="preserve">Refere-se ao mecanismo de ajuste de preço dos ativos da Brasilveículos (atual MAPFRE Seguros Gerais), alienados à MAPFRE Brasil em 30.11.2018, com apuração e provisionamentos mensais e pagamento anual, com base no cumprimento de metas nas vendas dos seguros de automóveis. O mecanismo prevê a possibilidade de </w:t>
      </w:r>
      <w:proofErr w:type="spellStart"/>
      <w:r w:rsidRPr="004A5801">
        <w:rPr>
          <w:rFonts w:cs="Arial"/>
          <w:i/>
          <w:iCs/>
          <w:snapToGrid w:val="0"/>
        </w:rPr>
        <w:t>earn</w:t>
      </w:r>
      <w:proofErr w:type="spellEnd"/>
      <w:r w:rsidRPr="004A5801">
        <w:rPr>
          <w:rFonts w:cs="Arial"/>
          <w:i/>
          <w:iCs/>
          <w:snapToGrid w:val="0"/>
        </w:rPr>
        <w:t xml:space="preserve"> in ou </w:t>
      </w:r>
      <w:proofErr w:type="spellStart"/>
      <w:r w:rsidRPr="004A5801">
        <w:rPr>
          <w:rFonts w:cs="Arial"/>
          <w:i/>
          <w:iCs/>
          <w:snapToGrid w:val="0"/>
        </w:rPr>
        <w:t>earn</w:t>
      </w:r>
      <w:proofErr w:type="spellEnd"/>
      <w:r w:rsidRPr="004A5801">
        <w:rPr>
          <w:rFonts w:cs="Arial"/>
          <w:i/>
          <w:iCs/>
          <w:snapToGrid w:val="0"/>
        </w:rPr>
        <w:t xml:space="preserve"> out</w:t>
      </w:r>
      <w:r w:rsidRPr="00815A2D">
        <w:rPr>
          <w:rFonts w:cs="Arial"/>
          <w:snapToGrid w:val="0"/>
        </w:rPr>
        <w:t>, ou seja, pagamento da MAPFRE Brasil para BB Seguros ou da BB Seguros para MAPFRE Brasil. Em 29/12/2022, foi assinado o 1º Aditamento ao Acordo de Restruturação de Parceria, prevendo a eliminação do mecanismo de ajuste de preço, com vigência de três anos, prorrogáveis sucessivamente, a partir do exercício de 2023.</w:t>
      </w:r>
    </w:p>
    <w:p w14:paraId="6974F969" w14:textId="77777777" w:rsidR="00F6331B" w:rsidRPr="00904C7E" w:rsidRDefault="00F6331B" w:rsidP="00F6331B">
      <w:pPr>
        <w:pStyle w:val="07-Legenda"/>
        <w:tabs>
          <w:tab w:val="clear" w:pos="284"/>
        </w:tabs>
        <w:ind w:firstLine="0"/>
        <w:rPr>
          <w:rFonts w:cs="Arial"/>
          <w:szCs w:val="14"/>
        </w:rPr>
      </w:pPr>
    </w:p>
    <w:bookmarkEnd w:id="94"/>
    <w:p w14:paraId="7F986CB0" w14:textId="77777777" w:rsidR="007D4AB0" w:rsidRPr="00BF2AAF" w:rsidRDefault="007D4AB0" w:rsidP="00E94DDD">
      <w:pPr>
        <w:pStyle w:val="07-Legenda"/>
        <w:tabs>
          <w:tab w:val="clear" w:pos="284"/>
        </w:tabs>
        <w:rPr>
          <w:rFonts w:cs="Arial"/>
          <w:szCs w:val="14"/>
        </w:rPr>
      </w:pPr>
    </w:p>
    <w:p w14:paraId="579B2127" w14:textId="744BFDA6" w:rsidR="007D4AB0" w:rsidRDefault="007D4AB0" w:rsidP="00D5649F">
      <w:pPr>
        <w:pStyle w:val="02-TtulodeNota"/>
        <w:pageBreakBefore/>
      </w:pPr>
      <w:bookmarkStart w:id="95" w:name="_Toc189757080"/>
      <w:r w:rsidRPr="00BF2AAF">
        <w:lastRenderedPageBreak/>
        <w:t>1</w:t>
      </w:r>
      <w:r w:rsidR="005C6C41" w:rsidRPr="00BF2AAF">
        <w:t>4</w:t>
      </w:r>
      <w:r w:rsidRPr="00BF2AAF">
        <w:t xml:space="preserve"> – RESULTADO FINANCEIRO</w:t>
      </w:r>
      <w:bookmarkEnd w:id="95"/>
    </w:p>
    <w:p w14:paraId="447E8541" w14:textId="77777777" w:rsidR="00D01F67" w:rsidRPr="003E0B30" w:rsidRDefault="00D01F67" w:rsidP="00D01F67">
      <w:pPr>
        <w:pStyle w:val="06-Rmil"/>
      </w:pPr>
      <w:r w:rsidRPr="003E0B30">
        <w:t>R$ mil</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403"/>
        <w:gridCol w:w="297"/>
        <w:gridCol w:w="1411"/>
        <w:gridCol w:w="1411"/>
        <w:gridCol w:w="283"/>
        <w:gridCol w:w="1417"/>
        <w:gridCol w:w="1417"/>
      </w:tblGrid>
      <w:tr w:rsidR="00D01F67" w:rsidRPr="003E0B30" w14:paraId="1C531269" w14:textId="77777777">
        <w:trPr>
          <w:trHeight w:val="238"/>
        </w:trPr>
        <w:tc>
          <w:tcPr>
            <w:tcW w:w="1765" w:type="pct"/>
            <w:tcBorders>
              <w:top w:val="single" w:sz="2" w:space="0" w:color="1F3864" w:themeColor="accent1" w:themeShade="80"/>
              <w:bottom w:val="nil"/>
            </w:tcBorders>
            <w:shd w:val="clear" w:color="auto" w:fill="auto"/>
          </w:tcPr>
          <w:p w14:paraId="44CAED3F" w14:textId="77777777" w:rsidR="00D01F67" w:rsidRPr="003E0B30" w:rsidRDefault="00D01F67">
            <w:pPr>
              <w:spacing w:after="0"/>
              <w:jc w:val="center"/>
              <w:rPr>
                <w:rFonts w:ascii="Arial" w:hAnsi="Arial" w:cs="Arial"/>
                <w:b/>
                <w:sz w:val="18"/>
                <w:szCs w:val="18"/>
              </w:rPr>
            </w:pPr>
          </w:p>
        </w:tc>
        <w:tc>
          <w:tcPr>
            <w:tcW w:w="154" w:type="pct"/>
            <w:tcBorders>
              <w:top w:val="single" w:sz="2" w:space="0" w:color="1F3864" w:themeColor="accent1" w:themeShade="80"/>
              <w:bottom w:val="nil"/>
            </w:tcBorders>
            <w:shd w:val="clear" w:color="auto" w:fill="auto"/>
          </w:tcPr>
          <w:p w14:paraId="37FC7389" w14:textId="77777777" w:rsidR="00D01F67" w:rsidRPr="003E0B30" w:rsidRDefault="00D01F67">
            <w:pPr>
              <w:spacing w:after="0"/>
              <w:jc w:val="center"/>
              <w:rPr>
                <w:rFonts w:ascii="Arial" w:hAnsi="Arial" w:cs="Arial"/>
                <w:b/>
                <w:sz w:val="18"/>
                <w:szCs w:val="18"/>
              </w:rPr>
            </w:pPr>
          </w:p>
        </w:tc>
        <w:tc>
          <w:tcPr>
            <w:tcW w:w="1464" w:type="pct"/>
            <w:gridSpan w:val="2"/>
            <w:tcBorders>
              <w:top w:val="single" w:sz="2" w:space="0" w:color="1F3864" w:themeColor="accent1" w:themeShade="80"/>
              <w:bottom w:val="single" w:sz="2" w:space="0" w:color="1F3864" w:themeColor="accent1" w:themeShade="80"/>
            </w:tcBorders>
            <w:shd w:val="clear" w:color="auto" w:fill="auto"/>
            <w:vAlign w:val="center"/>
          </w:tcPr>
          <w:p w14:paraId="6AE92CF4" w14:textId="77777777" w:rsidR="00D01F67" w:rsidRPr="003E0B30" w:rsidRDefault="00D01F67">
            <w:pPr>
              <w:spacing w:after="0"/>
              <w:jc w:val="center"/>
              <w:rPr>
                <w:rFonts w:ascii="Arial" w:hAnsi="Arial" w:cs="Arial"/>
                <w:b/>
                <w:sz w:val="14"/>
                <w:szCs w:val="18"/>
              </w:rPr>
            </w:pPr>
            <w:r w:rsidRPr="003E0B30">
              <w:rPr>
                <w:rFonts w:ascii="Arial" w:hAnsi="Arial" w:cs="Arial"/>
                <w:b/>
                <w:sz w:val="14"/>
                <w:szCs w:val="18"/>
              </w:rPr>
              <w:t>Controlador</w:t>
            </w:r>
          </w:p>
        </w:tc>
        <w:tc>
          <w:tcPr>
            <w:tcW w:w="147" w:type="pct"/>
            <w:tcBorders>
              <w:top w:val="single" w:sz="2" w:space="0" w:color="1F3864" w:themeColor="accent1" w:themeShade="80"/>
              <w:bottom w:val="nil"/>
            </w:tcBorders>
            <w:shd w:val="clear" w:color="auto" w:fill="auto"/>
            <w:vAlign w:val="center"/>
          </w:tcPr>
          <w:p w14:paraId="0E6E72D9" w14:textId="77777777" w:rsidR="00D01F67" w:rsidRPr="003E0B30" w:rsidRDefault="00D01F67">
            <w:pPr>
              <w:spacing w:after="0"/>
              <w:jc w:val="center"/>
              <w:rPr>
                <w:rFonts w:ascii="Arial" w:hAnsi="Arial" w:cs="Arial"/>
                <w:b/>
                <w:sz w:val="18"/>
                <w:szCs w:val="18"/>
              </w:rPr>
            </w:pPr>
          </w:p>
        </w:tc>
        <w:tc>
          <w:tcPr>
            <w:tcW w:w="1470" w:type="pct"/>
            <w:gridSpan w:val="2"/>
            <w:tcBorders>
              <w:top w:val="single" w:sz="2" w:space="0" w:color="1F3864" w:themeColor="accent1" w:themeShade="80"/>
              <w:bottom w:val="single" w:sz="2" w:space="0" w:color="1F3864" w:themeColor="accent1" w:themeShade="80"/>
            </w:tcBorders>
            <w:shd w:val="clear" w:color="auto" w:fill="auto"/>
            <w:vAlign w:val="center"/>
          </w:tcPr>
          <w:p w14:paraId="3E389904" w14:textId="77777777" w:rsidR="00D01F67" w:rsidRPr="003E0B30" w:rsidRDefault="00D01F67">
            <w:pPr>
              <w:spacing w:after="0"/>
              <w:jc w:val="center"/>
              <w:rPr>
                <w:rFonts w:ascii="Arial" w:hAnsi="Arial" w:cs="Arial"/>
                <w:b/>
                <w:sz w:val="18"/>
                <w:szCs w:val="18"/>
              </w:rPr>
            </w:pPr>
            <w:r w:rsidRPr="003E0B30">
              <w:rPr>
                <w:rFonts w:ascii="Arial" w:hAnsi="Arial" w:cs="Arial"/>
                <w:b/>
                <w:sz w:val="14"/>
                <w:szCs w:val="18"/>
              </w:rPr>
              <w:t>Consolidado</w:t>
            </w:r>
          </w:p>
        </w:tc>
      </w:tr>
      <w:tr w:rsidR="00D01F67" w:rsidRPr="003E0B30" w14:paraId="1D52724D" w14:textId="77777777">
        <w:trPr>
          <w:trHeight w:val="238"/>
        </w:trPr>
        <w:tc>
          <w:tcPr>
            <w:tcW w:w="1765" w:type="pct"/>
            <w:tcBorders>
              <w:top w:val="nil"/>
              <w:bottom w:val="single" w:sz="2" w:space="0" w:color="1F3864" w:themeColor="accent1" w:themeShade="80"/>
            </w:tcBorders>
            <w:shd w:val="clear" w:color="auto" w:fill="auto"/>
          </w:tcPr>
          <w:p w14:paraId="39F60576" w14:textId="77777777" w:rsidR="00D01F67" w:rsidRPr="003E0B30" w:rsidRDefault="00D01F67">
            <w:pPr>
              <w:pStyle w:val="08-Tabelageral"/>
              <w:rPr>
                <w:rFonts w:cs="Arial"/>
                <w:b/>
                <w:color w:val="FF0000"/>
              </w:rPr>
            </w:pPr>
          </w:p>
        </w:tc>
        <w:tc>
          <w:tcPr>
            <w:tcW w:w="154" w:type="pct"/>
            <w:tcBorders>
              <w:top w:val="nil"/>
              <w:bottom w:val="single" w:sz="2" w:space="0" w:color="1F3864" w:themeColor="accent1" w:themeShade="80"/>
            </w:tcBorders>
            <w:shd w:val="clear" w:color="auto" w:fill="auto"/>
          </w:tcPr>
          <w:p w14:paraId="2E3C4600" w14:textId="77777777" w:rsidR="00D01F67" w:rsidRPr="003E0B30" w:rsidRDefault="00D01F67">
            <w:pPr>
              <w:pStyle w:val="08-Tabelageral"/>
              <w:rPr>
                <w:rFonts w:cs="Arial"/>
                <w:b/>
                <w:color w:val="FF0000"/>
              </w:rPr>
            </w:pPr>
          </w:p>
        </w:tc>
        <w:tc>
          <w:tcPr>
            <w:tcW w:w="732" w:type="pct"/>
            <w:tcBorders>
              <w:top w:val="single" w:sz="2" w:space="0" w:color="1F3864" w:themeColor="accent1" w:themeShade="80"/>
              <w:bottom w:val="single" w:sz="2" w:space="0" w:color="1F3864" w:themeColor="accent1" w:themeShade="80"/>
            </w:tcBorders>
            <w:shd w:val="clear" w:color="auto" w:fill="auto"/>
            <w:vAlign w:val="center"/>
          </w:tcPr>
          <w:p w14:paraId="59564870" w14:textId="77777777" w:rsidR="00D01F67" w:rsidRPr="003E0B30" w:rsidRDefault="00D01F67">
            <w:pPr>
              <w:pStyle w:val="08-Tabelageral"/>
              <w:rPr>
                <w:rFonts w:cs="Arial"/>
                <w:b/>
                <w:color w:val="FF0000"/>
              </w:rPr>
            </w:pPr>
            <w:r>
              <w:rPr>
                <w:b/>
                <w:lang w:eastAsia="en-US"/>
              </w:rPr>
              <w:t>Exercício 2024</w:t>
            </w:r>
          </w:p>
        </w:tc>
        <w:tc>
          <w:tcPr>
            <w:tcW w:w="732" w:type="pct"/>
            <w:tcBorders>
              <w:top w:val="single" w:sz="2" w:space="0" w:color="1F3864" w:themeColor="accent1" w:themeShade="80"/>
              <w:bottom w:val="single" w:sz="2" w:space="0" w:color="1F3864" w:themeColor="accent1" w:themeShade="80"/>
            </w:tcBorders>
            <w:shd w:val="clear" w:color="auto" w:fill="auto"/>
            <w:vAlign w:val="center"/>
          </w:tcPr>
          <w:p w14:paraId="5E25D3BE" w14:textId="77777777" w:rsidR="00D01F67" w:rsidRPr="003E0B30" w:rsidRDefault="00D01F67">
            <w:pPr>
              <w:pStyle w:val="08-Tabelageral"/>
              <w:rPr>
                <w:rFonts w:cs="Arial"/>
                <w:b/>
                <w:color w:val="FF0000"/>
              </w:rPr>
            </w:pPr>
            <w:r>
              <w:rPr>
                <w:b/>
                <w:lang w:eastAsia="en-US"/>
              </w:rPr>
              <w:t>Exercício 2023</w:t>
            </w:r>
          </w:p>
        </w:tc>
        <w:tc>
          <w:tcPr>
            <w:tcW w:w="147" w:type="pct"/>
            <w:tcBorders>
              <w:top w:val="nil"/>
              <w:bottom w:val="single" w:sz="2" w:space="0" w:color="1F3864" w:themeColor="accent1" w:themeShade="80"/>
            </w:tcBorders>
            <w:shd w:val="clear" w:color="auto" w:fill="auto"/>
            <w:vAlign w:val="center"/>
          </w:tcPr>
          <w:p w14:paraId="6C38FECE" w14:textId="77777777" w:rsidR="00D01F67" w:rsidRPr="003E0B30" w:rsidRDefault="00D01F67">
            <w:pPr>
              <w:pStyle w:val="08-Tabelageral"/>
              <w:rPr>
                <w:rFonts w:cs="Arial"/>
                <w:b/>
                <w:color w:val="FF0000"/>
              </w:rPr>
            </w:pPr>
          </w:p>
        </w:tc>
        <w:tc>
          <w:tcPr>
            <w:tcW w:w="735" w:type="pct"/>
            <w:tcBorders>
              <w:top w:val="single" w:sz="2" w:space="0" w:color="1F3864" w:themeColor="accent1" w:themeShade="80"/>
              <w:bottom w:val="single" w:sz="2" w:space="0" w:color="1F3864" w:themeColor="accent1" w:themeShade="80"/>
            </w:tcBorders>
            <w:shd w:val="clear" w:color="auto" w:fill="auto"/>
            <w:vAlign w:val="center"/>
          </w:tcPr>
          <w:p w14:paraId="61941C6B" w14:textId="77777777" w:rsidR="00D01F67" w:rsidRPr="003E0B30" w:rsidRDefault="00D01F67">
            <w:pPr>
              <w:pStyle w:val="08-Tabelageral"/>
              <w:rPr>
                <w:rFonts w:cs="Arial"/>
                <w:b/>
                <w:color w:val="FF0000"/>
              </w:rPr>
            </w:pPr>
            <w:r>
              <w:rPr>
                <w:b/>
                <w:lang w:eastAsia="en-US"/>
              </w:rPr>
              <w:t>Exercício 2024</w:t>
            </w:r>
          </w:p>
        </w:tc>
        <w:tc>
          <w:tcPr>
            <w:tcW w:w="735" w:type="pct"/>
            <w:tcBorders>
              <w:top w:val="single" w:sz="2" w:space="0" w:color="1F3864" w:themeColor="accent1" w:themeShade="80"/>
              <w:bottom w:val="single" w:sz="2" w:space="0" w:color="1F3864" w:themeColor="accent1" w:themeShade="80"/>
            </w:tcBorders>
            <w:shd w:val="clear" w:color="auto" w:fill="auto"/>
            <w:vAlign w:val="center"/>
          </w:tcPr>
          <w:p w14:paraId="0A13312E" w14:textId="77777777" w:rsidR="00D01F67" w:rsidRPr="003E0B30" w:rsidRDefault="00D01F67">
            <w:pPr>
              <w:pStyle w:val="08-Tabelageral"/>
              <w:rPr>
                <w:rFonts w:cs="Arial"/>
                <w:b/>
                <w:color w:val="FF0000"/>
              </w:rPr>
            </w:pPr>
            <w:r>
              <w:rPr>
                <w:b/>
                <w:lang w:eastAsia="en-US"/>
              </w:rPr>
              <w:t>Exercício 2023</w:t>
            </w:r>
          </w:p>
        </w:tc>
      </w:tr>
      <w:tr w:rsidR="00D01F67" w:rsidRPr="003E0B30" w14:paraId="691C9423" w14:textId="77777777">
        <w:trPr>
          <w:trHeight w:val="238"/>
        </w:trPr>
        <w:tc>
          <w:tcPr>
            <w:tcW w:w="1765" w:type="pct"/>
            <w:tcBorders>
              <w:top w:val="single" w:sz="2" w:space="0" w:color="1F3864" w:themeColor="accent1" w:themeShade="80"/>
            </w:tcBorders>
            <w:shd w:val="clear" w:color="auto" w:fill="auto"/>
            <w:vAlign w:val="center"/>
          </w:tcPr>
          <w:p w14:paraId="7EF7BD79" w14:textId="77777777" w:rsidR="00D01F67" w:rsidRPr="000F0A57" w:rsidRDefault="00D01F67">
            <w:pPr>
              <w:pStyle w:val="08-Tabelageral"/>
              <w:jc w:val="left"/>
              <w:rPr>
                <w:b/>
              </w:rPr>
            </w:pPr>
            <w:r w:rsidRPr="000F0A57">
              <w:rPr>
                <w:b/>
              </w:rPr>
              <w:t>Receitas Financeiras</w:t>
            </w:r>
          </w:p>
        </w:tc>
        <w:tc>
          <w:tcPr>
            <w:tcW w:w="154" w:type="pct"/>
            <w:tcBorders>
              <w:top w:val="single" w:sz="2" w:space="0" w:color="1F3864" w:themeColor="accent1" w:themeShade="80"/>
            </w:tcBorders>
            <w:shd w:val="clear" w:color="auto" w:fill="auto"/>
          </w:tcPr>
          <w:p w14:paraId="012CD26E" w14:textId="77777777" w:rsidR="00D01F67" w:rsidRPr="003E0B30" w:rsidRDefault="00D01F67">
            <w:pPr>
              <w:pStyle w:val="08-Tabelageral"/>
              <w:jc w:val="center"/>
              <w:rPr>
                <w:rFonts w:cs="Arial"/>
                <w:b/>
                <w:color w:val="FF0000"/>
                <w:szCs w:val="14"/>
              </w:rPr>
            </w:pPr>
          </w:p>
        </w:tc>
        <w:tc>
          <w:tcPr>
            <w:tcW w:w="732" w:type="pct"/>
            <w:tcBorders>
              <w:top w:val="single" w:sz="2" w:space="0" w:color="1F3864" w:themeColor="accent1" w:themeShade="80"/>
            </w:tcBorders>
            <w:shd w:val="clear" w:color="auto" w:fill="auto"/>
            <w:vAlign w:val="center"/>
          </w:tcPr>
          <w:p w14:paraId="2F918906" w14:textId="77777777" w:rsidR="00D01F67" w:rsidRPr="00000E96" w:rsidRDefault="00D01F67">
            <w:pPr>
              <w:pStyle w:val="08-Tabelageral"/>
              <w:rPr>
                <w:b/>
              </w:rPr>
            </w:pPr>
            <w:r>
              <w:rPr>
                <w:b/>
              </w:rPr>
              <w:t>89.041</w:t>
            </w:r>
          </w:p>
        </w:tc>
        <w:tc>
          <w:tcPr>
            <w:tcW w:w="732" w:type="pct"/>
            <w:tcBorders>
              <w:top w:val="single" w:sz="2" w:space="0" w:color="1F3864" w:themeColor="accent1" w:themeShade="80"/>
            </w:tcBorders>
            <w:shd w:val="clear" w:color="auto" w:fill="auto"/>
            <w:vAlign w:val="center"/>
          </w:tcPr>
          <w:p w14:paraId="7D427475" w14:textId="77777777" w:rsidR="00D01F67" w:rsidRPr="003E0B30" w:rsidRDefault="00D01F67">
            <w:pPr>
              <w:pStyle w:val="08-Tabelageral"/>
              <w:rPr>
                <w:b/>
                <w:color w:val="FF0000"/>
              </w:rPr>
            </w:pPr>
            <w:r>
              <w:rPr>
                <w:b/>
              </w:rPr>
              <w:t>132.900</w:t>
            </w:r>
          </w:p>
        </w:tc>
        <w:tc>
          <w:tcPr>
            <w:tcW w:w="147" w:type="pct"/>
            <w:tcBorders>
              <w:top w:val="single" w:sz="2" w:space="0" w:color="1F3864" w:themeColor="accent1" w:themeShade="80"/>
            </w:tcBorders>
            <w:shd w:val="clear" w:color="auto" w:fill="auto"/>
            <w:vAlign w:val="center"/>
          </w:tcPr>
          <w:p w14:paraId="797AAA91" w14:textId="77777777" w:rsidR="00D01F67" w:rsidRPr="003E0B30" w:rsidRDefault="00D01F67">
            <w:pPr>
              <w:pStyle w:val="08-Tabelageral"/>
              <w:rPr>
                <w:b/>
                <w:color w:val="FF0000"/>
              </w:rPr>
            </w:pPr>
          </w:p>
        </w:tc>
        <w:tc>
          <w:tcPr>
            <w:tcW w:w="735" w:type="pct"/>
            <w:tcBorders>
              <w:top w:val="single" w:sz="2" w:space="0" w:color="1F3864" w:themeColor="accent1" w:themeShade="80"/>
            </w:tcBorders>
            <w:shd w:val="clear" w:color="auto" w:fill="auto"/>
            <w:vAlign w:val="center"/>
          </w:tcPr>
          <w:p w14:paraId="71EE8139" w14:textId="77777777" w:rsidR="00D01F67" w:rsidRPr="00A17BFF" w:rsidRDefault="00D01F67">
            <w:pPr>
              <w:pStyle w:val="08-Tabelageral"/>
              <w:rPr>
                <w:b/>
              </w:rPr>
            </w:pPr>
            <w:r>
              <w:rPr>
                <w:b/>
              </w:rPr>
              <w:t>696.360</w:t>
            </w:r>
          </w:p>
        </w:tc>
        <w:tc>
          <w:tcPr>
            <w:tcW w:w="735" w:type="pct"/>
            <w:tcBorders>
              <w:top w:val="single" w:sz="2" w:space="0" w:color="1F3864" w:themeColor="accent1" w:themeShade="80"/>
            </w:tcBorders>
            <w:shd w:val="clear" w:color="auto" w:fill="auto"/>
            <w:vAlign w:val="center"/>
          </w:tcPr>
          <w:p w14:paraId="65E04DFB" w14:textId="77777777" w:rsidR="00D01F67" w:rsidRPr="003E0B30" w:rsidRDefault="00D01F67">
            <w:pPr>
              <w:pStyle w:val="08-Tabelageral"/>
              <w:rPr>
                <w:b/>
                <w:color w:val="FF0000"/>
              </w:rPr>
            </w:pPr>
            <w:r>
              <w:rPr>
                <w:b/>
              </w:rPr>
              <w:t>670.933</w:t>
            </w:r>
          </w:p>
        </w:tc>
      </w:tr>
      <w:tr w:rsidR="00D01F67" w:rsidRPr="003E0B30" w14:paraId="0403ACD9" w14:textId="77777777">
        <w:trPr>
          <w:trHeight w:val="238"/>
        </w:trPr>
        <w:tc>
          <w:tcPr>
            <w:tcW w:w="1765" w:type="pct"/>
            <w:shd w:val="clear" w:color="auto" w:fill="auto"/>
            <w:vAlign w:val="center"/>
          </w:tcPr>
          <w:p w14:paraId="086BE985" w14:textId="77777777" w:rsidR="00D01F67" w:rsidRPr="000F0A57" w:rsidRDefault="00D01F67">
            <w:pPr>
              <w:pStyle w:val="08-Tabelageral"/>
              <w:ind w:left="113"/>
              <w:jc w:val="left"/>
            </w:pPr>
            <w:r w:rsidRPr="000F0A57">
              <w:t>Rendimento de aplicações financeiras</w:t>
            </w:r>
          </w:p>
        </w:tc>
        <w:tc>
          <w:tcPr>
            <w:tcW w:w="154" w:type="pct"/>
            <w:shd w:val="clear" w:color="auto" w:fill="auto"/>
          </w:tcPr>
          <w:p w14:paraId="2EEA4EE3" w14:textId="77777777" w:rsidR="00D01F67" w:rsidRPr="003E0B30" w:rsidRDefault="00D01F67">
            <w:pPr>
              <w:pStyle w:val="08-Tabelageral"/>
              <w:ind w:left="113"/>
              <w:jc w:val="center"/>
              <w:rPr>
                <w:rFonts w:cs="Arial"/>
                <w:color w:val="FF0000"/>
                <w:szCs w:val="14"/>
              </w:rPr>
            </w:pPr>
          </w:p>
        </w:tc>
        <w:tc>
          <w:tcPr>
            <w:tcW w:w="732" w:type="pct"/>
            <w:shd w:val="clear" w:color="auto" w:fill="auto"/>
            <w:vAlign w:val="center"/>
          </w:tcPr>
          <w:p w14:paraId="6DE11D73" w14:textId="77777777" w:rsidR="00D01F67" w:rsidRPr="00000E96" w:rsidRDefault="00D01F67">
            <w:pPr>
              <w:pStyle w:val="08-Tabelageral"/>
            </w:pPr>
            <w:r>
              <w:t>46.930</w:t>
            </w:r>
          </w:p>
        </w:tc>
        <w:tc>
          <w:tcPr>
            <w:tcW w:w="732" w:type="pct"/>
            <w:shd w:val="clear" w:color="auto" w:fill="auto"/>
            <w:vAlign w:val="center"/>
          </w:tcPr>
          <w:p w14:paraId="7033AD73" w14:textId="77777777" w:rsidR="00D01F67" w:rsidRPr="003E0B30" w:rsidRDefault="00D01F67">
            <w:pPr>
              <w:pStyle w:val="08-Tabelageral"/>
              <w:rPr>
                <w:color w:val="FF0000"/>
              </w:rPr>
            </w:pPr>
            <w:r>
              <w:t>46.445</w:t>
            </w:r>
          </w:p>
        </w:tc>
        <w:tc>
          <w:tcPr>
            <w:tcW w:w="147" w:type="pct"/>
            <w:shd w:val="clear" w:color="auto" w:fill="auto"/>
            <w:vAlign w:val="center"/>
          </w:tcPr>
          <w:p w14:paraId="09920B8B" w14:textId="77777777" w:rsidR="00D01F67" w:rsidRPr="003E0B30" w:rsidRDefault="00D01F67">
            <w:pPr>
              <w:pStyle w:val="08-Tabelageral"/>
              <w:rPr>
                <w:color w:val="FF0000"/>
              </w:rPr>
            </w:pPr>
          </w:p>
        </w:tc>
        <w:tc>
          <w:tcPr>
            <w:tcW w:w="735" w:type="pct"/>
            <w:shd w:val="clear" w:color="auto" w:fill="auto"/>
            <w:vAlign w:val="center"/>
          </w:tcPr>
          <w:p w14:paraId="42D1833A" w14:textId="77777777" w:rsidR="00D01F67" w:rsidRPr="00A17BFF" w:rsidRDefault="00D01F67">
            <w:pPr>
              <w:pStyle w:val="08-Tabelageral"/>
            </w:pPr>
            <w:r>
              <w:t>673.854</w:t>
            </w:r>
          </w:p>
        </w:tc>
        <w:tc>
          <w:tcPr>
            <w:tcW w:w="735" w:type="pct"/>
            <w:shd w:val="clear" w:color="auto" w:fill="auto"/>
            <w:vAlign w:val="center"/>
          </w:tcPr>
          <w:p w14:paraId="7AA41698" w14:textId="77777777" w:rsidR="00D01F67" w:rsidRPr="003E0B30" w:rsidRDefault="00D01F67">
            <w:pPr>
              <w:pStyle w:val="08-Tabelageral"/>
              <w:rPr>
                <w:color w:val="FF0000"/>
              </w:rPr>
            </w:pPr>
            <w:r>
              <w:t>648.350</w:t>
            </w:r>
          </w:p>
        </w:tc>
      </w:tr>
      <w:tr w:rsidR="00D01F67" w:rsidRPr="003E0B30" w14:paraId="5BD8B679" w14:textId="77777777">
        <w:trPr>
          <w:trHeight w:val="238"/>
        </w:trPr>
        <w:tc>
          <w:tcPr>
            <w:tcW w:w="1765" w:type="pct"/>
            <w:shd w:val="clear" w:color="auto" w:fill="auto"/>
            <w:vAlign w:val="center"/>
          </w:tcPr>
          <w:p w14:paraId="1C0ABC67" w14:textId="77777777" w:rsidR="00D01F67" w:rsidRPr="000F0A57" w:rsidRDefault="00D01F67">
            <w:pPr>
              <w:pStyle w:val="08-Tabelageral"/>
              <w:ind w:left="113"/>
              <w:jc w:val="left"/>
            </w:pPr>
            <w:r w:rsidRPr="000F0A57">
              <w:t>Atualização monetária de depósitos judiciais</w:t>
            </w:r>
          </w:p>
        </w:tc>
        <w:tc>
          <w:tcPr>
            <w:tcW w:w="154" w:type="pct"/>
            <w:shd w:val="clear" w:color="auto" w:fill="auto"/>
          </w:tcPr>
          <w:p w14:paraId="62EA7E67" w14:textId="77777777" w:rsidR="00D01F67" w:rsidRPr="003E0B30" w:rsidRDefault="00D01F67">
            <w:pPr>
              <w:pStyle w:val="08-Tabelageral"/>
              <w:ind w:left="113"/>
              <w:jc w:val="left"/>
              <w:rPr>
                <w:color w:val="FF0000"/>
              </w:rPr>
            </w:pPr>
          </w:p>
        </w:tc>
        <w:tc>
          <w:tcPr>
            <w:tcW w:w="732" w:type="pct"/>
            <w:shd w:val="clear" w:color="auto" w:fill="auto"/>
            <w:vAlign w:val="center"/>
          </w:tcPr>
          <w:p w14:paraId="59001E17" w14:textId="77777777" w:rsidR="00D01F67" w:rsidRPr="00000E96" w:rsidRDefault="00D01F67">
            <w:pPr>
              <w:pStyle w:val="08-Tabelageral"/>
              <w:ind w:left="113"/>
            </w:pPr>
            <w:r>
              <w:t>4</w:t>
            </w:r>
          </w:p>
        </w:tc>
        <w:tc>
          <w:tcPr>
            <w:tcW w:w="732" w:type="pct"/>
            <w:shd w:val="clear" w:color="auto" w:fill="auto"/>
            <w:vAlign w:val="center"/>
          </w:tcPr>
          <w:p w14:paraId="748F4F0A" w14:textId="77777777" w:rsidR="00D01F67" w:rsidRPr="003E0B30" w:rsidRDefault="00D01F67">
            <w:pPr>
              <w:pStyle w:val="08-Tabelageral"/>
              <w:ind w:left="113"/>
              <w:rPr>
                <w:color w:val="FF0000"/>
              </w:rPr>
            </w:pPr>
            <w:r>
              <w:t>1</w:t>
            </w:r>
          </w:p>
        </w:tc>
        <w:tc>
          <w:tcPr>
            <w:tcW w:w="147" w:type="pct"/>
            <w:shd w:val="clear" w:color="auto" w:fill="auto"/>
            <w:vAlign w:val="center"/>
          </w:tcPr>
          <w:p w14:paraId="38D8280C" w14:textId="77777777" w:rsidR="00D01F67" w:rsidRPr="003E0B30" w:rsidRDefault="00D01F67">
            <w:pPr>
              <w:pStyle w:val="08-Tabelageral"/>
              <w:ind w:left="113"/>
              <w:jc w:val="left"/>
              <w:rPr>
                <w:color w:val="FF0000"/>
              </w:rPr>
            </w:pPr>
          </w:p>
        </w:tc>
        <w:tc>
          <w:tcPr>
            <w:tcW w:w="735" w:type="pct"/>
            <w:shd w:val="clear" w:color="auto" w:fill="auto"/>
            <w:vAlign w:val="center"/>
          </w:tcPr>
          <w:p w14:paraId="5785201C" w14:textId="77777777" w:rsidR="00D01F67" w:rsidRPr="00A17BFF" w:rsidRDefault="00D01F67">
            <w:pPr>
              <w:pStyle w:val="08-Tabelageral"/>
              <w:ind w:left="113"/>
            </w:pPr>
            <w:r>
              <w:t>11.737</w:t>
            </w:r>
          </w:p>
        </w:tc>
        <w:tc>
          <w:tcPr>
            <w:tcW w:w="735" w:type="pct"/>
            <w:shd w:val="clear" w:color="auto" w:fill="auto"/>
            <w:vAlign w:val="center"/>
          </w:tcPr>
          <w:p w14:paraId="292DC484" w14:textId="77777777" w:rsidR="00D01F67" w:rsidRPr="003E0B30" w:rsidRDefault="00D01F67">
            <w:pPr>
              <w:pStyle w:val="08-Tabelageral"/>
              <w:ind w:left="113"/>
              <w:rPr>
                <w:color w:val="FF0000"/>
              </w:rPr>
            </w:pPr>
            <w:r>
              <w:t>13.481</w:t>
            </w:r>
          </w:p>
        </w:tc>
      </w:tr>
      <w:tr w:rsidR="00D01F67" w:rsidRPr="003E0B30" w14:paraId="53F1F856" w14:textId="77777777">
        <w:trPr>
          <w:trHeight w:val="238"/>
        </w:trPr>
        <w:tc>
          <w:tcPr>
            <w:tcW w:w="1765" w:type="pct"/>
            <w:shd w:val="clear" w:color="auto" w:fill="auto"/>
            <w:vAlign w:val="center"/>
          </w:tcPr>
          <w:p w14:paraId="23DD147A" w14:textId="77777777" w:rsidR="00D01F67" w:rsidRPr="000F0A57" w:rsidRDefault="00D01F67">
            <w:pPr>
              <w:pStyle w:val="08-Tabelageral"/>
              <w:ind w:left="113"/>
              <w:jc w:val="left"/>
            </w:pPr>
            <w:r w:rsidRPr="000F0A57">
              <w:t>Atualização monetária de tributos</w:t>
            </w:r>
          </w:p>
        </w:tc>
        <w:tc>
          <w:tcPr>
            <w:tcW w:w="154" w:type="pct"/>
            <w:shd w:val="clear" w:color="auto" w:fill="auto"/>
          </w:tcPr>
          <w:p w14:paraId="736761F6" w14:textId="77777777" w:rsidR="00D01F67" w:rsidRPr="003E0B30" w:rsidRDefault="00D01F67">
            <w:pPr>
              <w:pStyle w:val="08-Tabelageral"/>
              <w:ind w:left="113"/>
              <w:jc w:val="left"/>
              <w:rPr>
                <w:color w:val="FF0000"/>
              </w:rPr>
            </w:pPr>
          </w:p>
        </w:tc>
        <w:tc>
          <w:tcPr>
            <w:tcW w:w="732" w:type="pct"/>
            <w:shd w:val="clear" w:color="auto" w:fill="auto"/>
            <w:vAlign w:val="center"/>
          </w:tcPr>
          <w:p w14:paraId="60260BCF" w14:textId="77777777" w:rsidR="00D01F67" w:rsidRPr="00000E96" w:rsidRDefault="00D01F67">
            <w:pPr>
              <w:pStyle w:val="08-Tabelageral"/>
              <w:ind w:left="113"/>
            </w:pPr>
            <w:r>
              <w:t>8.196</w:t>
            </w:r>
          </w:p>
        </w:tc>
        <w:tc>
          <w:tcPr>
            <w:tcW w:w="732" w:type="pct"/>
            <w:shd w:val="clear" w:color="auto" w:fill="auto"/>
            <w:vAlign w:val="center"/>
          </w:tcPr>
          <w:p w14:paraId="2E9FDE57" w14:textId="77777777" w:rsidR="00D01F67" w:rsidRPr="003E0B30" w:rsidRDefault="00D01F67">
            <w:pPr>
              <w:pStyle w:val="08-Tabelageral"/>
              <w:ind w:left="113"/>
              <w:rPr>
                <w:color w:val="FF0000"/>
              </w:rPr>
            </w:pPr>
            <w:r>
              <w:t>8.964</w:t>
            </w:r>
          </w:p>
        </w:tc>
        <w:tc>
          <w:tcPr>
            <w:tcW w:w="147" w:type="pct"/>
            <w:shd w:val="clear" w:color="auto" w:fill="auto"/>
            <w:vAlign w:val="center"/>
          </w:tcPr>
          <w:p w14:paraId="462176CA" w14:textId="77777777" w:rsidR="00D01F67" w:rsidRPr="003E0B30" w:rsidRDefault="00D01F67">
            <w:pPr>
              <w:pStyle w:val="08-Tabelageral"/>
              <w:ind w:left="113"/>
              <w:jc w:val="left"/>
              <w:rPr>
                <w:color w:val="FF0000"/>
              </w:rPr>
            </w:pPr>
          </w:p>
        </w:tc>
        <w:tc>
          <w:tcPr>
            <w:tcW w:w="735" w:type="pct"/>
            <w:shd w:val="clear" w:color="auto" w:fill="auto"/>
            <w:vAlign w:val="center"/>
          </w:tcPr>
          <w:p w14:paraId="0CD6EC4B" w14:textId="77777777" w:rsidR="00D01F67" w:rsidRPr="00A17BFF" w:rsidRDefault="00D01F67">
            <w:pPr>
              <w:pStyle w:val="08-Tabelageral"/>
              <w:ind w:left="113"/>
            </w:pPr>
            <w:r>
              <w:t>10.762</w:t>
            </w:r>
          </w:p>
        </w:tc>
        <w:tc>
          <w:tcPr>
            <w:tcW w:w="735" w:type="pct"/>
            <w:shd w:val="clear" w:color="auto" w:fill="auto"/>
            <w:vAlign w:val="center"/>
          </w:tcPr>
          <w:p w14:paraId="2C33A29C" w14:textId="77777777" w:rsidR="00D01F67" w:rsidRPr="003E0B30" w:rsidRDefault="00D01F67">
            <w:pPr>
              <w:pStyle w:val="08-Tabelageral"/>
              <w:ind w:left="113"/>
              <w:rPr>
                <w:color w:val="FF0000"/>
              </w:rPr>
            </w:pPr>
            <w:r>
              <w:t>9.095</w:t>
            </w:r>
          </w:p>
        </w:tc>
      </w:tr>
      <w:tr w:rsidR="00D01F67" w:rsidRPr="003E0B30" w14:paraId="0D3E829D" w14:textId="77777777">
        <w:trPr>
          <w:trHeight w:val="238"/>
        </w:trPr>
        <w:tc>
          <w:tcPr>
            <w:tcW w:w="1765" w:type="pct"/>
            <w:shd w:val="clear" w:color="auto" w:fill="auto"/>
            <w:vAlign w:val="center"/>
          </w:tcPr>
          <w:p w14:paraId="04D0E7E4" w14:textId="77777777" w:rsidR="00D01F67" w:rsidRPr="000F0A57" w:rsidRDefault="00D01F67">
            <w:pPr>
              <w:pStyle w:val="08-Tabelageral"/>
              <w:ind w:left="113"/>
              <w:jc w:val="left"/>
            </w:pPr>
            <w:r w:rsidRPr="000F0A57">
              <w:t>Atualização monetária de dividendos</w:t>
            </w:r>
          </w:p>
        </w:tc>
        <w:tc>
          <w:tcPr>
            <w:tcW w:w="154" w:type="pct"/>
            <w:shd w:val="clear" w:color="auto" w:fill="auto"/>
            <w:vAlign w:val="center"/>
          </w:tcPr>
          <w:p w14:paraId="5D5CD7D7" w14:textId="77777777" w:rsidR="00D01F67" w:rsidRPr="003E0B30" w:rsidRDefault="00D01F67">
            <w:pPr>
              <w:pStyle w:val="08-Tabelageral"/>
              <w:ind w:left="113"/>
              <w:jc w:val="center"/>
              <w:rPr>
                <w:color w:val="FF0000"/>
              </w:rPr>
            </w:pPr>
          </w:p>
        </w:tc>
        <w:tc>
          <w:tcPr>
            <w:tcW w:w="732" w:type="pct"/>
            <w:shd w:val="clear" w:color="auto" w:fill="auto"/>
            <w:vAlign w:val="center"/>
          </w:tcPr>
          <w:p w14:paraId="4DD12DEB" w14:textId="77777777" w:rsidR="00D01F67" w:rsidRPr="00000E96" w:rsidRDefault="00D01F67">
            <w:pPr>
              <w:pStyle w:val="08-Tabelageral"/>
              <w:ind w:left="113"/>
            </w:pPr>
            <w:r>
              <w:t>33.904</w:t>
            </w:r>
          </w:p>
        </w:tc>
        <w:tc>
          <w:tcPr>
            <w:tcW w:w="732" w:type="pct"/>
            <w:shd w:val="clear" w:color="auto" w:fill="auto"/>
            <w:vAlign w:val="center"/>
          </w:tcPr>
          <w:p w14:paraId="6CDB6FE7" w14:textId="77777777" w:rsidR="00D01F67" w:rsidRPr="003E0B30" w:rsidRDefault="00D01F67">
            <w:pPr>
              <w:pStyle w:val="08-Tabelageral"/>
              <w:ind w:left="113"/>
              <w:rPr>
                <w:color w:val="FF0000"/>
              </w:rPr>
            </w:pPr>
            <w:r>
              <w:t>77.483</w:t>
            </w:r>
          </w:p>
        </w:tc>
        <w:tc>
          <w:tcPr>
            <w:tcW w:w="147" w:type="pct"/>
            <w:shd w:val="clear" w:color="auto" w:fill="auto"/>
            <w:vAlign w:val="center"/>
          </w:tcPr>
          <w:p w14:paraId="3960E176" w14:textId="77777777" w:rsidR="00D01F67" w:rsidRPr="003E0B30" w:rsidRDefault="00D01F67">
            <w:pPr>
              <w:pStyle w:val="08-Tabelageral"/>
              <w:ind w:left="113"/>
              <w:jc w:val="left"/>
              <w:rPr>
                <w:color w:val="FF0000"/>
              </w:rPr>
            </w:pPr>
          </w:p>
        </w:tc>
        <w:tc>
          <w:tcPr>
            <w:tcW w:w="735" w:type="pct"/>
            <w:shd w:val="clear" w:color="auto" w:fill="auto"/>
            <w:vAlign w:val="center"/>
          </w:tcPr>
          <w:p w14:paraId="54B63F1D" w14:textId="77777777" w:rsidR="00D01F67" w:rsidRPr="00A17BFF" w:rsidRDefault="00D01F67">
            <w:pPr>
              <w:pStyle w:val="08-Tabelageral"/>
              <w:ind w:left="113"/>
            </w:pPr>
            <w:r>
              <w:t>--</w:t>
            </w:r>
          </w:p>
        </w:tc>
        <w:tc>
          <w:tcPr>
            <w:tcW w:w="735" w:type="pct"/>
            <w:shd w:val="clear" w:color="auto" w:fill="auto"/>
            <w:vAlign w:val="center"/>
          </w:tcPr>
          <w:p w14:paraId="6EA00DCE" w14:textId="77777777" w:rsidR="00D01F67" w:rsidRPr="003E0B30" w:rsidRDefault="00D01F67">
            <w:pPr>
              <w:pStyle w:val="08-Tabelageral"/>
              <w:ind w:left="113"/>
              <w:rPr>
                <w:color w:val="FF0000"/>
              </w:rPr>
            </w:pPr>
            <w:r>
              <w:t>--</w:t>
            </w:r>
          </w:p>
        </w:tc>
      </w:tr>
      <w:tr w:rsidR="00D01F67" w:rsidRPr="003E0B30" w14:paraId="3771C575" w14:textId="77777777">
        <w:trPr>
          <w:trHeight w:val="238"/>
        </w:trPr>
        <w:tc>
          <w:tcPr>
            <w:tcW w:w="1765" w:type="pct"/>
            <w:shd w:val="clear" w:color="auto" w:fill="auto"/>
            <w:vAlign w:val="center"/>
          </w:tcPr>
          <w:p w14:paraId="32256E5E" w14:textId="77777777" w:rsidR="00D01F67" w:rsidRPr="000F0A57" w:rsidRDefault="00D01F67">
            <w:pPr>
              <w:pStyle w:val="08-Tabelageral"/>
              <w:ind w:left="113"/>
              <w:jc w:val="left"/>
            </w:pPr>
            <w:r w:rsidRPr="000F0A57">
              <w:t>Outras</w:t>
            </w:r>
          </w:p>
        </w:tc>
        <w:tc>
          <w:tcPr>
            <w:tcW w:w="154" w:type="pct"/>
            <w:shd w:val="clear" w:color="auto" w:fill="auto"/>
          </w:tcPr>
          <w:p w14:paraId="6107E1DD" w14:textId="77777777" w:rsidR="00D01F67" w:rsidRPr="003E0B30" w:rsidRDefault="00D01F67">
            <w:pPr>
              <w:pStyle w:val="08-Tabelageral"/>
              <w:ind w:left="113"/>
              <w:jc w:val="left"/>
              <w:rPr>
                <w:color w:val="FF0000"/>
              </w:rPr>
            </w:pPr>
          </w:p>
        </w:tc>
        <w:tc>
          <w:tcPr>
            <w:tcW w:w="732" w:type="pct"/>
            <w:shd w:val="clear" w:color="auto" w:fill="auto"/>
            <w:vAlign w:val="center"/>
          </w:tcPr>
          <w:p w14:paraId="0670D3B3" w14:textId="77777777" w:rsidR="00D01F67" w:rsidRPr="00000E96" w:rsidRDefault="00D01F67">
            <w:pPr>
              <w:pStyle w:val="08-Tabelageral"/>
              <w:ind w:left="113"/>
            </w:pPr>
            <w:r>
              <w:t>7</w:t>
            </w:r>
          </w:p>
        </w:tc>
        <w:tc>
          <w:tcPr>
            <w:tcW w:w="732" w:type="pct"/>
            <w:shd w:val="clear" w:color="auto" w:fill="auto"/>
            <w:vAlign w:val="center"/>
          </w:tcPr>
          <w:p w14:paraId="31762988" w14:textId="77777777" w:rsidR="00D01F67" w:rsidRPr="003E0B30" w:rsidRDefault="00D01F67">
            <w:pPr>
              <w:pStyle w:val="08-Tabelageral"/>
              <w:ind w:left="113"/>
              <w:rPr>
                <w:color w:val="FF0000"/>
              </w:rPr>
            </w:pPr>
            <w:r>
              <w:t>7</w:t>
            </w:r>
          </w:p>
        </w:tc>
        <w:tc>
          <w:tcPr>
            <w:tcW w:w="147" w:type="pct"/>
            <w:shd w:val="clear" w:color="auto" w:fill="auto"/>
            <w:vAlign w:val="center"/>
          </w:tcPr>
          <w:p w14:paraId="1D242664" w14:textId="77777777" w:rsidR="00D01F67" w:rsidRPr="003E0B30" w:rsidRDefault="00D01F67">
            <w:pPr>
              <w:pStyle w:val="08-Tabelageral"/>
              <w:ind w:left="113"/>
              <w:jc w:val="left"/>
              <w:rPr>
                <w:color w:val="FF0000"/>
              </w:rPr>
            </w:pPr>
          </w:p>
        </w:tc>
        <w:tc>
          <w:tcPr>
            <w:tcW w:w="735" w:type="pct"/>
            <w:shd w:val="clear" w:color="auto" w:fill="auto"/>
            <w:vAlign w:val="center"/>
          </w:tcPr>
          <w:p w14:paraId="0EE197F5" w14:textId="77777777" w:rsidR="00D01F67" w:rsidRPr="00A17BFF" w:rsidRDefault="00D01F67">
            <w:pPr>
              <w:pStyle w:val="08-Tabelageral"/>
              <w:ind w:left="113"/>
            </w:pPr>
            <w:r>
              <w:t>7</w:t>
            </w:r>
          </w:p>
        </w:tc>
        <w:tc>
          <w:tcPr>
            <w:tcW w:w="735" w:type="pct"/>
            <w:shd w:val="clear" w:color="auto" w:fill="auto"/>
            <w:vAlign w:val="center"/>
          </w:tcPr>
          <w:p w14:paraId="7F8F4C5F" w14:textId="77777777" w:rsidR="00D01F67" w:rsidRPr="003E0B30" w:rsidRDefault="00D01F67">
            <w:pPr>
              <w:pStyle w:val="08-Tabelageral"/>
              <w:ind w:left="113"/>
              <w:rPr>
                <w:color w:val="FF0000"/>
              </w:rPr>
            </w:pPr>
            <w:r>
              <w:t>7</w:t>
            </w:r>
          </w:p>
        </w:tc>
      </w:tr>
      <w:tr w:rsidR="00D01F67" w:rsidRPr="003E0B30" w14:paraId="039DD6A3" w14:textId="77777777">
        <w:trPr>
          <w:trHeight w:val="238"/>
        </w:trPr>
        <w:tc>
          <w:tcPr>
            <w:tcW w:w="1765" w:type="pct"/>
            <w:shd w:val="clear" w:color="auto" w:fill="auto"/>
            <w:vAlign w:val="center"/>
          </w:tcPr>
          <w:p w14:paraId="22B0F78B" w14:textId="77777777" w:rsidR="00D01F67" w:rsidRPr="000F0A57" w:rsidRDefault="00D01F67">
            <w:pPr>
              <w:pStyle w:val="08-Tabelageral"/>
              <w:jc w:val="left"/>
              <w:rPr>
                <w:b/>
              </w:rPr>
            </w:pPr>
            <w:r w:rsidRPr="000F0A57">
              <w:rPr>
                <w:b/>
              </w:rPr>
              <w:t>Despesas Financeiras</w:t>
            </w:r>
          </w:p>
        </w:tc>
        <w:tc>
          <w:tcPr>
            <w:tcW w:w="154" w:type="pct"/>
            <w:shd w:val="clear" w:color="auto" w:fill="auto"/>
          </w:tcPr>
          <w:p w14:paraId="7A154165" w14:textId="77777777" w:rsidR="00D01F67" w:rsidRPr="003E0B30" w:rsidRDefault="00D01F67">
            <w:pPr>
              <w:pStyle w:val="08-Tabelageral"/>
              <w:jc w:val="center"/>
              <w:rPr>
                <w:rFonts w:cs="Arial"/>
                <w:b/>
                <w:color w:val="FF0000"/>
                <w:szCs w:val="14"/>
              </w:rPr>
            </w:pPr>
          </w:p>
        </w:tc>
        <w:tc>
          <w:tcPr>
            <w:tcW w:w="732" w:type="pct"/>
            <w:shd w:val="clear" w:color="auto" w:fill="auto"/>
            <w:vAlign w:val="center"/>
          </w:tcPr>
          <w:p w14:paraId="1C7ABED9" w14:textId="77777777" w:rsidR="00D01F67" w:rsidRPr="00000E96" w:rsidRDefault="00D01F67">
            <w:pPr>
              <w:pStyle w:val="08-Tabelageral"/>
              <w:rPr>
                <w:b/>
              </w:rPr>
            </w:pPr>
            <w:r>
              <w:rPr>
                <w:b/>
              </w:rPr>
              <w:t>(41.020)</w:t>
            </w:r>
          </w:p>
        </w:tc>
        <w:tc>
          <w:tcPr>
            <w:tcW w:w="732" w:type="pct"/>
            <w:shd w:val="clear" w:color="auto" w:fill="auto"/>
            <w:vAlign w:val="center"/>
          </w:tcPr>
          <w:p w14:paraId="2BF847C0" w14:textId="77777777" w:rsidR="00D01F67" w:rsidRPr="003E0B30" w:rsidRDefault="00D01F67">
            <w:pPr>
              <w:pStyle w:val="08-Tabelageral"/>
              <w:rPr>
                <w:b/>
                <w:color w:val="FF0000"/>
              </w:rPr>
            </w:pPr>
            <w:r>
              <w:rPr>
                <w:b/>
              </w:rPr>
              <w:t>(81.861)</w:t>
            </w:r>
          </w:p>
        </w:tc>
        <w:tc>
          <w:tcPr>
            <w:tcW w:w="147" w:type="pct"/>
            <w:shd w:val="clear" w:color="auto" w:fill="auto"/>
            <w:vAlign w:val="center"/>
          </w:tcPr>
          <w:p w14:paraId="6EE55E13" w14:textId="77777777" w:rsidR="00D01F67" w:rsidRPr="003E0B30" w:rsidRDefault="00D01F67">
            <w:pPr>
              <w:pStyle w:val="08-Tabelageral"/>
              <w:rPr>
                <w:b/>
                <w:color w:val="FF0000"/>
              </w:rPr>
            </w:pPr>
          </w:p>
        </w:tc>
        <w:tc>
          <w:tcPr>
            <w:tcW w:w="735" w:type="pct"/>
            <w:shd w:val="clear" w:color="auto" w:fill="auto"/>
            <w:vAlign w:val="center"/>
          </w:tcPr>
          <w:p w14:paraId="7056EA1F" w14:textId="77777777" w:rsidR="00D01F67" w:rsidRPr="00A17BFF" w:rsidRDefault="00D01F67">
            <w:pPr>
              <w:pStyle w:val="08-Tabelageral"/>
              <w:rPr>
                <w:b/>
              </w:rPr>
            </w:pPr>
            <w:r>
              <w:rPr>
                <w:b/>
              </w:rPr>
              <w:t>(42.638)</w:t>
            </w:r>
          </w:p>
        </w:tc>
        <w:tc>
          <w:tcPr>
            <w:tcW w:w="735" w:type="pct"/>
            <w:shd w:val="clear" w:color="auto" w:fill="auto"/>
            <w:vAlign w:val="center"/>
          </w:tcPr>
          <w:p w14:paraId="5160A4C4" w14:textId="77777777" w:rsidR="00D01F67" w:rsidRPr="003E0B30" w:rsidRDefault="00D01F67">
            <w:pPr>
              <w:pStyle w:val="08-Tabelageral"/>
              <w:rPr>
                <w:b/>
                <w:color w:val="FF0000"/>
              </w:rPr>
            </w:pPr>
            <w:r>
              <w:rPr>
                <w:b/>
              </w:rPr>
              <w:t>(83.388)</w:t>
            </w:r>
          </w:p>
        </w:tc>
      </w:tr>
      <w:tr w:rsidR="00D01F67" w:rsidRPr="003E0B30" w14:paraId="1A1414B7" w14:textId="77777777">
        <w:trPr>
          <w:trHeight w:val="238"/>
        </w:trPr>
        <w:tc>
          <w:tcPr>
            <w:tcW w:w="1765" w:type="pct"/>
            <w:shd w:val="clear" w:color="auto" w:fill="auto"/>
            <w:vAlign w:val="center"/>
          </w:tcPr>
          <w:p w14:paraId="593FE01D" w14:textId="77777777" w:rsidR="00D01F67" w:rsidRPr="000F0A57" w:rsidRDefault="00D01F67">
            <w:pPr>
              <w:pStyle w:val="08-Tabelageral"/>
              <w:ind w:left="113"/>
              <w:jc w:val="left"/>
              <w:rPr>
                <w:b/>
              </w:rPr>
            </w:pPr>
            <w:r w:rsidRPr="000F0A57">
              <w:t>Atualização monetária de dividendo</w:t>
            </w:r>
            <w:r>
              <w:t>s</w:t>
            </w:r>
          </w:p>
        </w:tc>
        <w:tc>
          <w:tcPr>
            <w:tcW w:w="154" w:type="pct"/>
            <w:shd w:val="clear" w:color="auto" w:fill="auto"/>
            <w:vAlign w:val="center"/>
          </w:tcPr>
          <w:p w14:paraId="02859B85" w14:textId="77777777" w:rsidR="00D01F67" w:rsidRPr="003E0B30" w:rsidRDefault="00D01F67">
            <w:pPr>
              <w:pStyle w:val="08-Tabelageral"/>
              <w:jc w:val="center"/>
              <w:rPr>
                <w:rFonts w:cs="Arial"/>
                <w:b/>
                <w:color w:val="FF0000"/>
                <w:szCs w:val="14"/>
              </w:rPr>
            </w:pPr>
          </w:p>
        </w:tc>
        <w:tc>
          <w:tcPr>
            <w:tcW w:w="732" w:type="pct"/>
            <w:shd w:val="clear" w:color="auto" w:fill="auto"/>
            <w:vAlign w:val="center"/>
          </w:tcPr>
          <w:p w14:paraId="5AABEEC5" w14:textId="49F96DD8" w:rsidR="00D01F67" w:rsidRPr="00000E96" w:rsidRDefault="00D01F67">
            <w:pPr>
              <w:pStyle w:val="08-Tabelageral"/>
            </w:pPr>
            <w:r>
              <w:t>(38.3</w:t>
            </w:r>
            <w:r w:rsidR="00287A47">
              <w:t>77</w:t>
            </w:r>
            <w:r>
              <w:t>)</w:t>
            </w:r>
          </w:p>
        </w:tc>
        <w:tc>
          <w:tcPr>
            <w:tcW w:w="732" w:type="pct"/>
            <w:shd w:val="clear" w:color="auto" w:fill="auto"/>
            <w:vAlign w:val="center"/>
          </w:tcPr>
          <w:p w14:paraId="10F3D0EA" w14:textId="77777777" w:rsidR="00D01F67" w:rsidRPr="003E0B30" w:rsidRDefault="00D01F67">
            <w:pPr>
              <w:pStyle w:val="08-Tabelageral"/>
              <w:rPr>
                <w:color w:val="FF0000"/>
              </w:rPr>
            </w:pPr>
            <w:r>
              <w:t>(77.281)</w:t>
            </w:r>
          </w:p>
        </w:tc>
        <w:tc>
          <w:tcPr>
            <w:tcW w:w="147" w:type="pct"/>
            <w:shd w:val="clear" w:color="auto" w:fill="auto"/>
            <w:vAlign w:val="center"/>
          </w:tcPr>
          <w:p w14:paraId="74A26736" w14:textId="77777777" w:rsidR="00D01F67" w:rsidRPr="003E0B30" w:rsidRDefault="00D01F67">
            <w:pPr>
              <w:pStyle w:val="08-Tabelageral"/>
              <w:rPr>
                <w:b/>
                <w:color w:val="FF0000"/>
              </w:rPr>
            </w:pPr>
          </w:p>
        </w:tc>
        <w:tc>
          <w:tcPr>
            <w:tcW w:w="735" w:type="pct"/>
            <w:shd w:val="clear" w:color="auto" w:fill="auto"/>
            <w:vAlign w:val="center"/>
          </w:tcPr>
          <w:p w14:paraId="155E8A64" w14:textId="77777777" w:rsidR="00D01F67" w:rsidRPr="00A17BFF" w:rsidRDefault="00D01F67">
            <w:pPr>
              <w:pStyle w:val="08-Tabelageral"/>
            </w:pPr>
            <w:r>
              <w:t>(38.377)</w:t>
            </w:r>
          </w:p>
        </w:tc>
        <w:tc>
          <w:tcPr>
            <w:tcW w:w="735" w:type="pct"/>
            <w:shd w:val="clear" w:color="auto" w:fill="auto"/>
            <w:vAlign w:val="center"/>
          </w:tcPr>
          <w:p w14:paraId="66EFD6E6" w14:textId="77777777" w:rsidR="00D01F67" w:rsidRPr="003E0B30" w:rsidRDefault="00D01F67">
            <w:pPr>
              <w:pStyle w:val="08-Tabelageral"/>
              <w:rPr>
                <w:color w:val="FF0000"/>
              </w:rPr>
            </w:pPr>
            <w:r>
              <w:t>(77.281)</w:t>
            </w:r>
          </w:p>
        </w:tc>
      </w:tr>
      <w:tr w:rsidR="00D01F67" w:rsidRPr="003E0B30" w14:paraId="18866698" w14:textId="77777777">
        <w:trPr>
          <w:trHeight w:val="238"/>
        </w:trPr>
        <w:tc>
          <w:tcPr>
            <w:tcW w:w="1765" w:type="pct"/>
            <w:shd w:val="clear" w:color="auto" w:fill="auto"/>
            <w:vAlign w:val="center"/>
          </w:tcPr>
          <w:p w14:paraId="0F6B7E2F" w14:textId="77777777" w:rsidR="00D01F67" w:rsidRPr="000F0A57" w:rsidRDefault="00D01F67">
            <w:pPr>
              <w:pStyle w:val="08-Tabelageral"/>
              <w:ind w:left="113"/>
              <w:jc w:val="left"/>
            </w:pPr>
            <w:r w:rsidRPr="000F0A57">
              <w:t>Serviços do sistema financeiro</w:t>
            </w:r>
          </w:p>
        </w:tc>
        <w:tc>
          <w:tcPr>
            <w:tcW w:w="154" w:type="pct"/>
            <w:shd w:val="clear" w:color="auto" w:fill="auto"/>
          </w:tcPr>
          <w:p w14:paraId="29D4926A" w14:textId="77777777" w:rsidR="00D01F67" w:rsidRPr="003E0B30" w:rsidRDefault="00D01F67">
            <w:pPr>
              <w:pStyle w:val="08-Tabelageral"/>
              <w:ind w:left="113"/>
              <w:jc w:val="center"/>
              <w:rPr>
                <w:rFonts w:cs="Arial"/>
                <w:color w:val="FF0000"/>
                <w:szCs w:val="14"/>
              </w:rPr>
            </w:pPr>
          </w:p>
        </w:tc>
        <w:tc>
          <w:tcPr>
            <w:tcW w:w="732" w:type="pct"/>
            <w:shd w:val="clear" w:color="auto" w:fill="auto"/>
            <w:vAlign w:val="center"/>
          </w:tcPr>
          <w:p w14:paraId="5B01AEF8" w14:textId="77777777" w:rsidR="00D01F67" w:rsidRPr="00000E96" w:rsidRDefault="00D01F67">
            <w:pPr>
              <w:pStyle w:val="08-Tabelageral"/>
            </w:pPr>
            <w:r>
              <w:t>(1.280)</w:t>
            </w:r>
          </w:p>
        </w:tc>
        <w:tc>
          <w:tcPr>
            <w:tcW w:w="732" w:type="pct"/>
            <w:shd w:val="clear" w:color="auto" w:fill="auto"/>
            <w:vAlign w:val="center"/>
          </w:tcPr>
          <w:p w14:paraId="6AA23E5A" w14:textId="77777777" w:rsidR="00D01F67" w:rsidRPr="003E0B30" w:rsidRDefault="00D01F67">
            <w:pPr>
              <w:pStyle w:val="08-Tabelageral"/>
              <w:rPr>
                <w:color w:val="FF0000"/>
              </w:rPr>
            </w:pPr>
            <w:r>
              <w:t>(1.510)</w:t>
            </w:r>
          </w:p>
        </w:tc>
        <w:tc>
          <w:tcPr>
            <w:tcW w:w="147" w:type="pct"/>
            <w:shd w:val="clear" w:color="auto" w:fill="auto"/>
            <w:vAlign w:val="center"/>
          </w:tcPr>
          <w:p w14:paraId="6D3EEFDD" w14:textId="77777777" w:rsidR="00D01F67" w:rsidRPr="003E0B30" w:rsidRDefault="00D01F67">
            <w:pPr>
              <w:pStyle w:val="08-Tabelageral"/>
              <w:rPr>
                <w:color w:val="FF0000"/>
              </w:rPr>
            </w:pPr>
          </w:p>
        </w:tc>
        <w:tc>
          <w:tcPr>
            <w:tcW w:w="735" w:type="pct"/>
            <w:shd w:val="clear" w:color="auto" w:fill="auto"/>
            <w:vAlign w:val="center"/>
          </w:tcPr>
          <w:p w14:paraId="2284E414" w14:textId="77777777" w:rsidR="00D01F67" w:rsidRPr="00A17BFF" w:rsidRDefault="00D01F67">
            <w:pPr>
              <w:pStyle w:val="08-Tabelageral"/>
            </w:pPr>
            <w:r>
              <w:t>(1.860)</w:t>
            </w:r>
          </w:p>
        </w:tc>
        <w:tc>
          <w:tcPr>
            <w:tcW w:w="735" w:type="pct"/>
            <w:shd w:val="clear" w:color="auto" w:fill="auto"/>
            <w:vAlign w:val="center"/>
          </w:tcPr>
          <w:p w14:paraId="5F2E913B" w14:textId="77777777" w:rsidR="00D01F67" w:rsidRPr="003E0B30" w:rsidRDefault="00D01F67">
            <w:pPr>
              <w:pStyle w:val="08-Tabelageral"/>
              <w:rPr>
                <w:color w:val="FF0000"/>
              </w:rPr>
            </w:pPr>
            <w:r>
              <w:t>(1.940)</w:t>
            </w:r>
          </w:p>
        </w:tc>
      </w:tr>
      <w:tr w:rsidR="00D01F67" w:rsidRPr="003E0B30" w14:paraId="0AB4C203" w14:textId="77777777">
        <w:trPr>
          <w:trHeight w:val="238"/>
        </w:trPr>
        <w:tc>
          <w:tcPr>
            <w:tcW w:w="1765" w:type="pct"/>
            <w:shd w:val="clear" w:color="auto" w:fill="auto"/>
            <w:vAlign w:val="center"/>
          </w:tcPr>
          <w:p w14:paraId="771A86BE" w14:textId="77777777" w:rsidR="00D01F67" w:rsidRPr="000F0A57" w:rsidRDefault="00D01F67">
            <w:pPr>
              <w:pStyle w:val="08-Tabelageral"/>
              <w:ind w:left="113"/>
              <w:jc w:val="left"/>
            </w:pPr>
            <w:r w:rsidRPr="000F0A57">
              <w:t>Perdas em aplicações financeiras</w:t>
            </w:r>
          </w:p>
        </w:tc>
        <w:tc>
          <w:tcPr>
            <w:tcW w:w="154" w:type="pct"/>
            <w:shd w:val="clear" w:color="auto" w:fill="auto"/>
          </w:tcPr>
          <w:p w14:paraId="4FB029B3" w14:textId="77777777" w:rsidR="00D01F67" w:rsidRPr="003E0B30" w:rsidRDefault="00D01F67">
            <w:pPr>
              <w:pStyle w:val="08-Tabelageral"/>
              <w:ind w:left="113"/>
              <w:jc w:val="center"/>
              <w:rPr>
                <w:rFonts w:cs="Arial"/>
                <w:color w:val="FF0000"/>
                <w:szCs w:val="14"/>
              </w:rPr>
            </w:pPr>
          </w:p>
        </w:tc>
        <w:tc>
          <w:tcPr>
            <w:tcW w:w="732" w:type="pct"/>
            <w:shd w:val="clear" w:color="auto" w:fill="auto"/>
            <w:vAlign w:val="center"/>
          </w:tcPr>
          <w:p w14:paraId="343C897A" w14:textId="77777777" w:rsidR="00D01F67" w:rsidRPr="00000E96" w:rsidRDefault="00D01F67">
            <w:pPr>
              <w:pStyle w:val="08-Tabelageral"/>
            </w:pPr>
            <w:r>
              <w:t>(1.352)</w:t>
            </w:r>
          </w:p>
        </w:tc>
        <w:tc>
          <w:tcPr>
            <w:tcW w:w="732" w:type="pct"/>
            <w:shd w:val="clear" w:color="auto" w:fill="auto"/>
            <w:vAlign w:val="center"/>
          </w:tcPr>
          <w:p w14:paraId="1172D1CF" w14:textId="77777777" w:rsidR="00D01F67" w:rsidRPr="003E0B30" w:rsidRDefault="00D01F67">
            <w:pPr>
              <w:pStyle w:val="08-Tabelageral"/>
              <w:rPr>
                <w:color w:val="FF0000"/>
              </w:rPr>
            </w:pPr>
            <w:r>
              <w:t>(3.070)</w:t>
            </w:r>
          </w:p>
        </w:tc>
        <w:tc>
          <w:tcPr>
            <w:tcW w:w="147" w:type="pct"/>
            <w:shd w:val="clear" w:color="auto" w:fill="auto"/>
            <w:vAlign w:val="center"/>
          </w:tcPr>
          <w:p w14:paraId="7CE7A66C" w14:textId="77777777" w:rsidR="00D01F67" w:rsidRPr="003E0B30" w:rsidRDefault="00D01F67">
            <w:pPr>
              <w:pStyle w:val="08-Tabelageral"/>
              <w:rPr>
                <w:color w:val="FF0000"/>
              </w:rPr>
            </w:pPr>
          </w:p>
        </w:tc>
        <w:tc>
          <w:tcPr>
            <w:tcW w:w="735" w:type="pct"/>
            <w:shd w:val="clear" w:color="auto" w:fill="auto"/>
            <w:vAlign w:val="center"/>
          </w:tcPr>
          <w:p w14:paraId="5DE86E3A" w14:textId="77777777" w:rsidR="00D01F67" w:rsidRPr="00A17BFF" w:rsidRDefault="00D01F67">
            <w:pPr>
              <w:pStyle w:val="08-Tabelageral"/>
            </w:pPr>
            <w:r>
              <w:t>(1.352)</w:t>
            </w:r>
          </w:p>
        </w:tc>
        <w:tc>
          <w:tcPr>
            <w:tcW w:w="735" w:type="pct"/>
            <w:shd w:val="clear" w:color="auto" w:fill="auto"/>
            <w:vAlign w:val="center"/>
          </w:tcPr>
          <w:p w14:paraId="38D97D9D" w14:textId="77777777" w:rsidR="00D01F67" w:rsidRPr="003E0B30" w:rsidRDefault="00D01F67">
            <w:pPr>
              <w:pStyle w:val="08-Tabelageral"/>
              <w:rPr>
                <w:color w:val="FF0000"/>
              </w:rPr>
            </w:pPr>
            <w:r>
              <w:t>(3.070)</w:t>
            </w:r>
          </w:p>
        </w:tc>
      </w:tr>
      <w:tr w:rsidR="00D01F67" w:rsidRPr="003E0B30" w14:paraId="0B7C30D8" w14:textId="77777777">
        <w:trPr>
          <w:trHeight w:val="238"/>
        </w:trPr>
        <w:tc>
          <w:tcPr>
            <w:tcW w:w="1765" w:type="pct"/>
            <w:shd w:val="clear" w:color="auto" w:fill="auto"/>
            <w:vAlign w:val="center"/>
          </w:tcPr>
          <w:p w14:paraId="538395A0" w14:textId="77777777" w:rsidR="00D01F67" w:rsidRDefault="00D01F67">
            <w:pPr>
              <w:pStyle w:val="08-Tabelageral"/>
              <w:ind w:left="113"/>
              <w:jc w:val="left"/>
            </w:pPr>
            <w:r w:rsidRPr="00D9194C">
              <w:rPr>
                <w:rFonts w:cs="Arial"/>
                <w:szCs w:val="14"/>
              </w:rPr>
              <w:t>Reversão de Valor Justo - LFT</w:t>
            </w:r>
          </w:p>
        </w:tc>
        <w:tc>
          <w:tcPr>
            <w:tcW w:w="154" w:type="pct"/>
            <w:shd w:val="clear" w:color="auto" w:fill="auto"/>
          </w:tcPr>
          <w:p w14:paraId="7A0FFF3A" w14:textId="77777777" w:rsidR="00D01F67" w:rsidRPr="003E0B30" w:rsidRDefault="00D01F67">
            <w:pPr>
              <w:pStyle w:val="08-Tabelageral"/>
              <w:ind w:left="113"/>
              <w:jc w:val="center"/>
              <w:rPr>
                <w:rFonts w:cs="Arial"/>
                <w:color w:val="FF0000"/>
                <w:szCs w:val="14"/>
              </w:rPr>
            </w:pPr>
          </w:p>
        </w:tc>
        <w:tc>
          <w:tcPr>
            <w:tcW w:w="732" w:type="pct"/>
            <w:shd w:val="clear" w:color="auto" w:fill="auto"/>
            <w:vAlign w:val="center"/>
          </w:tcPr>
          <w:p w14:paraId="52BF47AF" w14:textId="77777777" w:rsidR="00D01F67" w:rsidRPr="00000E96" w:rsidRDefault="00D01F67">
            <w:pPr>
              <w:pStyle w:val="08-Tabelageral"/>
            </w:pPr>
            <w:r>
              <w:t>--</w:t>
            </w:r>
          </w:p>
        </w:tc>
        <w:tc>
          <w:tcPr>
            <w:tcW w:w="732" w:type="pct"/>
            <w:shd w:val="clear" w:color="auto" w:fill="auto"/>
            <w:vAlign w:val="center"/>
          </w:tcPr>
          <w:p w14:paraId="0F2DE8E8" w14:textId="77777777" w:rsidR="00D01F67" w:rsidRDefault="00D01F67">
            <w:pPr>
              <w:pStyle w:val="08-Tabelageral"/>
              <w:rPr>
                <w:lang w:eastAsia="en-US"/>
              </w:rPr>
            </w:pPr>
            <w:r>
              <w:t>--</w:t>
            </w:r>
          </w:p>
        </w:tc>
        <w:tc>
          <w:tcPr>
            <w:tcW w:w="147" w:type="pct"/>
            <w:shd w:val="clear" w:color="auto" w:fill="auto"/>
            <w:vAlign w:val="center"/>
          </w:tcPr>
          <w:p w14:paraId="6F4CC812" w14:textId="77777777" w:rsidR="00D01F67" w:rsidRPr="003E0B30" w:rsidRDefault="00D01F67">
            <w:pPr>
              <w:pStyle w:val="08-Tabelageral"/>
              <w:rPr>
                <w:color w:val="FF0000"/>
              </w:rPr>
            </w:pPr>
          </w:p>
        </w:tc>
        <w:tc>
          <w:tcPr>
            <w:tcW w:w="735" w:type="pct"/>
            <w:shd w:val="clear" w:color="auto" w:fill="auto"/>
            <w:vAlign w:val="center"/>
          </w:tcPr>
          <w:p w14:paraId="6FA458CA" w14:textId="77777777" w:rsidR="00D01F67" w:rsidRPr="00A17BFF" w:rsidRDefault="00D01F67">
            <w:pPr>
              <w:pStyle w:val="08-Tabelageral"/>
            </w:pPr>
            <w:r>
              <w:t>(1.038)</w:t>
            </w:r>
          </w:p>
        </w:tc>
        <w:tc>
          <w:tcPr>
            <w:tcW w:w="735" w:type="pct"/>
            <w:shd w:val="clear" w:color="auto" w:fill="auto"/>
            <w:vAlign w:val="center"/>
          </w:tcPr>
          <w:p w14:paraId="0EEF4023" w14:textId="77777777" w:rsidR="00D01F67" w:rsidRDefault="00D01F67">
            <w:pPr>
              <w:pStyle w:val="08-Tabelageral"/>
              <w:rPr>
                <w:lang w:eastAsia="en-US"/>
              </w:rPr>
            </w:pPr>
            <w:r>
              <w:t>(1.097)</w:t>
            </w:r>
          </w:p>
        </w:tc>
      </w:tr>
      <w:tr w:rsidR="00D01F67" w:rsidRPr="003E0B30" w14:paraId="1D0084E2" w14:textId="77777777">
        <w:trPr>
          <w:trHeight w:val="238"/>
        </w:trPr>
        <w:tc>
          <w:tcPr>
            <w:tcW w:w="1765" w:type="pct"/>
            <w:shd w:val="clear" w:color="auto" w:fill="auto"/>
            <w:vAlign w:val="center"/>
          </w:tcPr>
          <w:p w14:paraId="366A95CD" w14:textId="77777777" w:rsidR="00D01F67" w:rsidRPr="000F0A57" w:rsidRDefault="00D01F67">
            <w:pPr>
              <w:pStyle w:val="08-Tabelageral"/>
              <w:ind w:left="113"/>
              <w:jc w:val="left"/>
            </w:pPr>
            <w:r w:rsidRPr="002A2238">
              <w:t>Variação Monetária</w:t>
            </w:r>
          </w:p>
        </w:tc>
        <w:tc>
          <w:tcPr>
            <w:tcW w:w="154" w:type="pct"/>
            <w:shd w:val="clear" w:color="auto" w:fill="auto"/>
          </w:tcPr>
          <w:p w14:paraId="3201B051" w14:textId="77777777" w:rsidR="00D01F67" w:rsidRPr="003E0B30" w:rsidRDefault="00D01F67">
            <w:pPr>
              <w:pStyle w:val="08-Tabelageral"/>
              <w:ind w:left="113"/>
              <w:jc w:val="center"/>
              <w:rPr>
                <w:rFonts w:cs="Arial"/>
                <w:color w:val="FF0000"/>
                <w:szCs w:val="14"/>
              </w:rPr>
            </w:pPr>
          </w:p>
        </w:tc>
        <w:tc>
          <w:tcPr>
            <w:tcW w:w="732" w:type="pct"/>
            <w:shd w:val="clear" w:color="auto" w:fill="auto"/>
            <w:vAlign w:val="center"/>
          </w:tcPr>
          <w:p w14:paraId="05D5DAE9" w14:textId="1F1F8F19" w:rsidR="00D01F67" w:rsidRPr="00000E96" w:rsidRDefault="00287A47">
            <w:pPr>
              <w:pStyle w:val="08-Tabelageral"/>
            </w:pPr>
            <w:r>
              <w:t>(11)</w:t>
            </w:r>
          </w:p>
        </w:tc>
        <w:tc>
          <w:tcPr>
            <w:tcW w:w="732" w:type="pct"/>
            <w:shd w:val="clear" w:color="auto" w:fill="auto"/>
            <w:vAlign w:val="center"/>
          </w:tcPr>
          <w:p w14:paraId="783BDB0F" w14:textId="77777777" w:rsidR="00D01F67" w:rsidRPr="004950D0" w:rsidRDefault="00D01F67">
            <w:pPr>
              <w:pStyle w:val="08-Tabelageral"/>
              <w:rPr>
                <w:color w:val="FF0000"/>
              </w:rPr>
            </w:pPr>
            <w:r>
              <w:t>--</w:t>
            </w:r>
          </w:p>
        </w:tc>
        <w:tc>
          <w:tcPr>
            <w:tcW w:w="147" w:type="pct"/>
            <w:shd w:val="clear" w:color="auto" w:fill="auto"/>
            <w:vAlign w:val="center"/>
          </w:tcPr>
          <w:p w14:paraId="2B4FB40E" w14:textId="77777777" w:rsidR="00D01F67" w:rsidRPr="003E0B30" w:rsidRDefault="00D01F67">
            <w:pPr>
              <w:pStyle w:val="08-Tabelageral"/>
              <w:rPr>
                <w:color w:val="FF0000"/>
              </w:rPr>
            </w:pPr>
          </w:p>
        </w:tc>
        <w:tc>
          <w:tcPr>
            <w:tcW w:w="735" w:type="pct"/>
            <w:shd w:val="clear" w:color="auto" w:fill="auto"/>
            <w:vAlign w:val="center"/>
          </w:tcPr>
          <w:p w14:paraId="2BBB3C41" w14:textId="77777777" w:rsidR="00D01F67" w:rsidRPr="00A17BFF" w:rsidRDefault="00D01F67">
            <w:pPr>
              <w:pStyle w:val="08-Tabelageral"/>
            </w:pPr>
            <w:r>
              <w:t>(11)</w:t>
            </w:r>
          </w:p>
        </w:tc>
        <w:tc>
          <w:tcPr>
            <w:tcW w:w="735" w:type="pct"/>
            <w:shd w:val="clear" w:color="auto" w:fill="auto"/>
            <w:vAlign w:val="center"/>
          </w:tcPr>
          <w:p w14:paraId="490341CF" w14:textId="77777777" w:rsidR="00D01F67" w:rsidRPr="004950D0" w:rsidRDefault="00D01F67">
            <w:pPr>
              <w:pStyle w:val="08-Tabelageral"/>
              <w:rPr>
                <w:bCs/>
                <w:color w:val="FF0000"/>
              </w:rPr>
            </w:pPr>
            <w:r>
              <w:t>--</w:t>
            </w:r>
          </w:p>
        </w:tc>
      </w:tr>
      <w:tr w:rsidR="00D01F67" w:rsidRPr="003E0B30" w14:paraId="3CA2206A" w14:textId="77777777">
        <w:trPr>
          <w:trHeight w:val="238"/>
        </w:trPr>
        <w:tc>
          <w:tcPr>
            <w:tcW w:w="1765" w:type="pct"/>
            <w:tcBorders>
              <w:bottom w:val="single" w:sz="2" w:space="0" w:color="1F3864" w:themeColor="accent1" w:themeShade="80"/>
            </w:tcBorders>
            <w:shd w:val="clear" w:color="auto" w:fill="auto"/>
            <w:vAlign w:val="center"/>
          </w:tcPr>
          <w:p w14:paraId="37F68E0C" w14:textId="77777777" w:rsidR="00D01F67" w:rsidRPr="000F0A57" w:rsidRDefault="00D01F67">
            <w:pPr>
              <w:pStyle w:val="08-Tabelageral"/>
              <w:jc w:val="left"/>
              <w:rPr>
                <w:b/>
              </w:rPr>
            </w:pPr>
            <w:r w:rsidRPr="000F0A57">
              <w:rPr>
                <w:b/>
              </w:rPr>
              <w:t>Resultado Financeiro</w:t>
            </w:r>
          </w:p>
        </w:tc>
        <w:tc>
          <w:tcPr>
            <w:tcW w:w="154" w:type="pct"/>
            <w:tcBorders>
              <w:bottom w:val="single" w:sz="2" w:space="0" w:color="1F3864" w:themeColor="accent1" w:themeShade="80"/>
            </w:tcBorders>
            <w:shd w:val="clear" w:color="auto" w:fill="auto"/>
          </w:tcPr>
          <w:p w14:paraId="08B421D4" w14:textId="77777777" w:rsidR="00D01F67" w:rsidRPr="003E0B30" w:rsidRDefault="00D01F67">
            <w:pPr>
              <w:pStyle w:val="08-Tabelageral"/>
              <w:jc w:val="center"/>
              <w:rPr>
                <w:rFonts w:cs="Arial"/>
                <w:b/>
                <w:color w:val="FF0000"/>
                <w:szCs w:val="14"/>
              </w:rPr>
            </w:pPr>
          </w:p>
        </w:tc>
        <w:tc>
          <w:tcPr>
            <w:tcW w:w="732" w:type="pct"/>
            <w:tcBorders>
              <w:bottom w:val="single" w:sz="2" w:space="0" w:color="1F3864" w:themeColor="accent1" w:themeShade="80"/>
            </w:tcBorders>
            <w:shd w:val="clear" w:color="auto" w:fill="auto"/>
            <w:vAlign w:val="center"/>
          </w:tcPr>
          <w:p w14:paraId="01826FBA" w14:textId="77777777" w:rsidR="00D01F67" w:rsidRPr="00000E96" w:rsidRDefault="00D01F67">
            <w:pPr>
              <w:pStyle w:val="08-Tabelageral"/>
              <w:rPr>
                <w:b/>
              </w:rPr>
            </w:pPr>
            <w:r>
              <w:rPr>
                <w:b/>
              </w:rPr>
              <w:t>48.021</w:t>
            </w:r>
          </w:p>
        </w:tc>
        <w:tc>
          <w:tcPr>
            <w:tcW w:w="732" w:type="pct"/>
            <w:tcBorders>
              <w:bottom w:val="single" w:sz="2" w:space="0" w:color="1F3864" w:themeColor="accent1" w:themeShade="80"/>
            </w:tcBorders>
            <w:shd w:val="clear" w:color="auto" w:fill="auto"/>
            <w:vAlign w:val="center"/>
          </w:tcPr>
          <w:p w14:paraId="0404DE68" w14:textId="77777777" w:rsidR="00D01F67" w:rsidRPr="003E0B30" w:rsidRDefault="00D01F67">
            <w:pPr>
              <w:pStyle w:val="08-Tabelageral"/>
              <w:rPr>
                <w:b/>
                <w:color w:val="FF0000"/>
              </w:rPr>
            </w:pPr>
            <w:r>
              <w:rPr>
                <w:b/>
              </w:rPr>
              <w:t>51.039</w:t>
            </w:r>
          </w:p>
        </w:tc>
        <w:tc>
          <w:tcPr>
            <w:tcW w:w="147" w:type="pct"/>
            <w:tcBorders>
              <w:bottom w:val="single" w:sz="2" w:space="0" w:color="1F3864" w:themeColor="accent1" w:themeShade="80"/>
            </w:tcBorders>
            <w:shd w:val="clear" w:color="auto" w:fill="auto"/>
            <w:vAlign w:val="center"/>
          </w:tcPr>
          <w:p w14:paraId="49D4F939" w14:textId="77777777" w:rsidR="00D01F67" w:rsidRPr="003E0B30" w:rsidRDefault="00D01F67">
            <w:pPr>
              <w:pStyle w:val="08-Tabelageral"/>
              <w:rPr>
                <w:b/>
                <w:color w:val="FF0000"/>
              </w:rPr>
            </w:pPr>
          </w:p>
        </w:tc>
        <w:tc>
          <w:tcPr>
            <w:tcW w:w="735" w:type="pct"/>
            <w:tcBorders>
              <w:bottom w:val="single" w:sz="2" w:space="0" w:color="1F3864" w:themeColor="accent1" w:themeShade="80"/>
            </w:tcBorders>
            <w:shd w:val="clear" w:color="auto" w:fill="auto"/>
            <w:vAlign w:val="center"/>
          </w:tcPr>
          <w:p w14:paraId="0A69E2F3" w14:textId="77777777" w:rsidR="00D01F67" w:rsidRPr="00A17BFF" w:rsidRDefault="00D01F67">
            <w:pPr>
              <w:pStyle w:val="08-Tabelageral"/>
              <w:rPr>
                <w:b/>
              </w:rPr>
            </w:pPr>
            <w:r>
              <w:rPr>
                <w:b/>
              </w:rPr>
              <w:t>653.722</w:t>
            </w:r>
          </w:p>
        </w:tc>
        <w:tc>
          <w:tcPr>
            <w:tcW w:w="735" w:type="pct"/>
            <w:tcBorders>
              <w:bottom w:val="single" w:sz="2" w:space="0" w:color="1F3864" w:themeColor="accent1" w:themeShade="80"/>
            </w:tcBorders>
            <w:shd w:val="clear" w:color="auto" w:fill="auto"/>
            <w:vAlign w:val="center"/>
          </w:tcPr>
          <w:p w14:paraId="1B343356" w14:textId="77777777" w:rsidR="00D01F67" w:rsidRPr="004950D0" w:rsidRDefault="00D01F67">
            <w:pPr>
              <w:pStyle w:val="08-Tabelageral"/>
              <w:rPr>
                <w:b/>
                <w:bCs/>
                <w:color w:val="FF0000"/>
              </w:rPr>
            </w:pPr>
            <w:r>
              <w:rPr>
                <w:b/>
              </w:rPr>
              <w:t>587.545</w:t>
            </w:r>
          </w:p>
        </w:tc>
      </w:tr>
    </w:tbl>
    <w:p w14:paraId="32C268DC" w14:textId="77777777" w:rsidR="007D4AB0" w:rsidRPr="000F0A57" w:rsidRDefault="007D4AB0" w:rsidP="00D01F67">
      <w:pPr>
        <w:pStyle w:val="07-Legenda"/>
        <w:rPr>
          <w:rFonts w:cs="Arial"/>
        </w:rPr>
      </w:pPr>
    </w:p>
    <w:p w14:paraId="18D34C00" w14:textId="42C65B49" w:rsidR="007D4AB0" w:rsidRPr="00730D57" w:rsidRDefault="007D4AB0" w:rsidP="00D5649F">
      <w:pPr>
        <w:pStyle w:val="02-TtulodeNota"/>
      </w:pPr>
      <w:bookmarkStart w:id="96" w:name="_Toc189757081"/>
      <w:r w:rsidRPr="00BF2AAF">
        <w:rPr>
          <w:rFonts w:cs="Arial"/>
        </w:rPr>
        <w:t>1</w:t>
      </w:r>
      <w:r w:rsidR="005C6C41" w:rsidRPr="00BF2AAF">
        <w:rPr>
          <w:rFonts w:cs="Arial"/>
        </w:rPr>
        <w:t>5</w:t>
      </w:r>
      <w:r w:rsidRPr="00BF2AAF">
        <w:rPr>
          <w:rFonts w:cs="Arial"/>
        </w:rPr>
        <w:t xml:space="preserve"> – CAIXA E EQUIVALENTES DE CAIXA</w:t>
      </w:r>
      <w:bookmarkEnd w:id="96"/>
    </w:p>
    <w:p w14:paraId="2E7E1729" w14:textId="77777777" w:rsidR="006A666B" w:rsidRDefault="006A666B" w:rsidP="006A666B">
      <w:pPr>
        <w:spacing w:after="0"/>
        <w:jc w:val="right"/>
        <w:rPr>
          <w:rFonts w:ascii="Arial" w:hAnsi="Arial" w:cs="Arial"/>
          <w:b/>
          <w:sz w:val="14"/>
          <w:szCs w:val="14"/>
          <w:lang w:eastAsia="pt-BR"/>
        </w:rPr>
      </w:pPr>
      <w:r w:rsidRPr="00DB20DC">
        <w:rPr>
          <w:rFonts w:ascii="Arial" w:hAnsi="Arial" w:cs="Arial"/>
          <w:b/>
          <w:sz w:val="14"/>
          <w:szCs w:val="14"/>
          <w:lang w:eastAsia="pt-BR"/>
        </w:rPr>
        <w:t>R$ mil</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256"/>
        <w:gridCol w:w="436"/>
        <w:gridCol w:w="1410"/>
        <w:gridCol w:w="1411"/>
        <w:gridCol w:w="283"/>
        <w:gridCol w:w="1426"/>
        <w:gridCol w:w="1417"/>
      </w:tblGrid>
      <w:tr w:rsidR="006A666B" w:rsidRPr="00BC7DA5" w14:paraId="71DE30A5" w14:textId="77777777">
        <w:trPr>
          <w:trHeight w:val="238"/>
        </w:trPr>
        <w:tc>
          <w:tcPr>
            <w:tcW w:w="3256" w:type="dxa"/>
            <w:tcBorders>
              <w:top w:val="single" w:sz="2" w:space="0" w:color="1F3864" w:themeColor="accent1" w:themeShade="80"/>
              <w:bottom w:val="nil"/>
            </w:tcBorders>
            <w:shd w:val="clear" w:color="auto" w:fill="auto"/>
          </w:tcPr>
          <w:p w14:paraId="364B449B" w14:textId="77777777" w:rsidR="006A666B" w:rsidRPr="00BC7DA5" w:rsidRDefault="006A666B">
            <w:pPr>
              <w:keepNext/>
              <w:keepLines/>
              <w:spacing w:after="0"/>
              <w:jc w:val="center"/>
              <w:rPr>
                <w:rFonts w:ascii="Arial" w:hAnsi="Arial" w:cs="Arial"/>
                <w:b/>
                <w:sz w:val="18"/>
                <w:szCs w:val="18"/>
              </w:rPr>
            </w:pPr>
          </w:p>
        </w:tc>
        <w:tc>
          <w:tcPr>
            <w:tcW w:w="436" w:type="dxa"/>
            <w:tcBorders>
              <w:top w:val="single" w:sz="2" w:space="0" w:color="1F3864" w:themeColor="accent1" w:themeShade="80"/>
              <w:bottom w:val="single" w:sz="2" w:space="0" w:color="1F3864" w:themeColor="accent1" w:themeShade="80"/>
            </w:tcBorders>
            <w:shd w:val="clear" w:color="auto" w:fill="auto"/>
          </w:tcPr>
          <w:p w14:paraId="0093B771" w14:textId="77777777" w:rsidR="006A666B" w:rsidRPr="00BC7DA5" w:rsidRDefault="006A666B">
            <w:pPr>
              <w:keepNext/>
              <w:keepLines/>
              <w:spacing w:after="0"/>
              <w:jc w:val="center"/>
              <w:rPr>
                <w:rFonts w:ascii="Arial" w:hAnsi="Arial" w:cs="Arial"/>
                <w:b/>
                <w:sz w:val="18"/>
                <w:szCs w:val="18"/>
              </w:rPr>
            </w:pPr>
          </w:p>
        </w:tc>
        <w:tc>
          <w:tcPr>
            <w:tcW w:w="2821" w:type="dxa"/>
            <w:gridSpan w:val="2"/>
            <w:tcBorders>
              <w:top w:val="single" w:sz="2" w:space="0" w:color="1F3864" w:themeColor="accent1" w:themeShade="80"/>
              <w:bottom w:val="single" w:sz="2" w:space="0" w:color="1F3864" w:themeColor="accent1" w:themeShade="80"/>
            </w:tcBorders>
            <w:shd w:val="clear" w:color="auto" w:fill="auto"/>
            <w:vAlign w:val="center"/>
          </w:tcPr>
          <w:p w14:paraId="3DF12851" w14:textId="77777777" w:rsidR="006A666B" w:rsidRPr="00BC7DA5" w:rsidRDefault="006A666B">
            <w:pPr>
              <w:keepNext/>
              <w:keepLines/>
              <w:spacing w:after="0"/>
              <w:jc w:val="center"/>
              <w:rPr>
                <w:rFonts w:ascii="Arial" w:hAnsi="Arial" w:cs="Arial"/>
                <w:b/>
                <w:sz w:val="14"/>
                <w:szCs w:val="18"/>
              </w:rPr>
            </w:pPr>
            <w:r w:rsidRPr="00BC7DA5">
              <w:rPr>
                <w:rFonts w:ascii="Arial" w:hAnsi="Arial" w:cs="Arial"/>
                <w:b/>
                <w:sz w:val="14"/>
                <w:szCs w:val="18"/>
              </w:rPr>
              <w:t>Controlador</w:t>
            </w:r>
          </w:p>
        </w:tc>
        <w:tc>
          <w:tcPr>
            <w:tcW w:w="283" w:type="dxa"/>
            <w:tcBorders>
              <w:top w:val="single" w:sz="2" w:space="0" w:color="1F3864" w:themeColor="accent1" w:themeShade="80"/>
              <w:bottom w:val="nil"/>
            </w:tcBorders>
            <w:shd w:val="clear" w:color="auto" w:fill="auto"/>
            <w:vAlign w:val="center"/>
          </w:tcPr>
          <w:p w14:paraId="67A48317" w14:textId="77777777" w:rsidR="006A666B" w:rsidRPr="00BC7DA5" w:rsidRDefault="006A666B">
            <w:pPr>
              <w:keepNext/>
              <w:keepLines/>
              <w:spacing w:after="0"/>
              <w:jc w:val="center"/>
              <w:rPr>
                <w:rFonts w:ascii="Arial" w:hAnsi="Arial" w:cs="Arial"/>
                <w:b/>
                <w:sz w:val="18"/>
                <w:szCs w:val="18"/>
              </w:rPr>
            </w:pPr>
          </w:p>
        </w:tc>
        <w:tc>
          <w:tcPr>
            <w:tcW w:w="2843" w:type="dxa"/>
            <w:gridSpan w:val="2"/>
            <w:tcBorders>
              <w:top w:val="single" w:sz="2" w:space="0" w:color="1F3864" w:themeColor="accent1" w:themeShade="80"/>
              <w:bottom w:val="single" w:sz="2" w:space="0" w:color="1F3864" w:themeColor="accent1" w:themeShade="80"/>
            </w:tcBorders>
            <w:shd w:val="clear" w:color="auto" w:fill="auto"/>
            <w:vAlign w:val="center"/>
          </w:tcPr>
          <w:p w14:paraId="2D460297" w14:textId="77777777" w:rsidR="006A666B" w:rsidRPr="00BC7DA5" w:rsidRDefault="006A666B">
            <w:pPr>
              <w:keepNext/>
              <w:keepLines/>
              <w:spacing w:after="0"/>
              <w:jc w:val="center"/>
              <w:rPr>
                <w:rFonts w:ascii="Arial" w:hAnsi="Arial" w:cs="Arial"/>
                <w:b/>
                <w:sz w:val="18"/>
                <w:szCs w:val="18"/>
              </w:rPr>
            </w:pPr>
            <w:r w:rsidRPr="00BC7DA5">
              <w:rPr>
                <w:rFonts w:ascii="Arial" w:hAnsi="Arial" w:cs="Arial"/>
                <w:b/>
                <w:sz w:val="14"/>
                <w:szCs w:val="18"/>
              </w:rPr>
              <w:t>Consolidado</w:t>
            </w:r>
          </w:p>
        </w:tc>
      </w:tr>
      <w:tr w:rsidR="006A666B" w:rsidRPr="00BC7DA5" w14:paraId="0BEFE232" w14:textId="77777777">
        <w:trPr>
          <w:trHeight w:val="238"/>
        </w:trPr>
        <w:tc>
          <w:tcPr>
            <w:tcW w:w="3256" w:type="dxa"/>
            <w:tcBorders>
              <w:top w:val="nil"/>
              <w:bottom w:val="single" w:sz="2" w:space="0" w:color="1F3864" w:themeColor="accent1" w:themeShade="80"/>
            </w:tcBorders>
            <w:shd w:val="clear" w:color="auto" w:fill="auto"/>
          </w:tcPr>
          <w:p w14:paraId="73FD2951" w14:textId="77777777" w:rsidR="006A666B" w:rsidRPr="00BC7DA5" w:rsidRDefault="006A666B">
            <w:pPr>
              <w:pStyle w:val="08-Tabelageral"/>
              <w:rPr>
                <w:rFonts w:cs="Arial"/>
                <w:b/>
              </w:rPr>
            </w:pPr>
          </w:p>
        </w:tc>
        <w:tc>
          <w:tcPr>
            <w:tcW w:w="436" w:type="dxa"/>
            <w:tcBorders>
              <w:top w:val="single" w:sz="2" w:space="0" w:color="1F3864" w:themeColor="accent1" w:themeShade="80"/>
              <w:bottom w:val="single" w:sz="2" w:space="0" w:color="1F3864" w:themeColor="accent1" w:themeShade="80"/>
            </w:tcBorders>
            <w:shd w:val="clear" w:color="auto" w:fill="auto"/>
          </w:tcPr>
          <w:p w14:paraId="52270089" w14:textId="77777777" w:rsidR="006A666B" w:rsidRPr="00BC7DA5" w:rsidRDefault="006A666B">
            <w:pPr>
              <w:pStyle w:val="08-Tabelageral"/>
              <w:rPr>
                <w:rFonts w:cs="Arial"/>
                <w:b/>
              </w:rPr>
            </w:pPr>
          </w:p>
        </w:tc>
        <w:tc>
          <w:tcPr>
            <w:tcW w:w="1410" w:type="dxa"/>
            <w:tcBorders>
              <w:top w:val="single" w:sz="2" w:space="0" w:color="1F3864" w:themeColor="accent1" w:themeShade="80"/>
              <w:bottom w:val="single" w:sz="2" w:space="0" w:color="1F3864" w:themeColor="accent1" w:themeShade="80"/>
            </w:tcBorders>
            <w:shd w:val="clear" w:color="auto" w:fill="auto"/>
            <w:vAlign w:val="center"/>
          </w:tcPr>
          <w:p w14:paraId="3D4C6834" w14:textId="77777777" w:rsidR="006A666B" w:rsidRPr="00BC7DA5" w:rsidRDefault="006A666B">
            <w:pPr>
              <w:pStyle w:val="08-Tabelageral"/>
              <w:rPr>
                <w:rFonts w:cs="Arial"/>
                <w:b/>
              </w:rPr>
            </w:pPr>
            <w:r>
              <w:rPr>
                <w:rFonts w:cs="Arial"/>
                <w:b/>
              </w:rPr>
              <w:t>31</w:t>
            </w:r>
            <w:r w:rsidRPr="00BC7DA5">
              <w:rPr>
                <w:rFonts w:cs="Arial"/>
                <w:b/>
              </w:rPr>
              <w:t>.</w:t>
            </w:r>
            <w:r>
              <w:rPr>
                <w:rFonts w:cs="Arial"/>
                <w:b/>
              </w:rPr>
              <w:t>12</w:t>
            </w:r>
            <w:r w:rsidRPr="00BC7DA5">
              <w:rPr>
                <w:rFonts w:cs="Arial"/>
                <w:b/>
              </w:rPr>
              <w:t>.202</w:t>
            </w:r>
            <w:r>
              <w:rPr>
                <w:rFonts w:cs="Arial"/>
                <w:b/>
              </w:rPr>
              <w:t>4</w:t>
            </w:r>
          </w:p>
        </w:tc>
        <w:tc>
          <w:tcPr>
            <w:tcW w:w="1411" w:type="dxa"/>
            <w:tcBorders>
              <w:top w:val="single" w:sz="2" w:space="0" w:color="1F3864" w:themeColor="accent1" w:themeShade="80"/>
              <w:bottom w:val="single" w:sz="2" w:space="0" w:color="1F3864" w:themeColor="accent1" w:themeShade="80"/>
            </w:tcBorders>
            <w:shd w:val="clear" w:color="auto" w:fill="auto"/>
            <w:vAlign w:val="center"/>
          </w:tcPr>
          <w:p w14:paraId="374663F7" w14:textId="77777777" w:rsidR="006A666B" w:rsidRPr="00BC7DA5" w:rsidRDefault="006A666B">
            <w:pPr>
              <w:pStyle w:val="08-Tabelageral"/>
              <w:rPr>
                <w:rFonts w:cs="Arial"/>
                <w:b/>
              </w:rPr>
            </w:pPr>
            <w:r w:rsidRPr="00BC7DA5">
              <w:rPr>
                <w:rFonts w:cs="Arial"/>
                <w:b/>
              </w:rPr>
              <w:t>31.12.20</w:t>
            </w:r>
            <w:r>
              <w:rPr>
                <w:rFonts w:cs="Arial"/>
                <w:b/>
              </w:rPr>
              <w:t>23</w:t>
            </w:r>
          </w:p>
        </w:tc>
        <w:tc>
          <w:tcPr>
            <w:tcW w:w="283" w:type="dxa"/>
            <w:tcBorders>
              <w:top w:val="nil"/>
              <w:bottom w:val="single" w:sz="2" w:space="0" w:color="1F3864" w:themeColor="accent1" w:themeShade="80"/>
            </w:tcBorders>
            <w:shd w:val="clear" w:color="auto" w:fill="auto"/>
            <w:vAlign w:val="center"/>
          </w:tcPr>
          <w:p w14:paraId="2275C2BD" w14:textId="77777777" w:rsidR="006A666B" w:rsidRPr="00BC7DA5" w:rsidRDefault="006A666B">
            <w:pPr>
              <w:pStyle w:val="08-Tabelageral"/>
              <w:rPr>
                <w:rFonts w:cs="Arial"/>
                <w:b/>
              </w:rPr>
            </w:pPr>
          </w:p>
        </w:tc>
        <w:tc>
          <w:tcPr>
            <w:tcW w:w="1426" w:type="dxa"/>
            <w:tcBorders>
              <w:top w:val="single" w:sz="2" w:space="0" w:color="1F3864" w:themeColor="accent1" w:themeShade="80"/>
              <w:bottom w:val="single" w:sz="2" w:space="0" w:color="1F3864" w:themeColor="accent1" w:themeShade="80"/>
            </w:tcBorders>
            <w:shd w:val="clear" w:color="auto" w:fill="auto"/>
            <w:vAlign w:val="center"/>
          </w:tcPr>
          <w:p w14:paraId="1ABC957E" w14:textId="77777777" w:rsidR="006A666B" w:rsidRPr="00BC7DA5" w:rsidRDefault="006A666B">
            <w:pPr>
              <w:pStyle w:val="08-Tabelageral"/>
              <w:rPr>
                <w:rFonts w:cs="Arial"/>
                <w:b/>
                <w:vertAlign w:val="superscript"/>
              </w:rPr>
            </w:pPr>
            <w:r w:rsidRPr="00BC7DA5">
              <w:rPr>
                <w:rFonts w:cs="Arial"/>
                <w:b/>
              </w:rPr>
              <w:t>3</w:t>
            </w:r>
            <w:r>
              <w:rPr>
                <w:rFonts w:cs="Arial"/>
                <w:b/>
              </w:rPr>
              <w:t>1</w:t>
            </w:r>
            <w:r w:rsidRPr="00BC7DA5">
              <w:rPr>
                <w:rFonts w:cs="Arial"/>
                <w:b/>
              </w:rPr>
              <w:t>.</w:t>
            </w:r>
            <w:r>
              <w:rPr>
                <w:rFonts w:cs="Arial"/>
                <w:b/>
              </w:rPr>
              <w:t>12</w:t>
            </w:r>
            <w:r w:rsidRPr="00BC7DA5">
              <w:rPr>
                <w:rFonts w:cs="Arial"/>
                <w:b/>
              </w:rPr>
              <w:t>.202</w:t>
            </w:r>
            <w:r>
              <w:rPr>
                <w:rFonts w:cs="Arial"/>
                <w:b/>
              </w:rPr>
              <w:t>4</w:t>
            </w:r>
          </w:p>
        </w:tc>
        <w:tc>
          <w:tcPr>
            <w:tcW w:w="1417" w:type="dxa"/>
            <w:tcBorders>
              <w:top w:val="single" w:sz="2" w:space="0" w:color="1F3864" w:themeColor="accent1" w:themeShade="80"/>
              <w:bottom w:val="single" w:sz="2" w:space="0" w:color="1F3864" w:themeColor="accent1" w:themeShade="80"/>
            </w:tcBorders>
            <w:shd w:val="clear" w:color="auto" w:fill="auto"/>
            <w:vAlign w:val="center"/>
          </w:tcPr>
          <w:p w14:paraId="4FBFCB87" w14:textId="77777777" w:rsidR="006A666B" w:rsidRPr="00BC7DA5" w:rsidRDefault="006A666B">
            <w:pPr>
              <w:pStyle w:val="08-Tabelageral"/>
              <w:rPr>
                <w:rFonts w:cs="Arial"/>
                <w:b/>
                <w:vertAlign w:val="superscript"/>
              </w:rPr>
            </w:pPr>
            <w:r w:rsidRPr="00BC7DA5">
              <w:rPr>
                <w:rFonts w:cs="Arial"/>
                <w:b/>
              </w:rPr>
              <w:t>31.12.20</w:t>
            </w:r>
            <w:r>
              <w:rPr>
                <w:rFonts w:cs="Arial"/>
                <w:b/>
              </w:rPr>
              <w:t>23</w:t>
            </w:r>
          </w:p>
        </w:tc>
      </w:tr>
      <w:tr w:rsidR="006A666B" w:rsidRPr="009D0C3F" w14:paraId="6DD072B4" w14:textId="77777777">
        <w:trPr>
          <w:trHeight w:val="238"/>
        </w:trPr>
        <w:tc>
          <w:tcPr>
            <w:tcW w:w="3256" w:type="dxa"/>
            <w:tcBorders>
              <w:top w:val="single" w:sz="2" w:space="0" w:color="1F3864" w:themeColor="accent1" w:themeShade="80"/>
            </w:tcBorders>
            <w:shd w:val="clear" w:color="auto" w:fill="auto"/>
          </w:tcPr>
          <w:p w14:paraId="0CC55E13" w14:textId="77777777" w:rsidR="006A666B" w:rsidRPr="00DB20DC" w:rsidRDefault="006A666B">
            <w:pPr>
              <w:pStyle w:val="08-Tabelageral"/>
              <w:ind w:left="113"/>
              <w:jc w:val="left"/>
              <w:rPr>
                <w:b/>
              </w:rPr>
            </w:pPr>
            <w:r w:rsidRPr="00DB20DC">
              <w:t xml:space="preserve">Caixa </w:t>
            </w:r>
          </w:p>
        </w:tc>
        <w:tc>
          <w:tcPr>
            <w:tcW w:w="436" w:type="dxa"/>
            <w:tcBorders>
              <w:top w:val="single" w:sz="2" w:space="0" w:color="1F3864" w:themeColor="accent1" w:themeShade="80"/>
              <w:bottom w:val="nil"/>
            </w:tcBorders>
            <w:shd w:val="clear" w:color="auto" w:fill="auto"/>
          </w:tcPr>
          <w:p w14:paraId="0AB6C470" w14:textId="77777777" w:rsidR="006A666B" w:rsidRPr="009D0C3F" w:rsidRDefault="006A666B">
            <w:pPr>
              <w:pStyle w:val="08-Tabelageral"/>
              <w:rPr>
                <w:rFonts w:cs="Arial"/>
                <w:b/>
              </w:rPr>
            </w:pPr>
          </w:p>
        </w:tc>
        <w:tc>
          <w:tcPr>
            <w:tcW w:w="1410" w:type="dxa"/>
            <w:tcBorders>
              <w:top w:val="single" w:sz="2" w:space="0" w:color="9CC2E5" w:themeColor="accent5" w:themeTint="99"/>
              <w:bottom w:val="nil"/>
            </w:tcBorders>
          </w:tcPr>
          <w:p w14:paraId="209AC5BF" w14:textId="77777777" w:rsidR="006A666B" w:rsidRPr="00A02918" w:rsidRDefault="006A666B">
            <w:pPr>
              <w:pStyle w:val="08-Tabelageral"/>
            </w:pPr>
            <w:r w:rsidRPr="00A36F49">
              <w:t>471</w:t>
            </w:r>
          </w:p>
        </w:tc>
        <w:tc>
          <w:tcPr>
            <w:tcW w:w="1411" w:type="dxa"/>
            <w:tcBorders>
              <w:top w:val="single" w:sz="2" w:space="0" w:color="9CC2E5" w:themeColor="accent5" w:themeTint="99"/>
              <w:bottom w:val="nil"/>
            </w:tcBorders>
          </w:tcPr>
          <w:p w14:paraId="6CA0E7AE" w14:textId="77777777" w:rsidR="006A666B" w:rsidRPr="00A02918" w:rsidRDefault="006A666B">
            <w:pPr>
              <w:pStyle w:val="08-Tabelageral"/>
            </w:pPr>
            <w:r w:rsidRPr="00ED38A0">
              <w:t>4</w:t>
            </w:r>
            <w:r>
              <w:t>64</w:t>
            </w:r>
          </w:p>
        </w:tc>
        <w:tc>
          <w:tcPr>
            <w:tcW w:w="283" w:type="dxa"/>
            <w:tcBorders>
              <w:top w:val="single" w:sz="2" w:space="0" w:color="1F3864" w:themeColor="accent1" w:themeShade="80"/>
              <w:bottom w:val="nil"/>
            </w:tcBorders>
            <w:shd w:val="clear" w:color="auto" w:fill="auto"/>
            <w:vAlign w:val="center"/>
          </w:tcPr>
          <w:p w14:paraId="73E5005C" w14:textId="77777777" w:rsidR="006A666B" w:rsidRPr="009D0C3F" w:rsidRDefault="006A666B">
            <w:pPr>
              <w:pStyle w:val="08-Tabelageral"/>
              <w:rPr>
                <w:rFonts w:cs="Arial"/>
                <w:b/>
              </w:rPr>
            </w:pPr>
          </w:p>
        </w:tc>
        <w:tc>
          <w:tcPr>
            <w:tcW w:w="1426" w:type="dxa"/>
            <w:tcBorders>
              <w:top w:val="single" w:sz="2" w:space="0" w:color="9CC2E5" w:themeColor="accent5" w:themeTint="99"/>
              <w:bottom w:val="nil"/>
            </w:tcBorders>
          </w:tcPr>
          <w:p w14:paraId="334BB6E5" w14:textId="77777777" w:rsidR="006A666B" w:rsidRPr="00EA2BBD" w:rsidRDefault="006A666B">
            <w:pPr>
              <w:pStyle w:val="08-Tabelageral"/>
              <w:rPr>
                <w:highlight w:val="cyan"/>
              </w:rPr>
            </w:pPr>
            <w:r w:rsidRPr="00A36F49">
              <w:t>5.30</w:t>
            </w:r>
            <w:r>
              <w:t>1</w:t>
            </w:r>
          </w:p>
        </w:tc>
        <w:tc>
          <w:tcPr>
            <w:tcW w:w="1417" w:type="dxa"/>
            <w:tcBorders>
              <w:top w:val="single" w:sz="2" w:space="0" w:color="9CC2E5" w:themeColor="accent5" w:themeTint="99"/>
              <w:bottom w:val="nil"/>
            </w:tcBorders>
          </w:tcPr>
          <w:p w14:paraId="7AB43133" w14:textId="77777777" w:rsidR="006A666B" w:rsidRPr="0057573E" w:rsidRDefault="006A666B">
            <w:pPr>
              <w:pStyle w:val="08-Tabelageral"/>
            </w:pPr>
            <w:r>
              <w:t>5.658</w:t>
            </w:r>
          </w:p>
        </w:tc>
      </w:tr>
      <w:tr w:rsidR="006A666B" w:rsidRPr="00BC7DA5" w14:paraId="2D700F99" w14:textId="77777777">
        <w:trPr>
          <w:trHeight w:val="238"/>
        </w:trPr>
        <w:tc>
          <w:tcPr>
            <w:tcW w:w="3256" w:type="dxa"/>
            <w:tcBorders>
              <w:bottom w:val="nil"/>
            </w:tcBorders>
            <w:shd w:val="clear" w:color="auto" w:fill="auto"/>
          </w:tcPr>
          <w:p w14:paraId="70CD42EC" w14:textId="77777777" w:rsidR="006A666B" w:rsidRPr="00DB20DC" w:rsidRDefault="006A666B">
            <w:pPr>
              <w:pStyle w:val="08-Tabelageral"/>
              <w:ind w:left="113"/>
              <w:jc w:val="left"/>
              <w:rPr>
                <w:b/>
              </w:rPr>
            </w:pPr>
            <w:r w:rsidRPr="00DB20DC">
              <w:t xml:space="preserve">Operações </w:t>
            </w:r>
            <w:r>
              <w:t>c</w:t>
            </w:r>
            <w:r w:rsidRPr="00DB20DC">
              <w:t xml:space="preserve">ompromissadas </w:t>
            </w:r>
            <w:r w:rsidRPr="000704E7">
              <w:rPr>
                <w:vertAlign w:val="superscript"/>
              </w:rPr>
              <w:t>(1)</w:t>
            </w:r>
          </w:p>
        </w:tc>
        <w:tc>
          <w:tcPr>
            <w:tcW w:w="436" w:type="dxa"/>
            <w:tcBorders>
              <w:top w:val="nil"/>
              <w:bottom w:val="nil"/>
            </w:tcBorders>
            <w:shd w:val="clear" w:color="auto" w:fill="auto"/>
          </w:tcPr>
          <w:p w14:paraId="0D8D485B" w14:textId="77777777" w:rsidR="006A666B" w:rsidRPr="00BC7DA5" w:rsidRDefault="006A666B">
            <w:pPr>
              <w:pStyle w:val="08-Tabelageral"/>
              <w:jc w:val="center"/>
              <w:rPr>
                <w:rFonts w:cs="Arial"/>
                <w:szCs w:val="14"/>
              </w:rPr>
            </w:pPr>
          </w:p>
        </w:tc>
        <w:tc>
          <w:tcPr>
            <w:tcW w:w="1410" w:type="dxa"/>
            <w:tcBorders>
              <w:top w:val="nil"/>
              <w:bottom w:val="nil"/>
            </w:tcBorders>
          </w:tcPr>
          <w:p w14:paraId="001D7ED7" w14:textId="77777777" w:rsidR="006A666B" w:rsidRPr="00666448" w:rsidRDefault="006A666B">
            <w:pPr>
              <w:pStyle w:val="08-Tabelageral"/>
            </w:pPr>
            <w:r w:rsidRPr="00A36F49">
              <w:t>335.176</w:t>
            </w:r>
          </w:p>
        </w:tc>
        <w:tc>
          <w:tcPr>
            <w:tcW w:w="1411" w:type="dxa"/>
            <w:tcBorders>
              <w:top w:val="nil"/>
              <w:bottom w:val="nil"/>
            </w:tcBorders>
          </w:tcPr>
          <w:p w14:paraId="06979EEE" w14:textId="77777777" w:rsidR="006A666B" w:rsidRPr="00666448" w:rsidRDefault="006A666B">
            <w:pPr>
              <w:pStyle w:val="08-Tabelageral"/>
            </w:pPr>
            <w:r>
              <w:t>644.606</w:t>
            </w:r>
          </w:p>
        </w:tc>
        <w:tc>
          <w:tcPr>
            <w:tcW w:w="283" w:type="dxa"/>
            <w:tcBorders>
              <w:top w:val="nil"/>
              <w:bottom w:val="nil"/>
            </w:tcBorders>
            <w:shd w:val="clear" w:color="auto" w:fill="auto"/>
            <w:vAlign w:val="center"/>
          </w:tcPr>
          <w:p w14:paraId="01B8B302" w14:textId="77777777" w:rsidR="006A666B" w:rsidRPr="00BC7DA5" w:rsidRDefault="006A666B">
            <w:pPr>
              <w:pStyle w:val="08-Tabelageral"/>
              <w:rPr>
                <w:rFonts w:cs="Arial"/>
                <w:szCs w:val="14"/>
              </w:rPr>
            </w:pPr>
          </w:p>
        </w:tc>
        <w:tc>
          <w:tcPr>
            <w:tcW w:w="1426" w:type="dxa"/>
            <w:tcBorders>
              <w:top w:val="nil"/>
              <w:bottom w:val="nil"/>
            </w:tcBorders>
          </w:tcPr>
          <w:p w14:paraId="25B80B76" w14:textId="77777777" w:rsidR="006A666B" w:rsidRPr="00EA2BBD" w:rsidRDefault="006A666B">
            <w:pPr>
              <w:pStyle w:val="08-Tabelageral"/>
              <w:rPr>
                <w:highlight w:val="cyan"/>
              </w:rPr>
            </w:pPr>
            <w:r w:rsidRPr="00A36F49">
              <w:t>7.784.574</w:t>
            </w:r>
          </w:p>
        </w:tc>
        <w:tc>
          <w:tcPr>
            <w:tcW w:w="1417" w:type="dxa"/>
            <w:tcBorders>
              <w:top w:val="nil"/>
              <w:bottom w:val="nil"/>
            </w:tcBorders>
          </w:tcPr>
          <w:p w14:paraId="209C7638" w14:textId="77777777" w:rsidR="006A666B" w:rsidRPr="0057573E" w:rsidRDefault="006A666B">
            <w:pPr>
              <w:pStyle w:val="08-Tabelageral"/>
            </w:pPr>
            <w:r>
              <w:t>4.747.084</w:t>
            </w:r>
          </w:p>
        </w:tc>
      </w:tr>
      <w:tr w:rsidR="006A666B" w:rsidRPr="00BC7DA5" w14:paraId="1BC82006" w14:textId="77777777">
        <w:trPr>
          <w:trHeight w:val="238"/>
        </w:trPr>
        <w:tc>
          <w:tcPr>
            <w:tcW w:w="3256" w:type="dxa"/>
            <w:tcBorders>
              <w:top w:val="nil"/>
              <w:bottom w:val="single" w:sz="4" w:space="0" w:color="1F3864" w:themeColor="accent1" w:themeShade="80"/>
            </w:tcBorders>
            <w:shd w:val="clear" w:color="auto" w:fill="auto"/>
          </w:tcPr>
          <w:p w14:paraId="3F131E79" w14:textId="77777777" w:rsidR="006A666B" w:rsidRPr="0091717A" w:rsidRDefault="006A666B">
            <w:pPr>
              <w:pStyle w:val="08-Tabelageral"/>
              <w:jc w:val="left"/>
              <w:rPr>
                <w:b/>
              </w:rPr>
            </w:pPr>
            <w:r w:rsidRPr="0091717A">
              <w:rPr>
                <w:b/>
              </w:rPr>
              <w:t xml:space="preserve">Total </w:t>
            </w:r>
          </w:p>
        </w:tc>
        <w:tc>
          <w:tcPr>
            <w:tcW w:w="436" w:type="dxa"/>
            <w:tcBorders>
              <w:top w:val="nil"/>
              <w:bottom w:val="single" w:sz="4" w:space="0" w:color="1F3864" w:themeColor="accent1" w:themeShade="80"/>
            </w:tcBorders>
            <w:shd w:val="clear" w:color="auto" w:fill="auto"/>
          </w:tcPr>
          <w:p w14:paraId="5B84E325" w14:textId="77777777" w:rsidR="006A666B" w:rsidRPr="00BC7DA5" w:rsidRDefault="006A666B">
            <w:pPr>
              <w:pStyle w:val="08-Tabelageral"/>
              <w:jc w:val="center"/>
              <w:rPr>
                <w:rFonts w:cs="Arial"/>
                <w:szCs w:val="14"/>
              </w:rPr>
            </w:pPr>
          </w:p>
        </w:tc>
        <w:tc>
          <w:tcPr>
            <w:tcW w:w="1410" w:type="dxa"/>
            <w:tcBorders>
              <w:top w:val="nil"/>
              <w:bottom w:val="single" w:sz="4" w:space="0" w:color="1F3864" w:themeColor="accent1" w:themeShade="80"/>
            </w:tcBorders>
          </w:tcPr>
          <w:p w14:paraId="140ADE75" w14:textId="77777777" w:rsidR="006A666B" w:rsidRPr="004E2EBF" w:rsidRDefault="006A666B">
            <w:pPr>
              <w:pStyle w:val="08-Tabelageral"/>
              <w:rPr>
                <w:b/>
                <w:bCs/>
              </w:rPr>
            </w:pPr>
            <w:r w:rsidRPr="00A36F49">
              <w:rPr>
                <w:b/>
                <w:bCs/>
              </w:rPr>
              <w:t>335.647</w:t>
            </w:r>
          </w:p>
        </w:tc>
        <w:tc>
          <w:tcPr>
            <w:tcW w:w="1411" w:type="dxa"/>
            <w:tcBorders>
              <w:top w:val="nil"/>
              <w:bottom w:val="single" w:sz="4" w:space="0" w:color="1F3864" w:themeColor="accent1" w:themeShade="80"/>
            </w:tcBorders>
          </w:tcPr>
          <w:p w14:paraId="0004E415" w14:textId="77777777" w:rsidR="006A666B" w:rsidRPr="00732454" w:rsidRDefault="006A666B">
            <w:pPr>
              <w:pStyle w:val="08-Tabelageral"/>
              <w:rPr>
                <w:b/>
                <w:bCs/>
              </w:rPr>
            </w:pPr>
            <w:r>
              <w:rPr>
                <w:b/>
                <w:bCs/>
              </w:rPr>
              <w:t>645.070</w:t>
            </w:r>
          </w:p>
        </w:tc>
        <w:tc>
          <w:tcPr>
            <w:tcW w:w="283" w:type="dxa"/>
            <w:tcBorders>
              <w:top w:val="nil"/>
              <w:bottom w:val="single" w:sz="4" w:space="0" w:color="1F3864" w:themeColor="accent1" w:themeShade="80"/>
            </w:tcBorders>
            <w:shd w:val="clear" w:color="auto" w:fill="auto"/>
            <w:vAlign w:val="center"/>
          </w:tcPr>
          <w:p w14:paraId="56AEA83C" w14:textId="77777777" w:rsidR="006A666B" w:rsidRPr="00BC7DA5" w:rsidRDefault="006A666B">
            <w:pPr>
              <w:pStyle w:val="08-Tabelageral"/>
              <w:rPr>
                <w:rFonts w:cs="Arial"/>
                <w:szCs w:val="14"/>
              </w:rPr>
            </w:pPr>
          </w:p>
        </w:tc>
        <w:tc>
          <w:tcPr>
            <w:tcW w:w="1426" w:type="dxa"/>
            <w:tcBorders>
              <w:top w:val="nil"/>
              <w:bottom w:val="single" w:sz="4" w:space="0" w:color="1F3864" w:themeColor="accent1" w:themeShade="80"/>
            </w:tcBorders>
          </w:tcPr>
          <w:p w14:paraId="0578DEE4" w14:textId="77777777" w:rsidR="006A666B" w:rsidRPr="00517226" w:rsidRDefault="006A666B">
            <w:pPr>
              <w:pStyle w:val="08-Tabelageral"/>
              <w:rPr>
                <w:b/>
                <w:bCs/>
              </w:rPr>
            </w:pPr>
            <w:r w:rsidRPr="00A36F49">
              <w:rPr>
                <w:b/>
                <w:bCs/>
              </w:rPr>
              <w:t>7.789.87</w:t>
            </w:r>
            <w:r>
              <w:rPr>
                <w:b/>
                <w:bCs/>
              </w:rPr>
              <w:t>5</w:t>
            </w:r>
          </w:p>
        </w:tc>
        <w:tc>
          <w:tcPr>
            <w:tcW w:w="1417" w:type="dxa"/>
            <w:tcBorders>
              <w:top w:val="nil"/>
              <w:bottom w:val="single" w:sz="4" w:space="0" w:color="1F3864" w:themeColor="accent1" w:themeShade="80"/>
            </w:tcBorders>
          </w:tcPr>
          <w:p w14:paraId="090B910C" w14:textId="77777777" w:rsidR="006A666B" w:rsidRPr="0091717A" w:rsidRDefault="006A666B">
            <w:pPr>
              <w:pStyle w:val="08-Tabelageral"/>
              <w:rPr>
                <w:b/>
              </w:rPr>
            </w:pPr>
            <w:r>
              <w:rPr>
                <w:b/>
                <w:bCs/>
              </w:rPr>
              <w:t>4.752.742</w:t>
            </w:r>
          </w:p>
        </w:tc>
      </w:tr>
    </w:tbl>
    <w:p w14:paraId="67BB0397" w14:textId="3045D1CC" w:rsidR="006A666B" w:rsidRDefault="006A666B" w:rsidP="002C3B56">
      <w:pPr>
        <w:pStyle w:val="07-Legenda"/>
        <w:numPr>
          <w:ilvl w:val="0"/>
          <w:numId w:val="8"/>
        </w:numPr>
        <w:tabs>
          <w:tab w:val="left" w:pos="0"/>
        </w:tabs>
        <w:rPr>
          <w:rFonts w:cs="Arial"/>
          <w:snapToGrid w:val="0"/>
        </w:rPr>
      </w:pPr>
      <w:r>
        <w:rPr>
          <w:rFonts w:cs="Arial"/>
          <w:snapToGrid w:val="0"/>
        </w:rPr>
        <w:t xml:space="preserve">Referem-se aos investimentos em operações compromissadas junto ao Banco do Brasil S.A. lastreadas em títulos públicos federais com liquidez diária e risco </w:t>
      </w:r>
      <w:r w:rsidRPr="007E56EB">
        <w:rPr>
          <w:rFonts w:cs="Arial"/>
          <w:snapToGrid w:val="0"/>
        </w:rPr>
        <w:t>insignificante</w:t>
      </w:r>
      <w:r>
        <w:rPr>
          <w:rFonts w:cs="Arial"/>
          <w:snapToGrid w:val="0"/>
        </w:rPr>
        <w:t xml:space="preserve"> de mudança de valor justo. </w:t>
      </w:r>
    </w:p>
    <w:p w14:paraId="4BA40336" w14:textId="77777777" w:rsidR="006A666B" w:rsidRPr="006A666B" w:rsidRDefault="006A666B" w:rsidP="006A666B">
      <w:pPr>
        <w:pStyle w:val="07-Legenda"/>
        <w:tabs>
          <w:tab w:val="left" w:pos="0"/>
        </w:tabs>
        <w:ind w:firstLine="0"/>
        <w:rPr>
          <w:rFonts w:cs="Arial"/>
          <w:snapToGrid w:val="0"/>
        </w:rPr>
      </w:pPr>
    </w:p>
    <w:p w14:paraId="0C85B91C" w14:textId="77777777" w:rsidR="006A666B" w:rsidRDefault="006A666B" w:rsidP="006A666B">
      <w:pPr>
        <w:pStyle w:val="05-Textonormal"/>
      </w:pPr>
      <w:bookmarkStart w:id="97" w:name="_Hlk100761253"/>
      <w:r w:rsidRPr="003B1C36">
        <w:t xml:space="preserve">As aplicações financeiras em </w:t>
      </w:r>
      <w:r>
        <w:t>o</w:t>
      </w:r>
      <w:r w:rsidRPr="003B1C36">
        <w:t>perações compromissa</w:t>
      </w:r>
      <w:r>
        <w:t xml:space="preserve">das estão </w:t>
      </w:r>
      <w:r w:rsidRPr="003B1C36">
        <w:t>categorizadas como ativos financeiros pelo valor justo por meio do resultado</w:t>
      </w:r>
      <w:r>
        <w:t xml:space="preserve"> e </w:t>
      </w:r>
      <w:r w:rsidRPr="004B499A">
        <w:t>nível 1</w:t>
      </w:r>
      <w:r>
        <w:t xml:space="preserve"> na </w:t>
      </w:r>
      <w:r w:rsidRPr="004B499A">
        <w:t>hierarquia de valor justo</w:t>
      </w:r>
      <w:r w:rsidRPr="003B1C36">
        <w:t>.</w:t>
      </w:r>
    </w:p>
    <w:bookmarkEnd w:id="97"/>
    <w:p w14:paraId="33CB7E10" w14:textId="77777777" w:rsidR="007D4AB0" w:rsidRDefault="007D4AB0" w:rsidP="00730D57">
      <w:pPr>
        <w:pStyle w:val="02-TtulodeNota"/>
        <w:rPr>
          <w:rFonts w:eastAsiaTheme="majorEastAsia"/>
        </w:rPr>
      </w:pPr>
    </w:p>
    <w:p w14:paraId="06D4088E" w14:textId="77777777" w:rsidR="005C6C41" w:rsidRPr="00BF2AAF" w:rsidRDefault="005C6C41" w:rsidP="00730D57">
      <w:pPr>
        <w:pStyle w:val="02-TtulodeNota"/>
        <w:rPr>
          <w:rFonts w:eastAsiaTheme="majorEastAsia" w:cs="Arial"/>
        </w:rPr>
      </w:pPr>
      <w:bookmarkStart w:id="98" w:name="_Toc146905629"/>
      <w:bookmarkStart w:id="99" w:name="_Toc189757082"/>
      <w:bookmarkStart w:id="100" w:name="OLE_LINK7"/>
      <w:r w:rsidRPr="00BF2AAF">
        <w:rPr>
          <w:rFonts w:eastAsiaTheme="majorEastAsia" w:cs="Arial"/>
        </w:rPr>
        <w:t>16 – INSTRUMENTOS FINANCEIROS</w:t>
      </w:r>
      <w:bookmarkEnd w:id="98"/>
      <w:bookmarkEnd w:id="99"/>
      <w:r w:rsidRPr="00BF2AAF">
        <w:rPr>
          <w:rFonts w:eastAsiaTheme="majorEastAsia" w:cs="Arial"/>
        </w:rPr>
        <w:t xml:space="preserve"> </w:t>
      </w:r>
    </w:p>
    <w:p w14:paraId="5A27A226" w14:textId="77777777" w:rsidR="00D47AF6" w:rsidRDefault="00D47AF6" w:rsidP="002C3B56">
      <w:pPr>
        <w:pStyle w:val="05-Textonormal"/>
        <w:numPr>
          <w:ilvl w:val="0"/>
          <w:numId w:val="9"/>
        </w:numPr>
        <w:ind w:left="357" w:hanging="357"/>
        <w:rPr>
          <w:b/>
          <w:color w:val="1F3864" w:themeColor="accent1" w:themeShade="80"/>
        </w:rPr>
      </w:pPr>
      <w:r w:rsidRPr="004E1680">
        <w:rPr>
          <w:b/>
          <w:color w:val="1F3864" w:themeColor="accent1" w:themeShade="80"/>
        </w:rPr>
        <w:t xml:space="preserve">Ativos Financeiros ao Valor Justo por meio do Resultado </w:t>
      </w:r>
    </w:p>
    <w:p w14:paraId="3D8474A1" w14:textId="77777777" w:rsidR="00D47AF6" w:rsidRPr="005D05E4" w:rsidRDefault="00D47AF6" w:rsidP="00D47AF6">
      <w:pPr>
        <w:pStyle w:val="PargrafodaLista"/>
        <w:spacing w:after="0" w:line="240" w:lineRule="auto"/>
        <w:ind w:left="8856" w:firstLine="348"/>
        <w:jc w:val="center"/>
        <w:rPr>
          <w:rFonts w:ascii="Arial" w:hAnsi="Arial" w:cs="Arial"/>
          <w:b/>
          <w:sz w:val="14"/>
          <w:szCs w:val="14"/>
          <w:lang w:eastAsia="pt-BR"/>
        </w:rPr>
      </w:pPr>
      <w:r w:rsidRPr="005D05E4">
        <w:rPr>
          <w:rFonts w:ascii="Arial" w:hAnsi="Arial" w:cs="Arial"/>
          <w:b/>
          <w:sz w:val="14"/>
          <w:szCs w:val="14"/>
        </w:rPr>
        <w:t>R$ mil</w:t>
      </w: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2165"/>
        <w:gridCol w:w="1093"/>
        <w:gridCol w:w="1093"/>
        <w:gridCol w:w="1093"/>
        <w:gridCol w:w="990"/>
        <w:gridCol w:w="1224"/>
        <w:gridCol w:w="990"/>
        <w:gridCol w:w="991"/>
      </w:tblGrid>
      <w:tr w:rsidR="00D47AF6" w:rsidRPr="00427408" w14:paraId="17F0E68F" w14:textId="77777777">
        <w:trPr>
          <w:trHeight w:val="238"/>
          <w:jc w:val="center"/>
        </w:trPr>
        <w:tc>
          <w:tcPr>
            <w:tcW w:w="9639" w:type="dxa"/>
            <w:gridSpan w:val="8"/>
            <w:tcBorders>
              <w:top w:val="single" w:sz="2" w:space="0" w:color="1F3864" w:themeColor="accent1" w:themeShade="80"/>
              <w:bottom w:val="nil"/>
            </w:tcBorders>
            <w:shd w:val="clear" w:color="auto" w:fill="auto"/>
            <w:noWrap/>
            <w:vAlign w:val="center"/>
          </w:tcPr>
          <w:p w14:paraId="1D7B22C0" w14:textId="77777777" w:rsidR="00D47AF6" w:rsidRPr="00427408" w:rsidRDefault="00D47AF6">
            <w:pPr>
              <w:pStyle w:val="08-Tabelageral"/>
              <w:jc w:val="center"/>
              <w:rPr>
                <w:rFonts w:cs="Arial"/>
                <w:b/>
              </w:rPr>
            </w:pPr>
            <w:bookmarkStart w:id="101" w:name="_Hlk173167920"/>
            <w:r w:rsidRPr="00427408">
              <w:rPr>
                <w:rFonts w:cs="Arial"/>
                <w:b/>
              </w:rPr>
              <w:t>Controlador</w:t>
            </w:r>
          </w:p>
        </w:tc>
      </w:tr>
      <w:tr w:rsidR="00D47AF6" w:rsidRPr="00427408" w14:paraId="2EACAD53" w14:textId="77777777">
        <w:trPr>
          <w:trHeight w:val="238"/>
          <w:jc w:val="center"/>
        </w:trPr>
        <w:tc>
          <w:tcPr>
            <w:tcW w:w="2165" w:type="dxa"/>
            <w:tcBorders>
              <w:top w:val="single" w:sz="2" w:space="0" w:color="1F3864" w:themeColor="accent1" w:themeShade="80"/>
              <w:bottom w:val="nil"/>
            </w:tcBorders>
            <w:shd w:val="clear" w:color="auto" w:fill="auto"/>
            <w:noWrap/>
            <w:vAlign w:val="center"/>
            <w:hideMark/>
          </w:tcPr>
          <w:p w14:paraId="0FC9C861" w14:textId="77777777" w:rsidR="00D47AF6" w:rsidRPr="00427408" w:rsidRDefault="00D47AF6">
            <w:pPr>
              <w:pStyle w:val="08-Tabelageral"/>
              <w:jc w:val="center"/>
              <w:rPr>
                <w:rFonts w:cs="Arial"/>
                <w:b/>
              </w:rPr>
            </w:pPr>
          </w:p>
        </w:tc>
        <w:tc>
          <w:tcPr>
            <w:tcW w:w="2186" w:type="dxa"/>
            <w:gridSpan w:val="2"/>
            <w:tcBorders>
              <w:top w:val="single" w:sz="2" w:space="0" w:color="1F3864" w:themeColor="accent1" w:themeShade="80"/>
              <w:bottom w:val="single" w:sz="2" w:space="0" w:color="1F3864" w:themeColor="accent1" w:themeShade="80"/>
            </w:tcBorders>
            <w:shd w:val="clear" w:color="auto" w:fill="auto"/>
            <w:noWrap/>
            <w:vAlign w:val="center"/>
            <w:hideMark/>
          </w:tcPr>
          <w:p w14:paraId="4B18EF34" w14:textId="77777777" w:rsidR="00D47AF6" w:rsidRPr="00427408" w:rsidRDefault="00D47AF6">
            <w:pPr>
              <w:pStyle w:val="08-Tabelageral"/>
              <w:jc w:val="center"/>
              <w:rPr>
                <w:rFonts w:cs="Arial"/>
                <w:b/>
              </w:rPr>
            </w:pPr>
            <w:r w:rsidRPr="00427408">
              <w:rPr>
                <w:rFonts w:cs="Arial"/>
                <w:b/>
              </w:rPr>
              <w:t>31.12.202</w:t>
            </w:r>
            <w:r>
              <w:rPr>
                <w:rFonts w:cs="Arial"/>
                <w:b/>
              </w:rPr>
              <w:t>3</w:t>
            </w:r>
          </w:p>
        </w:tc>
        <w:tc>
          <w:tcPr>
            <w:tcW w:w="1093" w:type="dxa"/>
            <w:tcBorders>
              <w:top w:val="single" w:sz="2" w:space="0" w:color="1F3864" w:themeColor="accent1" w:themeShade="80"/>
              <w:bottom w:val="single" w:sz="2" w:space="0" w:color="1F3864" w:themeColor="accent1" w:themeShade="80"/>
            </w:tcBorders>
            <w:shd w:val="clear" w:color="auto" w:fill="auto"/>
            <w:noWrap/>
            <w:vAlign w:val="center"/>
            <w:hideMark/>
          </w:tcPr>
          <w:p w14:paraId="169D800D" w14:textId="77777777" w:rsidR="00D47AF6" w:rsidRPr="00427408" w:rsidRDefault="00D47AF6">
            <w:pPr>
              <w:pStyle w:val="08-Tabelageral"/>
              <w:jc w:val="center"/>
              <w:rPr>
                <w:rFonts w:cs="Arial"/>
                <w:b/>
              </w:rPr>
            </w:pPr>
          </w:p>
        </w:tc>
        <w:tc>
          <w:tcPr>
            <w:tcW w:w="990" w:type="dxa"/>
            <w:tcBorders>
              <w:top w:val="single" w:sz="2" w:space="0" w:color="1F3864" w:themeColor="accent1" w:themeShade="80"/>
              <w:bottom w:val="single" w:sz="2" w:space="0" w:color="1F3864" w:themeColor="accent1" w:themeShade="80"/>
            </w:tcBorders>
            <w:shd w:val="clear" w:color="auto" w:fill="auto"/>
            <w:noWrap/>
            <w:vAlign w:val="center"/>
            <w:hideMark/>
          </w:tcPr>
          <w:p w14:paraId="33462440" w14:textId="77777777" w:rsidR="00D47AF6" w:rsidRPr="00427408" w:rsidRDefault="00D47AF6">
            <w:pPr>
              <w:pStyle w:val="08-Tabelageral"/>
              <w:jc w:val="center"/>
              <w:rPr>
                <w:rFonts w:cs="Arial"/>
                <w:b/>
              </w:rPr>
            </w:pPr>
          </w:p>
        </w:tc>
        <w:tc>
          <w:tcPr>
            <w:tcW w:w="1224" w:type="dxa"/>
            <w:tcBorders>
              <w:top w:val="single" w:sz="2" w:space="0" w:color="1F3864" w:themeColor="accent1" w:themeShade="80"/>
              <w:bottom w:val="single" w:sz="2" w:space="0" w:color="1F3864" w:themeColor="accent1" w:themeShade="80"/>
            </w:tcBorders>
            <w:shd w:val="clear" w:color="auto" w:fill="auto"/>
            <w:noWrap/>
            <w:vAlign w:val="center"/>
            <w:hideMark/>
          </w:tcPr>
          <w:p w14:paraId="24E98790" w14:textId="77777777" w:rsidR="00D47AF6" w:rsidRPr="00427408" w:rsidRDefault="00D47AF6">
            <w:pPr>
              <w:pStyle w:val="08-Tabelageral"/>
              <w:jc w:val="center"/>
              <w:rPr>
                <w:rFonts w:cs="Arial"/>
                <w:b/>
              </w:rPr>
            </w:pPr>
          </w:p>
        </w:tc>
        <w:tc>
          <w:tcPr>
            <w:tcW w:w="1981" w:type="dxa"/>
            <w:gridSpan w:val="2"/>
            <w:tcBorders>
              <w:top w:val="single" w:sz="2" w:space="0" w:color="1F3864" w:themeColor="accent1" w:themeShade="80"/>
              <w:bottom w:val="single" w:sz="2" w:space="0" w:color="1F3864" w:themeColor="accent1" w:themeShade="80"/>
            </w:tcBorders>
            <w:shd w:val="clear" w:color="auto" w:fill="auto"/>
            <w:noWrap/>
            <w:vAlign w:val="center"/>
            <w:hideMark/>
          </w:tcPr>
          <w:p w14:paraId="2E0270C3" w14:textId="77777777" w:rsidR="00D47AF6" w:rsidRPr="00427408" w:rsidRDefault="00D47AF6">
            <w:pPr>
              <w:pStyle w:val="08-Tabelageral"/>
              <w:jc w:val="center"/>
              <w:rPr>
                <w:rFonts w:cs="Arial"/>
                <w:b/>
              </w:rPr>
            </w:pPr>
            <w:r w:rsidRPr="00427408">
              <w:rPr>
                <w:rFonts w:cs="Arial"/>
                <w:b/>
              </w:rPr>
              <w:t>3</w:t>
            </w:r>
            <w:r>
              <w:rPr>
                <w:rFonts w:cs="Arial"/>
                <w:b/>
              </w:rPr>
              <w:t>1</w:t>
            </w:r>
            <w:r w:rsidRPr="00427408">
              <w:rPr>
                <w:rFonts w:cs="Arial"/>
                <w:b/>
              </w:rPr>
              <w:t>.</w:t>
            </w:r>
            <w:r>
              <w:rPr>
                <w:rFonts w:cs="Arial"/>
                <w:b/>
              </w:rPr>
              <w:t>12</w:t>
            </w:r>
            <w:r w:rsidRPr="00427408">
              <w:rPr>
                <w:rFonts w:cs="Arial"/>
                <w:b/>
              </w:rPr>
              <w:t>.202</w:t>
            </w:r>
            <w:r>
              <w:rPr>
                <w:rFonts w:cs="Arial"/>
                <w:b/>
              </w:rPr>
              <w:t>4</w:t>
            </w:r>
          </w:p>
        </w:tc>
      </w:tr>
      <w:tr w:rsidR="00D47AF6" w:rsidRPr="00427408" w14:paraId="3E581025" w14:textId="77777777">
        <w:trPr>
          <w:trHeight w:val="238"/>
          <w:jc w:val="center"/>
        </w:trPr>
        <w:tc>
          <w:tcPr>
            <w:tcW w:w="2165" w:type="dxa"/>
            <w:tcBorders>
              <w:top w:val="nil"/>
              <w:bottom w:val="single" w:sz="2" w:space="0" w:color="1F3864" w:themeColor="accent1" w:themeShade="80"/>
            </w:tcBorders>
            <w:shd w:val="clear" w:color="auto" w:fill="auto"/>
            <w:noWrap/>
            <w:vAlign w:val="center"/>
            <w:hideMark/>
          </w:tcPr>
          <w:p w14:paraId="318223BE" w14:textId="77777777" w:rsidR="00D47AF6" w:rsidRPr="00427408" w:rsidRDefault="00D47AF6">
            <w:pPr>
              <w:pStyle w:val="08-Tabelageral"/>
              <w:jc w:val="center"/>
              <w:rPr>
                <w:rFonts w:cs="Arial"/>
                <w:b/>
              </w:rPr>
            </w:pPr>
          </w:p>
        </w:tc>
        <w:tc>
          <w:tcPr>
            <w:tcW w:w="1093" w:type="dxa"/>
            <w:tcBorders>
              <w:top w:val="single" w:sz="2" w:space="0" w:color="1F3864" w:themeColor="accent1" w:themeShade="80"/>
              <w:bottom w:val="single" w:sz="2" w:space="0" w:color="1F3864" w:themeColor="accent1" w:themeShade="80"/>
            </w:tcBorders>
            <w:shd w:val="clear" w:color="auto" w:fill="auto"/>
            <w:vAlign w:val="center"/>
            <w:hideMark/>
          </w:tcPr>
          <w:p w14:paraId="68A1FAA6" w14:textId="77777777" w:rsidR="00D47AF6" w:rsidRPr="00427408" w:rsidRDefault="00D47AF6">
            <w:pPr>
              <w:pStyle w:val="08-Tabelageral"/>
              <w:jc w:val="center"/>
              <w:rPr>
                <w:rFonts w:cs="Arial"/>
                <w:b/>
              </w:rPr>
            </w:pPr>
            <w:r w:rsidRPr="00427408">
              <w:rPr>
                <w:rFonts w:cs="Arial"/>
                <w:b/>
              </w:rPr>
              <w:t>Valor de Custo</w:t>
            </w:r>
          </w:p>
        </w:tc>
        <w:tc>
          <w:tcPr>
            <w:tcW w:w="1093" w:type="dxa"/>
            <w:tcBorders>
              <w:top w:val="single" w:sz="2" w:space="0" w:color="1F3864" w:themeColor="accent1" w:themeShade="80"/>
              <w:bottom w:val="single" w:sz="2" w:space="0" w:color="1F3864" w:themeColor="accent1" w:themeShade="80"/>
            </w:tcBorders>
            <w:shd w:val="clear" w:color="auto" w:fill="auto"/>
            <w:vAlign w:val="center"/>
            <w:hideMark/>
          </w:tcPr>
          <w:p w14:paraId="2919AF36" w14:textId="77777777" w:rsidR="00D47AF6" w:rsidRPr="00427408" w:rsidRDefault="00D47AF6">
            <w:pPr>
              <w:pStyle w:val="08-Tabelageral"/>
              <w:jc w:val="center"/>
              <w:rPr>
                <w:rFonts w:cs="Arial"/>
                <w:b/>
              </w:rPr>
            </w:pPr>
            <w:r w:rsidRPr="00427408">
              <w:rPr>
                <w:rFonts w:cs="Arial"/>
                <w:b/>
              </w:rPr>
              <w:t>Valor Contábil</w:t>
            </w:r>
          </w:p>
        </w:tc>
        <w:tc>
          <w:tcPr>
            <w:tcW w:w="1093" w:type="dxa"/>
            <w:tcBorders>
              <w:top w:val="single" w:sz="2" w:space="0" w:color="1F3864" w:themeColor="accent1" w:themeShade="80"/>
              <w:bottom w:val="single" w:sz="2" w:space="0" w:color="1F3864" w:themeColor="accent1" w:themeShade="80"/>
            </w:tcBorders>
            <w:shd w:val="clear" w:color="auto" w:fill="auto"/>
            <w:vAlign w:val="center"/>
            <w:hideMark/>
          </w:tcPr>
          <w:p w14:paraId="59637C96" w14:textId="77777777" w:rsidR="00D47AF6" w:rsidRPr="00427408" w:rsidRDefault="00D47AF6">
            <w:pPr>
              <w:pStyle w:val="08-Tabelageral"/>
              <w:jc w:val="center"/>
              <w:rPr>
                <w:rFonts w:cs="Arial"/>
                <w:b/>
              </w:rPr>
            </w:pPr>
            <w:r w:rsidRPr="00427408">
              <w:rPr>
                <w:rFonts w:cs="Arial"/>
                <w:b/>
              </w:rPr>
              <w:t>Aplicações</w:t>
            </w:r>
          </w:p>
        </w:tc>
        <w:tc>
          <w:tcPr>
            <w:tcW w:w="990" w:type="dxa"/>
            <w:tcBorders>
              <w:top w:val="single" w:sz="2" w:space="0" w:color="1F3864" w:themeColor="accent1" w:themeShade="80"/>
              <w:bottom w:val="single" w:sz="2" w:space="0" w:color="1F3864" w:themeColor="accent1" w:themeShade="80"/>
            </w:tcBorders>
            <w:shd w:val="clear" w:color="auto" w:fill="auto"/>
            <w:vAlign w:val="center"/>
            <w:hideMark/>
          </w:tcPr>
          <w:p w14:paraId="58AF7BC1" w14:textId="77777777" w:rsidR="00D47AF6" w:rsidRPr="00427408" w:rsidRDefault="00D47AF6">
            <w:pPr>
              <w:pStyle w:val="08-Tabelageral"/>
              <w:jc w:val="center"/>
              <w:rPr>
                <w:rFonts w:cs="Arial"/>
                <w:b/>
              </w:rPr>
            </w:pPr>
            <w:r w:rsidRPr="00427408">
              <w:rPr>
                <w:rFonts w:cs="Arial"/>
                <w:b/>
              </w:rPr>
              <w:t>Resgates</w:t>
            </w:r>
          </w:p>
        </w:tc>
        <w:tc>
          <w:tcPr>
            <w:tcW w:w="1224" w:type="dxa"/>
            <w:tcBorders>
              <w:top w:val="single" w:sz="2" w:space="0" w:color="1F3864" w:themeColor="accent1" w:themeShade="80"/>
              <w:bottom w:val="single" w:sz="2" w:space="0" w:color="1F3864" w:themeColor="accent1" w:themeShade="80"/>
            </w:tcBorders>
            <w:shd w:val="clear" w:color="auto" w:fill="auto"/>
            <w:vAlign w:val="center"/>
            <w:hideMark/>
          </w:tcPr>
          <w:p w14:paraId="5F2B7F37" w14:textId="77777777" w:rsidR="00D47AF6" w:rsidRPr="00427408" w:rsidRDefault="00D47AF6">
            <w:pPr>
              <w:pStyle w:val="08-Tabelageral"/>
              <w:jc w:val="center"/>
              <w:rPr>
                <w:rFonts w:cs="Arial"/>
                <w:b/>
              </w:rPr>
            </w:pPr>
            <w:r w:rsidRPr="00427408">
              <w:rPr>
                <w:rFonts w:cs="Arial"/>
                <w:b/>
              </w:rPr>
              <w:t>Rentabilidade</w:t>
            </w:r>
          </w:p>
        </w:tc>
        <w:tc>
          <w:tcPr>
            <w:tcW w:w="990" w:type="dxa"/>
            <w:tcBorders>
              <w:top w:val="single" w:sz="2" w:space="0" w:color="1F3864" w:themeColor="accent1" w:themeShade="80"/>
              <w:bottom w:val="single" w:sz="2" w:space="0" w:color="1F3864" w:themeColor="accent1" w:themeShade="80"/>
            </w:tcBorders>
            <w:shd w:val="clear" w:color="auto" w:fill="auto"/>
            <w:vAlign w:val="center"/>
            <w:hideMark/>
          </w:tcPr>
          <w:p w14:paraId="22BC5499" w14:textId="77777777" w:rsidR="00D47AF6" w:rsidRPr="00427408" w:rsidRDefault="00D47AF6">
            <w:pPr>
              <w:pStyle w:val="08-Tabelageral"/>
              <w:jc w:val="center"/>
              <w:rPr>
                <w:rFonts w:cs="Arial"/>
                <w:b/>
              </w:rPr>
            </w:pPr>
            <w:r w:rsidRPr="00427408">
              <w:rPr>
                <w:rFonts w:cs="Arial"/>
                <w:b/>
              </w:rPr>
              <w:t>Valor de Custo</w:t>
            </w:r>
          </w:p>
        </w:tc>
        <w:tc>
          <w:tcPr>
            <w:tcW w:w="991" w:type="dxa"/>
            <w:tcBorders>
              <w:top w:val="single" w:sz="2" w:space="0" w:color="1F3864" w:themeColor="accent1" w:themeShade="80"/>
              <w:bottom w:val="single" w:sz="2" w:space="0" w:color="1F3864" w:themeColor="accent1" w:themeShade="80"/>
            </w:tcBorders>
            <w:shd w:val="clear" w:color="auto" w:fill="auto"/>
            <w:vAlign w:val="center"/>
            <w:hideMark/>
          </w:tcPr>
          <w:p w14:paraId="2E062F79" w14:textId="77777777" w:rsidR="00D47AF6" w:rsidRPr="00427408" w:rsidRDefault="00D47AF6">
            <w:pPr>
              <w:pStyle w:val="08-Tabelageral"/>
              <w:jc w:val="center"/>
              <w:rPr>
                <w:rFonts w:cs="Arial"/>
                <w:b/>
              </w:rPr>
            </w:pPr>
            <w:r w:rsidRPr="00427408">
              <w:rPr>
                <w:rFonts w:cs="Arial"/>
                <w:b/>
              </w:rPr>
              <w:t>Valor Contábil</w:t>
            </w:r>
          </w:p>
        </w:tc>
      </w:tr>
      <w:tr w:rsidR="00D47AF6" w:rsidRPr="00427408" w14:paraId="151F0EEC" w14:textId="77777777">
        <w:trPr>
          <w:trHeight w:val="238"/>
          <w:jc w:val="center"/>
        </w:trPr>
        <w:tc>
          <w:tcPr>
            <w:tcW w:w="2165" w:type="dxa"/>
            <w:tcBorders>
              <w:top w:val="single" w:sz="2" w:space="0" w:color="1F3864" w:themeColor="accent1" w:themeShade="80"/>
              <w:bottom w:val="nil"/>
            </w:tcBorders>
            <w:shd w:val="clear" w:color="auto" w:fill="auto"/>
            <w:noWrap/>
            <w:hideMark/>
          </w:tcPr>
          <w:p w14:paraId="53703774" w14:textId="77777777" w:rsidR="00D47AF6" w:rsidRPr="00427408" w:rsidRDefault="00D47AF6">
            <w:pPr>
              <w:pStyle w:val="08-Tabelageral"/>
              <w:ind w:left="113"/>
              <w:jc w:val="left"/>
              <w:rPr>
                <w:rFonts w:cs="Arial"/>
              </w:rPr>
            </w:pPr>
            <w:r w:rsidRPr="00427408">
              <w:rPr>
                <w:rFonts w:cs="Arial"/>
              </w:rPr>
              <w:t xml:space="preserve">Fundo de longo prazo </w:t>
            </w:r>
            <w:r w:rsidRPr="00427408">
              <w:rPr>
                <w:rFonts w:cs="Arial"/>
                <w:vertAlign w:val="superscript"/>
              </w:rPr>
              <w:t>(1)</w:t>
            </w:r>
          </w:p>
        </w:tc>
        <w:tc>
          <w:tcPr>
            <w:tcW w:w="1093" w:type="dxa"/>
            <w:tcBorders>
              <w:top w:val="single" w:sz="2" w:space="0" w:color="1F3864" w:themeColor="accent1" w:themeShade="80"/>
              <w:left w:val="nil"/>
              <w:bottom w:val="nil"/>
              <w:right w:val="nil"/>
            </w:tcBorders>
            <w:shd w:val="clear" w:color="auto" w:fill="auto"/>
            <w:noWrap/>
            <w:hideMark/>
          </w:tcPr>
          <w:p w14:paraId="130C3915" w14:textId="77777777" w:rsidR="00D47AF6" w:rsidRPr="00427408" w:rsidRDefault="00D47AF6">
            <w:pPr>
              <w:pStyle w:val="08-Tabelageral"/>
              <w:rPr>
                <w:rFonts w:cs="Arial"/>
              </w:rPr>
            </w:pPr>
            <w:r w:rsidRPr="00377F23">
              <w:t>15.019</w:t>
            </w:r>
          </w:p>
        </w:tc>
        <w:tc>
          <w:tcPr>
            <w:tcW w:w="1093" w:type="dxa"/>
            <w:tcBorders>
              <w:top w:val="single" w:sz="2" w:space="0" w:color="1F3864" w:themeColor="accent1" w:themeShade="80"/>
              <w:left w:val="nil"/>
              <w:bottom w:val="nil"/>
              <w:right w:val="nil"/>
            </w:tcBorders>
            <w:shd w:val="clear" w:color="auto" w:fill="auto"/>
            <w:noWrap/>
            <w:hideMark/>
          </w:tcPr>
          <w:p w14:paraId="56F6893C" w14:textId="77777777" w:rsidR="00D47AF6" w:rsidRPr="00427408" w:rsidRDefault="00D47AF6">
            <w:pPr>
              <w:pStyle w:val="08-Tabelageral"/>
              <w:rPr>
                <w:rFonts w:cs="Arial"/>
              </w:rPr>
            </w:pPr>
            <w:r w:rsidRPr="00377F23">
              <w:t>21.020</w:t>
            </w:r>
          </w:p>
        </w:tc>
        <w:tc>
          <w:tcPr>
            <w:tcW w:w="1093" w:type="dxa"/>
            <w:tcBorders>
              <w:top w:val="single" w:sz="2" w:space="0" w:color="1F3864" w:themeColor="accent1" w:themeShade="80"/>
              <w:left w:val="nil"/>
              <w:bottom w:val="nil"/>
              <w:right w:val="nil"/>
            </w:tcBorders>
            <w:shd w:val="clear" w:color="auto" w:fill="auto"/>
            <w:noWrap/>
          </w:tcPr>
          <w:p w14:paraId="4AFB9BE3" w14:textId="77777777" w:rsidR="00D47AF6" w:rsidRPr="00427408" w:rsidRDefault="00D47AF6">
            <w:pPr>
              <w:pStyle w:val="08-Tabelageral"/>
              <w:rPr>
                <w:rFonts w:cs="Arial"/>
              </w:rPr>
            </w:pPr>
            <w:r w:rsidRPr="00C02273">
              <w:rPr>
                <w:rFonts w:cs="Arial"/>
              </w:rPr>
              <w:t>6.193</w:t>
            </w:r>
          </w:p>
        </w:tc>
        <w:tc>
          <w:tcPr>
            <w:tcW w:w="990" w:type="dxa"/>
            <w:tcBorders>
              <w:top w:val="single" w:sz="2" w:space="0" w:color="1F3864" w:themeColor="accent1" w:themeShade="80"/>
              <w:left w:val="nil"/>
              <w:bottom w:val="nil"/>
              <w:right w:val="nil"/>
            </w:tcBorders>
            <w:shd w:val="clear" w:color="auto" w:fill="auto"/>
            <w:noWrap/>
          </w:tcPr>
          <w:p w14:paraId="31982C2E" w14:textId="77777777" w:rsidR="00D47AF6" w:rsidRPr="00427408" w:rsidRDefault="00D47AF6">
            <w:pPr>
              <w:pStyle w:val="08-Tabelageral"/>
              <w:rPr>
                <w:rFonts w:cs="Arial"/>
              </w:rPr>
            </w:pPr>
            <w:r>
              <w:t>(</w:t>
            </w:r>
            <w:r w:rsidRPr="00C02273">
              <w:t>1.165</w:t>
            </w:r>
            <w:r>
              <w:t>)</w:t>
            </w:r>
          </w:p>
        </w:tc>
        <w:tc>
          <w:tcPr>
            <w:tcW w:w="1224" w:type="dxa"/>
            <w:tcBorders>
              <w:top w:val="single" w:sz="2" w:space="0" w:color="1F3864" w:themeColor="accent1" w:themeShade="80"/>
              <w:left w:val="nil"/>
              <w:bottom w:val="nil"/>
              <w:right w:val="nil"/>
            </w:tcBorders>
            <w:shd w:val="clear" w:color="auto" w:fill="auto"/>
            <w:noWrap/>
          </w:tcPr>
          <w:p w14:paraId="35E3BCF3" w14:textId="77777777" w:rsidR="00D47AF6" w:rsidRPr="00427408" w:rsidRDefault="00D47AF6">
            <w:pPr>
              <w:pStyle w:val="08-Tabelageral"/>
              <w:rPr>
                <w:rFonts w:cs="Arial"/>
              </w:rPr>
            </w:pPr>
            <w:r w:rsidRPr="00C02273">
              <w:t>2.73</w:t>
            </w:r>
            <w:r>
              <w:t>5</w:t>
            </w:r>
          </w:p>
        </w:tc>
        <w:tc>
          <w:tcPr>
            <w:tcW w:w="990" w:type="dxa"/>
            <w:tcBorders>
              <w:top w:val="single" w:sz="2" w:space="0" w:color="1F3864" w:themeColor="accent1" w:themeShade="80"/>
              <w:left w:val="nil"/>
              <w:bottom w:val="nil"/>
              <w:right w:val="nil"/>
            </w:tcBorders>
            <w:shd w:val="clear" w:color="auto" w:fill="auto"/>
            <w:noWrap/>
          </w:tcPr>
          <w:p w14:paraId="7CD480C1" w14:textId="77777777" w:rsidR="00D47AF6" w:rsidRPr="00427408" w:rsidRDefault="00D47AF6">
            <w:pPr>
              <w:pStyle w:val="08-Tabelageral"/>
              <w:rPr>
                <w:rFonts w:cs="Arial"/>
              </w:rPr>
            </w:pPr>
            <w:r w:rsidRPr="00C02273">
              <w:t>20.048</w:t>
            </w:r>
          </w:p>
        </w:tc>
        <w:tc>
          <w:tcPr>
            <w:tcW w:w="991" w:type="dxa"/>
            <w:tcBorders>
              <w:top w:val="single" w:sz="2" w:space="0" w:color="1F3864" w:themeColor="accent1" w:themeShade="80"/>
              <w:left w:val="nil"/>
              <w:bottom w:val="nil"/>
              <w:right w:val="nil"/>
            </w:tcBorders>
            <w:shd w:val="clear" w:color="auto" w:fill="auto"/>
            <w:noWrap/>
          </w:tcPr>
          <w:p w14:paraId="7F5C5B14" w14:textId="77777777" w:rsidR="00D47AF6" w:rsidRPr="002A2F48" w:rsidRDefault="00D47AF6">
            <w:pPr>
              <w:pStyle w:val="08-Tabelageral"/>
              <w:rPr>
                <w:rFonts w:cs="Arial"/>
              </w:rPr>
            </w:pPr>
            <w:r w:rsidRPr="00C02273">
              <w:t>28.783</w:t>
            </w:r>
          </w:p>
        </w:tc>
      </w:tr>
      <w:tr w:rsidR="00D47AF6" w:rsidRPr="00427408" w14:paraId="0F8B55EC" w14:textId="77777777">
        <w:trPr>
          <w:trHeight w:val="66"/>
          <w:jc w:val="center"/>
        </w:trPr>
        <w:tc>
          <w:tcPr>
            <w:tcW w:w="2165" w:type="dxa"/>
            <w:tcBorders>
              <w:top w:val="nil"/>
              <w:bottom w:val="single" w:sz="2" w:space="0" w:color="1F3864" w:themeColor="accent1" w:themeShade="80"/>
            </w:tcBorders>
            <w:shd w:val="clear" w:color="auto" w:fill="auto"/>
            <w:noWrap/>
            <w:hideMark/>
          </w:tcPr>
          <w:p w14:paraId="638C2290" w14:textId="77777777" w:rsidR="00D47AF6" w:rsidRPr="00427408" w:rsidRDefault="00D47AF6">
            <w:pPr>
              <w:pStyle w:val="08-Tabelageral"/>
              <w:jc w:val="left"/>
              <w:rPr>
                <w:rFonts w:cs="Arial"/>
                <w:b/>
              </w:rPr>
            </w:pPr>
            <w:r w:rsidRPr="00427408">
              <w:rPr>
                <w:rFonts w:cs="Arial"/>
                <w:b/>
              </w:rPr>
              <w:t>Total</w:t>
            </w:r>
          </w:p>
        </w:tc>
        <w:tc>
          <w:tcPr>
            <w:tcW w:w="1093" w:type="dxa"/>
            <w:tcBorders>
              <w:top w:val="nil"/>
              <w:left w:val="nil"/>
              <w:bottom w:val="single" w:sz="2" w:space="0" w:color="1F3864" w:themeColor="accent1" w:themeShade="80"/>
              <w:right w:val="nil"/>
            </w:tcBorders>
            <w:shd w:val="clear" w:color="auto" w:fill="auto"/>
            <w:noWrap/>
            <w:hideMark/>
          </w:tcPr>
          <w:p w14:paraId="1216DC4F" w14:textId="77777777" w:rsidR="00D47AF6" w:rsidRPr="00480CA9" w:rsidRDefault="00D47AF6">
            <w:pPr>
              <w:pStyle w:val="08-Tabelageral"/>
              <w:rPr>
                <w:rFonts w:cs="Arial"/>
                <w:b/>
                <w:bCs/>
              </w:rPr>
            </w:pPr>
            <w:r w:rsidRPr="00480CA9">
              <w:rPr>
                <w:b/>
                <w:bCs/>
              </w:rPr>
              <w:t>15.019</w:t>
            </w:r>
          </w:p>
        </w:tc>
        <w:tc>
          <w:tcPr>
            <w:tcW w:w="1093" w:type="dxa"/>
            <w:tcBorders>
              <w:top w:val="nil"/>
              <w:left w:val="nil"/>
              <w:bottom w:val="single" w:sz="2" w:space="0" w:color="1F3864" w:themeColor="accent1" w:themeShade="80"/>
              <w:right w:val="nil"/>
            </w:tcBorders>
            <w:shd w:val="clear" w:color="auto" w:fill="auto"/>
            <w:noWrap/>
            <w:hideMark/>
          </w:tcPr>
          <w:p w14:paraId="120E8F0E" w14:textId="77777777" w:rsidR="00D47AF6" w:rsidRPr="00480CA9" w:rsidRDefault="00D47AF6">
            <w:pPr>
              <w:pStyle w:val="08-Tabelageral"/>
              <w:rPr>
                <w:rFonts w:cs="Arial"/>
                <w:b/>
                <w:bCs/>
              </w:rPr>
            </w:pPr>
            <w:r w:rsidRPr="00480CA9">
              <w:rPr>
                <w:b/>
                <w:bCs/>
              </w:rPr>
              <w:t>21.020</w:t>
            </w:r>
          </w:p>
        </w:tc>
        <w:tc>
          <w:tcPr>
            <w:tcW w:w="1093" w:type="dxa"/>
            <w:tcBorders>
              <w:top w:val="nil"/>
              <w:left w:val="nil"/>
              <w:bottom w:val="single" w:sz="2" w:space="0" w:color="1F3864" w:themeColor="accent1" w:themeShade="80"/>
              <w:right w:val="nil"/>
            </w:tcBorders>
            <w:shd w:val="clear" w:color="auto" w:fill="auto"/>
            <w:noWrap/>
          </w:tcPr>
          <w:p w14:paraId="5392C315" w14:textId="77777777" w:rsidR="00D47AF6" w:rsidRPr="00480CA9" w:rsidRDefault="00D47AF6">
            <w:pPr>
              <w:pStyle w:val="08-Tabelageral"/>
              <w:rPr>
                <w:rFonts w:cs="Arial"/>
                <w:b/>
                <w:bCs/>
              </w:rPr>
            </w:pPr>
            <w:r w:rsidRPr="00410513">
              <w:rPr>
                <w:b/>
                <w:bCs/>
              </w:rPr>
              <w:t>6.193</w:t>
            </w:r>
          </w:p>
        </w:tc>
        <w:tc>
          <w:tcPr>
            <w:tcW w:w="990" w:type="dxa"/>
            <w:tcBorders>
              <w:top w:val="nil"/>
              <w:left w:val="nil"/>
              <w:bottom w:val="single" w:sz="2" w:space="0" w:color="1F3864" w:themeColor="accent1" w:themeShade="80"/>
              <w:right w:val="nil"/>
            </w:tcBorders>
            <w:shd w:val="clear" w:color="auto" w:fill="auto"/>
            <w:noWrap/>
          </w:tcPr>
          <w:p w14:paraId="4052E2E8" w14:textId="77777777" w:rsidR="00D47AF6" w:rsidRPr="00480CA9" w:rsidRDefault="00D47AF6">
            <w:pPr>
              <w:pStyle w:val="08-Tabelageral"/>
              <w:rPr>
                <w:rFonts w:cs="Arial"/>
                <w:b/>
                <w:bCs/>
              </w:rPr>
            </w:pPr>
            <w:r>
              <w:rPr>
                <w:b/>
                <w:bCs/>
              </w:rPr>
              <w:t>(</w:t>
            </w:r>
            <w:r w:rsidRPr="00480CA9">
              <w:rPr>
                <w:b/>
                <w:bCs/>
              </w:rPr>
              <w:t>1.165</w:t>
            </w:r>
            <w:r>
              <w:rPr>
                <w:b/>
                <w:bCs/>
              </w:rPr>
              <w:t>)</w:t>
            </w:r>
          </w:p>
        </w:tc>
        <w:tc>
          <w:tcPr>
            <w:tcW w:w="1224" w:type="dxa"/>
            <w:tcBorders>
              <w:top w:val="nil"/>
              <w:left w:val="nil"/>
              <w:bottom w:val="single" w:sz="2" w:space="0" w:color="1F3864" w:themeColor="accent1" w:themeShade="80"/>
              <w:right w:val="nil"/>
            </w:tcBorders>
            <w:shd w:val="clear" w:color="auto" w:fill="auto"/>
            <w:noWrap/>
          </w:tcPr>
          <w:p w14:paraId="46D7B5CC" w14:textId="77777777" w:rsidR="00D47AF6" w:rsidRPr="00480CA9" w:rsidRDefault="00D47AF6">
            <w:pPr>
              <w:pStyle w:val="08-Tabelageral"/>
              <w:rPr>
                <w:rFonts w:cs="Arial"/>
                <w:b/>
                <w:bCs/>
              </w:rPr>
            </w:pPr>
            <w:r w:rsidRPr="00C02273">
              <w:rPr>
                <w:b/>
                <w:bCs/>
              </w:rPr>
              <w:t>2.73</w:t>
            </w:r>
            <w:r>
              <w:rPr>
                <w:b/>
                <w:bCs/>
              </w:rPr>
              <w:t>5</w:t>
            </w:r>
          </w:p>
        </w:tc>
        <w:tc>
          <w:tcPr>
            <w:tcW w:w="990" w:type="dxa"/>
            <w:tcBorders>
              <w:top w:val="nil"/>
              <w:left w:val="nil"/>
              <w:bottom w:val="single" w:sz="2" w:space="0" w:color="1F3864" w:themeColor="accent1" w:themeShade="80"/>
              <w:right w:val="nil"/>
            </w:tcBorders>
            <w:shd w:val="clear" w:color="auto" w:fill="auto"/>
            <w:noWrap/>
          </w:tcPr>
          <w:p w14:paraId="5C6632F1" w14:textId="77777777" w:rsidR="00D47AF6" w:rsidRPr="00480CA9" w:rsidRDefault="00D47AF6">
            <w:pPr>
              <w:pStyle w:val="08-Tabelageral"/>
              <w:rPr>
                <w:rFonts w:cs="Arial"/>
                <w:b/>
                <w:bCs/>
              </w:rPr>
            </w:pPr>
            <w:r w:rsidRPr="00C02273">
              <w:rPr>
                <w:b/>
                <w:bCs/>
              </w:rPr>
              <w:t>20.048</w:t>
            </w:r>
          </w:p>
        </w:tc>
        <w:tc>
          <w:tcPr>
            <w:tcW w:w="991" w:type="dxa"/>
            <w:tcBorders>
              <w:top w:val="nil"/>
              <w:left w:val="nil"/>
              <w:bottom w:val="single" w:sz="2" w:space="0" w:color="1F3864" w:themeColor="accent1" w:themeShade="80"/>
              <w:right w:val="nil"/>
            </w:tcBorders>
            <w:shd w:val="clear" w:color="auto" w:fill="auto"/>
            <w:noWrap/>
          </w:tcPr>
          <w:p w14:paraId="57BD2D9A" w14:textId="77777777" w:rsidR="00D47AF6" w:rsidRPr="00480CA9" w:rsidRDefault="00D47AF6">
            <w:pPr>
              <w:pStyle w:val="08-Tabelageral"/>
              <w:rPr>
                <w:rFonts w:cs="Arial"/>
                <w:b/>
                <w:bCs/>
              </w:rPr>
            </w:pPr>
            <w:r w:rsidRPr="00C02273">
              <w:rPr>
                <w:b/>
                <w:bCs/>
              </w:rPr>
              <w:t>28.783</w:t>
            </w:r>
          </w:p>
        </w:tc>
      </w:tr>
      <w:bookmarkEnd w:id="101"/>
    </w:tbl>
    <w:p w14:paraId="6F6C0491" w14:textId="77777777" w:rsidR="00D47AF6" w:rsidRDefault="00D47AF6" w:rsidP="00D47AF6">
      <w:pPr>
        <w:spacing w:after="0" w:line="240" w:lineRule="auto"/>
        <w:jc w:val="right"/>
        <w:rPr>
          <w:rFonts w:ascii="Arial" w:hAnsi="Arial" w:cs="Arial"/>
          <w:b/>
          <w:sz w:val="14"/>
          <w:szCs w:val="14"/>
        </w:rPr>
      </w:pPr>
    </w:p>
    <w:p w14:paraId="1DF8139B" w14:textId="77777777" w:rsidR="00D47AF6" w:rsidRPr="00661FB1" w:rsidRDefault="00D47AF6" w:rsidP="00D47AF6">
      <w:pPr>
        <w:spacing w:after="0" w:line="240" w:lineRule="auto"/>
        <w:jc w:val="right"/>
        <w:rPr>
          <w:rFonts w:ascii="Arial" w:hAnsi="Arial" w:cs="Arial"/>
          <w:b/>
          <w:sz w:val="14"/>
          <w:szCs w:val="14"/>
          <w:lang w:eastAsia="pt-BR"/>
        </w:rPr>
      </w:pPr>
      <w:bookmarkStart w:id="102" w:name="_Hlk173167942"/>
      <w:r w:rsidRPr="00661FB1">
        <w:rPr>
          <w:rFonts w:ascii="Arial" w:hAnsi="Arial" w:cs="Arial"/>
          <w:b/>
          <w:sz w:val="14"/>
          <w:szCs w:val="14"/>
        </w:rPr>
        <w:t>R$ mil</w:t>
      </w:r>
    </w:p>
    <w:tbl>
      <w:tblPr>
        <w:tblW w:w="9639" w:type="dxa"/>
        <w:jc w:val="center"/>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955"/>
        <w:gridCol w:w="888"/>
        <w:gridCol w:w="851"/>
        <w:gridCol w:w="850"/>
        <w:gridCol w:w="1418"/>
        <w:gridCol w:w="992"/>
        <w:gridCol w:w="850"/>
        <w:gridCol w:w="1134"/>
        <w:gridCol w:w="832"/>
        <w:gridCol w:w="869"/>
      </w:tblGrid>
      <w:tr w:rsidR="00D47AF6" w:rsidRPr="00427408" w14:paraId="3DDD4E14" w14:textId="77777777">
        <w:trPr>
          <w:trHeight w:val="238"/>
          <w:jc w:val="center"/>
        </w:trPr>
        <w:tc>
          <w:tcPr>
            <w:tcW w:w="955" w:type="dxa"/>
            <w:tcBorders>
              <w:top w:val="single" w:sz="2" w:space="0" w:color="1F3864" w:themeColor="accent1" w:themeShade="80"/>
              <w:bottom w:val="nil"/>
            </w:tcBorders>
          </w:tcPr>
          <w:p w14:paraId="5114EE8F" w14:textId="77777777" w:rsidR="00D47AF6" w:rsidRPr="00427408" w:rsidRDefault="00D47AF6">
            <w:pPr>
              <w:pStyle w:val="08-Tabelageral"/>
              <w:jc w:val="center"/>
              <w:rPr>
                <w:rFonts w:cs="Arial"/>
                <w:b/>
              </w:rPr>
            </w:pPr>
          </w:p>
        </w:tc>
        <w:tc>
          <w:tcPr>
            <w:tcW w:w="8684" w:type="dxa"/>
            <w:gridSpan w:val="9"/>
            <w:tcBorders>
              <w:top w:val="single" w:sz="2" w:space="0" w:color="1F3864" w:themeColor="accent1" w:themeShade="80"/>
              <w:bottom w:val="nil"/>
            </w:tcBorders>
            <w:shd w:val="clear" w:color="auto" w:fill="auto"/>
            <w:noWrap/>
            <w:vAlign w:val="center"/>
          </w:tcPr>
          <w:p w14:paraId="2B10C834" w14:textId="77777777" w:rsidR="00D47AF6" w:rsidRPr="00427408" w:rsidRDefault="00D47AF6">
            <w:pPr>
              <w:pStyle w:val="08-Tabelageral"/>
              <w:jc w:val="center"/>
              <w:rPr>
                <w:rFonts w:cs="Arial"/>
                <w:b/>
              </w:rPr>
            </w:pPr>
            <w:r w:rsidRPr="00427408">
              <w:rPr>
                <w:rFonts w:cs="Arial"/>
                <w:b/>
              </w:rPr>
              <w:t>Consolidado</w:t>
            </w:r>
          </w:p>
        </w:tc>
      </w:tr>
      <w:tr w:rsidR="00D47AF6" w:rsidRPr="00427408" w14:paraId="668810AA" w14:textId="77777777">
        <w:trPr>
          <w:trHeight w:val="238"/>
          <w:jc w:val="center"/>
        </w:trPr>
        <w:tc>
          <w:tcPr>
            <w:tcW w:w="1843" w:type="dxa"/>
            <w:gridSpan w:val="2"/>
            <w:tcBorders>
              <w:top w:val="single" w:sz="2" w:space="0" w:color="1F3864" w:themeColor="accent1" w:themeShade="80"/>
              <w:bottom w:val="nil"/>
            </w:tcBorders>
            <w:shd w:val="clear" w:color="auto" w:fill="auto"/>
            <w:noWrap/>
            <w:vAlign w:val="center"/>
            <w:hideMark/>
          </w:tcPr>
          <w:p w14:paraId="6E093146" w14:textId="77777777" w:rsidR="00D47AF6" w:rsidRPr="00427408" w:rsidRDefault="00D47AF6">
            <w:pPr>
              <w:pStyle w:val="08-Tabelageral"/>
              <w:jc w:val="center"/>
              <w:rPr>
                <w:rFonts w:cs="Arial"/>
                <w:b/>
              </w:rPr>
            </w:pPr>
          </w:p>
        </w:tc>
        <w:tc>
          <w:tcPr>
            <w:tcW w:w="1701" w:type="dxa"/>
            <w:gridSpan w:val="2"/>
            <w:tcBorders>
              <w:top w:val="single" w:sz="2" w:space="0" w:color="1F3864" w:themeColor="accent1" w:themeShade="80"/>
              <w:bottom w:val="single" w:sz="2" w:space="0" w:color="1F3864" w:themeColor="accent1" w:themeShade="80"/>
            </w:tcBorders>
            <w:shd w:val="clear" w:color="auto" w:fill="auto"/>
            <w:noWrap/>
            <w:vAlign w:val="center"/>
            <w:hideMark/>
          </w:tcPr>
          <w:p w14:paraId="71B44CBA" w14:textId="77777777" w:rsidR="00D47AF6" w:rsidRPr="00427408" w:rsidRDefault="00D47AF6">
            <w:pPr>
              <w:pStyle w:val="08-Tabelageral"/>
              <w:jc w:val="center"/>
              <w:rPr>
                <w:rFonts w:cs="Arial"/>
                <w:b/>
              </w:rPr>
            </w:pPr>
            <w:r w:rsidRPr="00427408">
              <w:rPr>
                <w:rFonts w:cs="Arial"/>
                <w:b/>
              </w:rPr>
              <w:t>31.12.202</w:t>
            </w:r>
            <w:r>
              <w:rPr>
                <w:rFonts w:cs="Arial"/>
                <w:b/>
              </w:rPr>
              <w:t>3</w:t>
            </w:r>
          </w:p>
        </w:tc>
        <w:tc>
          <w:tcPr>
            <w:tcW w:w="1418" w:type="dxa"/>
            <w:tcBorders>
              <w:top w:val="single" w:sz="2" w:space="0" w:color="1F3864" w:themeColor="accent1" w:themeShade="80"/>
              <w:bottom w:val="single" w:sz="2" w:space="0" w:color="1F3864" w:themeColor="accent1" w:themeShade="80"/>
            </w:tcBorders>
          </w:tcPr>
          <w:p w14:paraId="2CF076FB" w14:textId="77777777" w:rsidR="00D47AF6" w:rsidRPr="00427408" w:rsidRDefault="00D47AF6">
            <w:pPr>
              <w:pStyle w:val="08-Tabelageral"/>
              <w:jc w:val="center"/>
              <w:rPr>
                <w:rFonts w:cs="Arial"/>
                <w:b/>
              </w:rPr>
            </w:pPr>
          </w:p>
        </w:tc>
        <w:tc>
          <w:tcPr>
            <w:tcW w:w="992" w:type="dxa"/>
            <w:tcBorders>
              <w:top w:val="single" w:sz="2" w:space="0" w:color="1F3864" w:themeColor="accent1" w:themeShade="80"/>
              <w:bottom w:val="single" w:sz="2" w:space="0" w:color="1F3864" w:themeColor="accent1" w:themeShade="80"/>
            </w:tcBorders>
            <w:shd w:val="clear" w:color="auto" w:fill="auto"/>
            <w:noWrap/>
            <w:vAlign w:val="center"/>
            <w:hideMark/>
          </w:tcPr>
          <w:p w14:paraId="201134F5" w14:textId="77777777" w:rsidR="00D47AF6" w:rsidRPr="00427408" w:rsidRDefault="00D47AF6">
            <w:pPr>
              <w:pStyle w:val="08-Tabelageral"/>
              <w:jc w:val="center"/>
              <w:rPr>
                <w:rFonts w:cs="Arial"/>
                <w:b/>
              </w:rPr>
            </w:pPr>
          </w:p>
        </w:tc>
        <w:tc>
          <w:tcPr>
            <w:tcW w:w="850" w:type="dxa"/>
            <w:tcBorders>
              <w:top w:val="single" w:sz="2" w:space="0" w:color="1F3864" w:themeColor="accent1" w:themeShade="80"/>
              <w:bottom w:val="single" w:sz="2" w:space="0" w:color="1F3864" w:themeColor="accent1" w:themeShade="80"/>
            </w:tcBorders>
            <w:shd w:val="clear" w:color="auto" w:fill="auto"/>
            <w:noWrap/>
            <w:vAlign w:val="center"/>
            <w:hideMark/>
          </w:tcPr>
          <w:p w14:paraId="4F295034" w14:textId="77777777" w:rsidR="00D47AF6" w:rsidRPr="00427408" w:rsidRDefault="00D47AF6">
            <w:pPr>
              <w:pStyle w:val="08-Tabelageral"/>
              <w:jc w:val="center"/>
              <w:rPr>
                <w:rFonts w:cs="Arial"/>
                <w:b/>
              </w:rPr>
            </w:pPr>
          </w:p>
        </w:tc>
        <w:tc>
          <w:tcPr>
            <w:tcW w:w="1134" w:type="dxa"/>
            <w:tcBorders>
              <w:top w:val="single" w:sz="2" w:space="0" w:color="1F3864" w:themeColor="accent1" w:themeShade="80"/>
              <w:bottom w:val="single" w:sz="2" w:space="0" w:color="1F3864" w:themeColor="accent1" w:themeShade="80"/>
            </w:tcBorders>
            <w:shd w:val="clear" w:color="auto" w:fill="auto"/>
            <w:noWrap/>
            <w:vAlign w:val="center"/>
            <w:hideMark/>
          </w:tcPr>
          <w:p w14:paraId="7EF6B361" w14:textId="77777777" w:rsidR="00D47AF6" w:rsidRPr="00427408" w:rsidRDefault="00D47AF6">
            <w:pPr>
              <w:pStyle w:val="08-Tabelageral"/>
              <w:jc w:val="center"/>
              <w:rPr>
                <w:rFonts w:cs="Arial"/>
                <w:b/>
              </w:rPr>
            </w:pPr>
          </w:p>
        </w:tc>
        <w:tc>
          <w:tcPr>
            <w:tcW w:w="1701" w:type="dxa"/>
            <w:gridSpan w:val="2"/>
            <w:tcBorders>
              <w:top w:val="single" w:sz="2" w:space="0" w:color="1F3864" w:themeColor="accent1" w:themeShade="80"/>
              <w:bottom w:val="single" w:sz="2" w:space="0" w:color="1F3864" w:themeColor="accent1" w:themeShade="80"/>
            </w:tcBorders>
            <w:shd w:val="clear" w:color="auto" w:fill="auto"/>
            <w:noWrap/>
            <w:vAlign w:val="center"/>
            <w:hideMark/>
          </w:tcPr>
          <w:p w14:paraId="594C7DEF" w14:textId="77777777" w:rsidR="00D47AF6" w:rsidRPr="00427408" w:rsidRDefault="00D47AF6">
            <w:pPr>
              <w:pStyle w:val="08-Tabelageral"/>
              <w:jc w:val="center"/>
              <w:rPr>
                <w:rFonts w:cs="Arial"/>
                <w:b/>
              </w:rPr>
            </w:pPr>
            <w:r w:rsidRPr="002A2F48">
              <w:rPr>
                <w:rFonts w:cs="Arial"/>
                <w:b/>
              </w:rPr>
              <w:t>3</w:t>
            </w:r>
            <w:r>
              <w:rPr>
                <w:rFonts w:cs="Arial"/>
                <w:b/>
              </w:rPr>
              <w:t>1</w:t>
            </w:r>
            <w:r w:rsidRPr="002A2F48">
              <w:rPr>
                <w:rFonts w:cs="Arial"/>
                <w:b/>
              </w:rPr>
              <w:t>.</w:t>
            </w:r>
            <w:r>
              <w:rPr>
                <w:rFonts w:cs="Arial"/>
                <w:b/>
              </w:rPr>
              <w:t>12</w:t>
            </w:r>
            <w:r w:rsidRPr="002A2F48">
              <w:rPr>
                <w:rFonts w:cs="Arial"/>
                <w:b/>
              </w:rPr>
              <w:t>.202</w:t>
            </w:r>
            <w:r>
              <w:rPr>
                <w:rFonts w:cs="Arial"/>
                <w:b/>
              </w:rPr>
              <w:t>4</w:t>
            </w:r>
          </w:p>
        </w:tc>
      </w:tr>
      <w:tr w:rsidR="00D47AF6" w:rsidRPr="00427408" w14:paraId="2B542186" w14:textId="77777777">
        <w:trPr>
          <w:trHeight w:val="238"/>
          <w:jc w:val="center"/>
        </w:trPr>
        <w:tc>
          <w:tcPr>
            <w:tcW w:w="1843" w:type="dxa"/>
            <w:gridSpan w:val="2"/>
            <w:tcBorders>
              <w:top w:val="nil"/>
              <w:bottom w:val="single" w:sz="2" w:space="0" w:color="1F3864" w:themeColor="accent1" w:themeShade="80"/>
            </w:tcBorders>
            <w:shd w:val="clear" w:color="auto" w:fill="auto"/>
            <w:noWrap/>
            <w:vAlign w:val="center"/>
            <w:hideMark/>
          </w:tcPr>
          <w:p w14:paraId="0CF4379B" w14:textId="77777777" w:rsidR="00D47AF6" w:rsidRPr="00427408" w:rsidRDefault="00D47AF6">
            <w:pPr>
              <w:pStyle w:val="08-Tabelageral"/>
              <w:jc w:val="center"/>
              <w:rPr>
                <w:rFonts w:cs="Arial"/>
                <w:b/>
              </w:rPr>
            </w:pPr>
          </w:p>
        </w:tc>
        <w:tc>
          <w:tcPr>
            <w:tcW w:w="851" w:type="dxa"/>
            <w:tcBorders>
              <w:top w:val="single" w:sz="2" w:space="0" w:color="1F3864" w:themeColor="accent1" w:themeShade="80"/>
              <w:bottom w:val="single" w:sz="2" w:space="0" w:color="1F3864" w:themeColor="accent1" w:themeShade="80"/>
            </w:tcBorders>
            <w:shd w:val="clear" w:color="auto" w:fill="auto"/>
            <w:vAlign w:val="center"/>
            <w:hideMark/>
          </w:tcPr>
          <w:p w14:paraId="1005F3BA" w14:textId="77777777" w:rsidR="00D47AF6" w:rsidRPr="00427408" w:rsidRDefault="00D47AF6">
            <w:pPr>
              <w:pStyle w:val="08-Tabelageral"/>
              <w:jc w:val="center"/>
              <w:rPr>
                <w:rFonts w:cs="Arial"/>
                <w:b/>
              </w:rPr>
            </w:pPr>
            <w:r w:rsidRPr="00427408">
              <w:rPr>
                <w:rFonts w:cs="Arial"/>
                <w:b/>
              </w:rPr>
              <w:t>Valor de Custo</w:t>
            </w:r>
          </w:p>
        </w:tc>
        <w:tc>
          <w:tcPr>
            <w:tcW w:w="850" w:type="dxa"/>
            <w:tcBorders>
              <w:top w:val="single" w:sz="2" w:space="0" w:color="1F3864" w:themeColor="accent1" w:themeShade="80"/>
              <w:bottom w:val="single" w:sz="2" w:space="0" w:color="1F3864" w:themeColor="accent1" w:themeShade="80"/>
            </w:tcBorders>
            <w:shd w:val="clear" w:color="auto" w:fill="auto"/>
            <w:vAlign w:val="center"/>
            <w:hideMark/>
          </w:tcPr>
          <w:p w14:paraId="4F63E5CF" w14:textId="77777777" w:rsidR="00D47AF6" w:rsidRPr="00427408" w:rsidRDefault="00D47AF6">
            <w:pPr>
              <w:pStyle w:val="08-Tabelageral"/>
              <w:jc w:val="center"/>
              <w:rPr>
                <w:rFonts w:cs="Arial"/>
                <w:b/>
              </w:rPr>
            </w:pPr>
            <w:r w:rsidRPr="00427408">
              <w:rPr>
                <w:rFonts w:cs="Arial"/>
                <w:b/>
              </w:rPr>
              <w:t>Valor</w:t>
            </w:r>
            <w:r>
              <w:rPr>
                <w:rFonts w:cs="Arial"/>
                <w:b/>
              </w:rPr>
              <w:t xml:space="preserve"> </w:t>
            </w:r>
            <w:r w:rsidRPr="00427408">
              <w:rPr>
                <w:rFonts w:cs="Arial"/>
                <w:b/>
              </w:rPr>
              <w:t>Contábil</w:t>
            </w:r>
          </w:p>
        </w:tc>
        <w:tc>
          <w:tcPr>
            <w:tcW w:w="1418" w:type="dxa"/>
            <w:tcBorders>
              <w:top w:val="single" w:sz="2" w:space="0" w:color="1F3864" w:themeColor="accent1" w:themeShade="80"/>
              <w:bottom w:val="single" w:sz="2" w:space="0" w:color="1F3864" w:themeColor="accent1" w:themeShade="80"/>
            </w:tcBorders>
            <w:vAlign w:val="center"/>
          </w:tcPr>
          <w:p w14:paraId="46741BBA" w14:textId="77777777" w:rsidR="00D47AF6" w:rsidRPr="000F0C97" w:rsidRDefault="00D47AF6">
            <w:pPr>
              <w:pStyle w:val="08-Tabelageral"/>
              <w:jc w:val="center"/>
              <w:rPr>
                <w:rFonts w:cs="Arial"/>
                <w:b/>
                <w:vertAlign w:val="superscript"/>
              </w:rPr>
            </w:pPr>
            <w:r>
              <w:rPr>
                <w:rFonts w:cs="Arial"/>
                <w:b/>
              </w:rPr>
              <w:t xml:space="preserve">Reclassificação </w:t>
            </w:r>
            <w:r>
              <w:rPr>
                <w:rFonts w:cs="Arial"/>
                <w:b/>
                <w:vertAlign w:val="superscript"/>
              </w:rPr>
              <w:t>(2)</w:t>
            </w:r>
          </w:p>
        </w:tc>
        <w:tc>
          <w:tcPr>
            <w:tcW w:w="992" w:type="dxa"/>
            <w:tcBorders>
              <w:top w:val="single" w:sz="2" w:space="0" w:color="1F3864" w:themeColor="accent1" w:themeShade="80"/>
              <w:bottom w:val="single" w:sz="2" w:space="0" w:color="1F3864" w:themeColor="accent1" w:themeShade="80"/>
            </w:tcBorders>
            <w:shd w:val="clear" w:color="auto" w:fill="auto"/>
            <w:vAlign w:val="center"/>
            <w:hideMark/>
          </w:tcPr>
          <w:p w14:paraId="6F588D21" w14:textId="77777777" w:rsidR="00D47AF6" w:rsidRPr="00427408" w:rsidRDefault="00D47AF6">
            <w:pPr>
              <w:pStyle w:val="08-Tabelageral"/>
              <w:jc w:val="center"/>
              <w:rPr>
                <w:rFonts w:cs="Arial"/>
                <w:b/>
              </w:rPr>
            </w:pPr>
            <w:r w:rsidRPr="00427408">
              <w:rPr>
                <w:rFonts w:cs="Arial"/>
                <w:b/>
              </w:rPr>
              <w:t>Aplicações</w:t>
            </w:r>
          </w:p>
        </w:tc>
        <w:tc>
          <w:tcPr>
            <w:tcW w:w="850" w:type="dxa"/>
            <w:tcBorders>
              <w:top w:val="single" w:sz="2" w:space="0" w:color="1F3864" w:themeColor="accent1" w:themeShade="80"/>
              <w:bottom w:val="single" w:sz="2" w:space="0" w:color="1F3864" w:themeColor="accent1" w:themeShade="80"/>
            </w:tcBorders>
            <w:shd w:val="clear" w:color="auto" w:fill="auto"/>
            <w:vAlign w:val="center"/>
            <w:hideMark/>
          </w:tcPr>
          <w:p w14:paraId="332B0DAC" w14:textId="77777777" w:rsidR="00D47AF6" w:rsidRPr="00427408" w:rsidRDefault="00D47AF6">
            <w:pPr>
              <w:pStyle w:val="08-Tabelageral"/>
              <w:jc w:val="center"/>
              <w:rPr>
                <w:rFonts w:cs="Arial"/>
                <w:b/>
              </w:rPr>
            </w:pPr>
            <w:r w:rsidRPr="00427408">
              <w:rPr>
                <w:rFonts w:cs="Arial"/>
                <w:b/>
              </w:rPr>
              <w:t>Resgates</w:t>
            </w:r>
          </w:p>
        </w:tc>
        <w:tc>
          <w:tcPr>
            <w:tcW w:w="1134" w:type="dxa"/>
            <w:tcBorders>
              <w:top w:val="single" w:sz="2" w:space="0" w:color="1F3864" w:themeColor="accent1" w:themeShade="80"/>
              <w:bottom w:val="single" w:sz="2" w:space="0" w:color="1F3864" w:themeColor="accent1" w:themeShade="80"/>
            </w:tcBorders>
            <w:shd w:val="clear" w:color="auto" w:fill="auto"/>
            <w:vAlign w:val="center"/>
            <w:hideMark/>
          </w:tcPr>
          <w:p w14:paraId="15B83B81" w14:textId="77777777" w:rsidR="00D47AF6" w:rsidRPr="00427408" w:rsidRDefault="00D47AF6">
            <w:pPr>
              <w:pStyle w:val="08-Tabelageral"/>
              <w:jc w:val="center"/>
              <w:rPr>
                <w:rFonts w:cs="Arial"/>
                <w:b/>
              </w:rPr>
            </w:pPr>
            <w:r w:rsidRPr="00427408">
              <w:rPr>
                <w:rFonts w:cs="Arial"/>
                <w:b/>
              </w:rPr>
              <w:t>Rentabilidade</w:t>
            </w:r>
          </w:p>
        </w:tc>
        <w:tc>
          <w:tcPr>
            <w:tcW w:w="832" w:type="dxa"/>
            <w:tcBorders>
              <w:top w:val="single" w:sz="2" w:space="0" w:color="1F3864" w:themeColor="accent1" w:themeShade="80"/>
              <w:bottom w:val="single" w:sz="2" w:space="0" w:color="1F3864" w:themeColor="accent1" w:themeShade="80"/>
            </w:tcBorders>
            <w:shd w:val="clear" w:color="auto" w:fill="auto"/>
            <w:vAlign w:val="center"/>
            <w:hideMark/>
          </w:tcPr>
          <w:p w14:paraId="57CF8A4B" w14:textId="77777777" w:rsidR="00D47AF6" w:rsidRPr="00427408" w:rsidRDefault="00D47AF6">
            <w:pPr>
              <w:pStyle w:val="08-Tabelageral"/>
              <w:jc w:val="center"/>
              <w:rPr>
                <w:rFonts w:cs="Arial"/>
                <w:b/>
              </w:rPr>
            </w:pPr>
            <w:r w:rsidRPr="00427408">
              <w:rPr>
                <w:rFonts w:cs="Arial"/>
                <w:b/>
              </w:rPr>
              <w:t>Valor de Custo</w:t>
            </w:r>
          </w:p>
        </w:tc>
        <w:tc>
          <w:tcPr>
            <w:tcW w:w="869" w:type="dxa"/>
            <w:tcBorders>
              <w:top w:val="single" w:sz="2" w:space="0" w:color="1F3864" w:themeColor="accent1" w:themeShade="80"/>
              <w:bottom w:val="single" w:sz="2" w:space="0" w:color="1F3864" w:themeColor="accent1" w:themeShade="80"/>
            </w:tcBorders>
            <w:shd w:val="clear" w:color="auto" w:fill="auto"/>
            <w:vAlign w:val="center"/>
            <w:hideMark/>
          </w:tcPr>
          <w:p w14:paraId="4FF9558F" w14:textId="77777777" w:rsidR="00D47AF6" w:rsidRPr="00427408" w:rsidRDefault="00D47AF6">
            <w:pPr>
              <w:pStyle w:val="08-Tabelageral"/>
              <w:jc w:val="center"/>
              <w:rPr>
                <w:rFonts w:cs="Arial"/>
                <w:b/>
              </w:rPr>
            </w:pPr>
            <w:r w:rsidRPr="00427408">
              <w:rPr>
                <w:rFonts w:cs="Arial"/>
                <w:b/>
              </w:rPr>
              <w:t>Valor Contábil</w:t>
            </w:r>
          </w:p>
        </w:tc>
      </w:tr>
      <w:tr w:rsidR="00D47AF6" w:rsidRPr="00427408" w14:paraId="485B0A18" w14:textId="77777777">
        <w:trPr>
          <w:trHeight w:val="238"/>
          <w:jc w:val="center"/>
        </w:trPr>
        <w:tc>
          <w:tcPr>
            <w:tcW w:w="1843" w:type="dxa"/>
            <w:gridSpan w:val="2"/>
            <w:tcBorders>
              <w:top w:val="single" w:sz="2" w:space="0" w:color="1F3864" w:themeColor="accent1" w:themeShade="80"/>
              <w:bottom w:val="nil"/>
            </w:tcBorders>
            <w:shd w:val="clear" w:color="auto" w:fill="auto"/>
            <w:noWrap/>
          </w:tcPr>
          <w:p w14:paraId="5596CB99" w14:textId="77777777" w:rsidR="00D47AF6" w:rsidRPr="000F0C97" w:rsidRDefault="00D47AF6">
            <w:pPr>
              <w:pStyle w:val="08-Tabelageral"/>
              <w:ind w:left="113"/>
              <w:jc w:val="left"/>
              <w:rPr>
                <w:rFonts w:cs="Arial"/>
              </w:rPr>
            </w:pPr>
            <w:r w:rsidRPr="000F0C97">
              <w:rPr>
                <w:rFonts w:cs="Arial"/>
              </w:rPr>
              <w:t xml:space="preserve">TPF </w:t>
            </w:r>
          </w:p>
        </w:tc>
        <w:tc>
          <w:tcPr>
            <w:tcW w:w="851" w:type="dxa"/>
            <w:tcBorders>
              <w:top w:val="single" w:sz="2" w:space="0" w:color="1F3864" w:themeColor="accent1" w:themeShade="80"/>
              <w:left w:val="nil"/>
              <w:bottom w:val="nil"/>
              <w:right w:val="nil"/>
            </w:tcBorders>
            <w:shd w:val="clear" w:color="auto" w:fill="auto"/>
            <w:noWrap/>
          </w:tcPr>
          <w:p w14:paraId="150D9616" w14:textId="77777777" w:rsidR="00D47AF6" w:rsidRPr="000F0C97" w:rsidRDefault="00D47AF6">
            <w:pPr>
              <w:pStyle w:val="08-Tabelageral"/>
              <w:rPr>
                <w:rFonts w:cs="Arial"/>
              </w:rPr>
            </w:pPr>
            <w:r w:rsidRPr="00DE65E2">
              <w:t>1.433.111</w:t>
            </w:r>
          </w:p>
        </w:tc>
        <w:tc>
          <w:tcPr>
            <w:tcW w:w="850" w:type="dxa"/>
            <w:tcBorders>
              <w:top w:val="single" w:sz="2" w:space="0" w:color="1F3864" w:themeColor="accent1" w:themeShade="80"/>
              <w:left w:val="nil"/>
              <w:bottom w:val="nil"/>
              <w:right w:val="nil"/>
            </w:tcBorders>
            <w:shd w:val="clear" w:color="auto" w:fill="auto"/>
            <w:noWrap/>
          </w:tcPr>
          <w:p w14:paraId="454373E1" w14:textId="77777777" w:rsidR="00D47AF6" w:rsidRPr="000F0C97" w:rsidRDefault="00D47AF6">
            <w:pPr>
              <w:pStyle w:val="08-Tabelageral"/>
              <w:rPr>
                <w:rFonts w:cs="Arial"/>
              </w:rPr>
            </w:pPr>
            <w:r w:rsidRPr="00DE65E2">
              <w:t>1.586.371</w:t>
            </w:r>
          </w:p>
        </w:tc>
        <w:tc>
          <w:tcPr>
            <w:tcW w:w="1418" w:type="dxa"/>
            <w:tcBorders>
              <w:top w:val="single" w:sz="2" w:space="0" w:color="1F3864" w:themeColor="accent1" w:themeShade="80"/>
              <w:left w:val="nil"/>
              <w:bottom w:val="nil"/>
              <w:right w:val="nil"/>
            </w:tcBorders>
          </w:tcPr>
          <w:p w14:paraId="47C146D2" w14:textId="77777777" w:rsidR="00D47AF6" w:rsidRPr="008418EB" w:rsidRDefault="00D47AF6">
            <w:pPr>
              <w:pStyle w:val="08-Tabelageral"/>
            </w:pPr>
            <w:r w:rsidRPr="000F0C97">
              <w:rPr>
                <w:rFonts w:cs="Arial"/>
              </w:rPr>
              <w:t>(1.586.371)</w:t>
            </w:r>
          </w:p>
        </w:tc>
        <w:tc>
          <w:tcPr>
            <w:tcW w:w="992" w:type="dxa"/>
            <w:tcBorders>
              <w:top w:val="single" w:sz="2" w:space="0" w:color="1F3864" w:themeColor="accent1" w:themeShade="80"/>
              <w:left w:val="nil"/>
              <w:bottom w:val="nil"/>
              <w:right w:val="nil"/>
            </w:tcBorders>
            <w:shd w:val="clear" w:color="auto" w:fill="auto"/>
            <w:noWrap/>
          </w:tcPr>
          <w:p w14:paraId="5CC6B616" w14:textId="77777777" w:rsidR="00D47AF6" w:rsidRPr="000F0C97" w:rsidRDefault="00D47AF6">
            <w:pPr>
              <w:pStyle w:val="08-Tabelageral"/>
              <w:rPr>
                <w:rFonts w:cs="Arial"/>
              </w:rPr>
            </w:pPr>
            <w:r>
              <w:t>--</w:t>
            </w:r>
          </w:p>
        </w:tc>
        <w:tc>
          <w:tcPr>
            <w:tcW w:w="850" w:type="dxa"/>
            <w:tcBorders>
              <w:top w:val="single" w:sz="2" w:space="0" w:color="1F3864" w:themeColor="accent1" w:themeShade="80"/>
              <w:left w:val="nil"/>
              <w:bottom w:val="nil"/>
              <w:right w:val="nil"/>
            </w:tcBorders>
            <w:shd w:val="clear" w:color="auto" w:fill="auto"/>
            <w:noWrap/>
          </w:tcPr>
          <w:p w14:paraId="4E4454FD" w14:textId="77777777" w:rsidR="00D47AF6" w:rsidRPr="000F0C97" w:rsidRDefault="00D47AF6">
            <w:pPr>
              <w:pStyle w:val="08-Tabelageral"/>
              <w:rPr>
                <w:rFonts w:cs="Arial"/>
              </w:rPr>
            </w:pPr>
            <w:r>
              <w:rPr>
                <w:rFonts w:cs="Arial"/>
              </w:rPr>
              <w:t>--</w:t>
            </w:r>
          </w:p>
        </w:tc>
        <w:tc>
          <w:tcPr>
            <w:tcW w:w="1134" w:type="dxa"/>
            <w:tcBorders>
              <w:top w:val="single" w:sz="2" w:space="0" w:color="1F3864" w:themeColor="accent1" w:themeShade="80"/>
              <w:left w:val="nil"/>
              <w:bottom w:val="nil"/>
              <w:right w:val="nil"/>
            </w:tcBorders>
            <w:shd w:val="clear" w:color="auto" w:fill="auto"/>
            <w:noWrap/>
          </w:tcPr>
          <w:p w14:paraId="2E7D5670" w14:textId="77777777" w:rsidR="00D47AF6" w:rsidRPr="000F0C97" w:rsidRDefault="00D47AF6">
            <w:pPr>
              <w:pStyle w:val="08-Tabelageral"/>
              <w:rPr>
                <w:rFonts w:cs="Arial"/>
              </w:rPr>
            </w:pPr>
            <w:r>
              <w:t>--</w:t>
            </w:r>
          </w:p>
        </w:tc>
        <w:tc>
          <w:tcPr>
            <w:tcW w:w="832" w:type="dxa"/>
            <w:tcBorders>
              <w:top w:val="single" w:sz="2" w:space="0" w:color="1F3864" w:themeColor="accent1" w:themeShade="80"/>
              <w:left w:val="nil"/>
              <w:bottom w:val="nil"/>
              <w:right w:val="nil"/>
            </w:tcBorders>
            <w:shd w:val="clear" w:color="auto" w:fill="auto"/>
            <w:noWrap/>
          </w:tcPr>
          <w:p w14:paraId="1969C914" w14:textId="77777777" w:rsidR="00D47AF6" w:rsidRPr="000F0C97" w:rsidRDefault="00D47AF6">
            <w:pPr>
              <w:pStyle w:val="08-Tabelageral"/>
              <w:rPr>
                <w:rFonts w:cs="Arial"/>
                <w:color w:val="000000"/>
              </w:rPr>
            </w:pPr>
            <w:r>
              <w:t>--</w:t>
            </w:r>
          </w:p>
        </w:tc>
        <w:tc>
          <w:tcPr>
            <w:tcW w:w="869" w:type="dxa"/>
            <w:tcBorders>
              <w:top w:val="single" w:sz="2" w:space="0" w:color="1F3864" w:themeColor="accent1" w:themeShade="80"/>
              <w:left w:val="nil"/>
              <w:bottom w:val="nil"/>
              <w:right w:val="nil"/>
            </w:tcBorders>
            <w:shd w:val="clear" w:color="auto" w:fill="auto"/>
            <w:noWrap/>
          </w:tcPr>
          <w:p w14:paraId="0A53B533" w14:textId="77777777" w:rsidR="00D47AF6" w:rsidRPr="00427408" w:rsidRDefault="00D47AF6">
            <w:pPr>
              <w:pStyle w:val="08-Tabelageral"/>
              <w:rPr>
                <w:rFonts w:cs="Arial"/>
              </w:rPr>
            </w:pPr>
            <w:r>
              <w:rPr>
                <w:rFonts w:cs="Arial"/>
              </w:rPr>
              <w:t>--</w:t>
            </w:r>
          </w:p>
        </w:tc>
      </w:tr>
      <w:tr w:rsidR="00D47AF6" w:rsidRPr="00427408" w14:paraId="0C4C9576" w14:textId="77777777">
        <w:trPr>
          <w:trHeight w:val="238"/>
          <w:jc w:val="center"/>
        </w:trPr>
        <w:tc>
          <w:tcPr>
            <w:tcW w:w="1843" w:type="dxa"/>
            <w:gridSpan w:val="2"/>
            <w:tcBorders>
              <w:top w:val="nil"/>
              <w:bottom w:val="nil"/>
            </w:tcBorders>
            <w:shd w:val="clear" w:color="auto" w:fill="auto"/>
            <w:noWrap/>
            <w:hideMark/>
          </w:tcPr>
          <w:p w14:paraId="679F06C5" w14:textId="77777777" w:rsidR="00D47AF6" w:rsidRPr="00427408" w:rsidRDefault="00D47AF6">
            <w:pPr>
              <w:pStyle w:val="08-Tabelageral"/>
              <w:ind w:left="113"/>
              <w:jc w:val="left"/>
              <w:rPr>
                <w:rFonts w:cs="Arial"/>
              </w:rPr>
            </w:pPr>
            <w:r w:rsidRPr="00427408">
              <w:rPr>
                <w:rFonts w:cs="Arial"/>
              </w:rPr>
              <w:t xml:space="preserve">Fundo de longo prazo </w:t>
            </w:r>
            <w:r w:rsidRPr="00427408">
              <w:rPr>
                <w:rFonts w:cs="Arial"/>
                <w:vertAlign w:val="superscript"/>
              </w:rPr>
              <w:t>(</w:t>
            </w:r>
            <w:r>
              <w:rPr>
                <w:rFonts w:cs="Arial"/>
                <w:vertAlign w:val="superscript"/>
              </w:rPr>
              <w:t>1</w:t>
            </w:r>
            <w:r w:rsidRPr="00427408">
              <w:rPr>
                <w:rFonts w:cs="Arial"/>
                <w:vertAlign w:val="superscript"/>
              </w:rPr>
              <w:t>)</w:t>
            </w:r>
          </w:p>
        </w:tc>
        <w:tc>
          <w:tcPr>
            <w:tcW w:w="851" w:type="dxa"/>
            <w:tcBorders>
              <w:top w:val="nil"/>
              <w:left w:val="nil"/>
              <w:bottom w:val="nil"/>
              <w:right w:val="nil"/>
            </w:tcBorders>
            <w:shd w:val="clear" w:color="auto" w:fill="auto"/>
            <w:noWrap/>
            <w:hideMark/>
          </w:tcPr>
          <w:p w14:paraId="5AD39B6A" w14:textId="77777777" w:rsidR="00D47AF6" w:rsidRPr="00427408" w:rsidRDefault="00D47AF6">
            <w:pPr>
              <w:pStyle w:val="08-Tabelageral"/>
              <w:rPr>
                <w:rFonts w:cs="Arial"/>
              </w:rPr>
            </w:pPr>
            <w:r w:rsidRPr="00BB3080">
              <w:t>15.019</w:t>
            </w:r>
          </w:p>
        </w:tc>
        <w:tc>
          <w:tcPr>
            <w:tcW w:w="850" w:type="dxa"/>
            <w:tcBorders>
              <w:top w:val="nil"/>
              <w:left w:val="nil"/>
              <w:bottom w:val="nil"/>
              <w:right w:val="nil"/>
            </w:tcBorders>
            <w:shd w:val="clear" w:color="auto" w:fill="auto"/>
            <w:noWrap/>
            <w:hideMark/>
          </w:tcPr>
          <w:p w14:paraId="02FE2846" w14:textId="77777777" w:rsidR="00D47AF6" w:rsidRPr="00427408" w:rsidRDefault="00D47AF6">
            <w:pPr>
              <w:pStyle w:val="08-Tabelageral"/>
              <w:rPr>
                <w:rFonts w:cs="Arial"/>
              </w:rPr>
            </w:pPr>
            <w:r w:rsidRPr="00BB3080">
              <w:t>21.020</w:t>
            </w:r>
          </w:p>
        </w:tc>
        <w:tc>
          <w:tcPr>
            <w:tcW w:w="1418" w:type="dxa"/>
            <w:tcBorders>
              <w:top w:val="nil"/>
              <w:left w:val="nil"/>
              <w:bottom w:val="nil"/>
              <w:right w:val="nil"/>
            </w:tcBorders>
          </w:tcPr>
          <w:p w14:paraId="6B5BB515" w14:textId="77777777" w:rsidR="00D47AF6" w:rsidRDefault="00D47AF6">
            <w:pPr>
              <w:pStyle w:val="08-Tabelageral"/>
              <w:rPr>
                <w:rFonts w:cs="Arial"/>
              </w:rPr>
            </w:pPr>
          </w:p>
        </w:tc>
        <w:tc>
          <w:tcPr>
            <w:tcW w:w="992" w:type="dxa"/>
            <w:tcBorders>
              <w:top w:val="nil"/>
              <w:left w:val="nil"/>
              <w:bottom w:val="nil"/>
              <w:right w:val="nil"/>
            </w:tcBorders>
            <w:shd w:val="clear" w:color="auto" w:fill="auto"/>
            <w:noWrap/>
          </w:tcPr>
          <w:p w14:paraId="383ED48D" w14:textId="77777777" w:rsidR="00D47AF6" w:rsidRPr="00427408" w:rsidRDefault="00D47AF6">
            <w:pPr>
              <w:pStyle w:val="08-Tabelageral"/>
              <w:rPr>
                <w:rFonts w:cs="Arial"/>
              </w:rPr>
            </w:pPr>
            <w:r w:rsidRPr="00C02273">
              <w:t>6.193</w:t>
            </w:r>
          </w:p>
        </w:tc>
        <w:tc>
          <w:tcPr>
            <w:tcW w:w="850" w:type="dxa"/>
            <w:tcBorders>
              <w:top w:val="nil"/>
              <w:left w:val="nil"/>
              <w:bottom w:val="nil"/>
              <w:right w:val="nil"/>
            </w:tcBorders>
            <w:shd w:val="clear" w:color="auto" w:fill="auto"/>
            <w:noWrap/>
          </w:tcPr>
          <w:p w14:paraId="5D6D019C" w14:textId="77777777" w:rsidR="00D47AF6" w:rsidRPr="00427408" w:rsidRDefault="00D47AF6">
            <w:pPr>
              <w:pStyle w:val="08-Tabelageral"/>
              <w:rPr>
                <w:rFonts w:cs="Arial"/>
              </w:rPr>
            </w:pPr>
            <w:r>
              <w:t>(</w:t>
            </w:r>
            <w:r w:rsidRPr="00056828">
              <w:t>1.165</w:t>
            </w:r>
            <w:r>
              <w:t>)</w:t>
            </w:r>
          </w:p>
        </w:tc>
        <w:tc>
          <w:tcPr>
            <w:tcW w:w="1134" w:type="dxa"/>
            <w:tcBorders>
              <w:top w:val="nil"/>
              <w:left w:val="nil"/>
              <w:bottom w:val="nil"/>
              <w:right w:val="nil"/>
            </w:tcBorders>
            <w:shd w:val="clear" w:color="auto" w:fill="auto"/>
            <w:noWrap/>
          </w:tcPr>
          <w:p w14:paraId="39E39617" w14:textId="77777777" w:rsidR="00D47AF6" w:rsidRPr="00427408" w:rsidRDefault="00D47AF6">
            <w:pPr>
              <w:pStyle w:val="08-Tabelageral"/>
              <w:rPr>
                <w:rFonts w:cs="Arial"/>
              </w:rPr>
            </w:pPr>
            <w:r>
              <w:rPr>
                <w:rFonts w:cs="Arial"/>
              </w:rPr>
              <w:t>2.735</w:t>
            </w:r>
          </w:p>
        </w:tc>
        <w:tc>
          <w:tcPr>
            <w:tcW w:w="832" w:type="dxa"/>
            <w:tcBorders>
              <w:top w:val="nil"/>
              <w:left w:val="nil"/>
              <w:bottom w:val="nil"/>
              <w:right w:val="nil"/>
            </w:tcBorders>
            <w:shd w:val="clear" w:color="auto" w:fill="auto"/>
            <w:noWrap/>
          </w:tcPr>
          <w:p w14:paraId="6B01B0B7" w14:textId="77777777" w:rsidR="00D47AF6" w:rsidRPr="00427408" w:rsidRDefault="00D47AF6">
            <w:pPr>
              <w:pStyle w:val="08-Tabelageral"/>
              <w:rPr>
                <w:rFonts w:cs="Arial"/>
              </w:rPr>
            </w:pPr>
            <w:r w:rsidRPr="00410513">
              <w:t>20.048</w:t>
            </w:r>
          </w:p>
        </w:tc>
        <w:tc>
          <w:tcPr>
            <w:tcW w:w="869" w:type="dxa"/>
            <w:tcBorders>
              <w:top w:val="nil"/>
              <w:left w:val="nil"/>
              <w:bottom w:val="nil"/>
              <w:right w:val="nil"/>
            </w:tcBorders>
            <w:shd w:val="clear" w:color="auto" w:fill="auto"/>
            <w:noWrap/>
          </w:tcPr>
          <w:p w14:paraId="3AE55DCF" w14:textId="77777777" w:rsidR="00D47AF6" w:rsidRPr="00427408" w:rsidRDefault="00D47AF6">
            <w:pPr>
              <w:pStyle w:val="08-Tabelageral"/>
              <w:rPr>
                <w:rFonts w:cs="Arial"/>
              </w:rPr>
            </w:pPr>
            <w:r w:rsidRPr="00410513">
              <w:t>28.783</w:t>
            </w:r>
          </w:p>
        </w:tc>
      </w:tr>
      <w:tr w:rsidR="00D47AF6" w:rsidRPr="00427408" w14:paraId="68D72856" w14:textId="77777777">
        <w:trPr>
          <w:trHeight w:val="66"/>
          <w:jc w:val="center"/>
        </w:trPr>
        <w:tc>
          <w:tcPr>
            <w:tcW w:w="1843" w:type="dxa"/>
            <w:gridSpan w:val="2"/>
            <w:tcBorders>
              <w:top w:val="nil"/>
              <w:bottom w:val="single" w:sz="2" w:space="0" w:color="1F3864" w:themeColor="accent1" w:themeShade="80"/>
            </w:tcBorders>
            <w:shd w:val="clear" w:color="auto" w:fill="auto"/>
            <w:noWrap/>
            <w:hideMark/>
          </w:tcPr>
          <w:p w14:paraId="710E7960" w14:textId="77777777" w:rsidR="00D47AF6" w:rsidRPr="00427408" w:rsidRDefault="00D47AF6">
            <w:pPr>
              <w:pStyle w:val="08-Tabelageral"/>
              <w:jc w:val="left"/>
              <w:rPr>
                <w:rFonts w:cs="Arial"/>
                <w:b/>
              </w:rPr>
            </w:pPr>
            <w:r w:rsidRPr="00427408">
              <w:rPr>
                <w:rFonts w:cs="Arial"/>
                <w:b/>
              </w:rPr>
              <w:t>Total</w:t>
            </w:r>
          </w:p>
        </w:tc>
        <w:tc>
          <w:tcPr>
            <w:tcW w:w="851" w:type="dxa"/>
            <w:tcBorders>
              <w:top w:val="nil"/>
              <w:left w:val="nil"/>
              <w:bottom w:val="single" w:sz="2" w:space="0" w:color="1F3864" w:themeColor="accent1" w:themeShade="80"/>
              <w:right w:val="nil"/>
            </w:tcBorders>
            <w:shd w:val="clear" w:color="auto" w:fill="auto"/>
            <w:noWrap/>
            <w:hideMark/>
          </w:tcPr>
          <w:p w14:paraId="535349D7" w14:textId="77777777" w:rsidR="00D47AF6" w:rsidRPr="0068227D" w:rsidRDefault="00D47AF6">
            <w:pPr>
              <w:pStyle w:val="08-Tabelageral"/>
              <w:rPr>
                <w:rFonts w:cs="Arial"/>
                <w:b/>
                <w:bCs/>
              </w:rPr>
            </w:pPr>
            <w:r w:rsidRPr="0068227D">
              <w:rPr>
                <w:b/>
                <w:bCs/>
              </w:rPr>
              <w:t>1.448.130</w:t>
            </w:r>
          </w:p>
        </w:tc>
        <w:tc>
          <w:tcPr>
            <w:tcW w:w="850" w:type="dxa"/>
            <w:tcBorders>
              <w:top w:val="nil"/>
              <w:left w:val="nil"/>
              <w:bottom w:val="single" w:sz="2" w:space="0" w:color="1F3864" w:themeColor="accent1" w:themeShade="80"/>
              <w:right w:val="nil"/>
            </w:tcBorders>
            <w:shd w:val="clear" w:color="auto" w:fill="auto"/>
            <w:noWrap/>
            <w:hideMark/>
          </w:tcPr>
          <w:p w14:paraId="3D44A196" w14:textId="77777777" w:rsidR="00D47AF6" w:rsidRPr="0068227D" w:rsidRDefault="00D47AF6">
            <w:pPr>
              <w:pStyle w:val="08-Tabelageral"/>
              <w:rPr>
                <w:rFonts w:cs="Arial"/>
                <w:b/>
                <w:bCs/>
              </w:rPr>
            </w:pPr>
            <w:r w:rsidRPr="0068227D">
              <w:rPr>
                <w:b/>
                <w:bCs/>
              </w:rPr>
              <w:t>1.607.391</w:t>
            </w:r>
          </w:p>
        </w:tc>
        <w:tc>
          <w:tcPr>
            <w:tcW w:w="1418" w:type="dxa"/>
            <w:tcBorders>
              <w:top w:val="nil"/>
              <w:left w:val="nil"/>
              <w:bottom w:val="single" w:sz="2" w:space="0" w:color="1F3864" w:themeColor="accent1" w:themeShade="80"/>
              <w:right w:val="nil"/>
            </w:tcBorders>
          </w:tcPr>
          <w:p w14:paraId="0CF7C13A" w14:textId="77777777" w:rsidR="00D47AF6" w:rsidRPr="0068227D" w:rsidRDefault="00D47AF6">
            <w:pPr>
              <w:pStyle w:val="08-Tabelageral"/>
              <w:rPr>
                <w:rFonts w:cs="Arial"/>
                <w:b/>
                <w:bCs/>
              </w:rPr>
            </w:pPr>
            <w:r>
              <w:rPr>
                <w:rFonts w:cs="Arial"/>
                <w:b/>
                <w:bCs/>
              </w:rPr>
              <w:t>(1.586.371)</w:t>
            </w:r>
          </w:p>
        </w:tc>
        <w:tc>
          <w:tcPr>
            <w:tcW w:w="992" w:type="dxa"/>
            <w:tcBorders>
              <w:top w:val="nil"/>
              <w:left w:val="nil"/>
              <w:bottom w:val="single" w:sz="2" w:space="0" w:color="1F3864" w:themeColor="accent1" w:themeShade="80"/>
              <w:right w:val="nil"/>
            </w:tcBorders>
            <w:shd w:val="clear" w:color="auto" w:fill="auto"/>
            <w:noWrap/>
          </w:tcPr>
          <w:p w14:paraId="17BC775C" w14:textId="77777777" w:rsidR="00D47AF6" w:rsidRPr="0068227D" w:rsidRDefault="00D47AF6">
            <w:pPr>
              <w:pStyle w:val="08-Tabelageral"/>
              <w:rPr>
                <w:rFonts w:cs="Arial"/>
                <w:b/>
                <w:bCs/>
              </w:rPr>
            </w:pPr>
            <w:r w:rsidRPr="00C02273">
              <w:rPr>
                <w:b/>
                <w:bCs/>
              </w:rPr>
              <w:t>6.193</w:t>
            </w:r>
          </w:p>
        </w:tc>
        <w:tc>
          <w:tcPr>
            <w:tcW w:w="850" w:type="dxa"/>
            <w:tcBorders>
              <w:top w:val="nil"/>
              <w:left w:val="nil"/>
              <w:bottom w:val="single" w:sz="2" w:space="0" w:color="1F3864" w:themeColor="accent1" w:themeShade="80"/>
              <w:right w:val="nil"/>
            </w:tcBorders>
            <w:shd w:val="clear" w:color="auto" w:fill="auto"/>
            <w:noWrap/>
          </w:tcPr>
          <w:p w14:paraId="343BBB1F" w14:textId="77777777" w:rsidR="00D47AF6" w:rsidRPr="0068227D" w:rsidRDefault="00D47AF6">
            <w:pPr>
              <w:pStyle w:val="08-Tabelageral"/>
              <w:rPr>
                <w:rFonts w:cs="Arial"/>
                <w:b/>
                <w:bCs/>
              </w:rPr>
            </w:pPr>
            <w:r>
              <w:rPr>
                <w:b/>
                <w:bCs/>
              </w:rPr>
              <w:t>(</w:t>
            </w:r>
            <w:r w:rsidRPr="0068227D">
              <w:rPr>
                <w:b/>
                <w:bCs/>
              </w:rPr>
              <w:t>1.165</w:t>
            </w:r>
            <w:r>
              <w:rPr>
                <w:b/>
                <w:bCs/>
              </w:rPr>
              <w:t>)</w:t>
            </w:r>
          </w:p>
        </w:tc>
        <w:tc>
          <w:tcPr>
            <w:tcW w:w="1134" w:type="dxa"/>
            <w:tcBorders>
              <w:top w:val="nil"/>
              <w:left w:val="nil"/>
              <w:bottom w:val="single" w:sz="2" w:space="0" w:color="1F3864" w:themeColor="accent1" w:themeShade="80"/>
              <w:right w:val="nil"/>
            </w:tcBorders>
            <w:shd w:val="clear" w:color="auto" w:fill="auto"/>
            <w:noWrap/>
          </w:tcPr>
          <w:p w14:paraId="72865EAA" w14:textId="77777777" w:rsidR="00D47AF6" w:rsidRPr="0068227D" w:rsidRDefault="00D47AF6">
            <w:pPr>
              <w:pStyle w:val="08-Tabelageral"/>
              <w:rPr>
                <w:rFonts w:cs="Arial"/>
                <w:b/>
                <w:bCs/>
              </w:rPr>
            </w:pPr>
            <w:r w:rsidRPr="00C02273">
              <w:rPr>
                <w:b/>
                <w:bCs/>
              </w:rPr>
              <w:t>2.73</w:t>
            </w:r>
            <w:r>
              <w:rPr>
                <w:b/>
                <w:bCs/>
              </w:rPr>
              <w:t>5</w:t>
            </w:r>
          </w:p>
        </w:tc>
        <w:tc>
          <w:tcPr>
            <w:tcW w:w="832" w:type="dxa"/>
            <w:tcBorders>
              <w:top w:val="nil"/>
              <w:left w:val="nil"/>
              <w:bottom w:val="single" w:sz="2" w:space="0" w:color="1F3864" w:themeColor="accent1" w:themeShade="80"/>
              <w:right w:val="nil"/>
            </w:tcBorders>
            <w:shd w:val="clear" w:color="auto" w:fill="auto"/>
            <w:noWrap/>
          </w:tcPr>
          <w:p w14:paraId="27EA87C3" w14:textId="77777777" w:rsidR="00D47AF6" w:rsidRPr="0068227D" w:rsidRDefault="00D47AF6">
            <w:pPr>
              <w:pStyle w:val="08-Tabelageral"/>
              <w:rPr>
                <w:rFonts w:cs="Arial"/>
                <w:b/>
                <w:bCs/>
              </w:rPr>
            </w:pPr>
            <w:r w:rsidRPr="00C02273">
              <w:rPr>
                <w:b/>
                <w:bCs/>
              </w:rPr>
              <w:t>20.048</w:t>
            </w:r>
          </w:p>
        </w:tc>
        <w:tc>
          <w:tcPr>
            <w:tcW w:w="869" w:type="dxa"/>
            <w:tcBorders>
              <w:top w:val="nil"/>
              <w:left w:val="nil"/>
              <w:bottom w:val="single" w:sz="2" w:space="0" w:color="1F3864" w:themeColor="accent1" w:themeShade="80"/>
              <w:right w:val="nil"/>
            </w:tcBorders>
            <w:shd w:val="clear" w:color="auto" w:fill="auto"/>
            <w:noWrap/>
          </w:tcPr>
          <w:p w14:paraId="6B66FBCF" w14:textId="77777777" w:rsidR="00D47AF6" w:rsidRPr="0068227D" w:rsidRDefault="00D47AF6">
            <w:pPr>
              <w:pStyle w:val="08-Tabelageral"/>
              <w:rPr>
                <w:rFonts w:cs="Arial"/>
                <w:b/>
                <w:bCs/>
              </w:rPr>
            </w:pPr>
            <w:r w:rsidRPr="00C02273">
              <w:rPr>
                <w:b/>
                <w:bCs/>
              </w:rPr>
              <w:t>28.783</w:t>
            </w:r>
          </w:p>
        </w:tc>
      </w:tr>
    </w:tbl>
    <w:p w14:paraId="21335A10" w14:textId="77777777" w:rsidR="00D47AF6" w:rsidRPr="00F90006" w:rsidRDefault="00D47AF6" w:rsidP="002C3B56">
      <w:pPr>
        <w:pStyle w:val="PargrafodaLista"/>
        <w:numPr>
          <w:ilvl w:val="0"/>
          <w:numId w:val="11"/>
        </w:numPr>
        <w:spacing w:before="120" w:line="276" w:lineRule="auto"/>
        <w:ind w:left="357" w:hanging="357"/>
        <w:jc w:val="both"/>
        <w:rPr>
          <w:sz w:val="16"/>
          <w:szCs w:val="16"/>
          <w:lang w:eastAsia="pt-BR"/>
        </w:rPr>
      </w:pPr>
      <w:r w:rsidRPr="00F90006">
        <w:rPr>
          <w:rFonts w:ascii="Arial" w:eastAsia="Times New Roman" w:hAnsi="Arial" w:cs="Times New Roman"/>
          <w:spacing w:val="-2"/>
          <w:sz w:val="14"/>
          <w:szCs w:val="18"/>
          <w:lang w:eastAsia="pt-BR"/>
        </w:rPr>
        <w:t xml:space="preserve">Refere-se a aplicações em Fundos de Investimento em Participações (FIP) cujo objetivo é aplicar seu Patrimônio Líquido na aquisição de ações ou instrumentos financeiros que representem participação em empresas no estágio inicial de operação. </w:t>
      </w:r>
    </w:p>
    <w:p w14:paraId="4A12E417" w14:textId="77777777" w:rsidR="00D47AF6" w:rsidRPr="00D81FDF" w:rsidRDefault="00D47AF6" w:rsidP="002C3B56">
      <w:pPr>
        <w:pStyle w:val="PargrafodaLista"/>
        <w:numPr>
          <w:ilvl w:val="0"/>
          <w:numId w:val="11"/>
        </w:numPr>
        <w:spacing w:before="120" w:line="276" w:lineRule="auto"/>
        <w:ind w:left="357" w:hanging="357"/>
        <w:jc w:val="both"/>
        <w:rPr>
          <w:sz w:val="16"/>
          <w:szCs w:val="16"/>
          <w:lang w:eastAsia="pt-BR"/>
        </w:rPr>
      </w:pPr>
      <w:r>
        <w:rPr>
          <w:rFonts w:ascii="Arial" w:eastAsia="Times New Roman" w:hAnsi="Arial" w:cs="Times New Roman"/>
          <w:spacing w:val="-2"/>
          <w:sz w:val="14"/>
          <w:szCs w:val="18"/>
          <w:lang w:eastAsia="pt-BR"/>
        </w:rPr>
        <w:t>Desde o 2º trimestre de 2024</w:t>
      </w:r>
      <w:r w:rsidRPr="00F90006">
        <w:rPr>
          <w:rFonts w:ascii="Arial" w:eastAsia="Times New Roman" w:hAnsi="Arial" w:cs="Times New Roman"/>
          <w:spacing w:val="-2"/>
          <w:sz w:val="14"/>
          <w:szCs w:val="18"/>
          <w:lang w:eastAsia="pt-BR"/>
        </w:rPr>
        <w:t xml:space="preserve"> o</w:t>
      </w:r>
      <w:r>
        <w:rPr>
          <w:rFonts w:ascii="Arial" w:eastAsia="Times New Roman" w:hAnsi="Arial" w:cs="Times New Roman"/>
          <w:spacing w:val="-2"/>
          <w:sz w:val="14"/>
          <w:szCs w:val="18"/>
          <w:lang w:eastAsia="pt-BR"/>
        </w:rPr>
        <w:t>s</w:t>
      </w:r>
      <w:r w:rsidRPr="00F90006">
        <w:rPr>
          <w:rFonts w:ascii="Arial" w:eastAsia="Times New Roman" w:hAnsi="Arial" w:cs="Times New Roman"/>
          <w:spacing w:val="-2"/>
          <w:sz w:val="14"/>
          <w:szCs w:val="18"/>
          <w:lang w:eastAsia="pt-BR"/>
        </w:rPr>
        <w:t xml:space="preserve"> valor</w:t>
      </w:r>
      <w:r>
        <w:rPr>
          <w:rFonts w:ascii="Arial" w:eastAsia="Times New Roman" w:hAnsi="Arial" w:cs="Times New Roman"/>
          <w:spacing w:val="-2"/>
          <w:sz w:val="14"/>
          <w:szCs w:val="18"/>
          <w:lang w:eastAsia="pt-BR"/>
        </w:rPr>
        <w:t>es</w:t>
      </w:r>
      <w:r w:rsidRPr="00F90006">
        <w:rPr>
          <w:rFonts w:ascii="Arial" w:eastAsia="Times New Roman" w:hAnsi="Arial" w:cs="Times New Roman"/>
          <w:spacing w:val="-2"/>
          <w:sz w:val="14"/>
          <w:szCs w:val="18"/>
          <w:lang w:eastAsia="pt-BR"/>
        </w:rPr>
        <w:t xml:space="preserve"> da</w:t>
      </w:r>
      <w:r>
        <w:rPr>
          <w:rFonts w:ascii="Arial" w:eastAsia="Times New Roman" w:hAnsi="Arial" w:cs="Times New Roman"/>
          <w:spacing w:val="-2"/>
          <w:sz w:val="14"/>
          <w:szCs w:val="18"/>
          <w:lang w:eastAsia="pt-BR"/>
        </w:rPr>
        <w:t>s</w:t>
      </w:r>
      <w:r w:rsidRPr="00F90006">
        <w:rPr>
          <w:rFonts w:ascii="Arial" w:eastAsia="Times New Roman" w:hAnsi="Arial" w:cs="Times New Roman"/>
          <w:spacing w:val="-2"/>
          <w:sz w:val="14"/>
          <w:szCs w:val="18"/>
          <w:lang w:eastAsia="pt-BR"/>
        </w:rPr>
        <w:t xml:space="preserve"> LFT</w:t>
      </w:r>
      <w:r>
        <w:rPr>
          <w:rFonts w:ascii="Arial" w:eastAsia="Times New Roman" w:hAnsi="Arial" w:cs="Times New Roman"/>
          <w:spacing w:val="-2"/>
          <w:sz w:val="14"/>
          <w:szCs w:val="18"/>
          <w:lang w:eastAsia="pt-BR"/>
        </w:rPr>
        <w:t>s</w:t>
      </w:r>
      <w:r w:rsidRPr="00F90006">
        <w:rPr>
          <w:rFonts w:ascii="Arial" w:eastAsia="Times New Roman" w:hAnsi="Arial" w:cs="Times New Roman"/>
          <w:spacing w:val="-2"/>
          <w:sz w:val="14"/>
          <w:szCs w:val="18"/>
          <w:lang w:eastAsia="pt-BR"/>
        </w:rPr>
        <w:t xml:space="preserve"> </w:t>
      </w:r>
      <w:r>
        <w:rPr>
          <w:rFonts w:ascii="Arial" w:eastAsia="Times New Roman" w:hAnsi="Arial" w:cs="Times New Roman"/>
          <w:spacing w:val="-2"/>
          <w:sz w:val="14"/>
          <w:szCs w:val="18"/>
          <w:lang w:eastAsia="pt-BR"/>
        </w:rPr>
        <w:t>foram</w:t>
      </w:r>
      <w:r w:rsidRPr="00F90006">
        <w:rPr>
          <w:rFonts w:ascii="Arial" w:eastAsia="Times New Roman" w:hAnsi="Arial" w:cs="Times New Roman"/>
          <w:spacing w:val="-2"/>
          <w:sz w:val="14"/>
          <w:szCs w:val="18"/>
          <w:lang w:eastAsia="pt-BR"/>
        </w:rPr>
        <w:t xml:space="preserve"> apurado</w:t>
      </w:r>
      <w:r>
        <w:rPr>
          <w:rFonts w:ascii="Arial" w:eastAsia="Times New Roman" w:hAnsi="Arial" w:cs="Times New Roman"/>
          <w:spacing w:val="-2"/>
          <w:sz w:val="14"/>
          <w:szCs w:val="18"/>
          <w:lang w:eastAsia="pt-BR"/>
        </w:rPr>
        <w:t>s</w:t>
      </w:r>
      <w:r w:rsidRPr="00F90006">
        <w:rPr>
          <w:rFonts w:ascii="Arial" w:eastAsia="Times New Roman" w:hAnsi="Arial" w:cs="Times New Roman"/>
          <w:spacing w:val="-2"/>
          <w:sz w:val="14"/>
          <w:szCs w:val="18"/>
          <w:lang w:eastAsia="pt-BR"/>
        </w:rPr>
        <w:t xml:space="preserve"> pelo custo amortizado</w:t>
      </w:r>
      <w:r>
        <w:rPr>
          <w:rFonts w:ascii="Arial" w:eastAsia="Times New Roman" w:hAnsi="Arial" w:cs="Times New Roman"/>
          <w:spacing w:val="-2"/>
          <w:sz w:val="14"/>
          <w:szCs w:val="18"/>
          <w:lang w:eastAsia="pt-BR"/>
        </w:rPr>
        <w:t xml:space="preserve"> conforme o quadro b.</w:t>
      </w:r>
    </w:p>
    <w:bookmarkEnd w:id="102"/>
    <w:p w14:paraId="4106B729" w14:textId="77777777" w:rsidR="00D47AF6" w:rsidRDefault="00D47AF6" w:rsidP="00D47AF6">
      <w:pPr>
        <w:pStyle w:val="PargrafodaLista"/>
        <w:ind w:left="360"/>
        <w:jc w:val="both"/>
        <w:rPr>
          <w:sz w:val="16"/>
          <w:szCs w:val="16"/>
          <w:lang w:eastAsia="pt-BR"/>
        </w:rPr>
      </w:pPr>
    </w:p>
    <w:p w14:paraId="39AD8340" w14:textId="77777777" w:rsidR="00D47AF6" w:rsidRPr="004942FC" w:rsidRDefault="00D47AF6" w:rsidP="00D5649F">
      <w:pPr>
        <w:pStyle w:val="PargrafodaLista"/>
        <w:pageBreakBefore/>
        <w:numPr>
          <w:ilvl w:val="0"/>
          <w:numId w:val="9"/>
        </w:numPr>
        <w:spacing w:line="276" w:lineRule="auto"/>
        <w:ind w:left="357" w:hanging="357"/>
        <w:rPr>
          <w:rFonts w:ascii="Arial" w:hAnsi="Arial" w:cs="Arial"/>
          <w:b/>
          <w:color w:val="1F3864" w:themeColor="accent1" w:themeShade="80"/>
          <w:sz w:val="20"/>
          <w:szCs w:val="20"/>
        </w:rPr>
      </w:pPr>
      <w:r w:rsidRPr="006F23AE">
        <w:rPr>
          <w:rFonts w:ascii="Arial" w:hAnsi="Arial" w:cs="Arial"/>
          <w:b/>
          <w:color w:val="1F3864" w:themeColor="accent1" w:themeShade="80"/>
          <w:sz w:val="20"/>
          <w:szCs w:val="20"/>
        </w:rPr>
        <w:lastRenderedPageBreak/>
        <w:t>Ativos Financeiros Mensurados pelo Custo Amortizado</w:t>
      </w:r>
    </w:p>
    <w:p w14:paraId="5091028B" w14:textId="77777777" w:rsidR="00D47AF6" w:rsidRPr="00661FB1" w:rsidRDefault="00D47AF6" w:rsidP="00D47AF6">
      <w:pPr>
        <w:spacing w:after="0" w:line="240" w:lineRule="auto"/>
        <w:jc w:val="right"/>
        <w:rPr>
          <w:rFonts w:ascii="Arial" w:hAnsi="Arial" w:cs="Arial"/>
          <w:b/>
          <w:sz w:val="14"/>
          <w:szCs w:val="14"/>
          <w:lang w:eastAsia="pt-BR"/>
        </w:rPr>
      </w:pPr>
      <w:bookmarkStart w:id="103" w:name="_Hlk173168077"/>
      <w:r w:rsidRPr="00661FB1">
        <w:rPr>
          <w:rFonts w:ascii="Arial" w:hAnsi="Arial" w:cs="Arial"/>
          <w:b/>
          <w:sz w:val="14"/>
          <w:szCs w:val="14"/>
        </w:rPr>
        <w:t>R$ mil</w:t>
      </w:r>
    </w:p>
    <w:tbl>
      <w:tblPr>
        <w:tblW w:w="9875" w:type="dxa"/>
        <w:jc w:val="center"/>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1276"/>
        <w:gridCol w:w="992"/>
        <w:gridCol w:w="993"/>
        <w:gridCol w:w="1511"/>
        <w:gridCol w:w="993"/>
        <w:gridCol w:w="850"/>
        <w:gridCol w:w="1134"/>
        <w:gridCol w:w="1134"/>
        <w:gridCol w:w="992"/>
      </w:tblGrid>
      <w:tr w:rsidR="00D47AF6" w:rsidRPr="00427408" w14:paraId="023A2D0C" w14:textId="77777777">
        <w:trPr>
          <w:trHeight w:val="238"/>
          <w:jc w:val="center"/>
        </w:trPr>
        <w:tc>
          <w:tcPr>
            <w:tcW w:w="1276" w:type="dxa"/>
            <w:tcBorders>
              <w:top w:val="single" w:sz="2" w:space="0" w:color="1F3864" w:themeColor="accent1" w:themeShade="80"/>
              <w:bottom w:val="nil"/>
            </w:tcBorders>
          </w:tcPr>
          <w:p w14:paraId="661B7598" w14:textId="77777777" w:rsidR="00D47AF6" w:rsidRDefault="00D47AF6">
            <w:pPr>
              <w:pStyle w:val="08-Tabelageral"/>
              <w:jc w:val="center"/>
              <w:rPr>
                <w:rFonts w:cs="Arial"/>
                <w:b/>
              </w:rPr>
            </w:pPr>
          </w:p>
        </w:tc>
        <w:tc>
          <w:tcPr>
            <w:tcW w:w="8599" w:type="dxa"/>
            <w:gridSpan w:val="8"/>
            <w:tcBorders>
              <w:top w:val="single" w:sz="2" w:space="0" w:color="1F3864" w:themeColor="accent1" w:themeShade="80"/>
              <w:bottom w:val="nil"/>
            </w:tcBorders>
            <w:shd w:val="clear" w:color="auto" w:fill="auto"/>
            <w:noWrap/>
            <w:vAlign w:val="center"/>
          </w:tcPr>
          <w:p w14:paraId="467B4606" w14:textId="77777777" w:rsidR="00D47AF6" w:rsidRPr="00A85881" w:rsidRDefault="00D47AF6">
            <w:pPr>
              <w:pStyle w:val="08-Tabelageral"/>
              <w:jc w:val="center"/>
              <w:rPr>
                <w:rFonts w:cs="Arial"/>
                <w:b/>
                <w:vertAlign w:val="superscript"/>
              </w:rPr>
            </w:pPr>
            <w:r>
              <w:rPr>
                <w:rFonts w:cs="Arial"/>
                <w:b/>
              </w:rPr>
              <w:t xml:space="preserve">Consolidado </w:t>
            </w:r>
          </w:p>
        </w:tc>
      </w:tr>
      <w:tr w:rsidR="00D47AF6" w:rsidRPr="00427408" w14:paraId="50946559" w14:textId="77777777">
        <w:trPr>
          <w:trHeight w:val="238"/>
          <w:jc w:val="center"/>
        </w:trPr>
        <w:tc>
          <w:tcPr>
            <w:tcW w:w="1276" w:type="dxa"/>
            <w:tcBorders>
              <w:top w:val="single" w:sz="2" w:space="0" w:color="1F3864" w:themeColor="accent1" w:themeShade="80"/>
              <w:bottom w:val="nil"/>
            </w:tcBorders>
            <w:shd w:val="clear" w:color="auto" w:fill="auto"/>
            <w:noWrap/>
            <w:vAlign w:val="center"/>
            <w:hideMark/>
          </w:tcPr>
          <w:p w14:paraId="0CDEE92C" w14:textId="77777777" w:rsidR="00D47AF6" w:rsidRPr="00427408" w:rsidRDefault="00D47AF6">
            <w:pPr>
              <w:pStyle w:val="08-Tabelageral"/>
              <w:jc w:val="center"/>
              <w:rPr>
                <w:rFonts w:cs="Arial"/>
                <w:b/>
              </w:rPr>
            </w:pPr>
          </w:p>
        </w:tc>
        <w:tc>
          <w:tcPr>
            <w:tcW w:w="1985" w:type="dxa"/>
            <w:gridSpan w:val="2"/>
            <w:tcBorders>
              <w:top w:val="single" w:sz="2" w:space="0" w:color="1F3864" w:themeColor="accent1" w:themeShade="80"/>
              <w:bottom w:val="single" w:sz="2" w:space="0" w:color="1F3864" w:themeColor="accent1" w:themeShade="80"/>
            </w:tcBorders>
            <w:shd w:val="clear" w:color="auto" w:fill="auto"/>
            <w:noWrap/>
            <w:vAlign w:val="center"/>
            <w:hideMark/>
          </w:tcPr>
          <w:p w14:paraId="5EA3FF39" w14:textId="77777777" w:rsidR="00D47AF6" w:rsidRPr="00427408" w:rsidRDefault="00D47AF6">
            <w:pPr>
              <w:pStyle w:val="08-Tabelageral"/>
              <w:jc w:val="center"/>
              <w:rPr>
                <w:rFonts w:cs="Arial"/>
                <w:b/>
              </w:rPr>
            </w:pPr>
            <w:r w:rsidRPr="00427408">
              <w:rPr>
                <w:rFonts w:cs="Arial"/>
                <w:b/>
              </w:rPr>
              <w:t>31.12.202</w:t>
            </w:r>
            <w:r>
              <w:rPr>
                <w:rFonts w:cs="Arial"/>
                <w:b/>
              </w:rPr>
              <w:t>3</w:t>
            </w:r>
          </w:p>
        </w:tc>
        <w:tc>
          <w:tcPr>
            <w:tcW w:w="1511" w:type="dxa"/>
            <w:tcBorders>
              <w:top w:val="single" w:sz="2" w:space="0" w:color="1F3864" w:themeColor="accent1" w:themeShade="80"/>
              <w:bottom w:val="single" w:sz="2" w:space="0" w:color="1F3864" w:themeColor="accent1" w:themeShade="80"/>
            </w:tcBorders>
          </w:tcPr>
          <w:p w14:paraId="54830E0E" w14:textId="77777777" w:rsidR="00D47AF6" w:rsidRPr="00427408" w:rsidRDefault="00D47AF6">
            <w:pPr>
              <w:pStyle w:val="08-Tabelageral"/>
              <w:jc w:val="center"/>
              <w:rPr>
                <w:rFonts w:cs="Arial"/>
                <w:b/>
              </w:rPr>
            </w:pPr>
          </w:p>
        </w:tc>
        <w:tc>
          <w:tcPr>
            <w:tcW w:w="993" w:type="dxa"/>
            <w:tcBorders>
              <w:top w:val="single" w:sz="2" w:space="0" w:color="1F3864" w:themeColor="accent1" w:themeShade="80"/>
              <w:bottom w:val="single" w:sz="2" w:space="0" w:color="1F3864" w:themeColor="accent1" w:themeShade="80"/>
            </w:tcBorders>
            <w:shd w:val="clear" w:color="auto" w:fill="auto"/>
            <w:noWrap/>
            <w:vAlign w:val="center"/>
            <w:hideMark/>
          </w:tcPr>
          <w:p w14:paraId="42BF1045" w14:textId="77777777" w:rsidR="00D47AF6" w:rsidRPr="00427408" w:rsidRDefault="00D47AF6">
            <w:pPr>
              <w:pStyle w:val="08-Tabelageral"/>
              <w:jc w:val="center"/>
              <w:rPr>
                <w:rFonts w:cs="Arial"/>
                <w:b/>
              </w:rPr>
            </w:pPr>
          </w:p>
        </w:tc>
        <w:tc>
          <w:tcPr>
            <w:tcW w:w="850" w:type="dxa"/>
            <w:tcBorders>
              <w:top w:val="single" w:sz="2" w:space="0" w:color="1F3864" w:themeColor="accent1" w:themeShade="80"/>
              <w:bottom w:val="single" w:sz="2" w:space="0" w:color="1F3864" w:themeColor="accent1" w:themeShade="80"/>
            </w:tcBorders>
            <w:shd w:val="clear" w:color="auto" w:fill="auto"/>
            <w:noWrap/>
            <w:vAlign w:val="center"/>
            <w:hideMark/>
          </w:tcPr>
          <w:p w14:paraId="36DFF119" w14:textId="77777777" w:rsidR="00D47AF6" w:rsidRPr="00427408" w:rsidRDefault="00D47AF6">
            <w:pPr>
              <w:pStyle w:val="08-Tabelageral"/>
              <w:jc w:val="center"/>
              <w:rPr>
                <w:rFonts w:cs="Arial"/>
                <w:b/>
              </w:rPr>
            </w:pPr>
          </w:p>
        </w:tc>
        <w:tc>
          <w:tcPr>
            <w:tcW w:w="1134" w:type="dxa"/>
            <w:tcBorders>
              <w:top w:val="single" w:sz="2" w:space="0" w:color="1F3864" w:themeColor="accent1" w:themeShade="80"/>
              <w:bottom w:val="single" w:sz="2" w:space="0" w:color="1F3864" w:themeColor="accent1" w:themeShade="80"/>
            </w:tcBorders>
            <w:shd w:val="clear" w:color="auto" w:fill="auto"/>
            <w:noWrap/>
            <w:vAlign w:val="center"/>
            <w:hideMark/>
          </w:tcPr>
          <w:p w14:paraId="4831113E" w14:textId="77777777" w:rsidR="00D47AF6" w:rsidRPr="00427408" w:rsidRDefault="00D47AF6">
            <w:pPr>
              <w:pStyle w:val="08-Tabelageral"/>
              <w:jc w:val="center"/>
              <w:rPr>
                <w:rFonts w:cs="Arial"/>
                <w:b/>
              </w:rPr>
            </w:pPr>
          </w:p>
        </w:tc>
        <w:tc>
          <w:tcPr>
            <w:tcW w:w="2126" w:type="dxa"/>
            <w:gridSpan w:val="2"/>
            <w:tcBorders>
              <w:top w:val="single" w:sz="2" w:space="0" w:color="1F3864" w:themeColor="accent1" w:themeShade="80"/>
              <w:bottom w:val="single" w:sz="2" w:space="0" w:color="1F3864" w:themeColor="accent1" w:themeShade="80"/>
            </w:tcBorders>
            <w:shd w:val="clear" w:color="auto" w:fill="auto"/>
            <w:noWrap/>
            <w:vAlign w:val="center"/>
            <w:hideMark/>
          </w:tcPr>
          <w:p w14:paraId="1D6F441A" w14:textId="77777777" w:rsidR="00D47AF6" w:rsidRPr="00427408" w:rsidRDefault="00D47AF6">
            <w:pPr>
              <w:pStyle w:val="08-Tabelageral"/>
              <w:jc w:val="center"/>
              <w:rPr>
                <w:rFonts w:cs="Arial"/>
                <w:b/>
              </w:rPr>
            </w:pPr>
            <w:r>
              <w:rPr>
                <w:rFonts w:cs="Arial"/>
                <w:b/>
              </w:rPr>
              <w:t>31</w:t>
            </w:r>
            <w:r w:rsidRPr="00427408">
              <w:rPr>
                <w:rFonts w:cs="Arial"/>
                <w:b/>
              </w:rPr>
              <w:t>.</w:t>
            </w:r>
            <w:r>
              <w:rPr>
                <w:rFonts w:cs="Arial"/>
                <w:b/>
              </w:rPr>
              <w:t>12</w:t>
            </w:r>
            <w:r w:rsidRPr="00427408">
              <w:rPr>
                <w:rFonts w:cs="Arial"/>
                <w:b/>
              </w:rPr>
              <w:t>.202</w:t>
            </w:r>
            <w:r>
              <w:rPr>
                <w:rFonts w:cs="Arial"/>
                <w:b/>
              </w:rPr>
              <w:t>4</w:t>
            </w:r>
          </w:p>
        </w:tc>
      </w:tr>
      <w:tr w:rsidR="00D47AF6" w:rsidRPr="00427408" w14:paraId="42648433" w14:textId="77777777">
        <w:trPr>
          <w:trHeight w:val="238"/>
          <w:jc w:val="center"/>
        </w:trPr>
        <w:tc>
          <w:tcPr>
            <w:tcW w:w="1276" w:type="dxa"/>
            <w:tcBorders>
              <w:top w:val="nil"/>
              <w:bottom w:val="single" w:sz="2" w:space="0" w:color="1F3864" w:themeColor="accent1" w:themeShade="80"/>
            </w:tcBorders>
            <w:shd w:val="clear" w:color="auto" w:fill="auto"/>
            <w:noWrap/>
            <w:vAlign w:val="center"/>
            <w:hideMark/>
          </w:tcPr>
          <w:p w14:paraId="6800E13E" w14:textId="77777777" w:rsidR="00D47AF6" w:rsidRPr="00427408" w:rsidRDefault="00D47AF6">
            <w:pPr>
              <w:pStyle w:val="08-Tabelageral"/>
              <w:jc w:val="center"/>
              <w:rPr>
                <w:rFonts w:cs="Arial"/>
                <w:b/>
              </w:rPr>
            </w:pPr>
          </w:p>
        </w:tc>
        <w:tc>
          <w:tcPr>
            <w:tcW w:w="992" w:type="dxa"/>
            <w:tcBorders>
              <w:top w:val="single" w:sz="2" w:space="0" w:color="1F3864" w:themeColor="accent1" w:themeShade="80"/>
              <w:bottom w:val="single" w:sz="2" w:space="0" w:color="1F3864" w:themeColor="accent1" w:themeShade="80"/>
            </w:tcBorders>
            <w:shd w:val="clear" w:color="auto" w:fill="auto"/>
            <w:vAlign w:val="center"/>
            <w:hideMark/>
          </w:tcPr>
          <w:p w14:paraId="04CE0688" w14:textId="77777777" w:rsidR="00D47AF6" w:rsidRPr="00427408" w:rsidRDefault="00D47AF6">
            <w:pPr>
              <w:pStyle w:val="08-Tabelageral"/>
              <w:jc w:val="center"/>
              <w:rPr>
                <w:rFonts w:cs="Arial"/>
                <w:b/>
              </w:rPr>
            </w:pPr>
            <w:r w:rsidRPr="00427408">
              <w:rPr>
                <w:rFonts w:cs="Arial"/>
                <w:b/>
              </w:rPr>
              <w:t>Valor de Custo</w:t>
            </w:r>
          </w:p>
        </w:tc>
        <w:tc>
          <w:tcPr>
            <w:tcW w:w="993" w:type="dxa"/>
            <w:tcBorders>
              <w:top w:val="single" w:sz="2" w:space="0" w:color="1F3864" w:themeColor="accent1" w:themeShade="80"/>
              <w:bottom w:val="single" w:sz="2" w:space="0" w:color="1F3864" w:themeColor="accent1" w:themeShade="80"/>
            </w:tcBorders>
            <w:shd w:val="clear" w:color="auto" w:fill="auto"/>
            <w:vAlign w:val="center"/>
            <w:hideMark/>
          </w:tcPr>
          <w:p w14:paraId="6EDD3E4F" w14:textId="77777777" w:rsidR="00D47AF6" w:rsidRPr="00427408" w:rsidRDefault="00D47AF6">
            <w:pPr>
              <w:pStyle w:val="08-Tabelageral"/>
              <w:jc w:val="center"/>
              <w:rPr>
                <w:rFonts w:cs="Arial"/>
                <w:b/>
              </w:rPr>
            </w:pPr>
            <w:r w:rsidRPr="00427408">
              <w:rPr>
                <w:rFonts w:cs="Arial"/>
                <w:b/>
              </w:rPr>
              <w:t>Valor Contábil</w:t>
            </w:r>
          </w:p>
        </w:tc>
        <w:tc>
          <w:tcPr>
            <w:tcW w:w="1511" w:type="dxa"/>
            <w:tcBorders>
              <w:top w:val="single" w:sz="2" w:space="0" w:color="1F3864" w:themeColor="accent1" w:themeShade="80"/>
              <w:bottom w:val="single" w:sz="2" w:space="0" w:color="1F3864" w:themeColor="accent1" w:themeShade="80"/>
            </w:tcBorders>
            <w:vAlign w:val="center"/>
          </w:tcPr>
          <w:p w14:paraId="38AC51AA" w14:textId="77777777" w:rsidR="00D47AF6" w:rsidRPr="007E2F64" w:rsidRDefault="00D47AF6">
            <w:pPr>
              <w:pStyle w:val="08-Tabelageral"/>
              <w:jc w:val="center"/>
              <w:rPr>
                <w:rFonts w:cs="Arial"/>
                <w:b/>
                <w:vertAlign w:val="superscript"/>
              </w:rPr>
            </w:pPr>
            <w:r>
              <w:rPr>
                <w:rFonts w:cs="Arial"/>
                <w:b/>
              </w:rPr>
              <w:t xml:space="preserve">Reclassificação </w:t>
            </w:r>
            <w:r>
              <w:rPr>
                <w:rFonts w:cs="Arial"/>
                <w:b/>
                <w:vertAlign w:val="superscript"/>
              </w:rPr>
              <w:t>(2)</w:t>
            </w:r>
          </w:p>
        </w:tc>
        <w:tc>
          <w:tcPr>
            <w:tcW w:w="993" w:type="dxa"/>
            <w:tcBorders>
              <w:top w:val="single" w:sz="2" w:space="0" w:color="1F3864" w:themeColor="accent1" w:themeShade="80"/>
              <w:bottom w:val="single" w:sz="2" w:space="0" w:color="1F3864" w:themeColor="accent1" w:themeShade="80"/>
            </w:tcBorders>
            <w:shd w:val="clear" w:color="auto" w:fill="auto"/>
            <w:vAlign w:val="center"/>
            <w:hideMark/>
          </w:tcPr>
          <w:p w14:paraId="45C5AF10" w14:textId="77777777" w:rsidR="00D47AF6" w:rsidRPr="00427408" w:rsidRDefault="00D47AF6">
            <w:pPr>
              <w:pStyle w:val="08-Tabelageral"/>
              <w:jc w:val="center"/>
              <w:rPr>
                <w:rFonts w:cs="Arial"/>
                <w:b/>
              </w:rPr>
            </w:pPr>
            <w:r w:rsidRPr="00427408">
              <w:rPr>
                <w:rFonts w:cs="Arial"/>
                <w:b/>
              </w:rPr>
              <w:t>Aplicações</w:t>
            </w:r>
          </w:p>
        </w:tc>
        <w:tc>
          <w:tcPr>
            <w:tcW w:w="850" w:type="dxa"/>
            <w:tcBorders>
              <w:top w:val="single" w:sz="2" w:space="0" w:color="1F3864" w:themeColor="accent1" w:themeShade="80"/>
              <w:bottom w:val="single" w:sz="2" w:space="0" w:color="1F3864" w:themeColor="accent1" w:themeShade="80"/>
            </w:tcBorders>
            <w:shd w:val="clear" w:color="auto" w:fill="auto"/>
            <w:vAlign w:val="center"/>
            <w:hideMark/>
          </w:tcPr>
          <w:p w14:paraId="4BD9DD84" w14:textId="77777777" w:rsidR="00D47AF6" w:rsidRPr="00427408" w:rsidRDefault="00D47AF6">
            <w:pPr>
              <w:pStyle w:val="08-Tabelageral"/>
              <w:jc w:val="center"/>
              <w:rPr>
                <w:rFonts w:cs="Arial"/>
                <w:b/>
              </w:rPr>
            </w:pPr>
            <w:r w:rsidRPr="00427408">
              <w:rPr>
                <w:rFonts w:cs="Arial"/>
                <w:b/>
              </w:rPr>
              <w:t>Resgates</w:t>
            </w:r>
          </w:p>
        </w:tc>
        <w:tc>
          <w:tcPr>
            <w:tcW w:w="1134" w:type="dxa"/>
            <w:tcBorders>
              <w:top w:val="single" w:sz="2" w:space="0" w:color="1F3864" w:themeColor="accent1" w:themeShade="80"/>
              <w:bottom w:val="single" w:sz="2" w:space="0" w:color="1F3864" w:themeColor="accent1" w:themeShade="80"/>
            </w:tcBorders>
            <w:shd w:val="clear" w:color="auto" w:fill="auto"/>
            <w:vAlign w:val="center"/>
            <w:hideMark/>
          </w:tcPr>
          <w:p w14:paraId="0013EF97" w14:textId="77777777" w:rsidR="00D47AF6" w:rsidRPr="00427408" w:rsidRDefault="00D47AF6">
            <w:pPr>
              <w:pStyle w:val="08-Tabelageral"/>
              <w:jc w:val="center"/>
              <w:rPr>
                <w:rFonts w:cs="Arial"/>
                <w:b/>
              </w:rPr>
            </w:pPr>
            <w:r w:rsidRPr="00427408">
              <w:rPr>
                <w:rFonts w:cs="Arial"/>
                <w:b/>
              </w:rPr>
              <w:t>Rentabilidade</w:t>
            </w:r>
          </w:p>
        </w:tc>
        <w:tc>
          <w:tcPr>
            <w:tcW w:w="1134" w:type="dxa"/>
            <w:tcBorders>
              <w:top w:val="single" w:sz="2" w:space="0" w:color="1F3864" w:themeColor="accent1" w:themeShade="80"/>
              <w:bottom w:val="single" w:sz="2" w:space="0" w:color="1F3864" w:themeColor="accent1" w:themeShade="80"/>
            </w:tcBorders>
            <w:shd w:val="clear" w:color="auto" w:fill="auto"/>
            <w:vAlign w:val="center"/>
            <w:hideMark/>
          </w:tcPr>
          <w:p w14:paraId="17DB3725" w14:textId="77777777" w:rsidR="00D47AF6" w:rsidRPr="00427408" w:rsidRDefault="00D47AF6">
            <w:pPr>
              <w:pStyle w:val="08-Tabelageral"/>
              <w:jc w:val="center"/>
              <w:rPr>
                <w:rFonts w:cs="Arial"/>
                <w:b/>
              </w:rPr>
            </w:pPr>
            <w:r w:rsidRPr="00427408">
              <w:rPr>
                <w:rFonts w:cs="Arial"/>
                <w:b/>
              </w:rPr>
              <w:t>Valor de Custo</w:t>
            </w:r>
          </w:p>
        </w:tc>
        <w:tc>
          <w:tcPr>
            <w:tcW w:w="992" w:type="dxa"/>
            <w:tcBorders>
              <w:top w:val="single" w:sz="2" w:space="0" w:color="1F3864" w:themeColor="accent1" w:themeShade="80"/>
              <w:bottom w:val="single" w:sz="2" w:space="0" w:color="1F3864" w:themeColor="accent1" w:themeShade="80"/>
            </w:tcBorders>
            <w:shd w:val="clear" w:color="auto" w:fill="auto"/>
            <w:vAlign w:val="center"/>
            <w:hideMark/>
          </w:tcPr>
          <w:p w14:paraId="4FDF3E44" w14:textId="77777777" w:rsidR="00D47AF6" w:rsidRPr="00427408" w:rsidRDefault="00D47AF6">
            <w:pPr>
              <w:pStyle w:val="08-Tabelageral"/>
              <w:jc w:val="center"/>
              <w:rPr>
                <w:rFonts w:cs="Arial"/>
                <w:b/>
              </w:rPr>
            </w:pPr>
            <w:r w:rsidRPr="00427408">
              <w:rPr>
                <w:rFonts w:cs="Arial"/>
                <w:b/>
              </w:rPr>
              <w:t>Valor Contábil</w:t>
            </w:r>
          </w:p>
        </w:tc>
      </w:tr>
      <w:tr w:rsidR="00D47AF6" w:rsidRPr="00427408" w14:paraId="595C09F7" w14:textId="77777777">
        <w:trPr>
          <w:trHeight w:val="238"/>
          <w:jc w:val="center"/>
        </w:trPr>
        <w:tc>
          <w:tcPr>
            <w:tcW w:w="1276" w:type="dxa"/>
            <w:tcBorders>
              <w:top w:val="single" w:sz="2" w:space="0" w:color="1F3864" w:themeColor="accent1" w:themeShade="80"/>
              <w:bottom w:val="nil"/>
            </w:tcBorders>
            <w:shd w:val="clear" w:color="auto" w:fill="auto"/>
            <w:noWrap/>
            <w:hideMark/>
          </w:tcPr>
          <w:p w14:paraId="25306375" w14:textId="77777777" w:rsidR="00D47AF6" w:rsidRPr="00427408" w:rsidRDefault="00D47AF6">
            <w:pPr>
              <w:pStyle w:val="08-Tabelageral"/>
              <w:ind w:left="113"/>
              <w:jc w:val="left"/>
              <w:rPr>
                <w:rFonts w:cs="Arial"/>
              </w:rPr>
            </w:pPr>
            <w:r>
              <w:rPr>
                <w:rFonts w:cs="Arial"/>
              </w:rPr>
              <w:t xml:space="preserve">LFT </w:t>
            </w:r>
            <w:r w:rsidRPr="00427408">
              <w:rPr>
                <w:rFonts w:cs="Arial"/>
                <w:vertAlign w:val="superscript"/>
              </w:rPr>
              <w:t>(</w:t>
            </w:r>
            <w:r>
              <w:rPr>
                <w:rFonts w:cs="Arial"/>
                <w:vertAlign w:val="superscript"/>
              </w:rPr>
              <w:t>1</w:t>
            </w:r>
            <w:r w:rsidRPr="00427408">
              <w:rPr>
                <w:rFonts w:cs="Arial"/>
                <w:vertAlign w:val="superscript"/>
              </w:rPr>
              <w:t>)</w:t>
            </w:r>
          </w:p>
        </w:tc>
        <w:tc>
          <w:tcPr>
            <w:tcW w:w="992" w:type="dxa"/>
            <w:tcBorders>
              <w:top w:val="single" w:sz="2" w:space="0" w:color="1F3864" w:themeColor="accent1" w:themeShade="80"/>
              <w:left w:val="nil"/>
              <w:bottom w:val="nil"/>
              <w:right w:val="nil"/>
            </w:tcBorders>
            <w:shd w:val="clear" w:color="auto" w:fill="auto"/>
            <w:noWrap/>
            <w:hideMark/>
          </w:tcPr>
          <w:p w14:paraId="4C644B8E" w14:textId="77777777" w:rsidR="00D47AF6" w:rsidRPr="00427408" w:rsidRDefault="00D47AF6">
            <w:pPr>
              <w:pStyle w:val="08-Tabelageral"/>
              <w:rPr>
                <w:rFonts w:cs="Arial"/>
              </w:rPr>
            </w:pPr>
            <w:r>
              <w:t>--</w:t>
            </w:r>
          </w:p>
        </w:tc>
        <w:tc>
          <w:tcPr>
            <w:tcW w:w="993" w:type="dxa"/>
            <w:tcBorders>
              <w:top w:val="single" w:sz="2" w:space="0" w:color="1F3864" w:themeColor="accent1" w:themeShade="80"/>
              <w:left w:val="nil"/>
              <w:bottom w:val="nil"/>
              <w:right w:val="nil"/>
            </w:tcBorders>
            <w:shd w:val="clear" w:color="auto" w:fill="auto"/>
            <w:noWrap/>
            <w:hideMark/>
          </w:tcPr>
          <w:p w14:paraId="3EB36E70" w14:textId="77777777" w:rsidR="00D47AF6" w:rsidRPr="00427408" w:rsidRDefault="00D47AF6">
            <w:pPr>
              <w:pStyle w:val="08-Tabelageral"/>
              <w:rPr>
                <w:rFonts w:cs="Arial"/>
              </w:rPr>
            </w:pPr>
            <w:r>
              <w:t>--</w:t>
            </w:r>
          </w:p>
        </w:tc>
        <w:tc>
          <w:tcPr>
            <w:tcW w:w="1511" w:type="dxa"/>
            <w:tcBorders>
              <w:top w:val="single" w:sz="2" w:space="0" w:color="1F3864" w:themeColor="accent1" w:themeShade="80"/>
              <w:left w:val="nil"/>
              <w:bottom w:val="nil"/>
              <w:right w:val="nil"/>
            </w:tcBorders>
          </w:tcPr>
          <w:p w14:paraId="04A08F17" w14:textId="77777777" w:rsidR="00D47AF6" w:rsidRPr="00FB1C0D" w:rsidRDefault="00D47AF6">
            <w:pPr>
              <w:pStyle w:val="08-Tabelageral"/>
            </w:pPr>
            <w:r w:rsidRPr="0068227D">
              <w:t>1.586.371</w:t>
            </w:r>
          </w:p>
        </w:tc>
        <w:tc>
          <w:tcPr>
            <w:tcW w:w="993" w:type="dxa"/>
            <w:tcBorders>
              <w:top w:val="single" w:sz="2" w:space="0" w:color="1F3864" w:themeColor="accent1" w:themeShade="80"/>
              <w:left w:val="nil"/>
              <w:bottom w:val="nil"/>
              <w:right w:val="nil"/>
            </w:tcBorders>
            <w:shd w:val="clear" w:color="auto" w:fill="auto"/>
            <w:noWrap/>
          </w:tcPr>
          <w:p w14:paraId="1E9E1503" w14:textId="77777777" w:rsidR="00D47AF6" w:rsidRPr="00427408" w:rsidRDefault="00D47AF6">
            <w:pPr>
              <w:pStyle w:val="08-Tabelageral"/>
              <w:rPr>
                <w:rFonts w:cs="Arial"/>
              </w:rPr>
            </w:pPr>
            <w:r w:rsidRPr="00813A6D">
              <w:t>--</w:t>
            </w:r>
          </w:p>
        </w:tc>
        <w:tc>
          <w:tcPr>
            <w:tcW w:w="850" w:type="dxa"/>
            <w:tcBorders>
              <w:top w:val="single" w:sz="2" w:space="0" w:color="1F3864" w:themeColor="accent1" w:themeShade="80"/>
              <w:left w:val="nil"/>
              <w:bottom w:val="nil"/>
              <w:right w:val="nil"/>
            </w:tcBorders>
            <w:shd w:val="clear" w:color="auto" w:fill="auto"/>
            <w:noWrap/>
          </w:tcPr>
          <w:p w14:paraId="3198DBA6" w14:textId="77777777" w:rsidR="00D47AF6" w:rsidRPr="00427408" w:rsidRDefault="00D47AF6">
            <w:pPr>
              <w:pStyle w:val="08-Tabelageral"/>
              <w:rPr>
                <w:rFonts w:cs="Arial"/>
              </w:rPr>
            </w:pPr>
            <w:r w:rsidRPr="00813A6D">
              <w:t>--</w:t>
            </w:r>
          </w:p>
        </w:tc>
        <w:tc>
          <w:tcPr>
            <w:tcW w:w="1134" w:type="dxa"/>
            <w:tcBorders>
              <w:top w:val="single" w:sz="2" w:space="0" w:color="1F3864" w:themeColor="accent1" w:themeShade="80"/>
              <w:left w:val="nil"/>
              <w:bottom w:val="nil"/>
              <w:right w:val="nil"/>
            </w:tcBorders>
            <w:shd w:val="clear" w:color="auto" w:fill="auto"/>
            <w:noWrap/>
          </w:tcPr>
          <w:p w14:paraId="502F34B0" w14:textId="77777777" w:rsidR="00D47AF6" w:rsidRPr="00B17C35" w:rsidRDefault="00D47AF6">
            <w:pPr>
              <w:pStyle w:val="08-Tabelageral"/>
              <w:rPr>
                <w:rFonts w:cs="Arial"/>
              </w:rPr>
            </w:pPr>
            <w:r w:rsidRPr="00410513">
              <w:t>172.640</w:t>
            </w:r>
          </w:p>
        </w:tc>
        <w:tc>
          <w:tcPr>
            <w:tcW w:w="1134" w:type="dxa"/>
            <w:tcBorders>
              <w:top w:val="single" w:sz="2" w:space="0" w:color="1F3864" w:themeColor="accent1" w:themeShade="80"/>
              <w:left w:val="nil"/>
              <w:bottom w:val="nil"/>
              <w:right w:val="nil"/>
            </w:tcBorders>
            <w:shd w:val="clear" w:color="auto" w:fill="auto"/>
            <w:noWrap/>
          </w:tcPr>
          <w:p w14:paraId="3E05256B" w14:textId="77777777" w:rsidR="00D47AF6" w:rsidRPr="00B17C35" w:rsidRDefault="00D47AF6">
            <w:pPr>
              <w:pStyle w:val="08-Tabelageral"/>
              <w:rPr>
                <w:rFonts w:cs="Arial"/>
              </w:rPr>
            </w:pPr>
            <w:r w:rsidRPr="00B17C35">
              <w:t>1.433.111</w:t>
            </w:r>
          </w:p>
        </w:tc>
        <w:tc>
          <w:tcPr>
            <w:tcW w:w="992" w:type="dxa"/>
            <w:tcBorders>
              <w:top w:val="single" w:sz="2" w:space="0" w:color="1F3864" w:themeColor="accent1" w:themeShade="80"/>
              <w:left w:val="nil"/>
              <w:bottom w:val="nil"/>
              <w:right w:val="nil"/>
            </w:tcBorders>
            <w:shd w:val="clear" w:color="auto" w:fill="auto"/>
            <w:noWrap/>
          </w:tcPr>
          <w:p w14:paraId="66795FC6" w14:textId="77777777" w:rsidR="00D47AF6" w:rsidRPr="00B17C35" w:rsidRDefault="00D47AF6">
            <w:pPr>
              <w:pStyle w:val="08-Tabelageral"/>
              <w:rPr>
                <w:rFonts w:cs="Arial"/>
              </w:rPr>
            </w:pPr>
            <w:r w:rsidRPr="00410513">
              <w:t>1.759.011</w:t>
            </w:r>
          </w:p>
        </w:tc>
      </w:tr>
      <w:tr w:rsidR="00D47AF6" w:rsidRPr="00427408" w14:paraId="68252179" w14:textId="77777777">
        <w:trPr>
          <w:trHeight w:val="66"/>
          <w:jc w:val="center"/>
        </w:trPr>
        <w:tc>
          <w:tcPr>
            <w:tcW w:w="1276" w:type="dxa"/>
            <w:tcBorders>
              <w:top w:val="nil"/>
              <w:bottom w:val="single" w:sz="2" w:space="0" w:color="1F3864" w:themeColor="accent1" w:themeShade="80"/>
            </w:tcBorders>
            <w:shd w:val="clear" w:color="auto" w:fill="auto"/>
            <w:noWrap/>
            <w:hideMark/>
          </w:tcPr>
          <w:p w14:paraId="3AF73D2B" w14:textId="77777777" w:rsidR="00D47AF6" w:rsidRPr="00427408" w:rsidRDefault="00D47AF6">
            <w:pPr>
              <w:pStyle w:val="08-Tabelageral"/>
              <w:jc w:val="left"/>
              <w:rPr>
                <w:rFonts w:cs="Arial"/>
                <w:b/>
              </w:rPr>
            </w:pPr>
            <w:r w:rsidRPr="00427408">
              <w:rPr>
                <w:rFonts w:cs="Arial"/>
                <w:b/>
              </w:rPr>
              <w:t>Total</w:t>
            </w:r>
          </w:p>
        </w:tc>
        <w:tc>
          <w:tcPr>
            <w:tcW w:w="992" w:type="dxa"/>
            <w:tcBorders>
              <w:top w:val="nil"/>
              <w:left w:val="nil"/>
              <w:bottom w:val="single" w:sz="2" w:space="0" w:color="1F3864" w:themeColor="accent1" w:themeShade="80"/>
              <w:right w:val="nil"/>
            </w:tcBorders>
            <w:shd w:val="clear" w:color="auto" w:fill="auto"/>
            <w:noWrap/>
          </w:tcPr>
          <w:p w14:paraId="39F27ECD" w14:textId="77777777" w:rsidR="00D47AF6" w:rsidRPr="00971EA8" w:rsidRDefault="00D47AF6">
            <w:pPr>
              <w:pStyle w:val="08-Tabelageral"/>
              <w:rPr>
                <w:rFonts w:cs="Arial"/>
                <w:b/>
                <w:bCs/>
              </w:rPr>
            </w:pPr>
            <w:r w:rsidRPr="00927E2A">
              <w:t>--</w:t>
            </w:r>
          </w:p>
        </w:tc>
        <w:tc>
          <w:tcPr>
            <w:tcW w:w="993" w:type="dxa"/>
            <w:tcBorders>
              <w:top w:val="nil"/>
              <w:left w:val="nil"/>
              <w:bottom w:val="single" w:sz="2" w:space="0" w:color="1F3864" w:themeColor="accent1" w:themeShade="80"/>
              <w:right w:val="nil"/>
            </w:tcBorders>
            <w:shd w:val="clear" w:color="auto" w:fill="auto"/>
            <w:noWrap/>
          </w:tcPr>
          <w:p w14:paraId="26F752B2" w14:textId="77777777" w:rsidR="00D47AF6" w:rsidRPr="00971EA8" w:rsidRDefault="00D47AF6">
            <w:pPr>
              <w:pStyle w:val="08-Tabelageral"/>
              <w:rPr>
                <w:rFonts w:cs="Arial"/>
                <w:b/>
                <w:bCs/>
              </w:rPr>
            </w:pPr>
            <w:r w:rsidRPr="00927E2A">
              <w:t>--</w:t>
            </w:r>
          </w:p>
        </w:tc>
        <w:tc>
          <w:tcPr>
            <w:tcW w:w="1511" w:type="dxa"/>
            <w:tcBorders>
              <w:top w:val="nil"/>
              <w:left w:val="nil"/>
              <w:bottom w:val="single" w:sz="2" w:space="0" w:color="1F3864" w:themeColor="accent1" w:themeShade="80"/>
              <w:right w:val="nil"/>
            </w:tcBorders>
          </w:tcPr>
          <w:p w14:paraId="792C306E" w14:textId="77777777" w:rsidR="00D47AF6" w:rsidRPr="00971EA8" w:rsidRDefault="00D47AF6">
            <w:pPr>
              <w:pStyle w:val="08-Tabelageral"/>
              <w:rPr>
                <w:b/>
                <w:bCs/>
              </w:rPr>
            </w:pPr>
            <w:r w:rsidRPr="0068227D">
              <w:rPr>
                <w:b/>
                <w:bCs/>
              </w:rPr>
              <w:t>1.586.371</w:t>
            </w:r>
          </w:p>
        </w:tc>
        <w:tc>
          <w:tcPr>
            <w:tcW w:w="993" w:type="dxa"/>
            <w:tcBorders>
              <w:top w:val="nil"/>
              <w:left w:val="nil"/>
              <w:bottom w:val="single" w:sz="2" w:space="0" w:color="1F3864" w:themeColor="accent1" w:themeShade="80"/>
              <w:right w:val="nil"/>
            </w:tcBorders>
            <w:shd w:val="clear" w:color="auto" w:fill="auto"/>
            <w:noWrap/>
          </w:tcPr>
          <w:p w14:paraId="2F4AEDE3" w14:textId="77777777" w:rsidR="00D47AF6" w:rsidRPr="00971EA8" w:rsidRDefault="00D47AF6">
            <w:pPr>
              <w:pStyle w:val="08-Tabelageral"/>
              <w:rPr>
                <w:rFonts w:cs="Arial"/>
                <w:b/>
                <w:bCs/>
              </w:rPr>
            </w:pPr>
            <w:r w:rsidRPr="00971EA8">
              <w:rPr>
                <w:b/>
                <w:bCs/>
              </w:rPr>
              <w:t>--</w:t>
            </w:r>
          </w:p>
        </w:tc>
        <w:tc>
          <w:tcPr>
            <w:tcW w:w="850" w:type="dxa"/>
            <w:tcBorders>
              <w:top w:val="nil"/>
              <w:left w:val="nil"/>
              <w:bottom w:val="single" w:sz="2" w:space="0" w:color="1F3864" w:themeColor="accent1" w:themeShade="80"/>
              <w:right w:val="nil"/>
            </w:tcBorders>
            <w:shd w:val="clear" w:color="auto" w:fill="auto"/>
            <w:noWrap/>
          </w:tcPr>
          <w:p w14:paraId="6894F61A" w14:textId="77777777" w:rsidR="00D47AF6" w:rsidRPr="00971EA8" w:rsidRDefault="00D47AF6">
            <w:pPr>
              <w:pStyle w:val="08-Tabelageral"/>
              <w:rPr>
                <w:rFonts w:cs="Arial"/>
                <w:b/>
                <w:bCs/>
              </w:rPr>
            </w:pPr>
            <w:r w:rsidRPr="00971EA8">
              <w:rPr>
                <w:b/>
                <w:bCs/>
              </w:rPr>
              <w:t>--</w:t>
            </w:r>
          </w:p>
        </w:tc>
        <w:tc>
          <w:tcPr>
            <w:tcW w:w="1134" w:type="dxa"/>
            <w:tcBorders>
              <w:top w:val="nil"/>
              <w:left w:val="nil"/>
              <w:bottom w:val="single" w:sz="2" w:space="0" w:color="1F3864" w:themeColor="accent1" w:themeShade="80"/>
              <w:right w:val="nil"/>
            </w:tcBorders>
            <w:shd w:val="clear" w:color="auto" w:fill="auto"/>
            <w:noWrap/>
          </w:tcPr>
          <w:p w14:paraId="35B23F14" w14:textId="77777777" w:rsidR="00D47AF6" w:rsidRPr="00B17C35" w:rsidRDefault="00D47AF6">
            <w:pPr>
              <w:pStyle w:val="08-Tabelageral"/>
              <w:rPr>
                <w:rFonts w:cs="Arial"/>
                <w:b/>
                <w:bCs/>
              </w:rPr>
            </w:pPr>
            <w:r w:rsidRPr="00410513">
              <w:rPr>
                <w:b/>
                <w:bCs/>
              </w:rPr>
              <w:t>172.640</w:t>
            </w:r>
          </w:p>
        </w:tc>
        <w:tc>
          <w:tcPr>
            <w:tcW w:w="1134" w:type="dxa"/>
            <w:tcBorders>
              <w:top w:val="nil"/>
              <w:left w:val="nil"/>
              <w:bottom w:val="single" w:sz="2" w:space="0" w:color="1F3864" w:themeColor="accent1" w:themeShade="80"/>
              <w:right w:val="nil"/>
            </w:tcBorders>
            <w:shd w:val="clear" w:color="auto" w:fill="auto"/>
            <w:noWrap/>
          </w:tcPr>
          <w:p w14:paraId="122AB0DE" w14:textId="77777777" w:rsidR="00D47AF6" w:rsidRPr="00B17C35" w:rsidRDefault="00D47AF6">
            <w:pPr>
              <w:pStyle w:val="08-Tabelageral"/>
              <w:rPr>
                <w:rFonts w:cs="Arial"/>
                <w:b/>
                <w:bCs/>
              </w:rPr>
            </w:pPr>
            <w:r w:rsidRPr="00B17C35">
              <w:rPr>
                <w:b/>
                <w:bCs/>
              </w:rPr>
              <w:t>1.433.111</w:t>
            </w:r>
          </w:p>
        </w:tc>
        <w:tc>
          <w:tcPr>
            <w:tcW w:w="992" w:type="dxa"/>
            <w:tcBorders>
              <w:top w:val="nil"/>
              <w:left w:val="nil"/>
              <w:bottom w:val="single" w:sz="2" w:space="0" w:color="1F3864" w:themeColor="accent1" w:themeShade="80"/>
              <w:right w:val="nil"/>
            </w:tcBorders>
            <w:shd w:val="clear" w:color="auto" w:fill="auto"/>
            <w:noWrap/>
          </w:tcPr>
          <w:p w14:paraId="0ACFFCE2" w14:textId="77777777" w:rsidR="00D47AF6" w:rsidRPr="00B17C35" w:rsidRDefault="00D47AF6">
            <w:pPr>
              <w:pStyle w:val="08-Tabelageral"/>
              <w:rPr>
                <w:rFonts w:cs="Arial"/>
                <w:b/>
                <w:bCs/>
              </w:rPr>
            </w:pPr>
            <w:r w:rsidRPr="00410513">
              <w:rPr>
                <w:b/>
                <w:bCs/>
              </w:rPr>
              <w:t>1.759.011</w:t>
            </w:r>
          </w:p>
        </w:tc>
      </w:tr>
    </w:tbl>
    <w:p w14:paraId="738201B6" w14:textId="77777777" w:rsidR="00D47AF6" w:rsidRPr="007E2F64" w:rsidRDefault="00D47AF6" w:rsidP="002C3B56">
      <w:pPr>
        <w:pStyle w:val="PargrafodaLista"/>
        <w:numPr>
          <w:ilvl w:val="0"/>
          <w:numId w:val="39"/>
        </w:numPr>
        <w:spacing w:before="120" w:line="276" w:lineRule="auto"/>
        <w:jc w:val="both"/>
        <w:rPr>
          <w:sz w:val="16"/>
          <w:szCs w:val="16"/>
          <w:lang w:eastAsia="pt-BR"/>
        </w:rPr>
      </w:pPr>
      <w:r>
        <w:rPr>
          <w:rFonts w:ascii="Arial" w:eastAsia="Times New Roman" w:hAnsi="Arial" w:cs="Times New Roman"/>
          <w:spacing w:val="-2"/>
          <w:sz w:val="14"/>
          <w:szCs w:val="18"/>
          <w:lang w:eastAsia="pt-BR"/>
        </w:rPr>
        <w:t>Valores aplicados em Títulos Públicos Federais, em sua totalidade LFTs com vencimentos em 09.2025, 03.2026 e 09.2026.</w:t>
      </w:r>
    </w:p>
    <w:p w14:paraId="5D888C64" w14:textId="77777777" w:rsidR="00D47AF6" w:rsidRPr="007E2F64" w:rsidRDefault="00D47AF6" w:rsidP="002C3B56">
      <w:pPr>
        <w:pStyle w:val="PargrafodaLista"/>
        <w:numPr>
          <w:ilvl w:val="0"/>
          <w:numId w:val="39"/>
        </w:numPr>
        <w:spacing w:before="120" w:line="276" w:lineRule="auto"/>
        <w:jc w:val="both"/>
        <w:rPr>
          <w:rFonts w:ascii="Arial" w:eastAsia="Times New Roman" w:hAnsi="Arial" w:cs="Times New Roman"/>
          <w:spacing w:val="-2"/>
          <w:sz w:val="14"/>
          <w:szCs w:val="18"/>
          <w:lang w:eastAsia="pt-BR"/>
        </w:rPr>
      </w:pPr>
      <w:r w:rsidRPr="00CC38F9">
        <w:rPr>
          <w:rFonts w:ascii="Arial" w:eastAsia="Times New Roman" w:hAnsi="Arial" w:cs="Times New Roman"/>
          <w:spacing w:val="-2"/>
          <w:sz w:val="14"/>
          <w:szCs w:val="18"/>
          <w:lang w:eastAsia="pt-BR"/>
        </w:rPr>
        <w:t>Desde o 2° trimestre de 2024, quando foi realizada uma reavaliação da classificação da carteira de Letras Financeiras do Tesouro (LFTs), que compõem a carteira de investimentos da BB Corretora, esses ativos estão sendo ao Custo Amortizado, em substituição à classificação de Valor Justo por Meio do Resultado adotada anteriormente</w:t>
      </w:r>
      <w:r w:rsidRPr="007E2F64">
        <w:rPr>
          <w:rFonts w:ascii="Arial" w:eastAsia="Times New Roman" w:hAnsi="Arial" w:cs="Times New Roman"/>
          <w:spacing w:val="-2"/>
          <w:sz w:val="14"/>
          <w:szCs w:val="18"/>
          <w:lang w:eastAsia="pt-BR"/>
        </w:rPr>
        <w:t>.</w:t>
      </w:r>
    </w:p>
    <w:bookmarkEnd w:id="103"/>
    <w:p w14:paraId="5A7EBA1C" w14:textId="77777777" w:rsidR="00D47AF6" w:rsidRDefault="00D47AF6" w:rsidP="00D47AF6">
      <w:pPr>
        <w:pStyle w:val="05-Textonormal"/>
        <w:widowControl w:val="0"/>
        <w:rPr>
          <w:rFonts w:cs="Arial"/>
        </w:rPr>
      </w:pPr>
      <w:r>
        <w:t xml:space="preserve">Não há saldo </w:t>
      </w:r>
      <w:r w:rsidRPr="00035DC8">
        <w:t xml:space="preserve">de </w:t>
      </w:r>
      <w:r>
        <w:t>ativos financeiros mensurados pelo custo amortizado no</w:t>
      </w:r>
      <w:r w:rsidRPr="00035DC8">
        <w:t xml:space="preserve"> Controlador</w:t>
      </w:r>
      <w:r>
        <w:t>.</w:t>
      </w:r>
    </w:p>
    <w:p w14:paraId="4AB69F96" w14:textId="77777777" w:rsidR="00D47AF6" w:rsidRPr="000550FA" w:rsidRDefault="00D47AF6" w:rsidP="00D47AF6">
      <w:pPr>
        <w:pStyle w:val="PargrafodaLista"/>
        <w:ind w:left="360"/>
        <w:jc w:val="both"/>
        <w:rPr>
          <w:sz w:val="16"/>
          <w:szCs w:val="16"/>
          <w:lang w:eastAsia="pt-BR"/>
        </w:rPr>
      </w:pPr>
    </w:p>
    <w:p w14:paraId="5B15080B" w14:textId="77777777" w:rsidR="00D47AF6" w:rsidRPr="004E1680" w:rsidRDefault="00D47AF6" w:rsidP="00D5649F">
      <w:pPr>
        <w:pStyle w:val="PargrafodaLista"/>
        <w:numPr>
          <w:ilvl w:val="0"/>
          <w:numId w:val="9"/>
        </w:numPr>
        <w:spacing w:line="276" w:lineRule="auto"/>
        <w:ind w:left="357" w:hanging="357"/>
        <w:rPr>
          <w:rFonts w:ascii="Arial" w:hAnsi="Arial" w:cs="Arial"/>
          <w:b/>
          <w:color w:val="1F3864" w:themeColor="accent1" w:themeShade="80"/>
          <w:sz w:val="18"/>
          <w:szCs w:val="18"/>
        </w:rPr>
      </w:pPr>
      <w:r w:rsidRPr="004E1680">
        <w:rPr>
          <w:rFonts w:ascii="Arial" w:hAnsi="Arial" w:cs="Arial"/>
          <w:b/>
          <w:color w:val="1F3864" w:themeColor="accent1" w:themeShade="80"/>
          <w:sz w:val="18"/>
          <w:szCs w:val="18"/>
        </w:rPr>
        <w:t>Hierarquia de valor justo</w:t>
      </w:r>
      <w:r w:rsidRPr="004E1680">
        <w:rPr>
          <w:rFonts w:ascii="Arial" w:hAnsi="Arial" w:cs="Arial"/>
          <w:b/>
          <w:color w:val="1F3864" w:themeColor="accent1" w:themeShade="80"/>
          <w:sz w:val="18"/>
          <w:szCs w:val="18"/>
        </w:rPr>
        <w:tab/>
      </w:r>
    </w:p>
    <w:p w14:paraId="50E283EF" w14:textId="77777777" w:rsidR="00D47AF6" w:rsidRPr="003C0D54" w:rsidRDefault="00D47AF6" w:rsidP="00D47AF6">
      <w:pPr>
        <w:pStyle w:val="05-Textonormal"/>
      </w:pPr>
      <w:r w:rsidRPr="003C0D54">
        <w:t>A Companhia classifica os instrumentos financeiros em três níveis de subjetividade na determinação do valor justo. Os diferentes níveis são definidos conforme segue:</w:t>
      </w:r>
    </w:p>
    <w:p w14:paraId="1CEC3DEB" w14:textId="77777777" w:rsidR="00D47AF6" w:rsidRPr="003C0D54" w:rsidRDefault="00D47AF6" w:rsidP="002C3B56">
      <w:pPr>
        <w:pStyle w:val="05-Textonormal"/>
        <w:numPr>
          <w:ilvl w:val="0"/>
          <w:numId w:val="10"/>
        </w:numPr>
      </w:pPr>
      <w:r w:rsidRPr="003C0D54">
        <w:t>Nível 1: Preços cotados em mercados ativos para ativos e passivos idênticos;</w:t>
      </w:r>
    </w:p>
    <w:p w14:paraId="2E102EE6" w14:textId="77777777" w:rsidR="00D47AF6" w:rsidRPr="003C0D54" w:rsidRDefault="00D47AF6" w:rsidP="002C3B56">
      <w:pPr>
        <w:pStyle w:val="05-Textonormal"/>
        <w:numPr>
          <w:ilvl w:val="0"/>
          <w:numId w:val="10"/>
        </w:numPr>
      </w:pPr>
      <w:r w:rsidRPr="003C0D54">
        <w:t>Nível 2: Inputs, exceto preços cotados, incluídas no Nível 1 que são observáveis para o ativo ou passivo, diretamente (preços) ou indiretamente (derivado de preços);</w:t>
      </w:r>
    </w:p>
    <w:p w14:paraId="3DE3EED1" w14:textId="77777777" w:rsidR="00D47AF6" w:rsidRPr="003C0D54" w:rsidRDefault="00D47AF6" w:rsidP="002C3B56">
      <w:pPr>
        <w:pStyle w:val="05-Textonormal"/>
        <w:numPr>
          <w:ilvl w:val="0"/>
          <w:numId w:val="10"/>
        </w:numPr>
        <w:rPr>
          <w:b/>
          <w:color w:val="1F3864" w:themeColor="accent1" w:themeShade="80"/>
        </w:rPr>
      </w:pPr>
      <w:r w:rsidRPr="003C0D54">
        <w:t>Nível 3: Premissas, para o ativo ou passivo, que não são baseadas em dados observáveis de mercado (inputs não observáveis).</w:t>
      </w:r>
      <w:r w:rsidRPr="003C0D54">
        <w:rPr>
          <w:b/>
          <w:color w:val="1F3864" w:themeColor="accent1" w:themeShade="80"/>
        </w:rPr>
        <w:t xml:space="preserve"> </w:t>
      </w:r>
    </w:p>
    <w:p w14:paraId="6C4DA9C8" w14:textId="77777777" w:rsidR="00D47AF6" w:rsidRPr="005050AE" w:rsidRDefault="00D47AF6" w:rsidP="00D47AF6">
      <w:pPr>
        <w:pStyle w:val="PargrafodaLista"/>
        <w:spacing w:after="0" w:line="240" w:lineRule="auto"/>
        <w:ind w:left="357"/>
        <w:jc w:val="right"/>
        <w:rPr>
          <w:rFonts w:ascii="Arial" w:hAnsi="Arial" w:cs="Arial"/>
          <w:b/>
          <w:sz w:val="14"/>
          <w:szCs w:val="14"/>
          <w:lang w:eastAsia="pt-BR"/>
        </w:rPr>
      </w:pPr>
      <w:r w:rsidRPr="005050AE">
        <w:rPr>
          <w:rFonts w:ascii="Arial" w:hAnsi="Arial" w:cs="Arial"/>
          <w:b/>
          <w:sz w:val="14"/>
          <w:szCs w:val="14"/>
        </w:rPr>
        <w:t>R$ mil</w:t>
      </w: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2268"/>
        <w:gridCol w:w="1276"/>
        <w:gridCol w:w="1134"/>
        <w:gridCol w:w="1212"/>
        <w:gridCol w:w="253"/>
        <w:gridCol w:w="1159"/>
        <w:gridCol w:w="1061"/>
        <w:gridCol w:w="1276"/>
      </w:tblGrid>
      <w:tr w:rsidR="00D47AF6" w:rsidRPr="005050AE" w14:paraId="7F86EA11" w14:textId="77777777">
        <w:trPr>
          <w:trHeight w:val="238"/>
          <w:jc w:val="center"/>
        </w:trPr>
        <w:tc>
          <w:tcPr>
            <w:tcW w:w="2268" w:type="dxa"/>
            <w:tcBorders>
              <w:top w:val="single" w:sz="2" w:space="0" w:color="1F3864" w:themeColor="accent1" w:themeShade="80"/>
              <w:bottom w:val="nil"/>
            </w:tcBorders>
            <w:shd w:val="clear" w:color="auto" w:fill="auto"/>
            <w:noWrap/>
          </w:tcPr>
          <w:p w14:paraId="7A774009" w14:textId="77777777" w:rsidR="00D47AF6" w:rsidRPr="005050AE" w:rsidRDefault="00D47AF6">
            <w:pPr>
              <w:pStyle w:val="08-Tabelageral"/>
              <w:jc w:val="left"/>
            </w:pPr>
            <w:bookmarkStart w:id="104" w:name="_Hlk172621670"/>
          </w:p>
        </w:tc>
        <w:tc>
          <w:tcPr>
            <w:tcW w:w="7371" w:type="dxa"/>
            <w:gridSpan w:val="7"/>
            <w:tcBorders>
              <w:top w:val="single" w:sz="2" w:space="0" w:color="1F3864" w:themeColor="accent1" w:themeShade="80"/>
              <w:bottom w:val="single" w:sz="2" w:space="0" w:color="1F3864" w:themeColor="accent1" w:themeShade="80"/>
            </w:tcBorders>
            <w:shd w:val="clear" w:color="auto" w:fill="auto"/>
            <w:noWrap/>
          </w:tcPr>
          <w:p w14:paraId="4BE08624" w14:textId="77777777" w:rsidR="00D47AF6" w:rsidRPr="002E148F" w:rsidRDefault="00D47AF6">
            <w:pPr>
              <w:pStyle w:val="08-Tabelageral"/>
              <w:jc w:val="center"/>
              <w:rPr>
                <w:b/>
              </w:rPr>
            </w:pPr>
            <w:r>
              <w:rPr>
                <w:b/>
              </w:rPr>
              <w:t xml:space="preserve">Controlador </w:t>
            </w:r>
          </w:p>
        </w:tc>
      </w:tr>
      <w:tr w:rsidR="00D47AF6" w:rsidRPr="005050AE" w14:paraId="65145A02" w14:textId="77777777">
        <w:trPr>
          <w:trHeight w:val="238"/>
          <w:jc w:val="center"/>
        </w:trPr>
        <w:tc>
          <w:tcPr>
            <w:tcW w:w="2268" w:type="dxa"/>
            <w:tcBorders>
              <w:top w:val="nil"/>
              <w:bottom w:val="nil"/>
            </w:tcBorders>
            <w:shd w:val="clear" w:color="auto" w:fill="auto"/>
            <w:noWrap/>
            <w:hideMark/>
          </w:tcPr>
          <w:p w14:paraId="75CE89F4" w14:textId="77777777" w:rsidR="00D47AF6" w:rsidRPr="005050AE" w:rsidRDefault="00D47AF6">
            <w:pPr>
              <w:pStyle w:val="08-Tabelageral"/>
              <w:jc w:val="left"/>
            </w:pPr>
          </w:p>
        </w:tc>
        <w:tc>
          <w:tcPr>
            <w:tcW w:w="3622" w:type="dxa"/>
            <w:gridSpan w:val="3"/>
            <w:tcBorders>
              <w:top w:val="single" w:sz="2" w:space="0" w:color="1F3864" w:themeColor="accent1" w:themeShade="80"/>
              <w:bottom w:val="single" w:sz="2" w:space="0" w:color="1F3864" w:themeColor="accent1" w:themeShade="80"/>
            </w:tcBorders>
            <w:shd w:val="clear" w:color="auto" w:fill="auto"/>
            <w:noWrap/>
            <w:hideMark/>
          </w:tcPr>
          <w:p w14:paraId="0F8F588B" w14:textId="77777777" w:rsidR="00D47AF6" w:rsidRPr="005050AE" w:rsidRDefault="00D47AF6">
            <w:pPr>
              <w:pStyle w:val="08-Tabelageral"/>
              <w:jc w:val="center"/>
              <w:rPr>
                <w:b/>
              </w:rPr>
            </w:pPr>
            <w:r>
              <w:rPr>
                <w:b/>
              </w:rPr>
              <w:t>31.12.2024</w:t>
            </w:r>
          </w:p>
        </w:tc>
        <w:tc>
          <w:tcPr>
            <w:tcW w:w="253" w:type="dxa"/>
            <w:tcBorders>
              <w:top w:val="single" w:sz="2" w:space="0" w:color="1F3864" w:themeColor="accent1" w:themeShade="80"/>
              <w:bottom w:val="nil"/>
            </w:tcBorders>
            <w:shd w:val="clear" w:color="auto" w:fill="auto"/>
            <w:noWrap/>
            <w:hideMark/>
          </w:tcPr>
          <w:p w14:paraId="09448C90" w14:textId="77777777" w:rsidR="00D47AF6" w:rsidRPr="005050AE" w:rsidRDefault="00D47AF6">
            <w:pPr>
              <w:pStyle w:val="08-Tabelageral"/>
              <w:jc w:val="center"/>
              <w:rPr>
                <w:b/>
              </w:rPr>
            </w:pPr>
          </w:p>
        </w:tc>
        <w:tc>
          <w:tcPr>
            <w:tcW w:w="3496" w:type="dxa"/>
            <w:gridSpan w:val="3"/>
            <w:tcBorders>
              <w:top w:val="single" w:sz="2" w:space="0" w:color="1F3864" w:themeColor="accent1" w:themeShade="80"/>
              <w:bottom w:val="single" w:sz="2" w:space="0" w:color="1F3864" w:themeColor="accent1" w:themeShade="80"/>
            </w:tcBorders>
            <w:shd w:val="clear" w:color="auto" w:fill="auto"/>
            <w:noWrap/>
            <w:hideMark/>
          </w:tcPr>
          <w:p w14:paraId="25D12F67" w14:textId="77777777" w:rsidR="00D47AF6" w:rsidRPr="005050AE" w:rsidRDefault="00D47AF6">
            <w:pPr>
              <w:pStyle w:val="08-Tabelageral"/>
              <w:jc w:val="center"/>
              <w:rPr>
                <w:b/>
              </w:rPr>
            </w:pPr>
            <w:r w:rsidRPr="002E148F">
              <w:rPr>
                <w:b/>
              </w:rPr>
              <w:t>31.12.202</w:t>
            </w:r>
            <w:r>
              <w:rPr>
                <w:b/>
              </w:rPr>
              <w:t>3</w:t>
            </w:r>
          </w:p>
        </w:tc>
      </w:tr>
      <w:tr w:rsidR="00D47AF6" w:rsidRPr="005050AE" w14:paraId="5DD7F7D2" w14:textId="77777777">
        <w:trPr>
          <w:trHeight w:val="238"/>
          <w:jc w:val="center"/>
        </w:trPr>
        <w:tc>
          <w:tcPr>
            <w:tcW w:w="2268" w:type="dxa"/>
            <w:tcBorders>
              <w:top w:val="nil"/>
              <w:bottom w:val="single" w:sz="2" w:space="0" w:color="1F3864" w:themeColor="accent1" w:themeShade="80"/>
            </w:tcBorders>
            <w:shd w:val="clear" w:color="auto" w:fill="auto"/>
            <w:noWrap/>
            <w:hideMark/>
          </w:tcPr>
          <w:p w14:paraId="58CDE587" w14:textId="77777777" w:rsidR="00D47AF6" w:rsidRPr="005050AE" w:rsidRDefault="00D47AF6">
            <w:pPr>
              <w:pStyle w:val="08-Tabelageral"/>
              <w:jc w:val="left"/>
            </w:pPr>
          </w:p>
        </w:tc>
        <w:tc>
          <w:tcPr>
            <w:tcW w:w="1276" w:type="dxa"/>
            <w:tcBorders>
              <w:top w:val="single" w:sz="2" w:space="0" w:color="1F3864" w:themeColor="accent1" w:themeShade="80"/>
              <w:bottom w:val="single" w:sz="2" w:space="0" w:color="1F3864" w:themeColor="accent1" w:themeShade="80"/>
            </w:tcBorders>
            <w:shd w:val="clear" w:color="auto" w:fill="auto"/>
            <w:hideMark/>
          </w:tcPr>
          <w:p w14:paraId="6DEB4DF9" w14:textId="77777777" w:rsidR="00D47AF6" w:rsidRPr="005050AE" w:rsidRDefault="00D47AF6">
            <w:pPr>
              <w:pStyle w:val="08-Tabelageral"/>
              <w:rPr>
                <w:b/>
              </w:rPr>
            </w:pPr>
            <w:r w:rsidRPr="005050AE">
              <w:rPr>
                <w:b/>
              </w:rPr>
              <w:t>Nível 1</w:t>
            </w:r>
          </w:p>
        </w:tc>
        <w:tc>
          <w:tcPr>
            <w:tcW w:w="1134" w:type="dxa"/>
            <w:tcBorders>
              <w:top w:val="single" w:sz="2" w:space="0" w:color="1F3864" w:themeColor="accent1" w:themeShade="80"/>
              <w:bottom w:val="single" w:sz="2" w:space="0" w:color="1F3864" w:themeColor="accent1" w:themeShade="80"/>
            </w:tcBorders>
            <w:shd w:val="clear" w:color="auto" w:fill="auto"/>
            <w:hideMark/>
          </w:tcPr>
          <w:p w14:paraId="771B32CE" w14:textId="77777777" w:rsidR="00D47AF6" w:rsidRPr="005050AE" w:rsidRDefault="00D47AF6">
            <w:pPr>
              <w:pStyle w:val="08-Tabelageral"/>
              <w:rPr>
                <w:b/>
              </w:rPr>
            </w:pPr>
            <w:r w:rsidRPr="005050AE">
              <w:rPr>
                <w:b/>
              </w:rPr>
              <w:t xml:space="preserve">Nível </w:t>
            </w:r>
            <w:r>
              <w:rPr>
                <w:b/>
              </w:rPr>
              <w:t>3</w:t>
            </w:r>
          </w:p>
        </w:tc>
        <w:tc>
          <w:tcPr>
            <w:tcW w:w="1212" w:type="dxa"/>
            <w:tcBorders>
              <w:top w:val="single" w:sz="2" w:space="0" w:color="1F3864" w:themeColor="accent1" w:themeShade="80"/>
              <w:bottom w:val="single" w:sz="2" w:space="0" w:color="1F3864" w:themeColor="accent1" w:themeShade="80"/>
            </w:tcBorders>
            <w:shd w:val="clear" w:color="auto" w:fill="auto"/>
            <w:hideMark/>
          </w:tcPr>
          <w:p w14:paraId="6978F1A9" w14:textId="77777777" w:rsidR="00D47AF6" w:rsidRPr="005050AE" w:rsidRDefault="00D47AF6">
            <w:pPr>
              <w:pStyle w:val="08-Tabelageral"/>
              <w:rPr>
                <w:b/>
              </w:rPr>
            </w:pPr>
            <w:r w:rsidRPr="005050AE">
              <w:rPr>
                <w:b/>
              </w:rPr>
              <w:t>Total</w:t>
            </w:r>
          </w:p>
        </w:tc>
        <w:tc>
          <w:tcPr>
            <w:tcW w:w="253" w:type="dxa"/>
            <w:tcBorders>
              <w:top w:val="nil"/>
              <w:bottom w:val="single" w:sz="2" w:space="0" w:color="1F3864" w:themeColor="accent1" w:themeShade="80"/>
            </w:tcBorders>
            <w:shd w:val="clear" w:color="auto" w:fill="auto"/>
            <w:noWrap/>
            <w:hideMark/>
          </w:tcPr>
          <w:p w14:paraId="5FDBBEBA" w14:textId="77777777" w:rsidR="00D47AF6" w:rsidRPr="005050AE" w:rsidRDefault="00D47AF6">
            <w:pPr>
              <w:pStyle w:val="08-Tabelageral"/>
              <w:rPr>
                <w:b/>
              </w:rPr>
            </w:pPr>
          </w:p>
        </w:tc>
        <w:tc>
          <w:tcPr>
            <w:tcW w:w="1159" w:type="dxa"/>
            <w:tcBorders>
              <w:top w:val="single" w:sz="2" w:space="0" w:color="1F3864" w:themeColor="accent1" w:themeShade="80"/>
              <w:bottom w:val="single" w:sz="2" w:space="0" w:color="1F3864" w:themeColor="accent1" w:themeShade="80"/>
            </w:tcBorders>
            <w:shd w:val="clear" w:color="auto" w:fill="auto"/>
            <w:hideMark/>
          </w:tcPr>
          <w:p w14:paraId="0C30D9B6" w14:textId="77777777" w:rsidR="00D47AF6" w:rsidRPr="005050AE" w:rsidRDefault="00D47AF6">
            <w:pPr>
              <w:pStyle w:val="08-Tabelageral"/>
              <w:rPr>
                <w:b/>
              </w:rPr>
            </w:pPr>
            <w:r w:rsidRPr="005050AE">
              <w:rPr>
                <w:b/>
              </w:rPr>
              <w:t>Nível 1</w:t>
            </w:r>
          </w:p>
        </w:tc>
        <w:tc>
          <w:tcPr>
            <w:tcW w:w="1061" w:type="dxa"/>
            <w:tcBorders>
              <w:top w:val="single" w:sz="2" w:space="0" w:color="1F3864" w:themeColor="accent1" w:themeShade="80"/>
              <w:bottom w:val="single" w:sz="2" w:space="0" w:color="1F3864" w:themeColor="accent1" w:themeShade="80"/>
            </w:tcBorders>
            <w:shd w:val="clear" w:color="auto" w:fill="auto"/>
            <w:hideMark/>
          </w:tcPr>
          <w:p w14:paraId="491CE36C" w14:textId="77777777" w:rsidR="00D47AF6" w:rsidRPr="005050AE" w:rsidRDefault="00D47AF6">
            <w:pPr>
              <w:pStyle w:val="08-Tabelageral"/>
              <w:rPr>
                <w:b/>
              </w:rPr>
            </w:pPr>
            <w:r w:rsidRPr="005050AE">
              <w:rPr>
                <w:b/>
              </w:rPr>
              <w:t xml:space="preserve">Nível </w:t>
            </w:r>
            <w:r>
              <w:rPr>
                <w:b/>
              </w:rPr>
              <w:t>3</w:t>
            </w:r>
          </w:p>
        </w:tc>
        <w:tc>
          <w:tcPr>
            <w:tcW w:w="1276" w:type="dxa"/>
            <w:tcBorders>
              <w:top w:val="single" w:sz="2" w:space="0" w:color="1F3864" w:themeColor="accent1" w:themeShade="80"/>
              <w:bottom w:val="single" w:sz="2" w:space="0" w:color="1F3864" w:themeColor="accent1" w:themeShade="80"/>
            </w:tcBorders>
            <w:shd w:val="clear" w:color="auto" w:fill="auto"/>
            <w:hideMark/>
          </w:tcPr>
          <w:p w14:paraId="744D8AEF" w14:textId="77777777" w:rsidR="00D47AF6" w:rsidRPr="005050AE" w:rsidRDefault="00D47AF6">
            <w:pPr>
              <w:pStyle w:val="08-Tabelageral"/>
              <w:rPr>
                <w:b/>
              </w:rPr>
            </w:pPr>
            <w:r w:rsidRPr="005050AE">
              <w:rPr>
                <w:b/>
              </w:rPr>
              <w:t>Total</w:t>
            </w:r>
          </w:p>
        </w:tc>
      </w:tr>
      <w:tr w:rsidR="00D47AF6" w:rsidRPr="005050AE" w14:paraId="561F6E39" w14:textId="77777777">
        <w:trPr>
          <w:trHeight w:val="238"/>
          <w:jc w:val="center"/>
        </w:trPr>
        <w:tc>
          <w:tcPr>
            <w:tcW w:w="2268" w:type="dxa"/>
            <w:tcBorders>
              <w:top w:val="single" w:sz="2" w:space="0" w:color="1F3864" w:themeColor="accent1" w:themeShade="80"/>
              <w:bottom w:val="nil"/>
            </w:tcBorders>
            <w:shd w:val="clear" w:color="auto" w:fill="auto"/>
            <w:noWrap/>
            <w:hideMark/>
          </w:tcPr>
          <w:p w14:paraId="414B1D03" w14:textId="77777777" w:rsidR="00D47AF6" w:rsidRPr="005050AE" w:rsidRDefault="00D47AF6">
            <w:pPr>
              <w:pStyle w:val="08-Tabelageral"/>
              <w:ind w:left="113"/>
              <w:jc w:val="left"/>
            </w:pPr>
            <w:r w:rsidRPr="005050AE">
              <w:t xml:space="preserve">Fundo de </w:t>
            </w:r>
            <w:r>
              <w:t>l</w:t>
            </w:r>
            <w:r w:rsidRPr="005050AE">
              <w:t xml:space="preserve">ongo </w:t>
            </w:r>
            <w:r>
              <w:t>p</w:t>
            </w:r>
            <w:r w:rsidRPr="005050AE">
              <w:t>razo</w:t>
            </w:r>
          </w:p>
        </w:tc>
        <w:tc>
          <w:tcPr>
            <w:tcW w:w="1276" w:type="dxa"/>
            <w:tcBorders>
              <w:top w:val="single" w:sz="2" w:space="0" w:color="1F3864" w:themeColor="accent1" w:themeShade="80"/>
              <w:left w:val="nil"/>
              <w:bottom w:val="nil"/>
              <w:right w:val="nil"/>
            </w:tcBorders>
            <w:shd w:val="clear" w:color="auto" w:fill="auto"/>
            <w:noWrap/>
          </w:tcPr>
          <w:p w14:paraId="79A4E13D" w14:textId="77777777" w:rsidR="00D47AF6" w:rsidRPr="005050AE" w:rsidRDefault="00D47AF6">
            <w:pPr>
              <w:pStyle w:val="08-Tabelageral"/>
            </w:pPr>
            <w:r>
              <w:t>--</w:t>
            </w:r>
          </w:p>
        </w:tc>
        <w:tc>
          <w:tcPr>
            <w:tcW w:w="1134" w:type="dxa"/>
            <w:tcBorders>
              <w:top w:val="single" w:sz="2" w:space="0" w:color="1F3864" w:themeColor="accent1" w:themeShade="80"/>
              <w:left w:val="nil"/>
              <w:bottom w:val="nil"/>
              <w:right w:val="nil"/>
            </w:tcBorders>
            <w:shd w:val="clear" w:color="auto" w:fill="auto"/>
            <w:noWrap/>
          </w:tcPr>
          <w:p w14:paraId="4561E99B" w14:textId="77777777" w:rsidR="00D47AF6" w:rsidRPr="008C6F1F" w:rsidRDefault="00D47AF6">
            <w:pPr>
              <w:pStyle w:val="08-Tabelageral"/>
            </w:pPr>
            <w:r w:rsidRPr="00410513">
              <w:t>28.783</w:t>
            </w:r>
          </w:p>
        </w:tc>
        <w:tc>
          <w:tcPr>
            <w:tcW w:w="1212" w:type="dxa"/>
            <w:tcBorders>
              <w:top w:val="single" w:sz="2" w:space="0" w:color="1F3864" w:themeColor="accent1" w:themeShade="80"/>
              <w:left w:val="nil"/>
              <w:bottom w:val="nil"/>
              <w:right w:val="nil"/>
            </w:tcBorders>
            <w:shd w:val="clear" w:color="auto" w:fill="auto"/>
            <w:noWrap/>
          </w:tcPr>
          <w:p w14:paraId="584BB04E" w14:textId="77777777" w:rsidR="00D47AF6" w:rsidRPr="00971EA8" w:rsidRDefault="00D47AF6">
            <w:pPr>
              <w:pStyle w:val="08-Tabelageral"/>
              <w:rPr>
                <w:b/>
                <w:bCs/>
              </w:rPr>
            </w:pPr>
            <w:r w:rsidRPr="00410513">
              <w:rPr>
                <w:b/>
                <w:bCs/>
              </w:rPr>
              <w:t>28.783</w:t>
            </w:r>
          </w:p>
        </w:tc>
        <w:tc>
          <w:tcPr>
            <w:tcW w:w="253" w:type="dxa"/>
            <w:tcBorders>
              <w:top w:val="single" w:sz="2" w:space="0" w:color="1F3864" w:themeColor="accent1" w:themeShade="80"/>
              <w:bottom w:val="nil"/>
            </w:tcBorders>
            <w:shd w:val="clear" w:color="auto" w:fill="auto"/>
            <w:noWrap/>
            <w:vAlign w:val="bottom"/>
            <w:hideMark/>
          </w:tcPr>
          <w:p w14:paraId="6AB787BC" w14:textId="77777777" w:rsidR="00D47AF6" w:rsidRPr="008C6F1F" w:rsidRDefault="00D47AF6">
            <w:pPr>
              <w:pStyle w:val="08-Tabelageral"/>
            </w:pPr>
          </w:p>
        </w:tc>
        <w:tc>
          <w:tcPr>
            <w:tcW w:w="1159" w:type="dxa"/>
            <w:tcBorders>
              <w:top w:val="single" w:sz="2" w:space="0" w:color="1F3864" w:themeColor="accent1" w:themeShade="80"/>
              <w:left w:val="nil"/>
              <w:bottom w:val="nil"/>
              <w:right w:val="nil"/>
            </w:tcBorders>
            <w:shd w:val="clear" w:color="auto" w:fill="auto"/>
            <w:noWrap/>
            <w:hideMark/>
          </w:tcPr>
          <w:p w14:paraId="1DDF2A9D" w14:textId="77777777" w:rsidR="00D47AF6" w:rsidRPr="008C6F1F" w:rsidRDefault="00D47AF6">
            <w:pPr>
              <w:pStyle w:val="08-Tabelageral"/>
            </w:pPr>
            <w:r>
              <w:t>--</w:t>
            </w:r>
          </w:p>
        </w:tc>
        <w:tc>
          <w:tcPr>
            <w:tcW w:w="1061" w:type="dxa"/>
            <w:tcBorders>
              <w:top w:val="single" w:sz="2" w:space="0" w:color="1F3864" w:themeColor="accent1" w:themeShade="80"/>
              <w:left w:val="nil"/>
              <w:bottom w:val="nil"/>
              <w:right w:val="nil"/>
            </w:tcBorders>
            <w:shd w:val="clear" w:color="auto" w:fill="auto"/>
            <w:noWrap/>
            <w:hideMark/>
          </w:tcPr>
          <w:p w14:paraId="1572916B" w14:textId="77777777" w:rsidR="00D47AF6" w:rsidRPr="008C6F1F" w:rsidRDefault="00D47AF6">
            <w:pPr>
              <w:pStyle w:val="08-Tabelageral"/>
            </w:pPr>
            <w:r>
              <w:t>21.020</w:t>
            </w:r>
          </w:p>
        </w:tc>
        <w:tc>
          <w:tcPr>
            <w:tcW w:w="1276" w:type="dxa"/>
            <w:tcBorders>
              <w:top w:val="single" w:sz="2" w:space="0" w:color="1F3864" w:themeColor="accent1" w:themeShade="80"/>
              <w:left w:val="nil"/>
              <w:bottom w:val="nil"/>
              <w:right w:val="nil"/>
            </w:tcBorders>
            <w:shd w:val="clear" w:color="auto" w:fill="auto"/>
            <w:noWrap/>
            <w:hideMark/>
          </w:tcPr>
          <w:p w14:paraId="67417B2D" w14:textId="77777777" w:rsidR="00D47AF6" w:rsidRPr="008C6F1F" w:rsidRDefault="00D47AF6">
            <w:pPr>
              <w:pStyle w:val="08-Tabelageral"/>
            </w:pPr>
            <w:r>
              <w:t>21.020</w:t>
            </w:r>
          </w:p>
        </w:tc>
      </w:tr>
      <w:tr w:rsidR="00D47AF6" w:rsidRPr="005050AE" w14:paraId="41676DF7" w14:textId="77777777">
        <w:trPr>
          <w:trHeight w:val="238"/>
          <w:jc w:val="center"/>
        </w:trPr>
        <w:tc>
          <w:tcPr>
            <w:tcW w:w="2268" w:type="dxa"/>
            <w:tcBorders>
              <w:top w:val="nil"/>
              <w:bottom w:val="single" w:sz="2" w:space="0" w:color="1F3864" w:themeColor="accent1" w:themeShade="80"/>
            </w:tcBorders>
            <w:shd w:val="clear" w:color="auto" w:fill="auto"/>
            <w:noWrap/>
            <w:hideMark/>
          </w:tcPr>
          <w:p w14:paraId="0ED46ABC" w14:textId="77777777" w:rsidR="00D47AF6" w:rsidRPr="005D24E0" w:rsidRDefault="00D47AF6">
            <w:pPr>
              <w:pStyle w:val="08-Tabelageral"/>
              <w:jc w:val="left"/>
              <w:rPr>
                <w:b/>
              </w:rPr>
            </w:pPr>
            <w:r w:rsidRPr="005D24E0">
              <w:rPr>
                <w:b/>
              </w:rPr>
              <w:t>Total</w:t>
            </w:r>
          </w:p>
        </w:tc>
        <w:tc>
          <w:tcPr>
            <w:tcW w:w="1276" w:type="dxa"/>
            <w:tcBorders>
              <w:top w:val="nil"/>
              <w:left w:val="nil"/>
              <w:bottom w:val="single" w:sz="2" w:space="0" w:color="1F3864" w:themeColor="accent1" w:themeShade="80"/>
              <w:right w:val="nil"/>
            </w:tcBorders>
            <w:shd w:val="clear" w:color="auto" w:fill="auto"/>
            <w:noWrap/>
          </w:tcPr>
          <w:p w14:paraId="060F629A" w14:textId="77777777" w:rsidR="00D47AF6" w:rsidRPr="005D24E0" w:rsidRDefault="00D47AF6">
            <w:pPr>
              <w:pStyle w:val="08-Tabelageral"/>
              <w:rPr>
                <w:b/>
              </w:rPr>
            </w:pPr>
            <w:r>
              <w:rPr>
                <w:b/>
              </w:rPr>
              <w:t>--</w:t>
            </w:r>
          </w:p>
        </w:tc>
        <w:tc>
          <w:tcPr>
            <w:tcW w:w="1134" w:type="dxa"/>
            <w:tcBorders>
              <w:top w:val="nil"/>
              <w:left w:val="nil"/>
              <w:bottom w:val="single" w:sz="2" w:space="0" w:color="1F3864" w:themeColor="accent1" w:themeShade="80"/>
              <w:right w:val="nil"/>
            </w:tcBorders>
            <w:shd w:val="clear" w:color="auto" w:fill="auto"/>
            <w:noWrap/>
          </w:tcPr>
          <w:p w14:paraId="1746592F" w14:textId="77777777" w:rsidR="00D47AF6" w:rsidRPr="00971EA8" w:rsidRDefault="00D47AF6">
            <w:pPr>
              <w:pStyle w:val="08-Tabelageral"/>
              <w:rPr>
                <w:b/>
                <w:bCs/>
              </w:rPr>
            </w:pPr>
            <w:r w:rsidRPr="00410513">
              <w:rPr>
                <w:b/>
                <w:bCs/>
              </w:rPr>
              <w:t>28.783</w:t>
            </w:r>
          </w:p>
        </w:tc>
        <w:tc>
          <w:tcPr>
            <w:tcW w:w="1212" w:type="dxa"/>
            <w:tcBorders>
              <w:top w:val="nil"/>
              <w:left w:val="nil"/>
              <w:bottom w:val="single" w:sz="2" w:space="0" w:color="1F3864" w:themeColor="accent1" w:themeShade="80"/>
              <w:right w:val="nil"/>
            </w:tcBorders>
            <w:shd w:val="clear" w:color="auto" w:fill="auto"/>
            <w:noWrap/>
          </w:tcPr>
          <w:p w14:paraId="00D80C23" w14:textId="77777777" w:rsidR="00D47AF6" w:rsidRPr="00971EA8" w:rsidRDefault="00D47AF6">
            <w:pPr>
              <w:pStyle w:val="08-Tabelageral"/>
              <w:rPr>
                <w:b/>
                <w:bCs/>
              </w:rPr>
            </w:pPr>
            <w:r w:rsidRPr="00410513">
              <w:rPr>
                <w:b/>
                <w:bCs/>
              </w:rPr>
              <w:t>28.783</w:t>
            </w:r>
          </w:p>
        </w:tc>
        <w:tc>
          <w:tcPr>
            <w:tcW w:w="253" w:type="dxa"/>
            <w:tcBorders>
              <w:top w:val="nil"/>
              <w:bottom w:val="single" w:sz="2" w:space="0" w:color="1F3864" w:themeColor="accent1" w:themeShade="80"/>
            </w:tcBorders>
            <w:shd w:val="clear" w:color="auto" w:fill="auto"/>
            <w:noWrap/>
            <w:vAlign w:val="bottom"/>
            <w:hideMark/>
          </w:tcPr>
          <w:p w14:paraId="7B5646B2" w14:textId="77777777" w:rsidR="00D47AF6" w:rsidRPr="008C6F1F" w:rsidRDefault="00D47AF6">
            <w:pPr>
              <w:pStyle w:val="08-Tabelageral"/>
              <w:rPr>
                <w:b/>
              </w:rPr>
            </w:pPr>
            <w:r w:rsidRPr="008C6F1F">
              <w:rPr>
                <w:rFonts w:cs="Arial"/>
                <w:b/>
                <w:lang w:eastAsia="en-US"/>
              </w:rPr>
              <w:t> </w:t>
            </w:r>
          </w:p>
        </w:tc>
        <w:tc>
          <w:tcPr>
            <w:tcW w:w="1159" w:type="dxa"/>
            <w:tcBorders>
              <w:top w:val="nil"/>
              <w:left w:val="nil"/>
              <w:bottom w:val="single" w:sz="2" w:space="0" w:color="1F3864" w:themeColor="accent1" w:themeShade="80"/>
              <w:right w:val="nil"/>
            </w:tcBorders>
            <w:shd w:val="clear" w:color="auto" w:fill="auto"/>
            <w:noWrap/>
            <w:hideMark/>
          </w:tcPr>
          <w:p w14:paraId="37E30C68" w14:textId="77777777" w:rsidR="00D47AF6" w:rsidRPr="008C6F1F" w:rsidRDefault="00D47AF6">
            <w:pPr>
              <w:pStyle w:val="08-Tabelageral"/>
              <w:rPr>
                <w:b/>
              </w:rPr>
            </w:pPr>
            <w:r>
              <w:rPr>
                <w:b/>
              </w:rPr>
              <w:t>--</w:t>
            </w:r>
          </w:p>
        </w:tc>
        <w:tc>
          <w:tcPr>
            <w:tcW w:w="1061" w:type="dxa"/>
            <w:tcBorders>
              <w:top w:val="nil"/>
              <w:left w:val="nil"/>
              <w:bottom w:val="single" w:sz="2" w:space="0" w:color="1F3864" w:themeColor="accent1" w:themeShade="80"/>
              <w:right w:val="nil"/>
            </w:tcBorders>
            <w:shd w:val="clear" w:color="auto" w:fill="auto"/>
            <w:noWrap/>
            <w:hideMark/>
          </w:tcPr>
          <w:p w14:paraId="1C5FCCD2" w14:textId="77777777" w:rsidR="00D47AF6" w:rsidRPr="008C6F1F" w:rsidRDefault="00D47AF6">
            <w:pPr>
              <w:pStyle w:val="08-Tabelageral"/>
              <w:rPr>
                <w:b/>
              </w:rPr>
            </w:pPr>
            <w:r>
              <w:rPr>
                <w:b/>
              </w:rPr>
              <w:t>21.020</w:t>
            </w:r>
          </w:p>
        </w:tc>
        <w:tc>
          <w:tcPr>
            <w:tcW w:w="1276" w:type="dxa"/>
            <w:tcBorders>
              <w:top w:val="nil"/>
              <w:left w:val="nil"/>
              <w:bottom w:val="single" w:sz="2" w:space="0" w:color="1F3864" w:themeColor="accent1" w:themeShade="80"/>
              <w:right w:val="nil"/>
            </w:tcBorders>
            <w:shd w:val="clear" w:color="auto" w:fill="auto"/>
            <w:noWrap/>
            <w:hideMark/>
          </w:tcPr>
          <w:p w14:paraId="2241625E" w14:textId="77777777" w:rsidR="00D47AF6" w:rsidRPr="008C6F1F" w:rsidRDefault="00D47AF6">
            <w:pPr>
              <w:pStyle w:val="08-Tabelageral"/>
              <w:rPr>
                <w:b/>
              </w:rPr>
            </w:pPr>
            <w:r>
              <w:rPr>
                <w:b/>
              </w:rPr>
              <w:t>21.020</w:t>
            </w:r>
          </w:p>
        </w:tc>
      </w:tr>
      <w:bookmarkEnd w:id="104"/>
    </w:tbl>
    <w:p w14:paraId="37F270F3" w14:textId="77777777" w:rsidR="00D47AF6" w:rsidRDefault="00D47AF6" w:rsidP="00D47AF6">
      <w:pPr>
        <w:rPr>
          <w:rFonts w:ascii="Arial" w:hAnsi="Arial" w:cs="Arial"/>
          <w:b/>
          <w:color w:val="1F3864" w:themeColor="accent1" w:themeShade="80"/>
          <w:sz w:val="18"/>
          <w:szCs w:val="18"/>
        </w:rPr>
      </w:pPr>
    </w:p>
    <w:p w14:paraId="07BA2C1F" w14:textId="77777777" w:rsidR="00D47AF6" w:rsidRDefault="00D47AF6" w:rsidP="00D47AF6">
      <w:pPr>
        <w:pStyle w:val="PargrafodaLista"/>
        <w:spacing w:after="0" w:line="240" w:lineRule="auto"/>
        <w:ind w:left="357"/>
        <w:jc w:val="right"/>
        <w:rPr>
          <w:rFonts w:ascii="Arial" w:hAnsi="Arial" w:cs="Arial"/>
          <w:b/>
          <w:sz w:val="14"/>
          <w:szCs w:val="14"/>
        </w:rPr>
      </w:pPr>
    </w:p>
    <w:p w14:paraId="0C3B5112" w14:textId="77777777" w:rsidR="00D47AF6" w:rsidRPr="005050AE" w:rsidRDefault="00D47AF6" w:rsidP="00D47AF6">
      <w:pPr>
        <w:pStyle w:val="PargrafodaLista"/>
        <w:spacing w:after="0" w:line="240" w:lineRule="auto"/>
        <w:ind w:left="357"/>
        <w:jc w:val="right"/>
        <w:rPr>
          <w:rFonts w:ascii="Arial" w:hAnsi="Arial" w:cs="Arial"/>
          <w:b/>
          <w:sz w:val="14"/>
          <w:szCs w:val="14"/>
          <w:lang w:eastAsia="pt-BR"/>
        </w:rPr>
      </w:pPr>
      <w:r w:rsidRPr="005050AE">
        <w:rPr>
          <w:rFonts w:ascii="Arial" w:hAnsi="Arial" w:cs="Arial"/>
          <w:b/>
          <w:sz w:val="14"/>
          <w:szCs w:val="14"/>
        </w:rPr>
        <w:t>R$ mil</w:t>
      </w: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2268"/>
        <w:gridCol w:w="1276"/>
        <w:gridCol w:w="1134"/>
        <w:gridCol w:w="1212"/>
        <w:gridCol w:w="253"/>
        <w:gridCol w:w="1159"/>
        <w:gridCol w:w="1061"/>
        <w:gridCol w:w="1276"/>
      </w:tblGrid>
      <w:tr w:rsidR="00D47AF6" w:rsidRPr="005050AE" w14:paraId="0C8259A1" w14:textId="77777777">
        <w:trPr>
          <w:trHeight w:val="238"/>
          <w:jc w:val="center"/>
        </w:trPr>
        <w:tc>
          <w:tcPr>
            <w:tcW w:w="9639" w:type="dxa"/>
            <w:gridSpan w:val="8"/>
            <w:tcBorders>
              <w:top w:val="single" w:sz="2" w:space="0" w:color="1F3864" w:themeColor="accent1" w:themeShade="80"/>
              <w:bottom w:val="nil"/>
            </w:tcBorders>
            <w:shd w:val="clear" w:color="auto" w:fill="auto"/>
            <w:noWrap/>
          </w:tcPr>
          <w:p w14:paraId="5AA1CEAB" w14:textId="77777777" w:rsidR="00D47AF6" w:rsidRPr="005050AE" w:rsidRDefault="00D47AF6">
            <w:pPr>
              <w:pStyle w:val="08-Tabelageral"/>
              <w:jc w:val="center"/>
              <w:rPr>
                <w:b/>
              </w:rPr>
            </w:pPr>
            <w:r>
              <w:rPr>
                <w:b/>
              </w:rPr>
              <w:t>Consolidado</w:t>
            </w:r>
          </w:p>
        </w:tc>
      </w:tr>
      <w:tr w:rsidR="00D47AF6" w:rsidRPr="005050AE" w14:paraId="4C012E9C" w14:textId="77777777">
        <w:trPr>
          <w:trHeight w:val="238"/>
          <w:jc w:val="center"/>
        </w:trPr>
        <w:tc>
          <w:tcPr>
            <w:tcW w:w="2268" w:type="dxa"/>
            <w:tcBorders>
              <w:top w:val="single" w:sz="2" w:space="0" w:color="1F3864" w:themeColor="accent1" w:themeShade="80"/>
              <w:bottom w:val="nil"/>
            </w:tcBorders>
            <w:shd w:val="clear" w:color="auto" w:fill="auto"/>
            <w:noWrap/>
            <w:hideMark/>
          </w:tcPr>
          <w:p w14:paraId="7FB5315A" w14:textId="77777777" w:rsidR="00D47AF6" w:rsidRPr="005050AE" w:rsidRDefault="00D47AF6">
            <w:pPr>
              <w:pStyle w:val="08-Tabelageral"/>
              <w:jc w:val="left"/>
            </w:pPr>
          </w:p>
        </w:tc>
        <w:tc>
          <w:tcPr>
            <w:tcW w:w="3622" w:type="dxa"/>
            <w:gridSpan w:val="3"/>
            <w:tcBorders>
              <w:top w:val="single" w:sz="2" w:space="0" w:color="1F3864" w:themeColor="accent1" w:themeShade="80"/>
              <w:bottom w:val="single" w:sz="2" w:space="0" w:color="1F3864" w:themeColor="accent1" w:themeShade="80"/>
            </w:tcBorders>
            <w:shd w:val="clear" w:color="auto" w:fill="auto"/>
            <w:noWrap/>
            <w:hideMark/>
          </w:tcPr>
          <w:p w14:paraId="65334EEA" w14:textId="77777777" w:rsidR="00D47AF6" w:rsidRPr="005050AE" w:rsidRDefault="00D47AF6">
            <w:pPr>
              <w:pStyle w:val="08-Tabelageral"/>
              <w:jc w:val="center"/>
              <w:rPr>
                <w:b/>
              </w:rPr>
            </w:pPr>
            <w:r>
              <w:rPr>
                <w:b/>
              </w:rPr>
              <w:t>31.12.2024</w:t>
            </w:r>
          </w:p>
        </w:tc>
        <w:tc>
          <w:tcPr>
            <w:tcW w:w="253" w:type="dxa"/>
            <w:tcBorders>
              <w:top w:val="single" w:sz="2" w:space="0" w:color="1F3864" w:themeColor="accent1" w:themeShade="80"/>
              <w:bottom w:val="nil"/>
            </w:tcBorders>
            <w:shd w:val="clear" w:color="auto" w:fill="auto"/>
            <w:noWrap/>
            <w:hideMark/>
          </w:tcPr>
          <w:p w14:paraId="7C6765B5" w14:textId="77777777" w:rsidR="00D47AF6" w:rsidRPr="005050AE" w:rsidRDefault="00D47AF6">
            <w:pPr>
              <w:pStyle w:val="08-Tabelageral"/>
              <w:jc w:val="center"/>
              <w:rPr>
                <w:b/>
              </w:rPr>
            </w:pPr>
          </w:p>
        </w:tc>
        <w:tc>
          <w:tcPr>
            <w:tcW w:w="3496" w:type="dxa"/>
            <w:gridSpan w:val="3"/>
            <w:tcBorders>
              <w:top w:val="single" w:sz="2" w:space="0" w:color="1F3864" w:themeColor="accent1" w:themeShade="80"/>
              <w:bottom w:val="single" w:sz="2" w:space="0" w:color="1F3864" w:themeColor="accent1" w:themeShade="80"/>
            </w:tcBorders>
            <w:shd w:val="clear" w:color="auto" w:fill="auto"/>
            <w:noWrap/>
            <w:hideMark/>
          </w:tcPr>
          <w:p w14:paraId="25B5D6E1" w14:textId="77777777" w:rsidR="00D47AF6" w:rsidRPr="005050AE" w:rsidRDefault="00D47AF6">
            <w:pPr>
              <w:pStyle w:val="08-Tabelageral"/>
              <w:jc w:val="center"/>
              <w:rPr>
                <w:b/>
              </w:rPr>
            </w:pPr>
            <w:r w:rsidRPr="005050AE">
              <w:rPr>
                <w:b/>
              </w:rPr>
              <w:t>31</w:t>
            </w:r>
            <w:r>
              <w:rPr>
                <w:b/>
              </w:rPr>
              <w:t>.</w:t>
            </w:r>
            <w:r w:rsidRPr="005050AE">
              <w:rPr>
                <w:b/>
              </w:rPr>
              <w:t>12</w:t>
            </w:r>
            <w:r>
              <w:rPr>
                <w:b/>
              </w:rPr>
              <w:t>.2023</w:t>
            </w:r>
          </w:p>
        </w:tc>
      </w:tr>
      <w:tr w:rsidR="00D47AF6" w:rsidRPr="005050AE" w14:paraId="7375A934" w14:textId="77777777">
        <w:trPr>
          <w:trHeight w:val="238"/>
          <w:jc w:val="center"/>
        </w:trPr>
        <w:tc>
          <w:tcPr>
            <w:tcW w:w="2268" w:type="dxa"/>
            <w:tcBorders>
              <w:top w:val="nil"/>
              <w:bottom w:val="single" w:sz="2" w:space="0" w:color="1F3864" w:themeColor="accent1" w:themeShade="80"/>
            </w:tcBorders>
            <w:shd w:val="clear" w:color="auto" w:fill="auto"/>
            <w:noWrap/>
            <w:hideMark/>
          </w:tcPr>
          <w:p w14:paraId="6465EB57" w14:textId="77777777" w:rsidR="00D47AF6" w:rsidRPr="005050AE" w:rsidRDefault="00D47AF6">
            <w:pPr>
              <w:pStyle w:val="08-Tabelageral"/>
              <w:jc w:val="left"/>
            </w:pPr>
          </w:p>
        </w:tc>
        <w:tc>
          <w:tcPr>
            <w:tcW w:w="1276" w:type="dxa"/>
            <w:tcBorders>
              <w:top w:val="single" w:sz="2" w:space="0" w:color="1F3864" w:themeColor="accent1" w:themeShade="80"/>
              <w:bottom w:val="single" w:sz="2" w:space="0" w:color="1F3864" w:themeColor="accent1" w:themeShade="80"/>
            </w:tcBorders>
            <w:shd w:val="clear" w:color="auto" w:fill="auto"/>
            <w:hideMark/>
          </w:tcPr>
          <w:p w14:paraId="35024C30" w14:textId="77777777" w:rsidR="00D47AF6" w:rsidRPr="005050AE" w:rsidRDefault="00D47AF6">
            <w:pPr>
              <w:pStyle w:val="08-Tabelageral"/>
              <w:jc w:val="center"/>
              <w:rPr>
                <w:b/>
              </w:rPr>
            </w:pPr>
            <w:r w:rsidRPr="005050AE">
              <w:rPr>
                <w:b/>
              </w:rPr>
              <w:t>Nível 1</w:t>
            </w:r>
          </w:p>
        </w:tc>
        <w:tc>
          <w:tcPr>
            <w:tcW w:w="1134" w:type="dxa"/>
            <w:tcBorders>
              <w:top w:val="single" w:sz="2" w:space="0" w:color="1F3864" w:themeColor="accent1" w:themeShade="80"/>
              <w:bottom w:val="single" w:sz="2" w:space="0" w:color="1F3864" w:themeColor="accent1" w:themeShade="80"/>
            </w:tcBorders>
            <w:shd w:val="clear" w:color="auto" w:fill="auto"/>
            <w:hideMark/>
          </w:tcPr>
          <w:p w14:paraId="34319046" w14:textId="77777777" w:rsidR="00D47AF6" w:rsidRPr="005050AE" w:rsidRDefault="00D47AF6">
            <w:pPr>
              <w:pStyle w:val="08-Tabelageral"/>
              <w:jc w:val="center"/>
              <w:rPr>
                <w:b/>
              </w:rPr>
            </w:pPr>
            <w:r w:rsidRPr="005050AE">
              <w:rPr>
                <w:b/>
              </w:rPr>
              <w:t xml:space="preserve">Nível </w:t>
            </w:r>
            <w:r>
              <w:rPr>
                <w:b/>
              </w:rPr>
              <w:t>3</w:t>
            </w:r>
          </w:p>
        </w:tc>
        <w:tc>
          <w:tcPr>
            <w:tcW w:w="1212" w:type="dxa"/>
            <w:tcBorders>
              <w:top w:val="single" w:sz="2" w:space="0" w:color="1F3864" w:themeColor="accent1" w:themeShade="80"/>
              <w:bottom w:val="single" w:sz="2" w:space="0" w:color="1F3864" w:themeColor="accent1" w:themeShade="80"/>
            </w:tcBorders>
            <w:shd w:val="clear" w:color="auto" w:fill="auto"/>
            <w:hideMark/>
          </w:tcPr>
          <w:p w14:paraId="6C78A82A" w14:textId="77777777" w:rsidR="00D47AF6" w:rsidRPr="005050AE" w:rsidRDefault="00D47AF6">
            <w:pPr>
              <w:pStyle w:val="08-Tabelageral"/>
              <w:jc w:val="center"/>
              <w:rPr>
                <w:b/>
              </w:rPr>
            </w:pPr>
            <w:r w:rsidRPr="005050AE">
              <w:rPr>
                <w:b/>
              </w:rPr>
              <w:t>Total</w:t>
            </w:r>
          </w:p>
        </w:tc>
        <w:tc>
          <w:tcPr>
            <w:tcW w:w="253" w:type="dxa"/>
            <w:tcBorders>
              <w:top w:val="nil"/>
              <w:bottom w:val="single" w:sz="2" w:space="0" w:color="1F3864" w:themeColor="accent1" w:themeShade="80"/>
            </w:tcBorders>
            <w:shd w:val="clear" w:color="auto" w:fill="auto"/>
            <w:noWrap/>
            <w:hideMark/>
          </w:tcPr>
          <w:p w14:paraId="6BD8522F" w14:textId="77777777" w:rsidR="00D47AF6" w:rsidRPr="005050AE" w:rsidRDefault="00D47AF6">
            <w:pPr>
              <w:pStyle w:val="08-Tabelageral"/>
              <w:jc w:val="center"/>
              <w:rPr>
                <w:b/>
              </w:rPr>
            </w:pPr>
          </w:p>
        </w:tc>
        <w:tc>
          <w:tcPr>
            <w:tcW w:w="1159" w:type="dxa"/>
            <w:tcBorders>
              <w:top w:val="single" w:sz="2" w:space="0" w:color="1F3864" w:themeColor="accent1" w:themeShade="80"/>
              <w:bottom w:val="single" w:sz="2" w:space="0" w:color="1F3864" w:themeColor="accent1" w:themeShade="80"/>
            </w:tcBorders>
            <w:shd w:val="clear" w:color="auto" w:fill="auto"/>
            <w:hideMark/>
          </w:tcPr>
          <w:p w14:paraId="64D5C9E3" w14:textId="77777777" w:rsidR="00D47AF6" w:rsidRPr="005050AE" w:rsidRDefault="00D47AF6">
            <w:pPr>
              <w:pStyle w:val="08-Tabelageral"/>
              <w:jc w:val="center"/>
              <w:rPr>
                <w:b/>
              </w:rPr>
            </w:pPr>
            <w:r w:rsidRPr="005050AE">
              <w:rPr>
                <w:b/>
              </w:rPr>
              <w:t>Nível 1</w:t>
            </w:r>
          </w:p>
        </w:tc>
        <w:tc>
          <w:tcPr>
            <w:tcW w:w="1061" w:type="dxa"/>
            <w:tcBorders>
              <w:top w:val="single" w:sz="2" w:space="0" w:color="1F3864" w:themeColor="accent1" w:themeShade="80"/>
              <w:bottom w:val="single" w:sz="2" w:space="0" w:color="1F3864" w:themeColor="accent1" w:themeShade="80"/>
            </w:tcBorders>
            <w:shd w:val="clear" w:color="auto" w:fill="auto"/>
            <w:hideMark/>
          </w:tcPr>
          <w:p w14:paraId="78AEEA32" w14:textId="77777777" w:rsidR="00D47AF6" w:rsidRPr="005050AE" w:rsidRDefault="00D47AF6">
            <w:pPr>
              <w:pStyle w:val="08-Tabelageral"/>
              <w:jc w:val="center"/>
              <w:rPr>
                <w:b/>
              </w:rPr>
            </w:pPr>
            <w:r w:rsidRPr="005050AE">
              <w:rPr>
                <w:b/>
              </w:rPr>
              <w:t xml:space="preserve">Nível </w:t>
            </w:r>
            <w:r>
              <w:rPr>
                <w:b/>
              </w:rPr>
              <w:t>3</w:t>
            </w:r>
          </w:p>
        </w:tc>
        <w:tc>
          <w:tcPr>
            <w:tcW w:w="1276" w:type="dxa"/>
            <w:tcBorders>
              <w:top w:val="single" w:sz="2" w:space="0" w:color="1F3864" w:themeColor="accent1" w:themeShade="80"/>
              <w:bottom w:val="single" w:sz="2" w:space="0" w:color="1F3864" w:themeColor="accent1" w:themeShade="80"/>
            </w:tcBorders>
            <w:shd w:val="clear" w:color="auto" w:fill="auto"/>
            <w:hideMark/>
          </w:tcPr>
          <w:p w14:paraId="695B6D1C" w14:textId="77777777" w:rsidR="00D47AF6" w:rsidRPr="005050AE" w:rsidRDefault="00D47AF6">
            <w:pPr>
              <w:pStyle w:val="08-Tabelageral"/>
              <w:jc w:val="center"/>
              <w:rPr>
                <w:b/>
              </w:rPr>
            </w:pPr>
            <w:r w:rsidRPr="005050AE">
              <w:rPr>
                <w:b/>
              </w:rPr>
              <w:t>Total</w:t>
            </w:r>
          </w:p>
        </w:tc>
      </w:tr>
      <w:tr w:rsidR="00D47AF6" w:rsidRPr="005050AE" w14:paraId="49652D80" w14:textId="77777777">
        <w:trPr>
          <w:trHeight w:val="238"/>
          <w:jc w:val="center"/>
        </w:trPr>
        <w:tc>
          <w:tcPr>
            <w:tcW w:w="2268" w:type="dxa"/>
            <w:tcBorders>
              <w:top w:val="single" w:sz="2" w:space="0" w:color="1F3864" w:themeColor="accent1" w:themeShade="80"/>
              <w:bottom w:val="nil"/>
            </w:tcBorders>
            <w:shd w:val="clear" w:color="auto" w:fill="auto"/>
            <w:noWrap/>
            <w:hideMark/>
          </w:tcPr>
          <w:p w14:paraId="03E92E86" w14:textId="77777777" w:rsidR="00D47AF6" w:rsidRPr="005050AE" w:rsidRDefault="00D47AF6">
            <w:pPr>
              <w:pStyle w:val="08-Tabelageral"/>
              <w:ind w:left="113"/>
              <w:jc w:val="left"/>
            </w:pPr>
            <w:r w:rsidRPr="005050AE">
              <w:t xml:space="preserve">Fundo de </w:t>
            </w:r>
            <w:r>
              <w:t>l</w:t>
            </w:r>
            <w:r w:rsidRPr="005050AE">
              <w:t xml:space="preserve">ongo </w:t>
            </w:r>
            <w:r>
              <w:t>p</w:t>
            </w:r>
            <w:r w:rsidRPr="005050AE">
              <w:t>razo</w:t>
            </w:r>
          </w:p>
        </w:tc>
        <w:tc>
          <w:tcPr>
            <w:tcW w:w="1276" w:type="dxa"/>
            <w:tcBorders>
              <w:top w:val="single" w:sz="2" w:space="0" w:color="1F3864" w:themeColor="accent1" w:themeShade="80"/>
              <w:left w:val="nil"/>
              <w:bottom w:val="nil"/>
              <w:right w:val="nil"/>
            </w:tcBorders>
            <w:shd w:val="clear" w:color="auto" w:fill="auto"/>
            <w:noWrap/>
          </w:tcPr>
          <w:p w14:paraId="23AA7D42" w14:textId="77777777" w:rsidR="00D47AF6" w:rsidRPr="005050AE" w:rsidRDefault="00D47AF6">
            <w:pPr>
              <w:pStyle w:val="08-Tabelageral"/>
            </w:pPr>
            <w:r>
              <w:t>--</w:t>
            </w:r>
          </w:p>
        </w:tc>
        <w:tc>
          <w:tcPr>
            <w:tcW w:w="1134" w:type="dxa"/>
            <w:tcBorders>
              <w:top w:val="single" w:sz="2" w:space="0" w:color="1F3864" w:themeColor="accent1" w:themeShade="80"/>
              <w:left w:val="nil"/>
              <w:bottom w:val="nil"/>
              <w:right w:val="nil"/>
            </w:tcBorders>
            <w:shd w:val="clear" w:color="auto" w:fill="auto"/>
            <w:noWrap/>
          </w:tcPr>
          <w:p w14:paraId="5E9417C1" w14:textId="77777777" w:rsidR="00D47AF6" w:rsidRPr="0068227D" w:rsidRDefault="00D47AF6">
            <w:pPr>
              <w:pStyle w:val="08-Tabelageral"/>
            </w:pPr>
            <w:r w:rsidRPr="00410513">
              <w:t>28.783</w:t>
            </w:r>
          </w:p>
        </w:tc>
        <w:tc>
          <w:tcPr>
            <w:tcW w:w="1212" w:type="dxa"/>
            <w:tcBorders>
              <w:top w:val="single" w:sz="2" w:space="0" w:color="1F3864" w:themeColor="accent1" w:themeShade="80"/>
              <w:left w:val="nil"/>
              <w:bottom w:val="nil"/>
              <w:right w:val="nil"/>
            </w:tcBorders>
            <w:shd w:val="clear" w:color="auto" w:fill="auto"/>
            <w:noWrap/>
          </w:tcPr>
          <w:p w14:paraId="72602B97" w14:textId="77777777" w:rsidR="00D47AF6" w:rsidRPr="0068227D" w:rsidRDefault="00D47AF6">
            <w:pPr>
              <w:pStyle w:val="08-Tabelageral"/>
              <w:rPr>
                <w:b/>
                <w:bCs/>
              </w:rPr>
            </w:pPr>
            <w:r w:rsidRPr="00A364B1">
              <w:rPr>
                <w:b/>
                <w:bCs/>
              </w:rPr>
              <w:t>28.783</w:t>
            </w:r>
          </w:p>
        </w:tc>
        <w:tc>
          <w:tcPr>
            <w:tcW w:w="253" w:type="dxa"/>
            <w:tcBorders>
              <w:top w:val="single" w:sz="2" w:space="0" w:color="1F3864" w:themeColor="accent1" w:themeShade="80"/>
              <w:bottom w:val="nil"/>
            </w:tcBorders>
            <w:shd w:val="clear" w:color="auto" w:fill="auto"/>
            <w:noWrap/>
            <w:vAlign w:val="bottom"/>
            <w:hideMark/>
          </w:tcPr>
          <w:p w14:paraId="6E752FF2" w14:textId="77777777" w:rsidR="00D47AF6" w:rsidRPr="005050AE" w:rsidRDefault="00D47AF6">
            <w:pPr>
              <w:pStyle w:val="08-Tabelageral"/>
            </w:pPr>
          </w:p>
        </w:tc>
        <w:tc>
          <w:tcPr>
            <w:tcW w:w="1159" w:type="dxa"/>
            <w:tcBorders>
              <w:top w:val="single" w:sz="2" w:space="0" w:color="1F3864" w:themeColor="accent1" w:themeShade="80"/>
              <w:left w:val="nil"/>
              <w:bottom w:val="nil"/>
              <w:right w:val="nil"/>
            </w:tcBorders>
            <w:shd w:val="clear" w:color="auto" w:fill="auto"/>
            <w:noWrap/>
            <w:vAlign w:val="bottom"/>
            <w:hideMark/>
          </w:tcPr>
          <w:p w14:paraId="20BD4CEE" w14:textId="77777777" w:rsidR="00D47AF6" w:rsidRPr="005050AE" w:rsidRDefault="00D47AF6">
            <w:pPr>
              <w:pStyle w:val="08-Tabelageral"/>
            </w:pPr>
            <w:r>
              <w:t>--</w:t>
            </w:r>
          </w:p>
        </w:tc>
        <w:tc>
          <w:tcPr>
            <w:tcW w:w="1061" w:type="dxa"/>
            <w:tcBorders>
              <w:top w:val="single" w:sz="2" w:space="0" w:color="1F3864" w:themeColor="accent1" w:themeShade="80"/>
              <w:left w:val="nil"/>
              <w:bottom w:val="nil"/>
              <w:right w:val="nil"/>
            </w:tcBorders>
            <w:shd w:val="clear" w:color="auto" w:fill="auto"/>
            <w:noWrap/>
            <w:vAlign w:val="bottom"/>
            <w:hideMark/>
          </w:tcPr>
          <w:p w14:paraId="193CFD3C" w14:textId="77777777" w:rsidR="00D47AF6" w:rsidRPr="005050AE" w:rsidRDefault="00D47AF6">
            <w:pPr>
              <w:pStyle w:val="08-Tabelageral"/>
            </w:pPr>
            <w:r>
              <w:t>21.020</w:t>
            </w:r>
          </w:p>
        </w:tc>
        <w:tc>
          <w:tcPr>
            <w:tcW w:w="1276" w:type="dxa"/>
            <w:tcBorders>
              <w:top w:val="single" w:sz="2" w:space="0" w:color="1F3864" w:themeColor="accent1" w:themeShade="80"/>
              <w:left w:val="nil"/>
              <w:bottom w:val="nil"/>
              <w:right w:val="nil"/>
            </w:tcBorders>
            <w:shd w:val="clear" w:color="auto" w:fill="auto"/>
            <w:noWrap/>
            <w:vAlign w:val="bottom"/>
            <w:hideMark/>
          </w:tcPr>
          <w:p w14:paraId="53CBB82B" w14:textId="77777777" w:rsidR="00D47AF6" w:rsidRPr="005050AE" w:rsidRDefault="00D47AF6">
            <w:pPr>
              <w:pStyle w:val="08-Tabelageral"/>
            </w:pPr>
            <w:r>
              <w:t>21.020</w:t>
            </w:r>
          </w:p>
        </w:tc>
      </w:tr>
      <w:tr w:rsidR="00D47AF6" w:rsidRPr="005050AE" w14:paraId="3B2DBD00" w14:textId="77777777">
        <w:trPr>
          <w:trHeight w:val="238"/>
          <w:jc w:val="center"/>
        </w:trPr>
        <w:tc>
          <w:tcPr>
            <w:tcW w:w="2268" w:type="dxa"/>
            <w:tcBorders>
              <w:top w:val="nil"/>
            </w:tcBorders>
            <w:shd w:val="clear" w:color="auto" w:fill="auto"/>
            <w:noWrap/>
          </w:tcPr>
          <w:p w14:paraId="498F6636" w14:textId="77777777" w:rsidR="00D47AF6" w:rsidRPr="005050AE" w:rsidRDefault="00D47AF6">
            <w:pPr>
              <w:pStyle w:val="08-Tabelageral"/>
              <w:ind w:left="113"/>
              <w:jc w:val="left"/>
            </w:pPr>
            <w:r>
              <w:t>TPF</w:t>
            </w:r>
          </w:p>
        </w:tc>
        <w:tc>
          <w:tcPr>
            <w:tcW w:w="1276" w:type="dxa"/>
            <w:tcBorders>
              <w:top w:val="nil"/>
              <w:left w:val="nil"/>
              <w:bottom w:val="nil"/>
              <w:right w:val="nil"/>
            </w:tcBorders>
            <w:shd w:val="clear" w:color="auto" w:fill="auto"/>
            <w:noWrap/>
          </w:tcPr>
          <w:p w14:paraId="1D50EFE0" w14:textId="77777777" w:rsidR="00D47AF6" w:rsidRPr="00CB0015" w:rsidRDefault="00D47AF6">
            <w:pPr>
              <w:pStyle w:val="08-Tabelageral"/>
            </w:pPr>
            <w:r w:rsidRPr="00410513">
              <w:t>1.759.011</w:t>
            </w:r>
          </w:p>
        </w:tc>
        <w:tc>
          <w:tcPr>
            <w:tcW w:w="1134" w:type="dxa"/>
            <w:tcBorders>
              <w:top w:val="nil"/>
              <w:left w:val="nil"/>
              <w:bottom w:val="nil"/>
              <w:right w:val="nil"/>
            </w:tcBorders>
            <w:shd w:val="clear" w:color="auto" w:fill="auto"/>
            <w:noWrap/>
          </w:tcPr>
          <w:p w14:paraId="450F1813" w14:textId="77777777" w:rsidR="00D47AF6" w:rsidRPr="0068227D" w:rsidRDefault="00D47AF6">
            <w:pPr>
              <w:pStyle w:val="08-Tabelageral"/>
            </w:pPr>
            <w:r w:rsidRPr="0068227D">
              <w:t>--</w:t>
            </w:r>
          </w:p>
        </w:tc>
        <w:tc>
          <w:tcPr>
            <w:tcW w:w="1212" w:type="dxa"/>
            <w:tcBorders>
              <w:top w:val="nil"/>
              <w:left w:val="nil"/>
              <w:bottom w:val="nil"/>
              <w:right w:val="nil"/>
            </w:tcBorders>
            <w:shd w:val="clear" w:color="auto" w:fill="auto"/>
            <w:noWrap/>
          </w:tcPr>
          <w:p w14:paraId="6F1B777A" w14:textId="77777777" w:rsidR="00D47AF6" w:rsidRPr="0068227D" w:rsidRDefault="00D47AF6">
            <w:pPr>
              <w:pStyle w:val="08-Tabelageral"/>
              <w:rPr>
                <w:b/>
                <w:bCs/>
              </w:rPr>
            </w:pPr>
            <w:r w:rsidRPr="00A364B1">
              <w:rPr>
                <w:b/>
                <w:bCs/>
              </w:rPr>
              <w:t>1.759.011</w:t>
            </w:r>
          </w:p>
        </w:tc>
        <w:tc>
          <w:tcPr>
            <w:tcW w:w="253" w:type="dxa"/>
            <w:tcBorders>
              <w:top w:val="nil"/>
            </w:tcBorders>
            <w:shd w:val="clear" w:color="auto" w:fill="auto"/>
            <w:noWrap/>
            <w:vAlign w:val="bottom"/>
          </w:tcPr>
          <w:p w14:paraId="0BC376B7" w14:textId="77777777" w:rsidR="00D47AF6" w:rsidRDefault="00D47AF6">
            <w:pPr>
              <w:pStyle w:val="08-Tabelageral"/>
              <w:rPr>
                <w:rFonts w:cs="Arial"/>
                <w:lang w:eastAsia="en-US"/>
              </w:rPr>
            </w:pPr>
          </w:p>
        </w:tc>
        <w:tc>
          <w:tcPr>
            <w:tcW w:w="1159" w:type="dxa"/>
            <w:tcBorders>
              <w:top w:val="nil"/>
              <w:left w:val="nil"/>
              <w:bottom w:val="nil"/>
              <w:right w:val="nil"/>
            </w:tcBorders>
            <w:shd w:val="clear" w:color="auto" w:fill="auto"/>
            <w:noWrap/>
            <w:vAlign w:val="bottom"/>
          </w:tcPr>
          <w:p w14:paraId="64ADF377" w14:textId="77777777" w:rsidR="00D47AF6" w:rsidRDefault="00D47AF6">
            <w:pPr>
              <w:pStyle w:val="08-Tabelageral"/>
              <w:rPr>
                <w:lang w:eastAsia="en-US"/>
              </w:rPr>
            </w:pPr>
            <w:r>
              <w:t>1.586.371</w:t>
            </w:r>
          </w:p>
        </w:tc>
        <w:tc>
          <w:tcPr>
            <w:tcW w:w="1061" w:type="dxa"/>
            <w:tcBorders>
              <w:top w:val="nil"/>
              <w:left w:val="nil"/>
              <w:bottom w:val="nil"/>
              <w:right w:val="nil"/>
            </w:tcBorders>
            <w:shd w:val="clear" w:color="auto" w:fill="auto"/>
            <w:noWrap/>
            <w:vAlign w:val="bottom"/>
          </w:tcPr>
          <w:p w14:paraId="006203C9" w14:textId="77777777" w:rsidR="00D47AF6" w:rsidRPr="005050AE" w:rsidRDefault="00D47AF6">
            <w:pPr>
              <w:pStyle w:val="08-Tabelageral"/>
            </w:pPr>
            <w:r>
              <w:t>--</w:t>
            </w:r>
          </w:p>
        </w:tc>
        <w:tc>
          <w:tcPr>
            <w:tcW w:w="1276" w:type="dxa"/>
            <w:tcBorders>
              <w:top w:val="nil"/>
              <w:left w:val="nil"/>
              <w:bottom w:val="nil"/>
              <w:right w:val="nil"/>
            </w:tcBorders>
            <w:shd w:val="clear" w:color="auto" w:fill="auto"/>
            <w:noWrap/>
            <w:vAlign w:val="bottom"/>
          </w:tcPr>
          <w:p w14:paraId="4B37EA8B" w14:textId="77777777" w:rsidR="00D47AF6" w:rsidRDefault="00D47AF6">
            <w:pPr>
              <w:pStyle w:val="08-Tabelageral"/>
              <w:rPr>
                <w:lang w:eastAsia="en-US"/>
              </w:rPr>
            </w:pPr>
            <w:r>
              <w:t>1.586.371</w:t>
            </w:r>
          </w:p>
        </w:tc>
      </w:tr>
      <w:tr w:rsidR="00D47AF6" w:rsidRPr="005050AE" w14:paraId="23652466" w14:textId="77777777">
        <w:trPr>
          <w:trHeight w:val="238"/>
          <w:jc w:val="center"/>
        </w:trPr>
        <w:tc>
          <w:tcPr>
            <w:tcW w:w="2268" w:type="dxa"/>
            <w:tcBorders>
              <w:top w:val="nil"/>
              <w:bottom w:val="single" w:sz="2" w:space="0" w:color="1F3864" w:themeColor="accent1" w:themeShade="80"/>
            </w:tcBorders>
            <w:shd w:val="clear" w:color="auto" w:fill="auto"/>
            <w:noWrap/>
            <w:hideMark/>
          </w:tcPr>
          <w:p w14:paraId="64B87D71" w14:textId="77777777" w:rsidR="00D47AF6" w:rsidRPr="005050AE" w:rsidRDefault="00D47AF6">
            <w:pPr>
              <w:pStyle w:val="08-Tabelageral"/>
              <w:jc w:val="left"/>
              <w:rPr>
                <w:b/>
              </w:rPr>
            </w:pPr>
            <w:r w:rsidRPr="005050AE">
              <w:rPr>
                <w:b/>
              </w:rPr>
              <w:t>Total</w:t>
            </w:r>
          </w:p>
        </w:tc>
        <w:tc>
          <w:tcPr>
            <w:tcW w:w="1276" w:type="dxa"/>
            <w:tcBorders>
              <w:top w:val="nil"/>
              <w:left w:val="nil"/>
              <w:bottom w:val="single" w:sz="2" w:space="0" w:color="1F3864" w:themeColor="accent1" w:themeShade="80"/>
              <w:right w:val="nil"/>
            </w:tcBorders>
            <w:shd w:val="clear" w:color="auto" w:fill="auto"/>
            <w:noWrap/>
          </w:tcPr>
          <w:p w14:paraId="14B14D17" w14:textId="77777777" w:rsidR="00D47AF6" w:rsidRPr="0028065D" w:rsidRDefault="00D47AF6">
            <w:pPr>
              <w:pStyle w:val="08-Tabelageral"/>
              <w:rPr>
                <w:b/>
                <w:bCs/>
              </w:rPr>
            </w:pPr>
            <w:r w:rsidRPr="00A364B1">
              <w:rPr>
                <w:b/>
                <w:bCs/>
              </w:rPr>
              <w:t>1.759.011</w:t>
            </w:r>
          </w:p>
        </w:tc>
        <w:tc>
          <w:tcPr>
            <w:tcW w:w="1134" w:type="dxa"/>
            <w:tcBorders>
              <w:top w:val="nil"/>
              <w:left w:val="nil"/>
              <w:bottom w:val="single" w:sz="2" w:space="0" w:color="1F3864" w:themeColor="accent1" w:themeShade="80"/>
              <w:right w:val="nil"/>
            </w:tcBorders>
            <w:shd w:val="clear" w:color="auto" w:fill="auto"/>
            <w:noWrap/>
          </w:tcPr>
          <w:p w14:paraId="70E73A8D" w14:textId="77777777" w:rsidR="00D47AF6" w:rsidRPr="0028065D" w:rsidRDefault="00D47AF6">
            <w:pPr>
              <w:pStyle w:val="08-Tabelageral"/>
              <w:rPr>
                <w:b/>
                <w:bCs/>
              </w:rPr>
            </w:pPr>
            <w:r w:rsidRPr="00410513">
              <w:rPr>
                <w:b/>
                <w:bCs/>
              </w:rPr>
              <w:t>28.783</w:t>
            </w:r>
          </w:p>
        </w:tc>
        <w:tc>
          <w:tcPr>
            <w:tcW w:w="1212" w:type="dxa"/>
            <w:tcBorders>
              <w:top w:val="nil"/>
              <w:left w:val="nil"/>
              <w:bottom w:val="single" w:sz="2" w:space="0" w:color="1F3864" w:themeColor="accent1" w:themeShade="80"/>
              <w:right w:val="nil"/>
            </w:tcBorders>
            <w:shd w:val="clear" w:color="auto" w:fill="auto"/>
            <w:noWrap/>
          </w:tcPr>
          <w:p w14:paraId="71BE3333" w14:textId="77777777" w:rsidR="00D47AF6" w:rsidRPr="0068227D" w:rsidRDefault="00D47AF6">
            <w:pPr>
              <w:pStyle w:val="08-Tabelageral"/>
              <w:rPr>
                <w:b/>
                <w:bCs/>
                <w:lang w:eastAsia="en-US"/>
              </w:rPr>
            </w:pPr>
            <w:r w:rsidRPr="00A364B1">
              <w:rPr>
                <w:b/>
                <w:bCs/>
                <w:lang w:eastAsia="en-US"/>
              </w:rPr>
              <w:t>1.787.794</w:t>
            </w:r>
          </w:p>
        </w:tc>
        <w:tc>
          <w:tcPr>
            <w:tcW w:w="253" w:type="dxa"/>
            <w:tcBorders>
              <w:top w:val="nil"/>
              <w:bottom w:val="single" w:sz="2" w:space="0" w:color="1F3864" w:themeColor="accent1" w:themeShade="80"/>
            </w:tcBorders>
            <w:shd w:val="clear" w:color="auto" w:fill="auto"/>
            <w:noWrap/>
            <w:vAlign w:val="bottom"/>
            <w:hideMark/>
          </w:tcPr>
          <w:p w14:paraId="28BF0EA9" w14:textId="77777777" w:rsidR="00D47AF6" w:rsidRPr="007C2645" w:rsidRDefault="00D47AF6">
            <w:pPr>
              <w:pStyle w:val="08-Tabelageral"/>
              <w:rPr>
                <w:b/>
                <w:bCs/>
              </w:rPr>
            </w:pPr>
            <w:r w:rsidRPr="007C2645">
              <w:rPr>
                <w:rFonts w:cs="Arial"/>
                <w:b/>
                <w:bCs/>
                <w:lang w:eastAsia="en-US"/>
              </w:rPr>
              <w:t> </w:t>
            </w:r>
          </w:p>
        </w:tc>
        <w:tc>
          <w:tcPr>
            <w:tcW w:w="1159" w:type="dxa"/>
            <w:tcBorders>
              <w:top w:val="nil"/>
              <w:left w:val="nil"/>
              <w:bottom w:val="single" w:sz="2" w:space="0" w:color="1F3864" w:themeColor="accent1" w:themeShade="80"/>
              <w:right w:val="nil"/>
            </w:tcBorders>
            <w:shd w:val="clear" w:color="auto" w:fill="auto"/>
            <w:noWrap/>
            <w:vAlign w:val="bottom"/>
            <w:hideMark/>
          </w:tcPr>
          <w:p w14:paraId="44A228DC" w14:textId="77777777" w:rsidR="00D47AF6" w:rsidRPr="007C2645" w:rsidRDefault="00D47AF6">
            <w:pPr>
              <w:pStyle w:val="08-Tabelageral"/>
              <w:rPr>
                <w:b/>
                <w:bCs/>
              </w:rPr>
            </w:pPr>
            <w:r>
              <w:rPr>
                <w:b/>
                <w:bCs/>
              </w:rPr>
              <w:t>1.586.371</w:t>
            </w:r>
          </w:p>
        </w:tc>
        <w:tc>
          <w:tcPr>
            <w:tcW w:w="1061" w:type="dxa"/>
            <w:tcBorders>
              <w:top w:val="nil"/>
              <w:left w:val="nil"/>
              <w:bottom w:val="single" w:sz="2" w:space="0" w:color="1F3864" w:themeColor="accent1" w:themeShade="80"/>
              <w:right w:val="nil"/>
            </w:tcBorders>
            <w:shd w:val="clear" w:color="auto" w:fill="auto"/>
            <w:noWrap/>
            <w:vAlign w:val="bottom"/>
            <w:hideMark/>
          </w:tcPr>
          <w:p w14:paraId="1C0653FE" w14:textId="77777777" w:rsidR="00D47AF6" w:rsidRPr="007C2645" w:rsidRDefault="00D47AF6">
            <w:pPr>
              <w:pStyle w:val="08-Tabelageral"/>
              <w:rPr>
                <w:b/>
                <w:bCs/>
              </w:rPr>
            </w:pPr>
            <w:r>
              <w:rPr>
                <w:b/>
                <w:bCs/>
              </w:rPr>
              <w:t>21.020</w:t>
            </w:r>
          </w:p>
        </w:tc>
        <w:tc>
          <w:tcPr>
            <w:tcW w:w="1276" w:type="dxa"/>
            <w:tcBorders>
              <w:top w:val="nil"/>
              <w:left w:val="nil"/>
              <w:bottom w:val="single" w:sz="2" w:space="0" w:color="1F3864" w:themeColor="accent1" w:themeShade="80"/>
              <w:right w:val="nil"/>
            </w:tcBorders>
            <w:shd w:val="clear" w:color="auto" w:fill="auto"/>
            <w:noWrap/>
            <w:vAlign w:val="bottom"/>
            <w:hideMark/>
          </w:tcPr>
          <w:p w14:paraId="39D10978" w14:textId="77777777" w:rsidR="00D47AF6" w:rsidRPr="005050AE" w:rsidRDefault="00D47AF6">
            <w:pPr>
              <w:pStyle w:val="08-Tabelageral"/>
              <w:rPr>
                <w:b/>
              </w:rPr>
            </w:pPr>
            <w:r>
              <w:rPr>
                <w:b/>
              </w:rPr>
              <w:t>1.607.391</w:t>
            </w:r>
          </w:p>
        </w:tc>
      </w:tr>
    </w:tbl>
    <w:p w14:paraId="5F0D168E" w14:textId="77777777" w:rsidR="005C6C41" w:rsidRPr="00BF2AAF" w:rsidRDefault="005C6C41" w:rsidP="005C6C41">
      <w:pPr>
        <w:rPr>
          <w:rFonts w:ascii="Arial" w:hAnsi="Arial" w:cs="Arial"/>
          <w:sz w:val="20"/>
          <w:szCs w:val="20"/>
          <w:lang w:eastAsia="pt-BR"/>
        </w:rPr>
      </w:pPr>
    </w:p>
    <w:p w14:paraId="21472A7B" w14:textId="1BB12D46" w:rsidR="00681BFE" w:rsidRPr="0079276F" w:rsidRDefault="007D4AB0" w:rsidP="005E02D8">
      <w:pPr>
        <w:pStyle w:val="02-TtulodeNota"/>
        <w:keepNext/>
        <w:keepLines/>
        <w:rPr>
          <w:rFonts w:cs="Arial"/>
          <w:b w:val="0"/>
        </w:rPr>
      </w:pPr>
      <w:bookmarkStart w:id="105" w:name="_Toc189757083"/>
      <w:r w:rsidRPr="00BF2AAF">
        <w:rPr>
          <w:rFonts w:cs="Arial"/>
        </w:rPr>
        <w:t>1</w:t>
      </w:r>
      <w:r w:rsidR="005C6C41" w:rsidRPr="00BF2AAF">
        <w:rPr>
          <w:rFonts w:cs="Arial"/>
        </w:rPr>
        <w:t>7</w:t>
      </w:r>
      <w:r w:rsidRPr="00BF2AAF">
        <w:rPr>
          <w:rFonts w:cs="Arial"/>
        </w:rPr>
        <w:t xml:space="preserve"> – DIVIDENDOS A RECEBER</w:t>
      </w:r>
      <w:bookmarkEnd w:id="105"/>
    </w:p>
    <w:p w14:paraId="42357FBC" w14:textId="77777777" w:rsidR="00681BFE" w:rsidRPr="00990165" w:rsidRDefault="00681BFE" w:rsidP="00681BFE">
      <w:pPr>
        <w:pStyle w:val="01-TtulodeNota"/>
        <w:spacing w:before="0" w:after="0"/>
        <w:jc w:val="right"/>
        <w:rPr>
          <w:sz w:val="14"/>
          <w:szCs w:val="14"/>
        </w:rPr>
      </w:pPr>
      <w:r w:rsidRPr="00990165">
        <w:rPr>
          <w:sz w:val="14"/>
          <w:szCs w:val="14"/>
        </w:rPr>
        <w:t>R$ mil</w:t>
      </w:r>
    </w:p>
    <w:tbl>
      <w:tblPr>
        <w:tblW w:w="9639" w:type="dxa"/>
        <w:tblBorders>
          <w:top w:val="single" w:sz="6" w:space="0" w:color="1F3864" w:themeColor="accent1" w:themeShade="80"/>
          <w:bottom w:val="single" w:sz="6" w:space="0" w:color="1F3864" w:themeColor="accent1" w:themeShade="80"/>
          <w:insideH w:val="single" w:sz="6" w:space="0" w:color="1F3864" w:themeColor="accent1" w:themeShade="80"/>
        </w:tblBorders>
        <w:tblLook w:val="04A0" w:firstRow="1" w:lastRow="0" w:firstColumn="1" w:lastColumn="0" w:noHBand="0" w:noVBand="1"/>
      </w:tblPr>
      <w:tblGrid>
        <w:gridCol w:w="850"/>
        <w:gridCol w:w="2244"/>
        <w:gridCol w:w="604"/>
        <w:gridCol w:w="1411"/>
        <w:gridCol w:w="1412"/>
        <w:gridCol w:w="283"/>
        <w:gridCol w:w="283"/>
        <w:gridCol w:w="1417"/>
        <w:gridCol w:w="1135"/>
      </w:tblGrid>
      <w:tr w:rsidR="00681BFE" w:rsidRPr="00990165" w14:paraId="4E429F8C" w14:textId="77777777">
        <w:trPr>
          <w:trHeight w:val="238"/>
        </w:trPr>
        <w:tc>
          <w:tcPr>
            <w:tcW w:w="850" w:type="dxa"/>
            <w:tcBorders>
              <w:bottom w:val="nil"/>
            </w:tcBorders>
            <w:shd w:val="clear" w:color="auto" w:fill="auto"/>
          </w:tcPr>
          <w:p w14:paraId="19721AFA" w14:textId="77777777" w:rsidR="00681BFE" w:rsidRPr="00990165" w:rsidRDefault="00681BFE">
            <w:pPr>
              <w:keepNext/>
              <w:keepLines/>
              <w:spacing w:before="40" w:after="40"/>
              <w:jc w:val="center"/>
              <w:rPr>
                <w:rFonts w:ascii="Arial" w:hAnsi="Arial" w:cs="Arial"/>
                <w:b/>
                <w:bCs/>
                <w:spacing w:val="-2"/>
                <w:sz w:val="14"/>
                <w:szCs w:val="14"/>
              </w:rPr>
            </w:pPr>
          </w:p>
        </w:tc>
        <w:tc>
          <w:tcPr>
            <w:tcW w:w="2848" w:type="dxa"/>
            <w:gridSpan w:val="2"/>
            <w:tcBorders>
              <w:bottom w:val="nil"/>
            </w:tcBorders>
            <w:shd w:val="clear" w:color="auto" w:fill="auto"/>
          </w:tcPr>
          <w:p w14:paraId="4981ADD4" w14:textId="77777777" w:rsidR="00681BFE" w:rsidRPr="00990165" w:rsidRDefault="00681BFE">
            <w:pPr>
              <w:keepNext/>
              <w:keepLines/>
              <w:spacing w:before="40" w:after="40"/>
              <w:jc w:val="center"/>
              <w:rPr>
                <w:rFonts w:ascii="Arial" w:hAnsi="Arial" w:cs="Arial"/>
                <w:spacing w:val="-2"/>
                <w:sz w:val="14"/>
                <w:szCs w:val="14"/>
              </w:rPr>
            </w:pPr>
          </w:p>
        </w:tc>
        <w:tc>
          <w:tcPr>
            <w:tcW w:w="2823" w:type="dxa"/>
            <w:gridSpan w:val="2"/>
            <w:shd w:val="clear" w:color="auto" w:fill="auto"/>
            <w:vAlign w:val="center"/>
          </w:tcPr>
          <w:p w14:paraId="0EF68306" w14:textId="77777777" w:rsidR="00681BFE" w:rsidRPr="00990165" w:rsidRDefault="00681BFE">
            <w:pPr>
              <w:keepNext/>
              <w:keepLines/>
              <w:spacing w:before="40" w:after="40"/>
              <w:jc w:val="center"/>
              <w:rPr>
                <w:rFonts w:ascii="Arial" w:hAnsi="Arial" w:cs="Arial"/>
                <w:b/>
                <w:spacing w:val="-2"/>
                <w:sz w:val="14"/>
                <w:szCs w:val="14"/>
                <w:vertAlign w:val="superscript"/>
              </w:rPr>
            </w:pPr>
            <w:r w:rsidRPr="00BC7DA5">
              <w:rPr>
                <w:rFonts w:ascii="Arial" w:hAnsi="Arial" w:cs="Arial"/>
                <w:b/>
                <w:sz w:val="14"/>
                <w:szCs w:val="18"/>
              </w:rPr>
              <w:t>Controlador</w:t>
            </w:r>
          </w:p>
        </w:tc>
        <w:tc>
          <w:tcPr>
            <w:tcW w:w="283" w:type="dxa"/>
          </w:tcPr>
          <w:p w14:paraId="220D2AF7" w14:textId="77777777" w:rsidR="00681BFE" w:rsidRPr="00990165" w:rsidRDefault="00681BFE">
            <w:pPr>
              <w:keepNext/>
              <w:keepLines/>
              <w:spacing w:before="40" w:after="40"/>
              <w:jc w:val="center"/>
              <w:rPr>
                <w:rFonts w:ascii="Arial" w:hAnsi="Arial" w:cs="Arial"/>
                <w:b/>
                <w:bCs/>
                <w:spacing w:val="-2"/>
                <w:sz w:val="14"/>
                <w:szCs w:val="14"/>
              </w:rPr>
            </w:pPr>
          </w:p>
        </w:tc>
        <w:tc>
          <w:tcPr>
            <w:tcW w:w="283" w:type="dxa"/>
            <w:tcBorders>
              <w:top w:val="single" w:sz="4" w:space="0" w:color="auto"/>
              <w:bottom w:val="nil"/>
            </w:tcBorders>
            <w:shd w:val="clear" w:color="auto" w:fill="auto"/>
            <w:vAlign w:val="center"/>
          </w:tcPr>
          <w:p w14:paraId="6E35F888" w14:textId="77777777" w:rsidR="00681BFE" w:rsidRPr="00990165" w:rsidRDefault="00681BFE">
            <w:pPr>
              <w:keepNext/>
              <w:keepLines/>
              <w:spacing w:before="40" w:after="40"/>
              <w:jc w:val="center"/>
              <w:rPr>
                <w:rFonts w:ascii="Arial" w:hAnsi="Arial" w:cs="Arial"/>
                <w:b/>
                <w:bCs/>
                <w:spacing w:val="-2"/>
                <w:sz w:val="14"/>
                <w:szCs w:val="14"/>
              </w:rPr>
            </w:pPr>
          </w:p>
        </w:tc>
        <w:tc>
          <w:tcPr>
            <w:tcW w:w="2552" w:type="dxa"/>
            <w:gridSpan w:val="2"/>
            <w:shd w:val="clear" w:color="auto" w:fill="auto"/>
            <w:vAlign w:val="center"/>
          </w:tcPr>
          <w:p w14:paraId="278C5917" w14:textId="77777777" w:rsidR="00681BFE" w:rsidRPr="00990165" w:rsidRDefault="00681BFE">
            <w:pPr>
              <w:keepNext/>
              <w:keepLines/>
              <w:spacing w:before="40" w:after="40"/>
              <w:jc w:val="center"/>
              <w:rPr>
                <w:rFonts w:ascii="Arial" w:hAnsi="Arial" w:cs="Arial"/>
                <w:b/>
                <w:spacing w:val="-2"/>
                <w:sz w:val="14"/>
                <w:szCs w:val="14"/>
                <w:vertAlign w:val="superscript"/>
              </w:rPr>
            </w:pPr>
            <w:r w:rsidRPr="00BC7DA5">
              <w:rPr>
                <w:rFonts w:ascii="Arial" w:hAnsi="Arial" w:cs="Arial"/>
                <w:b/>
                <w:sz w:val="14"/>
                <w:szCs w:val="18"/>
              </w:rPr>
              <w:t>Consolidado</w:t>
            </w:r>
          </w:p>
        </w:tc>
      </w:tr>
      <w:tr w:rsidR="00681BFE" w:rsidRPr="00990165" w14:paraId="4F36C7A8" w14:textId="77777777">
        <w:trPr>
          <w:trHeight w:val="238"/>
        </w:trPr>
        <w:tc>
          <w:tcPr>
            <w:tcW w:w="3094" w:type="dxa"/>
            <w:gridSpan w:val="2"/>
            <w:tcBorders>
              <w:top w:val="nil"/>
            </w:tcBorders>
            <w:shd w:val="clear" w:color="auto" w:fill="auto"/>
            <w:vAlign w:val="center"/>
          </w:tcPr>
          <w:p w14:paraId="6CEF8FAE" w14:textId="77777777" w:rsidR="00681BFE" w:rsidRPr="00990165" w:rsidRDefault="00681BFE">
            <w:pPr>
              <w:keepNext/>
              <w:keepLines/>
              <w:spacing w:before="40" w:after="40"/>
              <w:jc w:val="center"/>
              <w:rPr>
                <w:rFonts w:ascii="Arial" w:hAnsi="Arial" w:cs="Arial"/>
                <w:color w:val="FF0000"/>
                <w:spacing w:val="-2"/>
                <w:sz w:val="14"/>
                <w:szCs w:val="14"/>
              </w:rPr>
            </w:pPr>
          </w:p>
        </w:tc>
        <w:tc>
          <w:tcPr>
            <w:tcW w:w="604" w:type="dxa"/>
            <w:tcBorders>
              <w:top w:val="nil"/>
            </w:tcBorders>
            <w:shd w:val="clear" w:color="auto" w:fill="auto"/>
            <w:vAlign w:val="center"/>
          </w:tcPr>
          <w:p w14:paraId="3D67ED8A" w14:textId="77777777" w:rsidR="00681BFE" w:rsidRPr="00990165" w:rsidRDefault="00681BFE">
            <w:pPr>
              <w:keepNext/>
              <w:keepLines/>
              <w:spacing w:before="40" w:after="40"/>
              <w:jc w:val="center"/>
              <w:rPr>
                <w:rFonts w:ascii="Arial" w:hAnsi="Arial" w:cs="Arial"/>
                <w:b/>
                <w:color w:val="FF0000"/>
                <w:spacing w:val="-2"/>
                <w:sz w:val="14"/>
                <w:szCs w:val="14"/>
              </w:rPr>
            </w:pPr>
          </w:p>
        </w:tc>
        <w:tc>
          <w:tcPr>
            <w:tcW w:w="1411" w:type="dxa"/>
            <w:shd w:val="clear" w:color="auto" w:fill="auto"/>
            <w:vAlign w:val="center"/>
          </w:tcPr>
          <w:p w14:paraId="57108D31" w14:textId="77777777" w:rsidR="00681BFE" w:rsidRPr="00990165" w:rsidRDefault="00681BFE">
            <w:pPr>
              <w:keepNext/>
              <w:keepLines/>
              <w:spacing w:before="40" w:after="40"/>
              <w:jc w:val="right"/>
              <w:rPr>
                <w:rFonts w:ascii="Arial" w:hAnsi="Arial" w:cs="Arial"/>
                <w:b/>
                <w:color w:val="FF0000"/>
                <w:spacing w:val="-2"/>
                <w:sz w:val="14"/>
                <w:szCs w:val="14"/>
                <w:vertAlign w:val="superscript"/>
              </w:rPr>
            </w:pPr>
            <w:r w:rsidRPr="0038756F">
              <w:rPr>
                <w:rFonts w:ascii="Arial" w:hAnsi="Arial" w:cs="Arial"/>
                <w:b/>
                <w:spacing w:val="-2"/>
                <w:sz w:val="14"/>
                <w:szCs w:val="14"/>
              </w:rPr>
              <w:t>3</w:t>
            </w:r>
            <w:r>
              <w:rPr>
                <w:rFonts w:ascii="Arial" w:hAnsi="Arial" w:cs="Arial"/>
                <w:b/>
                <w:spacing w:val="-2"/>
                <w:sz w:val="14"/>
                <w:szCs w:val="14"/>
              </w:rPr>
              <w:t>1</w:t>
            </w:r>
            <w:r w:rsidRPr="0038756F">
              <w:rPr>
                <w:rFonts w:ascii="Arial" w:hAnsi="Arial" w:cs="Arial"/>
                <w:b/>
                <w:spacing w:val="-2"/>
                <w:sz w:val="14"/>
                <w:szCs w:val="14"/>
              </w:rPr>
              <w:t>.</w:t>
            </w:r>
            <w:r>
              <w:rPr>
                <w:rFonts w:ascii="Arial" w:hAnsi="Arial" w:cs="Arial"/>
                <w:b/>
                <w:spacing w:val="-2"/>
                <w:sz w:val="14"/>
                <w:szCs w:val="14"/>
              </w:rPr>
              <w:t>12</w:t>
            </w:r>
            <w:r w:rsidRPr="0038756F">
              <w:rPr>
                <w:rFonts w:ascii="Arial" w:hAnsi="Arial" w:cs="Arial"/>
                <w:b/>
                <w:spacing w:val="-2"/>
                <w:sz w:val="14"/>
                <w:szCs w:val="14"/>
              </w:rPr>
              <w:t>.202</w:t>
            </w:r>
            <w:r>
              <w:rPr>
                <w:rFonts w:ascii="Arial" w:hAnsi="Arial" w:cs="Arial"/>
                <w:b/>
                <w:spacing w:val="-2"/>
                <w:sz w:val="14"/>
                <w:szCs w:val="14"/>
              </w:rPr>
              <w:t>4</w:t>
            </w:r>
            <w:r w:rsidRPr="00403DA6">
              <w:rPr>
                <w:rFonts w:ascii="Arial" w:hAnsi="Arial" w:cs="Arial"/>
                <w:b/>
                <w:spacing w:val="-2"/>
                <w:sz w:val="14"/>
                <w:szCs w:val="14"/>
                <w:vertAlign w:val="superscript"/>
              </w:rPr>
              <w:t>(1)</w:t>
            </w:r>
          </w:p>
        </w:tc>
        <w:tc>
          <w:tcPr>
            <w:tcW w:w="1412" w:type="dxa"/>
            <w:shd w:val="clear" w:color="auto" w:fill="auto"/>
            <w:vAlign w:val="center"/>
          </w:tcPr>
          <w:p w14:paraId="31056446" w14:textId="77777777" w:rsidR="00681BFE" w:rsidRPr="00403DA6" w:rsidRDefault="00681BFE">
            <w:pPr>
              <w:keepNext/>
              <w:keepLines/>
              <w:spacing w:before="40" w:after="40"/>
              <w:jc w:val="right"/>
              <w:rPr>
                <w:rFonts w:ascii="Arial" w:hAnsi="Arial" w:cs="Arial"/>
                <w:b/>
                <w:spacing w:val="-2"/>
                <w:sz w:val="14"/>
                <w:szCs w:val="14"/>
                <w:vertAlign w:val="superscript"/>
              </w:rPr>
            </w:pPr>
            <w:r w:rsidRPr="0038756F">
              <w:rPr>
                <w:rFonts w:ascii="Arial" w:hAnsi="Arial" w:cs="Arial"/>
                <w:b/>
                <w:spacing w:val="-2"/>
                <w:sz w:val="14"/>
                <w:szCs w:val="14"/>
              </w:rPr>
              <w:t>3</w:t>
            </w:r>
            <w:r>
              <w:rPr>
                <w:rFonts w:ascii="Arial" w:hAnsi="Arial" w:cs="Arial"/>
                <w:b/>
                <w:spacing w:val="-2"/>
                <w:sz w:val="14"/>
                <w:szCs w:val="14"/>
              </w:rPr>
              <w:t>1</w:t>
            </w:r>
            <w:r w:rsidRPr="0038756F">
              <w:rPr>
                <w:rFonts w:ascii="Arial" w:hAnsi="Arial" w:cs="Arial"/>
                <w:b/>
                <w:spacing w:val="-2"/>
                <w:sz w:val="14"/>
                <w:szCs w:val="14"/>
              </w:rPr>
              <w:t>.</w:t>
            </w:r>
            <w:r>
              <w:rPr>
                <w:rFonts w:ascii="Arial" w:hAnsi="Arial" w:cs="Arial"/>
                <w:b/>
                <w:spacing w:val="-2"/>
                <w:sz w:val="14"/>
                <w:szCs w:val="14"/>
              </w:rPr>
              <w:t>12</w:t>
            </w:r>
            <w:r w:rsidRPr="0038756F">
              <w:rPr>
                <w:rFonts w:ascii="Arial" w:hAnsi="Arial" w:cs="Arial"/>
                <w:b/>
                <w:spacing w:val="-2"/>
                <w:sz w:val="14"/>
                <w:szCs w:val="14"/>
              </w:rPr>
              <w:t>.2023</w:t>
            </w:r>
          </w:p>
        </w:tc>
        <w:tc>
          <w:tcPr>
            <w:tcW w:w="283" w:type="dxa"/>
          </w:tcPr>
          <w:p w14:paraId="36E4923E" w14:textId="77777777" w:rsidR="00681BFE" w:rsidRPr="00990165" w:rsidRDefault="00681BFE">
            <w:pPr>
              <w:keepNext/>
              <w:keepLines/>
              <w:spacing w:before="40" w:after="40"/>
              <w:jc w:val="right"/>
              <w:rPr>
                <w:rFonts w:ascii="Arial" w:hAnsi="Arial" w:cs="Arial"/>
                <w:b/>
                <w:color w:val="FF0000"/>
                <w:spacing w:val="-2"/>
                <w:sz w:val="14"/>
                <w:szCs w:val="14"/>
              </w:rPr>
            </w:pPr>
          </w:p>
        </w:tc>
        <w:tc>
          <w:tcPr>
            <w:tcW w:w="283" w:type="dxa"/>
            <w:tcBorders>
              <w:top w:val="nil"/>
            </w:tcBorders>
            <w:shd w:val="clear" w:color="auto" w:fill="auto"/>
            <w:vAlign w:val="center"/>
          </w:tcPr>
          <w:p w14:paraId="79CB32EE" w14:textId="77777777" w:rsidR="00681BFE" w:rsidRPr="00990165" w:rsidRDefault="00681BFE">
            <w:pPr>
              <w:keepNext/>
              <w:keepLines/>
              <w:spacing w:before="40" w:after="40"/>
              <w:jc w:val="right"/>
              <w:rPr>
                <w:rFonts w:ascii="Arial" w:hAnsi="Arial" w:cs="Arial"/>
                <w:b/>
                <w:color w:val="FF0000"/>
                <w:spacing w:val="-2"/>
                <w:sz w:val="14"/>
                <w:szCs w:val="14"/>
              </w:rPr>
            </w:pPr>
          </w:p>
        </w:tc>
        <w:tc>
          <w:tcPr>
            <w:tcW w:w="1417" w:type="dxa"/>
            <w:shd w:val="clear" w:color="auto" w:fill="auto"/>
            <w:vAlign w:val="center"/>
          </w:tcPr>
          <w:p w14:paraId="036DCF92" w14:textId="77777777" w:rsidR="00681BFE" w:rsidRPr="00990165" w:rsidRDefault="00681BFE">
            <w:pPr>
              <w:keepNext/>
              <w:keepLines/>
              <w:spacing w:before="40" w:after="40"/>
              <w:jc w:val="right"/>
              <w:rPr>
                <w:rFonts w:ascii="Arial" w:hAnsi="Arial" w:cs="Arial"/>
                <w:b/>
                <w:color w:val="FF0000"/>
                <w:spacing w:val="-2"/>
                <w:sz w:val="14"/>
                <w:szCs w:val="14"/>
              </w:rPr>
            </w:pPr>
            <w:r w:rsidRPr="0038756F">
              <w:rPr>
                <w:rFonts w:ascii="Arial" w:hAnsi="Arial" w:cs="Arial"/>
                <w:b/>
                <w:spacing w:val="-2"/>
                <w:sz w:val="14"/>
                <w:szCs w:val="14"/>
              </w:rPr>
              <w:t>3</w:t>
            </w:r>
            <w:r>
              <w:rPr>
                <w:rFonts w:ascii="Arial" w:hAnsi="Arial" w:cs="Arial"/>
                <w:b/>
                <w:spacing w:val="-2"/>
                <w:sz w:val="14"/>
                <w:szCs w:val="14"/>
              </w:rPr>
              <w:t>1</w:t>
            </w:r>
            <w:r w:rsidRPr="0038756F">
              <w:rPr>
                <w:rFonts w:ascii="Arial" w:hAnsi="Arial" w:cs="Arial"/>
                <w:b/>
                <w:spacing w:val="-2"/>
                <w:sz w:val="14"/>
                <w:szCs w:val="14"/>
              </w:rPr>
              <w:t>.</w:t>
            </w:r>
            <w:r>
              <w:rPr>
                <w:rFonts w:ascii="Arial" w:hAnsi="Arial" w:cs="Arial"/>
                <w:b/>
                <w:spacing w:val="-2"/>
                <w:sz w:val="14"/>
                <w:szCs w:val="14"/>
              </w:rPr>
              <w:t>12</w:t>
            </w:r>
            <w:r w:rsidRPr="0038756F">
              <w:rPr>
                <w:rFonts w:ascii="Arial" w:hAnsi="Arial" w:cs="Arial"/>
                <w:b/>
                <w:spacing w:val="-2"/>
                <w:sz w:val="14"/>
                <w:szCs w:val="14"/>
              </w:rPr>
              <w:t>.202</w:t>
            </w:r>
            <w:r>
              <w:rPr>
                <w:rFonts w:ascii="Arial" w:hAnsi="Arial" w:cs="Arial"/>
                <w:b/>
                <w:spacing w:val="-2"/>
                <w:sz w:val="14"/>
                <w:szCs w:val="14"/>
              </w:rPr>
              <w:t>4</w:t>
            </w:r>
            <w:r w:rsidRPr="00403DA6">
              <w:rPr>
                <w:rFonts w:ascii="Arial" w:hAnsi="Arial" w:cs="Arial"/>
                <w:b/>
                <w:spacing w:val="-2"/>
                <w:sz w:val="14"/>
                <w:szCs w:val="14"/>
                <w:vertAlign w:val="superscript"/>
              </w:rPr>
              <w:t>(</w:t>
            </w:r>
            <w:r>
              <w:rPr>
                <w:rFonts w:ascii="Arial" w:hAnsi="Arial" w:cs="Arial"/>
                <w:b/>
                <w:spacing w:val="-2"/>
                <w:sz w:val="14"/>
                <w:szCs w:val="14"/>
                <w:vertAlign w:val="superscript"/>
              </w:rPr>
              <w:t>2</w:t>
            </w:r>
            <w:r w:rsidRPr="00403DA6">
              <w:rPr>
                <w:rFonts w:ascii="Arial" w:hAnsi="Arial" w:cs="Arial"/>
                <w:b/>
                <w:spacing w:val="-2"/>
                <w:sz w:val="14"/>
                <w:szCs w:val="14"/>
                <w:vertAlign w:val="superscript"/>
              </w:rPr>
              <w:t>)</w:t>
            </w:r>
          </w:p>
        </w:tc>
        <w:tc>
          <w:tcPr>
            <w:tcW w:w="1135" w:type="dxa"/>
            <w:shd w:val="clear" w:color="auto" w:fill="auto"/>
            <w:vAlign w:val="center"/>
          </w:tcPr>
          <w:p w14:paraId="26C0D84D" w14:textId="77777777" w:rsidR="00681BFE" w:rsidRPr="00403DA6" w:rsidRDefault="00681BFE">
            <w:pPr>
              <w:keepNext/>
              <w:keepLines/>
              <w:spacing w:before="40" w:after="40"/>
              <w:ind w:right="-107"/>
              <w:jc w:val="right"/>
              <w:rPr>
                <w:rFonts w:ascii="Arial" w:hAnsi="Arial" w:cs="Arial"/>
                <w:b/>
                <w:spacing w:val="-2"/>
                <w:sz w:val="14"/>
                <w:szCs w:val="14"/>
                <w:vertAlign w:val="superscript"/>
              </w:rPr>
            </w:pPr>
            <w:r w:rsidRPr="0038756F">
              <w:rPr>
                <w:rFonts w:ascii="Arial" w:hAnsi="Arial" w:cs="Arial"/>
                <w:b/>
                <w:spacing w:val="-2"/>
                <w:sz w:val="14"/>
                <w:szCs w:val="14"/>
              </w:rPr>
              <w:t>3</w:t>
            </w:r>
            <w:r>
              <w:rPr>
                <w:rFonts w:ascii="Arial" w:hAnsi="Arial" w:cs="Arial"/>
                <w:b/>
                <w:spacing w:val="-2"/>
                <w:sz w:val="14"/>
                <w:szCs w:val="14"/>
              </w:rPr>
              <w:t>1</w:t>
            </w:r>
            <w:r w:rsidRPr="0038756F">
              <w:rPr>
                <w:rFonts w:ascii="Arial" w:hAnsi="Arial" w:cs="Arial"/>
                <w:b/>
                <w:spacing w:val="-2"/>
                <w:sz w:val="14"/>
                <w:szCs w:val="14"/>
              </w:rPr>
              <w:t>.</w:t>
            </w:r>
            <w:r>
              <w:rPr>
                <w:rFonts w:ascii="Arial" w:hAnsi="Arial" w:cs="Arial"/>
                <w:b/>
                <w:spacing w:val="-2"/>
                <w:sz w:val="14"/>
                <w:szCs w:val="14"/>
              </w:rPr>
              <w:t>12</w:t>
            </w:r>
            <w:r w:rsidRPr="0038756F">
              <w:rPr>
                <w:rFonts w:ascii="Arial" w:hAnsi="Arial" w:cs="Arial"/>
                <w:b/>
                <w:spacing w:val="-2"/>
                <w:sz w:val="14"/>
                <w:szCs w:val="14"/>
              </w:rPr>
              <w:t>.2023</w:t>
            </w:r>
          </w:p>
        </w:tc>
      </w:tr>
      <w:tr w:rsidR="00681BFE" w:rsidRPr="00990165" w14:paraId="5E654D5A" w14:textId="77777777">
        <w:trPr>
          <w:trHeight w:val="238"/>
        </w:trPr>
        <w:tc>
          <w:tcPr>
            <w:tcW w:w="3094" w:type="dxa"/>
            <w:gridSpan w:val="2"/>
            <w:shd w:val="clear" w:color="auto" w:fill="auto"/>
          </w:tcPr>
          <w:p w14:paraId="03964F07" w14:textId="77777777" w:rsidR="00681BFE" w:rsidRPr="00990165" w:rsidRDefault="00681BFE">
            <w:pPr>
              <w:pStyle w:val="08-Tabelageral"/>
              <w:jc w:val="left"/>
              <w:rPr>
                <w:rFonts w:cs="Arial"/>
                <w:b/>
                <w:color w:val="FF0000"/>
                <w:szCs w:val="14"/>
                <w:vertAlign w:val="superscript"/>
              </w:rPr>
            </w:pPr>
            <w:r w:rsidRPr="0038756F">
              <w:rPr>
                <w:rFonts w:cs="Arial"/>
                <w:szCs w:val="14"/>
              </w:rPr>
              <w:t xml:space="preserve">Dividendos a receber </w:t>
            </w:r>
          </w:p>
        </w:tc>
        <w:tc>
          <w:tcPr>
            <w:tcW w:w="604" w:type="dxa"/>
            <w:shd w:val="clear" w:color="auto" w:fill="auto"/>
          </w:tcPr>
          <w:p w14:paraId="38626E99" w14:textId="77777777" w:rsidR="00681BFE" w:rsidRPr="00990165" w:rsidRDefault="00681BFE">
            <w:pPr>
              <w:pStyle w:val="08-Tabelageral"/>
              <w:rPr>
                <w:rFonts w:cs="Arial"/>
                <w:color w:val="FF0000"/>
                <w:szCs w:val="14"/>
              </w:rPr>
            </w:pPr>
          </w:p>
        </w:tc>
        <w:tc>
          <w:tcPr>
            <w:tcW w:w="1411" w:type="dxa"/>
            <w:shd w:val="clear" w:color="auto" w:fill="auto"/>
          </w:tcPr>
          <w:p w14:paraId="3339C01F" w14:textId="6C48AD6A" w:rsidR="00681BFE" w:rsidRPr="002D24C4" w:rsidRDefault="00681BFE">
            <w:pPr>
              <w:pStyle w:val="08-Tabelageral"/>
              <w:rPr>
                <w:rFonts w:cs="Arial"/>
                <w:szCs w:val="14"/>
              </w:rPr>
            </w:pPr>
            <w:r>
              <w:rPr>
                <w:rFonts w:cs="Arial"/>
                <w:szCs w:val="14"/>
              </w:rPr>
              <w:t>4.145.40</w:t>
            </w:r>
            <w:r w:rsidR="007D745D">
              <w:rPr>
                <w:rFonts w:cs="Arial"/>
                <w:szCs w:val="14"/>
              </w:rPr>
              <w:t>2</w:t>
            </w:r>
          </w:p>
        </w:tc>
        <w:tc>
          <w:tcPr>
            <w:tcW w:w="1412" w:type="dxa"/>
            <w:shd w:val="clear" w:color="auto" w:fill="auto"/>
          </w:tcPr>
          <w:p w14:paraId="498C2540" w14:textId="77777777" w:rsidR="00681BFE" w:rsidRPr="002D24C4" w:rsidRDefault="00681BFE">
            <w:pPr>
              <w:pStyle w:val="08-Tabelageral"/>
              <w:rPr>
                <w:rFonts w:cs="Arial"/>
                <w:szCs w:val="14"/>
              </w:rPr>
            </w:pPr>
            <w:r>
              <w:rPr>
                <w:rFonts w:cs="Arial"/>
                <w:szCs w:val="14"/>
              </w:rPr>
              <w:t>2.362.126</w:t>
            </w:r>
          </w:p>
        </w:tc>
        <w:tc>
          <w:tcPr>
            <w:tcW w:w="283" w:type="dxa"/>
          </w:tcPr>
          <w:p w14:paraId="207DE6BD" w14:textId="77777777" w:rsidR="00681BFE" w:rsidRPr="002D24C4" w:rsidRDefault="00681BFE">
            <w:pPr>
              <w:pStyle w:val="08-Tabelageral"/>
              <w:rPr>
                <w:rFonts w:cs="Arial"/>
                <w:szCs w:val="14"/>
              </w:rPr>
            </w:pPr>
          </w:p>
        </w:tc>
        <w:tc>
          <w:tcPr>
            <w:tcW w:w="283" w:type="dxa"/>
            <w:shd w:val="clear" w:color="auto" w:fill="auto"/>
          </w:tcPr>
          <w:p w14:paraId="19099603" w14:textId="77777777" w:rsidR="00681BFE" w:rsidRPr="002D24C4" w:rsidRDefault="00681BFE">
            <w:pPr>
              <w:pStyle w:val="08-Tabelageral"/>
              <w:rPr>
                <w:rFonts w:cs="Arial"/>
                <w:szCs w:val="14"/>
              </w:rPr>
            </w:pPr>
          </w:p>
        </w:tc>
        <w:tc>
          <w:tcPr>
            <w:tcW w:w="1417" w:type="dxa"/>
            <w:shd w:val="clear" w:color="auto" w:fill="auto"/>
          </w:tcPr>
          <w:p w14:paraId="1FCCB128" w14:textId="77777777" w:rsidR="00681BFE" w:rsidRPr="002D24C4" w:rsidRDefault="00681BFE">
            <w:pPr>
              <w:pStyle w:val="08-Tabelageral"/>
              <w:rPr>
                <w:rFonts w:cs="Arial"/>
                <w:szCs w:val="14"/>
              </w:rPr>
            </w:pPr>
            <w:r>
              <w:rPr>
                <w:rFonts w:cs="Arial"/>
                <w:szCs w:val="14"/>
              </w:rPr>
              <w:t>97.446</w:t>
            </w:r>
          </w:p>
        </w:tc>
        <w:tc>
          <w:tcPr>
            <w:tcW w:w="1135" w:type="dxa"/>
            <w:shd w:val="clear" w:color="auto" w:fill="auto"/>
          </w:tcPr>
          <w:p w14:paraId="0AB50AA0" w14:textId="77777777" w:rsidR="00681BFE" w:rsidRPr="00403DA6" w:rsidRDefault="00681BFE">
            <w:pPr>
              <w:pStyle w:val="08-Tabelageral"/>
              <w:rPr>
                <w:rFonts w:cs="Arial"/>
                <w:szCs w:val="14"/>
              </w:rPr>
            </w:pPr>
            <w:r>
              <w:rPr>
                <w:rFonts w:cs="Arial"/>
                <w:szCs w:val="14"/>
              </w:rPr>
              <w:t>444</w:t>
            </w:r>
          </w:p>
        </w:tc>
      </w:tr>
    </w:tbl>
    <w:p w14:paraId="6F555C7F" w14:textId="10495965" w:rsidR="00681BFE" w:rsidRPr="006D1A61" w:rsidRDefault="00681BFE" w:rsidP="00681BFE">
      <w:pPr>
        <w:pStyle w:val="07-Legenda"/>
        <w:numPr>
          <w:ilvl w:val="0"/>
          <w:numId w:val="5"/>
        </w:numPr>
        <w:ind w:hanging="720"/>
        <w:rPr>
          <w:rFonts w:cs="Arial"/>
          <w:szCs w:val="14"/>
        </w:rPr>
      </w:pPr>
      <w:r>
        <w:rPr>
          <w:szCs w:val="14"/>
        </w:rPr>
        <w:t>R$ 2.425.000</w:t>
      </w:r>
      <w:r w:rsidR="00B361A7">
        <w:rPr>
          <w:szCs w:val="14"/>
        </w:rPr>
        <w:t xml:space="preserve"> </w:t>
      </w:r>
      <w:r>
        <w:rPr>
          <w:szCs w:val="14"/>
        </w:rPr>
        <w:t>mil r</w:t>
      </w:r>
      <w:r w:rsidRPr="00AF1C7E">
        <w:rPr>
          <w:szCs w:val="14"/>
        </w:rPr>
        <w:t xml:space="preserve">efere-se a dividendos </w:t>
      </w:r>
      <w:r>
        <w:rPr>
          <w:szCs w:val="14"/>
        </w:rPr>
        <w:t xml:space="preserve">a receber </w:t>
      </w:r>
      <w:r w:rsidRPr="00AF1C7E">
        <w:rPr>
          <w:szCs w:val="14"/>
        </w:rPr>
        <w:t>da BB Seguros</w:t>
      </w:r>
      <w:r>
        <w:rPr>
          <w:szCs w:val="14"/>
        </w:rPr>
        <w:t>. R$ 1.720.40</w:t>
      </w:r>
      <w:r w:rsidR="007D745D">
        <w:rPr>
          <w:szCs w:val="14"/>
        </w:rPr>
        <w:t>2</w:t>
      </w:r>
      <w:r>
        <w:rPr>
          <w:szCs w:val="14"/>
        </w:rPr>
        <w:t xml:space="preserve"> mil refere-se a dividendos a receber da BB Corretora.</w:t>
      </w:r>
    </w:p>
    <w:p w14:paraId="38CA5612" w14:textId="728D335F" w:rsidR="00681BFE" w:rsidRPr="00AF1C7E" w:rsidRDefault="00681BFE" w:rsidP="00681BFE">
      <w:pPr>
        <w:pStyle w:val="07-Legenda"/>
        <w:numPr>
          <w:ilvl w:val="0"/>
          <w:numId w:val="5"/>
        </w:numPr>
        <w:ind w:hanging="720"/>
        <w:rPr>
          <w:rFonts w:cs="Arial"/>
          <w:szCs w:val="14"/>
        </w:rPr>
      </w:pPr>
      <w:r>
        <w:rPr>
          <w:szCs w:val="14"/>
        </w:rPr>
        <w:t>R$ 97.446</w:t>
      </w:r>
      <w:r w:rsidR="00B361A7">
        <w:rPr>
          <w:szCs w:val="14"/>
        </w:rPr>
        <w:t xml:space="preserve"> </w:t>
      </w:r>
      <w:r>
        <w:rPr>
          <w:szCs w:val="14"/>
        </w:rPr>
        <w:t>mil refere-se a dividendos a receber da Brasilprev.</w:t>
      </w:r>
    </w:p>
    <w:p w14:paraId="0AD4D049" w14:textId="77777777" w:rsidR="00681BFE" w:rsidRPr="00681BFE" w:rsidRDefault="00681BFE" w:rsidP="00730D57">
      <w:pPr>
        <w:pStyle w:val="02-TtulodeNota"/>
      </w:pPr>
    </w:p>
    <w:p w14:paraId="591D9EE4" w14:textId="77777777" w:rsidR="005C6C41" w:rsidRPr="00BF2AAF" w:rsidRDefault="005C6C41" w:rsidP="00D5649F">
      <w:pPr>
        <w:pStyle w:val="02-TtulodeNota"/>
        <w:pageBreakBefore/>
        <w:rPr>
          <w:rFonts w:cs="Arial"/>
          <w:b w:val="0"/>
          <w:color w:val="1F4E79"/>
        </w:rPr>
      </w:pPr>
      <w:bookmarkStart w:id="106" w:name="_Toc189757084"/>
      <w:bookmarkStart w:id="107" w:name="OLE_LINK14"/>
      <w:bookmarkEnd w:id="100"/>
      <w:r w:rsidRPr="00730D57">
        <w:lastRenderedPageBreak/>
        <w:t>18 – COMISSÕES A RECEBER</w:t>
      </w:r>
      <w:bookmarkEnd w:id="106"/>
    </w:p>
    <w:bookmarkEnd w:id="107"/>
    <w:p w14:paraId="1F1F2CB4" w14:textId="77777777" w:rsidR="00A74CE4" w:rsidRPr="0004323A" w:rsidRDefault="00A74CE4" w:rsidP="00A74CE4">
      <w:pPr>
        <w:pStyle w:val="01-TtulodeNota"/>
        <w:spacing w:before="0" w:after="0"/>
        <w:jc w:val="right"/>
        <w:rPr>
          <w:sz w:val="12"/>
          <w:szCs w:val="12"/>
        </w:rPr>
      </w:pPr>
      <w:r w:rsidRPr="000C7811">
        <w:rPr>
          <w:sz w:val="14"/>
          <w:szCs w:val="12"/>
        </w:rPr>
        <w:t>R$ mil</w:t>
      </w:r>
    </w:p>
    <w:tbl>
      <w:tblPr>
        <w:tblW w:w="9658"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1204"/>
        <w:gridCol w:w="3180"/>
        <w:gridCol w:w="856"/>
        <w:gridCol w:w="401"/>
        <w:gridCol w:w="2008"/>
        <w:gridCol w:w="2009"/>
      </w:tblGrid>
      <w:tr w:rsidR="00A74CE4" w:rsidRPr="00304C28" w14:paraId="65169221" w14:textId="77777777">
        <w:trPr>
          <w:trHeight w:val="238"/>
        </w:trPr>
        <w:tc>
          <w:tcPr>
            <w:tcW w:w="1204" w:type="dxa"/>
            <w:tcBorders>
              <w:top w:val="single" w:sz="2" w:space="0" w:color="1F3864" w:themeColor="accent1" w:themeShade="80"/>
              <w:bottom w:val="nil"/>
            </w:tcBorders>
            <w:shd w:val="clear" w:color="auto" w:fill="auto"/>
          </w:tcPr>
          <w:p w14:paraId="0A02A679" w14:textId="77777777" w:rsidR="00A74CE4" w:rsidRPr="00304C28" w:rsidRDefault="00A74CE4">
            <w:pPr>
              <w:keepNext/>
              <w:keepLines/>
              <w:spacing w:before="40" w:after="40"/>
              <w:jc w:val="center"/>
              <w:rPr>
                <w:rFonts w:cs="Arial"/>
                <w:b/>
                <w:bCs/>
                <w:spacing w:val="-2"/>
                <w:sz w:val="14"/>
                <w:szCs w:val="18"/>
              </w:rPr>
            </w:pPr>
          </w:p>
        </w:tc>
        <w:tc>
          <w:tcPr>
            <w:tcW w:w="4036" w:type="dxa"/>
            <w:gridSpan w:val="2"/>
            <w:tcBorders>
              <w:top w:val="single" w:sz="2" w:space="0" w:color="1F3864" w:themeColor="accent1" w:themeShade="80"/>
              <w:bottom w:val="nil"/>
            </w:tcBorders>
            <w:shd w:val="clear" w:color="auto" w:fill="auto"/>
          </w:tcPr>
          <w:p w14:paraId="22B92276" w14:textId="77777777" w:rsidR="00A74CE4" w:rsidRPr="00304C28" w:rsidRDefault="00A74CE4">
            <w:pPr>
              <w:keepNext/>
              <w:keepLines/>
              <w:spacing w:before="40" w:after="40"/>
              <w:jc w:val="center"/>
              <w:rPr>
                <w:rFonts w:cs="Arial"/>
                <w:b/>
                <w:spacing w:val="-2"/>
                <w:sz w:val="14"/>
                <w:szCs w:val="18"/>
              </w:rPr>
            </w:pPr>
          </w:p>
        </w:tc>
        <w:tc>
          <w:tcPr>
            <w:tcW w:w="401" w:type="dxa"/>
            <w:tcBorders>
              <w:top w:val="single" w:sz="2" w:space="0" w:color="1F3864" w:themeColor="accent1" w:themeShade="80"/>
              <w:bottom w:val="nil"/>
            </w:tcBorders>
            <w:shd w:val="clear" w:color="auto" w:fill="auto"/>
          </w:tcPr>
          <w:p w14:paraId="336BCCAE" w14:textId="77777777" w:rsidR="00A74CE4" w:rsidRPr="00304C28" w:rsidRDefault="00A74CE4">
            <w:pPr>
              <w:keepNext/>
              <w:keepLines/>
              <w:spacing w:before="40" w:after="40"/>
              <w:jc w:val="center"/>
              <w:rPr>
                <w:rFonts w:cs="Arial"/>
                <w:b/>
                <w:bCs/>
                <w:spacing w:val="-2"/>
                <w:sz w:val="14"/>
                <w:szCs w:val="18"/>
              </w:rPr>
            </w:pPr>
          </w:p>
        </w:tc>
        <w:tc>
          <w:tcPr>
            <w:tcW w:w="4017" w:type="dxa"/>
            <w:gridSpan w:val="2"/>
            <w:tcBorders>
              <w:top w:val="single" w:sz="2" w:space="0" w:color="1F3864" w:themeColor="accent1" w:themeShade="80"/>
              <w:bottom w:val="single" w:sz="2" w:space="0" w:color="1F3864" w:themeColor="accent1" w:themeShade="80"/>
            </w:tcBorders>
            <w:shd w:val="clear" w:color="auto" w:fill="auto"/>
            <w:vAlign w:val="center"/>
          </w:tcPr>
          <w:p w14:paraId="4997F173" w14:textId="77777777" w:rsidR="00A74CE4" w:rsidRPr="00304C28" w:rsidRDefault="00A74CE4">
            <w:pPr>
              <w:pStyle w:val="08-Tabelageral"/>
              <w:jc w:val="center"/>
              <w:rPr>
                <w:b/>
              </w:rPr>
            </w:pPr>
            <w:r w:rsidRPr="00304C28">
              <w:rPr>
                <w:b/>
              </w:rPr>
              <w:t>Consolidado</w:t>
            </w:r>
          </w:p>
        </w:tc>
      </w:tr>
      <w:tr w:rsidR="00A74CE4" w:rsidRPr="00304C28" w14:paraId="0D6A27B3" w14:textId="77777777">
        <w:trPr>
          <w:trHeight w:val="238"/>
        </w:trPr>
        <w:tc>
          <w:tcPr>
            <w:tcW w:w="4384" w:type="dxa"/>
            <w:gridSpan w:val="2"/>
            <w:tcBorders>
              <w:top w:val="nil"/>
              <w:bottom w:val="single" w:sz="2" w:space="0" w:color="1F3864" w:themeColor="accent1" w:themeShade="80"/>
            </w:tcBorders>
            <w:shd w:val="clear" w:color="auto" w:fill="auto"/>
          </w:tcPr>
          <w:p w14:paraId="2DF0F586" w14:textId="77777777" w:rsidR="00A74CE4" w:rsidRPr="00304C28" w:rsidRDefault="00A74CE4">
            <w:pPr>
              <w:keepNext/>
              <w:keepLines/>
              <w:spacing w:before="40" w:after="40"/>
              <w:rPr>
                <w:rFonts w:cs="Arial"/>
                <w:b/>
                <w:spacing w:val="-2"/>
                <w:sz w:val="14"/>
                <w:szCs w:val="18"/>
              </w:rPr>
            </w:pPr>
          </w:p>
        </w:tc>
        <w:tc>
          <w:tcPr>
            <w:tcW w:w="856" w:type="dxa"/>
            <w:tcBorders>
              <w:top w:val="nil"/>
              <w:bottom w:val="single" w:sz="2" w:space="0" w:color="1F3864" w:themeColor="accent1" w:themeShade="80"/>
            </w:tcBorders>
            <w:shd w:val="clear" w:color="auto" w:fill="auto"/>
          </w:tcPr>
          <w:p w14:paraId="1007E0FC" w14:textId="77777777" w:rsidR="00A74CE4" w:rsidRPr="00304C28" w:rsidRDefault="00A74CE4">
            <w:pPr>
              <w:keepNext/>
              <w:keepLines/>
              <w:spacing w:before="40" w:after="40"/>
              <w:rPr>
                <w:rFonts w:cs="Arial"/>
                <w:b/>
                <w:spacing w:val="-2"/>
                <w:sz w:val="14"/>
                <w:szCs w:val="18"/>
              </w:rPr>
            </w:pPr>
          </w:p>
        </w:tc>
        <w:tc>
          <w:tcPr>
            <w:tcW w:w="401" w:type="dxa"/>
            <w:tcBorders>
              <w:top w:val="nil"/>
              <w:bottom w:val="single" w:sz="2" w:space="0" w:color="1F3864" w:themeColor="accent1" w:themeShade="80"/>
            </w:tcBorders>
            <w:shd w:val="clear" w:color="auto" w:fill="auto"/>
          </w:tcPr>
          <w:p w14:paraId="194EEC15" w14:textId="77777777" w:rsidR="00A74CE4" w:rsidRPr="00304C28" w:rsidRDefault="00A74CE4">
            <w:pPr>
              <w:keepNext/>
              <w:keepLines/>
              <w:spacing w:before="40" w:after="40"/>
              <w:jc w:val="right"/>
              <w:rPr>
                <w:rFonts w:cs="Arial"/>
                <w:b/>
                <w:spacing w:val="-2"/>
                <w:sz w:val="14"/>
                <w:szCs w:val="18"/>
              </w:rPr>
            </w:pPr>
          </w:p>
        </w:tc>
        <w:tc>
          <w:tcPr>
            <w:tcW w:w="2008" w:type="dxa"/>
            <w:tcBorders>
              <w:top w:val="single" w:sz="2" w:space="0" w:color="1F3864" w:themeColor="accent1" w:themeShade="80"/>
              <w:bottom w:val="single" w:sz="2" w:space="0" w:color="1F3864" w:themeColor="accent1" w:themeShade="80"/>
            </w:tcBorders>
            <w:shd w:val="clear" w:color="auto" w:fill="auto"/>
            <w:vAlign w:val="center"/>
          </w:tcPr>
          <w:p w14:paraId="03C38E84" w14:textId="77777777" w:rsidR="00A74CE4" w:rsidRPr="00304C28" w:rsidRDefault="00A74CE4">
            <w:pPr>
              <w:pStyle w:val="08-Tabelageral"/>
              <w:rPr>
                <w:b/>
              </w:rPr>
            </w:pPr>
            <w:r>
              <w:rPr>
                <w:b/>
              </w:rPr>
              <w:t>31.12.2024</w:t>
            </w:r>
          </w:p>
        </w:tc>
        <w:tc>
          <w:tcPr>
            <w:tcW w:w="2009" w:type="dxa"/>
            <w:tcBorders>
              <w:top w:val="single" w:sz="2" w:space="0" w:color="1F3864" w:themeColor="accent1" w:themeShade="80"/>
              <w:bottom w:val="single" w:sz="2" w:space="0" w:color="1F3864" w:themeColor="accent1" w:themeShade="80"/>
            </w:tcBorders>
            <w:shd w:val="clear" w:color="auto" w:fill="auto"/>
            <w:vAlign w:val="center"/>
          </w:tcPr>
          <w:p w14:paraId="003F09DE" w14:textId="77777777" w:rsidR="00A74CE4" w:rsidRPr="00304C28" w:rsidRDefault="00A74CE4">
            <w:pPr>
              <w:pStyle w:val="08-Tabelageral"/>
              <w:rPr>
                <w:b/>
              </w:rPr>
            </w:pPr>
            <w:r>
              <w:rPr>
                <w:b/>
              </w:rPr>
              <w:t>31.12.2023</w:t>
            </w:r>
          </w:p>
        </w:tc>
      </w:tr>
      <w:tr w:rsidR="00A74CE4" w:rsidRPr="00304C28" w14:paraId="651AB940" w14:textId="77777777">
        <w:trPr>
          <w:trHeight w:val="238"/>
        </w:trPr>
        <w:tc>
          <w:tcPr>
            <w:tcW w:w="4384" w:type="dxa"/>
            <w:gridSpan w:val="2"/>
            <w:tcBorders>
              <w:top w:val="single" w:sz="2" w:space="0" w:color="1F3864" w:themeColor="accent1" w:themeShade="80"/>
            </w:tcBorders>
            <w:shd w:val="clear" w:color="auto" w:fill="auto"/>
          </w:tcPr>
          <w:p w14:paraId="3C81AB49" w14:textId="77777777" w:rsidR="00A74CE4" w:rsidRPr="00304C28" w:rsidRDefault="00A74CE4">
            <w:pPr>
              <w:pStyle w:val="08-Tabelageral"/>
              <w:jc w:val="left"/>
              <w:rPr>
                <w:rFonts w:cs="Arial"/>
                <w:b/>
                <w:lang w:val="en-US"/>
              </w:rPr>
            </w:pPr>
            <w:proofErr w:type="spellStart"/>
            <w:r w:rsidRPr="00304C28">
              <w:rPr>
                <w:rFonts w:cs="Arial"/>
                <w:b/>
                <w:lang w:val="en-US"/>
              </w:rPr>
              <w:t>Ativo</w:t>
            </w:r>
            <w:proofErr w:type="spellEnd"/>
            <w:r w:rsidRPr="00304C28">
              <w:rPr>
                <w:rFonts w:cs="Arial"/>
                <w:b/>
                <w:lang w:val="en-US"/>
              </w:rPr>
              <w:t xml:space="preserve"> </w:t>
            </w:r>
            <w:proofErr w:type="spellStart"/>
            <w:r w:rsidRPr="00304C28">
              <w:rPr>
                <w:rFonts w:cs="Arial"/>
                <w:b/>
                <w:lang w:val="en-US"/>
              </w:rPr>
              <w:t>Circulante</w:t>
            </w:r>
            <w:proofErr w:type="spellEnd"/>
          </w:p>
        </w:tc>
        <w:tc>
          <w:tcPr>
            <w:tcW w:w="856" w:type="dxa"/>
            <w:tcBorders>
              <w:top w:val="single" w:sz="2" w:space="0" w:color="1F3864" w:themeColor="accent1" w:themeShade="80"/>
            </w:tcBorders>
            <w:shd w:val="clear" w:color="auto" w:fill="auto"/>
          </w:tcPr>
          <w:p w14:paraId="5594ECA3" w14:textId="77777777" w:rsidR="00A74CE4" w:rsidRPr="00304C28" w:rsidRDefault="00A74CE4">
            <w:pPr>
              <w:pStyle w:val="08-Tabelageral"/>
              <w:rPr>
                <w:b/>
              </w:rPr>
            </w:pPr>
          </w:p>
        </w:tc>
        <w:tc>
          <w:tcPr>
            <w:tcW w:w="401" w:type="dxa"/>
            <w:tcBorders>
              <w:top w:val="single" w:sz="2" w:space="0" w:color="1F3864" w:themeColor="accent1" w:themeShade="80"/>
            </w:tcBorders>
            <w:shd w:val="clear" w:color="auto" w:fill="auto"/>
          </w:tcPr>
          <w:p w14:paraId="4D470274" w14:textId="77777777" w:rsidR="00A74CE4" w:rsidRPr="00304C28" w:rsidRDefault="00A74CE4">
            <w:pPr>
              <w:pStyle w:val="08-Tabelageral"/>
              <w:rPr>
                <w:b/>
              </w:rPr>
            </w:pPr>
          </w:p>
        </w:tc>
        <w:tc>
          <w:tcPr>
            <w:tcW w:w="2008" w:type="dxa"/>
            <w:tcBorders>
              <w:top w:val="single" w:sz="2" w:space="0" w:color="1F3864" w:themeColor="accent1" w:themeShade="80"/>
            </w:tcBorders>
            <w:shd w:val="clear" w:color="auto" w:fill="auto"/>
            <w:vAlign w:val="center"/>
          </w:tcPr>
          <w:p w14:paraId="383602CB" w14:textId="77777777" w:rsidR="00A74CE4" w:rsidRPr="00304C28" w:rsidRDefault="00A74CE4">
            <w:pPr>
              <w:pStyle w:val="08-Tabelageral"/>
              <w:rPr>
                <w:b/>
              </w:rPr>
            </w:pPr>
            <w:r>
              <w:rPr>
                <w:b/>
              </w:rPr>
              <w:t>1.287.117</w:t>
            </w:r>
          </w:p>
        </w:tc>
        <w:tc>
          <w:tcPr>
            <w:tcW w:w="2009" w:type="dxa"/>
            <w:tcBorders>
              <w:top w:val="single" w:sz="2" w:space="0" w:color="1F3864" w:themeColor="accent1" w:themeShade="80"/>
            </w:tcBorders>
            <w:shd w:val="clear" w:color="auto" w:fill="auto"/>
            <w:vAlign w:val="center"/>
          </w:tcPr>
          <w:p w14:paraId="0B15F9BF" w14:textId="77777777" w:rsidR="00A74CE4" w:rsidRPr="00304C28" w:rsidRDefault="00A74CE4">
            <w:pPr>
              <w:pStyle w:val="08-Tabelageral"/>
              <w:rPr>
                <w:b/>
              </w:rPr>
            </w:pPr>
            <w:r>
              <w:rPr>
                <w:b/>
              </w:rPr>
              <w:t>1.128.077</w:t>
            </w:r>
          </w:p>
        </w:tc>
      </w:tr>
      <w:tr w:rsidR="00A74CE4" w:rsidRPr="00304C28" w14:paraId="6D1D2899" w14:textId="77777777">
        <w:trPr>
          <w:trHeight w:val="238"/>
        </w:trPr>
        <w:tc>
          <w:tcPr>
            <w:tcW w:w="4384" w:type="dxa"/>
            <w:gridSpan w:val="2"/>
            <w:shd w:val="clear" w:color="auto" w:fill="auto"/>
          </w:tcPr>
          <w:p w14:paraId="4D41B42D" w14:textId="77777777" w:rsidR="00A74CE4" w:rsidRPr="00304C28" w:rsidRDefault="00A74CE4">
            <w:pPr>
              <w:pStyle w:val="08-Tabelageral"/>
              <w:ind w:left="113"/>
              <w:jc w:val="left"/>
              <w:rPr>
                <w:rFonts w:cs="Arial"/>
                <w:lang w:val="en-US"/>
              </w:rPr>
            </w:pPr>
            <w:proofErr w:type="spellStart"/>
            <w:r w:rsidRPr="00304C28">
              <w:rPr>
                <w:rFonts w:cs="Arial"/>
                <w:lang w:val="en-US"/>
              </w:rPr>
              <w:t>B</w:t>
            </w:r>
            <w:r>
              <w:rPr>
                <w:rFonts w:cs="Arial"/>
                <w:lang w:val="en-US"/>
              </w:rPr>
              <w:t>rasilseg</w:t>
            </w:r>
            <w:proofErr w:type="spellEnd"/>
            <w:r>
              <w:rPr>
                <w:rFonts w:cs="Arial"/>
                <w:lang w:val="en-US"/>
              </w:rPr>
              <w:t>/ABS</w:t>
            </w:r>
          </w:p>
        </w:tc>
        <w:tc>
          <w:tcPr>
            <w:tcW w:w="856" w:type="dxa"/>
            <w:shd w:val="clear" w:color="auto" w:fill="auto"/>
          </w:tcPr>
          <w:p w14:paraId="6CA9F9B6" w14:textId="77777777" w:rsidR="00A74CE4" w:rsidRPr="00304C28" w:rsidRDefault="00A74CE4">
            <w:pPr>
              <w:pStyle w:val="08-Tabelageral"/>
            </w:pPr>
          </w:p>
        </w:tc>
        <w:tc>
          <w:tcPr>
            <w:tcW w:w="401" w:type="dxa"/>
            <w:shd w:val="clear" w:color="auto" w:fill="auto"/>
          </w:tcPr>
          <w:p w14:paraId="4FDDB360" w14:textId="77777777" w:rsidR="00A74CE4" w:rsidRPr="00304C28" w:rsidRDefault="00A74CE4">
            <w:pPr>
              <w:pStyle w:val="08-Tabelageral"/>
            </w:pPr>
          </w:p>
        </w:tc>
        <w:tc>
          <w:tcPr>
            <w:tcW w:w="2008" w:type="dxa"/>
            <w:shd w:val="clear" w:color="auto" w:fill="auto"/>
            <w:vAlign w:val="center"/>
          </w:tcPr>
          <w:p w14:paraId="07375840" w14:textId="77777777" w:rsidR="00A74CE4" w:rsidRPr="00304C28" w:rsidRDefault="00A74CE4">
            <w:pPr>
              <w:pStyle w:val="08-Tabelageral"/>
            </w:pPr>
            <w:r>
              <w:t>1.192.619</w:t>
            </w:r>
          </w:p>
        </w:tc>
        <w:tc>
          <w:tcPr>
            <w:tcW w:w="2009" w:type="dxa"/>
            <w:shd w:val="clear" w:color="auto" w:fill="auto"/>
            <w:vAlign w:val="center"/>
          </w:tcPr>
          <w:p w14:paraId="714131B7" w14:textId="77777777" w:rsidR="00A74CE4" w:rsidRPr="00304C28" w:rsidRDefault="00A74CE4">
            <w:pPr>
              <w:pStyle w:val="08-Tabelageral"/>
            </w:pPr>
            <w:r>
              <w:t>1.037.900</w:t>
            </w:r>
          </w:p>
        </w:tc>
      </w:tr>
      <w:tr w:rsidR="00A74CE4" w:rsidRPr="00304C28" w14:paraId="2F02D165" w14:textId="77777777">
        <w:trPr>
          <w:trHeight w:val="238"/>
        </w:trPr>
        <w:tc>
          <w:tcPr>
            <w:tcW w:w="4384" w:type="dxa"/>
            <w:gridSpan w:val="2"/>
            <w:shd w:val="clear" w:color="auto" w:fill="auto"/>
          </w:tcPr>
          <w:p w14:paraId="12AB5DCF" w14:textId="77777777" w:rsidR="00A74CE4" w:rsidRPr="00304C28" w:rsidRDefault="00A74CE4">
            <w:pPr>
              <w:pStyle w:val="08-Tabelageral"/>
              <w:ind w:left="113"/>
              <w:jc w:val="left"/>
              <w:rPr>
                <w:rFonts w:cs="Arial"/>
                <w:lang w:val="en-US"/>
              </w:rPr>
            </w:pPr>
            <w:r>
              <w:rPr>
                <w:rFonts w:cs="Arial"/>
                <w:lang w:val="en-US"/>
              </w:rPr>
              <w:t xml:space="preserve">MAPFRE </w:t>
            </w:r>
            <w:proofErr w:type="spellStart"/>
            <w:r>
              <w:rPr>
                <w:rFonts w:cs="Arial"/>
                <w:lang w:val="en-US"/>
              </w:rPr>
              <w:t>Seguros</w:t>
            </w:r>
            <w:proofErr w:type="spellEnd"/>
            <w:r>
              <w:rPr>
                <w:rFonts w:cs="Arial"/>
                <w:lang w:val="en-US"/>
              </w:rPr>
              <w:t xml:space="preserve"> Gerais</w:t>
            </w:r>
          </w:p>
        </w:tc>
        <w:tc>
          <w:tcPr>
            <w:tcW w:w="856" w:type="dxa"/>
            <w:shd w:val="clear" w:color="auto" w:fill="auto"/>
          </w:tcPr>
          <w:p w14:paraId="533A9B26" w14:textId="77777777" w:rsidR="00A74CE4" w:rsidRPr="00304C28" w:rsidRDefault="00A74CE4">
            <w:pPr>
              <w:pStyle w:val="08-Tabelageral"/>
            </w:pPr>
          </w:p>
        </w:tc>
        <w:tc>
          <w:tcPr>
            <w:tcW w:w="401" w:type="dxa"/>
            <w:shd w:val="clear" w:color="auto" w:fill="auto"/>
          </w:tcPr>
          <w:p w14:paraId="0A5EEF8D" w14:textId="77777777" w:rsidR="00A74CE4" w:rsidRPr="00304C28" w:rsidRDefault="00A74CE4">
            <w:pPr>
              <w:pStyle w:val="08-Tabelageral"/>
            </w:pPr>
          </w:p>
        </w:tc>
        <w:tc>
          <w:tcPr>
            <w:tcW w:w="2008" w:type="dxa"/>
            <w:shd w:val="clear" w:color="auto" w:fill="auto"/>
          </w:tcPr>
          <w:p w14:paraId="7718B987" w14:textId="77777777" w:rsidR="00A74CE4" w:rsidRPr="00304C28" w:rsidRDefault="00A74CE4">
            <w:pPr>
              <w:pStyle w:val="08-Tabelageral"/>
            </w:pPr>
            <w:r>
              <w:t>83.084</w:t>
            </w:r>
          </w:p>
        </w:tc>
        <w:tc>
          <w:tcPr>
            <w:tcW w:w="2009" w:type="dxa"/>
            <w:shd w:val="clear" w:color="auto" w:fill="auto"/>
          </w:tcPr>
          <w:p w14:paraId="0A9270EC" w14:textId="77777777" w:rsidR="00A74CE4" w:rsidRPr="00304C28" w:rsidRDefault="00A74CE4">
            <w:pPr>
              <w:pStyle w:val="08-Tabelageral"/>
            </w:pPr>
            <w:r>
              <w:t>77.195</w:t>
            </w:r>
          </w:p>
        </w:tc>
      </w:tr>
      <w:tr w:rsidR="00A74CE4" w:rsidRPr="00304C28" w14:paraId="42A6C7C1" w14:textId="77777777">
        <w:trPr>
          <w:trHeight w:val="238"/>
        </w:trPr>
        <w:tc>
          <w:tcPr>
            <w:tcW w:w="4384" w:type="dxa"/>
            <w:gridSpan w:val="2"/>
            <w:shd w:val="clear" w:color="auto" w:fill="auto"/>
          </w:tcPr>
          <w:p w14:paraId="1A27EA5B" w14:textId="77777777" w:rsidR="00A74CE4" w:rsidRPr="00304C28" w:rsidRDefault="00A74CE4">
            <w:pPr>
              <w:pStyle w:val="08-Tabelageral"/>
              <w:ind w:left="113"/>
              <w:jc w:val="left"/>
              <w:rPr>
                <w:rFonts w:cs="Arial"/>
                <w:lang w:val="en-US"/>
              </w:rPr>
            </w:pPr>
            <w:proofErr w:type="spellStart"/>
            <w:r w:rsidRPr="00304C28">
              <w:rPr>
                <w:rFonts w:cs="Arial"/>
                <w:lang w:val="en-US"/>
              </w:rPr>
              <w:t>Brasilprev</w:t>
            </w:r>
            <w:proofErr w:type="spellEnd"/>
          </w:p>
        </w:tc>
        <w:tc>
          <w:tcPr>
            <w:tcW w:w="856" w:type="dxa"/>
            <w:shd w:val="clear" w:color="auto" w:fill="auto"/>
          </w:tcPr>
          <w:p w14:paraId="085676A9" w14:textId="77777777" w:rsidR="00A74CE4" w:rsidRPr="00304C28" w:rsidRDefault="00A74CE4">
            <w:pPr>
              <w:pStyle w:val="08-Tabelageral"/>
            </w:pPr>
          </w:p>
        </w:tc>
        <w:tc>
          <w:tcPr>
            <w:tcW w:w="401" w:type="dxa"/>
            <w:shd w:val="clear" w:color="auto" w:fill="auto"/>
          </w:tcPr>
          <w:p w14:paraId="7812DD73" w14:textId="77777777" w:rsidR="00A74CE4" w:rsidRPr="00304C28" w:rsidRDefault="00A74CE4">
            <w:pPr>
              <w:pStyle w:val="08-Tabelageral"/>
            </w:pPr>
          </w:p>
        </w:tc>
        <w:tc>
          <w:tcPr>
            <w:tcW w:w="2008" w:type="dxa"/>
            <w:shd w:val="clear" w:color="auto" w:fill="auto"/>
          </w:tcPr>
          <w:p w14:paraId="06C67D7E" w14:textId="77777777" w:rsidR="00A74CE4" w:rsidRPr="00304C28" w:rsidRDefault="00A74CE4">
            <w:pPr>
              <w:pStyle w:val="08-Tabelageral"/>
            </w:pPr>
            <w:r>
              <w:t>9.111</w:t>
            </w:r>
          </w:p>
        </w:tc>
        <w:tc>
          <w:tcPr>
            <w:tcW w:w="2009" w:type="dxa"/>
            <w:shd w:val="clear" w:color="auto" w:fill="auto"/>
          </w:tcPr>
          <w:p w14:paraId="07C8EFDE" w14:textId="77777777" w:rsidR="00A74CE4" w:rsidRPr="00304C28" w:rsidRDefault="00A74CE4">
            <w:pPr>
              <w:pStyle w:val="08-Tabelageral"/>
            </w:pPr>
            <w:r>
              <w:t>9.136</w:t>
            </w:r>
          </w:p>
        </w:tc>
      </w:tr>
      <w:tr w:rsidR="00A74CE4" w:rsidRPr="00304C28" w14:paraId="1821177F" w14:textId="77777777">
        <w:trPr>
          <w:trHeight w:val="238"/>
        </w:trPr>
        <w:tc>
          <w:tcPr>
            <w:tcW w:w="4384" w:type="dxa"/>
            <w:gridSpan w:val="2"/>
            <w:shd w:val="clear" w:color="auto" w:fill="auto"/>
          </w:tcPr>
          <w:p w14:paraId="134A021F" w14:textId="77777777" w:rsidR="00A74CE4" w:rsidRPr="00304C28" w:rsidRDefault="00A74CE4">
            <w:pPr>
              <w:pStyle w:val="08-Tabelageral"/>
              <w:ind w:left="113"/>
              <w:jc w:val="left"/>
              <w:rPr>
                <w:rFonts w:cs="Arial"/>
                <w:lang w:val="en-US"/>
              </w:rPr>
            </w:pPr>
            <w:proofErr w:type="spellStart"/>
            <w:r w:rsidRPr="00304C28">
              <w:rPr>
                <w:rFonts w:cs="Arial"/>
                <w:lang w:val="en-US"/>
              </w:rPr>
              <w:t>Brasilcap</w:t>
            </w:r>
            <w:proofErr w:type="spellEnd"/>
          </w:p>
        </w:tc>
        <w:tc>
          <w:tcPr>
            <w:tcW w:w="856" w:type="dxa"/>
            <w:shd w:val="clear" w:color="auto" w:fill="auto"/>
          </w:tcPr>
          <w:p w14:paraId="19400BEC" w14:textId="77777777" w:rsidR="00A74CE4" w:rsidRPr="00304C28" w:rsidRDefault="00A74CE4">
            <w:pPr>
              <w:pStyle w:val="08-Tabelageral"/>
            </w:pPr>
          </w:p>
        </w:tc>
        <w:tc>
          <w:tcPr>
            <w:tcW w:w="401" w:type="dxa"/>
            <w:shd w:val="clear" w:color="auto" w:fill="auto"/>
          </w:tcPr>
          <w:p w14:paraId="49161A1A" w14:textId="77777777" w:rsidR="00A74CE4" w:rsidRPr="00304C28" w:rsidRDefault="00A74CE4">
            <w:pPr>
              <w:pStyle w:val="08-Tabelageral"/>
            </w:pPr>
          </w:p>
        </w:tc>
        <w:tc>
          <w:tcPr>
            <w:tcW w:w="2008" w:type="dxa"/>
            <w:shd w:val="clear" w:color="auto" w:fill="auto"/>
          </w:tcPr>
          <w:p w14:paraId="6FF42837" w14:textId="77777777" w:rsidR="00A74CE4" w:rsidRPr="00304C28" w:rsidRDefault="00A74CE4">
            <w:pPr>
              <w:pStyle w:val="08-Tabelageral"/>
            </w:pPr>
            <w:r>
              <w:t>2.260</w:t>
            </w:r>
          </w:p>
        </w:tc>
        <w:tc>
          <w:tcPr>
            <w:tcW w:w="2009" w:type="dxa"/>
            <w:shd w:val="clear" w:color="auto" w:fill="auto"/>
          </w:tcPr>
          <w:p w14:paraId="04B7BED8" w14:textId="77777777" w:rsidR="00A74CE4" w:rsidRPr="00304C28" w:rsidRDefault="00A74CE4">
            <w:pPr>
              <w:pStyle w:val="08-Tabelageral"/>
            </w:pPr>
            <w:r>
              <w:t>3.757</w:t>
            </w:r>
          </w:p>
        </w:tc>
      </w:tr>
      <w:tr w:rsidR="00A74CE4" w:rsidRPr="00304C28" w14:paraId="50C07DF3" w14:textId="77777777">
        <w:trPr>
          <w:trHeight w:val="238"/>
        </w:trPr>
        <w:tc>
          <w:tcPr>
            <w:tcW w:w="4384" w:type="dxa"/>
            <w:gridSpan w:val="2"/>
            <w:shd w:val="clear" w:color="auto" w:fill="auto"/>
          </w:tcPr>
          <w:p w14:paraId="488F315D" w14:textId="77777777" w:rsidR="00A74CE4" w:rsidRPr="00304C28" w:rsidRDefault="00A74CE4">
            <w:pPr>
              <w:pStyle w:val="08-Tabelageral"/>
              <w:ind w:left="113"/>
              <w:jc w:val="left"/>
              <w:rPr>
                <w:rFonts w:cs="Arial"/>
                <w:lang w:val="en-US"/>
              </w:rPr>
            </w:pPr>
            <w:proofErr w:type="spellStart"/>
            <w:r w:rsidRPr="00304C28">
              <w:rPr>
                <w:rFonts w:cs="Arial"/>
                <w:lang w:val="en-US"/>
              </w:rPr>
              <w:t>Outras</w:t>
            </w:r>
            <w:proofErr w:type="spellEnd"/>
          </w:p>
        </w:tc>
        <w:tc>
          <w:tcPr>
            <w:tcW w:w="856" w:type="dxa"/>
            <w:shd w:val="clear" w:color="auto" w:fill="auto"/>
          </w:tcPr>
          <w:p w14:paraId="3865888A" w14:textId="77777777" w:rsidR="00A74CE4" w:rsidRPr="00304C28" w:rsidRDefault="00A74CE4">
            <w:pPr>
              <w:pStyle w:val="08-Tabelageral"/>
            </w:pPr>
          </w:p>
        </w:tc>
        <w:tc>
          <w:tcPr>
            <w:tcW w:w="401" w:type="dxa"/>
            <w:shd w:val="clear" w:color="auto" w:fill="auto"/>
          </w:tcPr>
          <w:p w14:paraId="2A33E21D" w14:textId="77777777" w:rsidR="00A74CE4" w:rsidRPr="00304C28" w:rsidRDefault="00A74CE4">
            <w:pPr>
              <w:pStyle w:val="08-Tabelageral"/>
            </w:pPr>
          </w:p>
        </w:tc>
        <w:tc>
          <w:tcPr>
            <w:tcW w:w="2008" w:type="dxa"/>
            <w:shd w:val="clear" w:color="auto" w:fill="auto"/>
          </w:tcPr>
          <w:p w14:paraId="23762D0E" w14:textId="77777777" w:rsidR="00A74CE4" w:rsidRPr="00304C28" w:rsidRDefault="00A74CE4">
            <w:pPr>
              <w:pStyle w:val="08-Tabelageral"/>
            </w:pPr>
            <w:r>
              <w:t>43</w:t>
            </w:r>
          </w:p>
        </w:tc>
        <w:tc>
          <w:tcPr>
            <w:tcW w:w="2009" w:type="dxa"/>
            <w:shd w:val="clear" w:color="auto" w:fill="auto"/>
          </w:tcPr>
          <w:p w14:paraId="07AB469C" w14:textId="77777777" w:rsidR="00A74CE4" w:rsidRPr="00304C28" w:rsidRDefault="00A74CE4">
            <w:pPr>
              <w:pStyle w:val="08-Tabelageral"/>
            </w:pPr>
            <w:r>
              <w:t>89</w:t>
            </w:r>
          </w:p>
        </w:tc>
      </w:tr>
      <w:tr w:rsidR="00A74CE4" w:rsidRPr="00304C28" w14:paraId="71929574" w14:textId="77777777">
        <w:trPr>
          <w:trHeight w:val="238"/>
        </w:trPr>
        <w:tc>
          <w:tcPr>
            <w:tcW w:w="4384" w:type="dxa"/>
            <w:gridSpan w:val="2"/>
            <w:shd w:val="clear" w:color="auto" w:fill="auto"/>
          </w:tcPr>
          <w:p w14:paraId="03ACC4B9" w14:textId="77777777" w:rsidR="00A74CE4" w:rsidRPr="00304C28" w:rsidRDefault="00A74CE4">
            <w:pPr>
              <w:pStyle w:val="08-Tabelageral"/>
              <w:jc w:val="left"/>
              <w:rPr>
                <w:rFonts w:cs="Arial"/>
                <w:b/>
                <w:lang w:val="en-US"/>
              </w:rPr>
            </w:pPr>
            <w:proofErr w:type="spellStart"/>
            <w:r w:rsidRPr="00304C28">
              <w:rPr>
                <w:rFonts w:cs="Arial"/>
                <w:b/>
                <w:lang w:val="en-US"/>
              </w:rPr>
              <w:t>Ativo</w:t>
            </w:r>
            <w:proofErr w:type="spellEnd"/>
            <w:r w:rsidRPr="00304C28">
              <w:rPr>
                <w:rFonts w:cs="Arial"/>
                <w:b/>
                <w:lang w:val="en-US"/>
              </w:rPr>
              <w:t xml:space="preserve"> </w:t>
            </w:r>
            <w:proofErr w:type="spellStart"/>
            <w:r w:rsidRPr="00304C28">
              <w:rPr>
                <w:rFonts w:cs="Arial"/>
                <w:b/>
                <w:lang w:val="en-US"/>
              </w:rPr>
              <w:t>Não</w:t>
            </w:r>
            <w:proofErr w:type="spellEnd"/>
            <w:r w:rsidRPr="00304C28">
              <w:rPr>
                <w:rFonts w:cs="Arial"/>
                <w:b/>
                <w:lang w:val="en-US"/>
              </w:rPr>
              <w:t xml:space="preserve"> </w:t>
            </w:r>
            <w:proofErr w:type="spellStart"/>
            <w:r w:rsidRPr="00304C28">
              <w:rPr>
                <w:rFonts w:cs="Arial"/>
                <w:b/>
                <w:lang w:val="en-US"/>
              </w:rPr>
              <w:t>Circulante</w:t>
            </w:r>
            <w:proofErr w:type="spellEnd"/>
          </w:p>
        </w:tc>
        <w:tc>
          <w:tcPr>
            <w:tcW w:w="856" w:type="dxa"/>
            <w:shd w:val="clear" w:color="auto" w:fill="auto"/>
          </w:tcPr>
          <w:p w14:paraId="1603A0D6" w14:textId="77777777" w:rsidR="00A74CE4" w:rsidRPr="00304C28" w:rsidRDefault="00A74CE4">
            <w:pPr>
              <w:pStyle w:val="08-Tabelageral"/>
              <w:rPr>
                <w:b/>
              </w:rPr>
            </w:pPr>
          </w:p>
        </w:tc>
        <w:tc>
          <w:tcPr>
            <w:tcW w:w="401" w:type="dxa"/>
            <w:shd w:val="clear" w:color="auto" w:fill="auto"/>
          </w:tcPr>
          <w:p w14:paraId="243DEAFD" w14:textId="77777777" w:rsidR="00A74CE4" w:rsidRPr="00304C28" w:rsidRDefault="00A74CE4">
            <w:pPr>
              <w:pStyle w:val="08-Tabelageral"/>
              <w:rPr>
                <w:b/>
              </w:rPr>
            </w:pPr>
          </w:p>
        </w:tc>
        <w:tc>
          <w:tcPr>
            <w:tcW w:w="2008" w:type="dxa"/>
            <w:shd w:val="clear" w:color="auto" w:fill="auto"/>
            <w:vAlign w:val="center"/>
          </w:tcPr>
          <w:p w14:paraId="766CBD0E" w14:textId="77777777" w:rsidR="00A74CE4" w:rsidRPr="00304C28" w:rsidRDefault="00A74CE4">
            <w:pPr>
              <w:pStyle w:val="08-Tabelageral"/>
              <w:rPr>
                <w:b/>
              </w:rPr>
            </w:pPr>
            <w:r>
              <w:rPr>
                <w:b/>
              </w:rPr>
              <w:t>1.387.299</w:t>
            </w:r>
          </w:p>
        </w:tc>
        <w:tc>
          <w:tcPr>
            <w:tcW w:w="2009" w:type="dxa"/>
            <w:shd w:val="clear" w:color="auto" w:fill="auto"/>
            <w:vAlign w:val="center"/>
          </w:tcPr>
          <w:p w14:paraId="449DB76C" w14:textId="77777777" w:rsidR="00A74CE4" w:rsidRPr="00304C28" w:rsidRDefault="00A74CE4">
            <w:pPr>
              <w:pStyle w:val="08-Tabelageral"/>
              <w:rPr>
                <w:b/>
              </w:rPr>
            </w:pPr>
            <w:r>
              <w:rPr>
                <w:b/>
              </w:rPr>
              <w:t>1.046.897</w:t>
            </w:r>
          </w:p>
        </w:tc>
      </w:tr>
      <w:tr w:rsidR="00A74CE4" w:rsidRPr="00304C28" w14:paraId="286030AD" w14:textId="77777777">
        <w:trPr>
          <w:trHeight w:val="238"/>
        </w:trPr>
        <w:tc>
          <w:tcPr>
            <w:tcW w:w="4384" w:type="dxa"/>
            <w:gridSpan w:val="2"/>
            <w:shd w:val="clear" w:color="auto" w:fill="auto"/>
          </w:tcPr>
          <w:p w14:paraId="1F7C8093" w14:textId="77777777" w:rsidR="00A74CE4" w:rsidRPr="00304C28" w:rsidRDefault="00A74CE4">
            <w:pPr>
              <w:pStyle w:val="08-Tabelageral"/>
              <w:ind w:left="113"/>
              <w:jc w:val="left"/>
              <w:rPr>
                <w:rFonts w:cs="Arial"/>
                <w:vertAlign w:val="superscript"/>
                <w:lang w:val="en-US"/>
              </w:rPr>
            </w:pPr>
            <w:proofErr w:type="spellStart"/>
            <w:r w:rsidRPr="00304C28">
              <w:rPr>
                <w:rFonts w:cs="Arial"/>
                <w:lang w:val="en-US"/>
              </w:rPr>
              <w:t>B</w:t>
            </w:r>
            <w:r>
              <w:rPr>
                <w:rFonts w:cs="Arial"/>
                <w:lang w:val="en-US"/>
              </w:rPr>
              <w:t>rasilseg</w:t>
            </w:r>
            <w:proofErr w:type="spellEnd"/>
          </w:p>
        </w:tc>
        <w:tc>
          <w:tcPr>
            <w:tcW w:w="856" w:type="dxa"/>
            <w:shd w:val="clear" w:color="auto" w:fill="auto"/>
          </w:tcPr>
          <w:p w14:paraId="065D3D94" w14:textId="77777777" w:rsidR="00A74CE4" w:rsidRPr="00304C28" w:rsidRDefault="00A74CE4">
            <w:pPr>
              <w:pStyle w:val="08-Tabelageral"/>
            </w:pPr>
          </w:p>
        </w:tc>
        <w:tc>
          <w:tcPr>
            <w:tcW w:w="401" w:type="dxa"/>
            <w:shd w:val="clear" w:color="auto" w:fill="auto"/>
          </w:tcPr>
          <w:p w14:paraId="421016C1" w14:textId="77777777" w:rsidR="00A74CE4" w:rsidRPr="00304C28" w:rsidRDefault="00A74CE4">
            <w:pPr>
              <w:pStyle w:val="08-Tabelageral"/>
            </w:pPr>
          </w:p>
        </w:tc>
        <w:tc>
          <w:tcPr>
            <w:tcW w:w="2008" w:type="dxa"/>
            <w:shd w:val="clear" w:color="auto" w:fill="auto"/>
            <w:vAlign w:val="center"/>
          </w:tcPr>
          <w:p w14:paraId="7E45C898" w14:textId="77777777" w:rsidR="00A74CE4" w:rsidRPr="00304C28" w:rsidRDefault="00A74CE4">
            <w:pPr>
              <w:pStyle w:val="08-Tabelageral"/>
            </w:pPr>
            <w:r>
              <w:t>1.387.299</w:t>
            </w:r>
          </w:p>
        </w:tc>
        <w:tc>
          <w:tcPr>
            <w:tcW w:w="2009" w:type="dxa"/>
            <w:shd w:val="clear" w:color="auto" w:fill="auto"/>
            <w:vAlign w:val="center"/>
          </w:tcPr>
          <w:p w14:paraId="562D714B" w14:textId="77777777" w:rsidR="00A74CE4" w:rsidRPr="00304C28" w:rsidRDefault="00A74CE4">
            <w:pPr>
              <w:pStyle w:val="08-Tabelageral"/>
            </w:pPr>
            <w:r>
              <w:t>1.046.897</w:t>
            </w:r>
          </w:p>
        </w:tc>
      </w:tr>
      <w:tr w:rsidR="00A74CE4" w:rsidRPr="00304C28" w14:paraId="47948858" w14:textId="77777777">
        <w:trPr>
          <w:trHeight w:val="238"/>
        </w:trPr>
        <w:tc>
          <w:tcPr>
            <w:tcW w:w="4384" w:type="dxa"/>
            <w:gridSpan w:val="2"/>
            <w:tcBorders>
              <w:bottom w:val="single" w:sz="2" w:space="0" w:color="1F3864" w:themeColor="accent1" w:themeShade="80"/>
            </w:tcBorders>
            <w:shd w:val="clear" w:color="auto" w:fill="auto"/>
          </w:tcPr>
          <w:p w14:paraId="0D381BF1" w14:textId="77777777" w:rsidR="00A74CE4" w:rsidRPr="00304C28" w:rsidRDefault="00A74CE4">
            <w:pPr>
              <w:pStyle w:val="08-Tabelageral"/>
              <w:jc w:val="left"/>
              <w:rPr>
                <w:rFonts w:cs="Arial"/>
                <w:b/>
                <w:lang w:val="en-US"/>
              </w:rPr>
            </w:pPr>
            <w:r w:rsidRPr="00304C28">
              <w:rPr>
                <w:rFonts w:cs="Arial"/>
                <w:b/>
                <w:lang w:val="en-US"/>
              </w:rPr>
              <w:t>Total</w:t>
            </w:r>
          </w:p>
        </w:tc>
        <w:tc>
          <w:tcPr>
            <w:tcW w:w="856" w:type="dxa"/>
            <w:tcBorders>
              <w:bottom w:val="single" w:sz="2" w:space="0" w:color="1F3864" w:themeColor="accent1" w:themeShade="80"/>
            </w:tcBorders>
            <w:shd w:val="clear" w:color="auto" w:fill="auto"/>
          </w:tcPr>
          <w:p w14:paraId="3C949DC7" w14:textId="77777777" w:rsidR="00A74CE4" w:rsidRPr="00304C28" w:rsidRDefault="00A74CE4">
            <w:pPr>
              <w:pStyle w:val="08-Tabelageral"/>
              <w:rPr>
                <w:b/>
                <w:szCs w:val="14"/>
              </w:rPr>
            </w:pPr>
          </w:p>
        </w:tc>
        <w:tc>
          <w:tcPr>
            <w:tcW w:w="401" w:type="dxa"/>
            <w:tcBorders>
              <w:bottom w:val="single" w:sz="2" w:space="0" w:color="1F3864" w:themeColor="accent1" w:themeShade="80"/>
            </w:tcBorders>
            <w:shd w:val="clear" w:color="auto" w:fill="auto"/>
          </w:tcPr>
          <w:p w14:paraId="2C75C219" w14:textId="77777777" w:rsidR="00A74CE4" w:rsidRPr="00304C28" w:rsidRDefault="00A74CE4">
            <w:pPr>
              <w:pStyle w:val="08-Tabelageral"/>
              <w:rPr>
                <w:b/>
                <w:szCs w:val="14"/>
              </w:rPr>
            </w:pPr>
          </w:p>
        </w:tc>
        <w:tc>
          <w:tcPr>
            <w:tcW w:w="2008" w:type="dxa"/>
            <w:tcBorders>
              <w:bottom w:val="single" w:sz="2" w:space="0" w:color="1F3864" w:themeColor="accent1" w:themeShade="80"/>
            </w:tcBorders>
            <w:shd w:val="clear" w:color="auto" w:fill="auto"/>
            <w:vAlign w:val="center"/>
          </w:tcPr>
          <w:p w14:paraId="3CA3F4A7" w14:textId="77777777" w:rsidR="00A74CE4" w:rsidRPr="00304C28" w:rsidRDefault="00A74CE4">
            <w:pPr>
              <w:pStyle w:val="08-Tabelageral"/>
              <w:rPr>
                <w:b/>
              </w:rPr>
            </w:pPr>
            <w:r>
              <w:rPr>
                <w:b/>
              </w:rPr>
              <w:t>2.674.416</w:t>
            </w:r>
          </w:p>
        </w:tc>
        <w:tc>
          <w:tcPr>
            <w:tcW w:w="2009" w:type="dxa"/>
            <w:tcBorders>
              <w:bottom w:val="single" w:sz="2" w:space="0" w:color="1F3864" w:themeColor="accent1" w:themeShade="80"/>
            </w:tcBorders>
            <w:shd w:val="clear" w:color="auto" w:fill="auto"/>
            <w:vAlign w:val="center"/>
          </w:tcPr>
          <w:p w14:paraId="78ED6DA7" w14:textId="77777777" w:rsidR="00A74CE4" w:rsidRPr="00304C28" w:rsidRDefault="00A74CE4">
            <w:pPr>
              <w:pStyle w:val="08-Tabelageral"/>
              <w:rPr>
                <w:b/>
              </w:rPr>
            </w:pPr>
            <w:r>
              <w:rPr>
                <w:b/>
              </w:rPr>
              <w:t>2.174.974</w:t>
            </w:r>
          </w:p>
        </w:tc>
      </w:tr>
    </w:tbl>
    <w:p w14:paraId="283F685E" w14:textId="77777777" w:rsidR="00A74CE4" w:rsidRDefault="00A74CE4" w:rsidP="00A74CE4">
      <w:pPr>
        <w:pStyle w:val="07-Legenda"/>
        <w:tabs>
          <w:tab w:val="clear" w:pos="284"/>
        </w:tabs>
        <w:ind w:left="0" w:firstLine="0"/>
      </w:pPr>
    </w:p>
    <w:p w14:paraId="2393B42B" w14:textId="77777777" w:rsidR="00A74CE4" w:rsidRPr="00C94770" w:rsidRDefault="00A74CE4" w:rsidP="00A74CE4">
      <w:pPr>
        <w:pStyle w:val="07-Legenda"/>
        <w:spacing w:before="120" w:after="120" w:line="276" w:lineRule="auto"/>
        <w:ind w:left="0" w:firstLine="0"/>
        <w:rPr>
          <w:rFonts w:cs="Arial"/>
          <w:spacing w:val="0"/>
          <w:sz w:val="18"/>
          <w:szCs w:val="20"/>
        </w:rPr>
      </w:pPr>
      <w:r w:rsidRPr="00E817E2">
        <w:rPr>
          <w:rFonts w:cs="Arial"/>
          <w:spacing w:val="0"/>
          <w:sz w:val="18"/>
          <w:szCs w:val="20"/>
        </w:rPr>
        <w:t xml:space="preserve">Não há saldo de </w:t>
      </w:r>
      <w:r>
        <w:rPr>
          <w:rFonts w:cs="Arial"/>
          <w:spacing w:val="0"/>
          <w:sz w:val="18"/>
          <w:szCs w:val="20"/>
        </w:rPr>
        <w:t xml:space="preserve">comissões a receber </w:t>
      </w:r>
      <w:r w:rsidRPr="00E817E2">
        <w:rPr>
          <w:rFonts w:cs="Arial"/>
          <w:spacing w:val="0"/>
          <w:sz w:val="18"/>
          <w:szCs w:val="20"/>
        </w:rPr>
        <w:t>no Controlador</w:t>
      </w:r>
      <w:r>
        <w:rPr>
          <w:rFonts w:cs="Arial"/>
          <w:spacing w:val="0"/>
          <w:sz w:val="18"/>
          <w:szCs w:val="20"/>
        </w:rPr>
        <w:t>.</w:t>
      </w:r>
    </w:p>
    <w:p w14:paraId="7A1DB1FE" w14:textId="7FAD4B97" w:rsidR="005C6C41" w:rsidRPr="00A74CE4" w:rsidRDefault="00A74CE4" w:rsidP="00A74CE4">
      <w:pPr>
        <w:pStyle w:val="01-TtulodeNota"/>
        <w:spacing w:line="276" w:lineRule="auto"/>
        <w:rPr>
          <w:rFonts w:cs="Arial"/>
          <w:b w:val="0"/>
          <w:snapToGrid w:val="0"/>
          <w:sz w:val="18"/>
        </w:rPr>
      </w:pPr>
      <w:r w:rsidRPr="00957515">
        <w:rPr>
          <w:rFonts w:cs="Arial"/>
          <w:b w:val="0"/>
          <w:snapToGrid w:val="0"/>
          <w:sz w:val="18"/>
        </w:rPr>
        <w:t>As Comissões a Receber estão categorizadas como ativos financeiros</w:t>
      </w:r>
      <w:r>
        <w:rPr>
          <w:rFonts w:cs="Arial"/>
          <w:b w:val="0"/>
          <w:snapToGrid w:val="0"/>
          <w:sz w:val="18"/>
        </w:rPr>
        <w:t xml:space="preserve"> avaliados ao</w:t>
      </w:r>
      <w:r w:rsidRPr="00957515">
        <w:rPr>
          <w:rFonts w:cs="Arial"/>
          <w:b w:val="0"/>
          <w:snapToGrid w:val="0"/>
          <w:sz w:val="18"/>
        </w:rPr>
        <w:t xml:space="preserve"> custo amortizado conforme nota </w:t>
      </w:r>
      <w:r>
        <w:rPr>
          <w:rFonts w:cs="Arial"/>
          <w:b w:val="0"/>
          <w:snapToGrid w:val="0"/>
          <w:sz w:val="18"/>
        </w:rPr>
        <w:t>3</w:t>
      </w:r>
      <w:r w:rsidRPr="00957515">
        <w:rPr>
          <w:rFonts w:cs="Arial"/>
          <w:b w:val="0"/>
          <w:snapToGrid w:val="0"/>
          <w:sz w:val="18"/>
        </w:rPr>
        <w:t>.</w:t>
      </w:r>
    </w:p>
    <w:p w14:paraId="767DADE7" w14:textId="77777777" w:rsidR="00730D57" w:rsidRDefault="00730D57" w:rsidP="00730D57">
      <w:pPr>
        <w:pStyle w:val="02-TtulodeNota"/>
        <w:rPr>
          <w:rFonts w:eastAsiaTheme="majorEastAsia"/>
        </w:rPr>
      </w:pPr>
      <w:bookmarkStart w:id="108" w:name="_Toc146905632"/>
    </w:p>
    <w:p w14:paraId="10422A8D" w14:textId="77777777" w:rsidR="005C6C41" w:rsidRPr="00BF2AAF" w:rsidRDefault="005C6C41" w:rsidP="00D5649F">
      <w:pPr>
        <w:pStyle w:val="02-TtulodeNota"/>
        <w:rPr>
          <w:rFonts w:eastAsiaTheme="majorEastAsia" w:cs="Arial"/>
        </w:rPr>
      </w:pPr>
      <w:bookmarkStart w:id="109" w:name="_Toc189757085"/>
      <w:r w:rsidRPr="00BF2AAF">
        <w:rPr>
          <w:rFonts w:eastAsiaTheme="majorEastAsia" w:cs="Arial"/>
        </w:rPr>
        <w:t>19 – ATIVO INTANGÍVEL</w:t>
      </w:r>
      <w:bookmarkEnd w:id="108"/>
      <w:bookmarkEnd w:id="109"/>
    </w:p>
    <w:p w14:paraId="4C2D51A4" w14:textId="77777777" w:rsidR="00144CC3" w:rsidRPr="00D57767" w:rsidRDefault="00144CC3" w:rsidP="00144CC3">
      <w:pPr>
        <w:pStyle w:val="05-Textonormal"/>
        <w:rPr>
          <w:b/>
          <w:color w:val="1F3864" w:themeColor="accent1" w:themeShade="80"/>
        </w:rPr>
      </w:pPr>
      <w:r w:rsidRPr="00D57767">
        <w:rPr>
          <w:b/>
          <w:color w:val="1F3864" w:themeColor="accent1" w:themeShade="80"/>
        </w:rPr>
        <w:t>a) Sistema ERP (</w:t>
      </w:r>
      <w:r w:rsidRPr="00D57767">
        <w:rPr>
          <w:b/>
          <w:i/>
          <w:iCs/>
          <w:color w:val="1F3864" w:themeColor="accent1" w:themeShade="80"/>
        </w:rPr>
        <w:t xml:space="preserve">Enterprise </w:t>
      </w:r>
      <w:proofErr w:type="spellStart"/>
      <w:r w:rsidRPr="00D57767">
        <w:rPr>
          <w:b/>
          <w:i/>
          <w:iCs/>
          <w:color w:val="1F3864" w:themeColor="accent1" w:themeShade="80"/>
        </w:rPr>
        <w:t>Resource</w:t>
      </w:r>
      <w:proofErr w:type="spellEnd"/>
      <w:r w:rsidRPr="00D57767">
        <w:rPr>
          <w:b/>
          <w:i/>
          <w:iCs/>
          <w:color w:val="1F3864" w:themeColor="accent1" w:themeShade="80"/>
        </w:rPr>
        <w:t xml:space="preserve"> Planning</w:t>
      </w:r>
      <w:r w:rsidRPr="00D57767">
        <w:rPr>
          <w:b/>
          <w:color w:val="1F3864" w:themeColor="accent1" w:themeShade="80"/>
        </w:rPr>
        <w:t>)</w:t>
      </w:r>
    </w:p>
    <w:p w14:paraId="01A1DB19" w14:textId="77777777" w:rsidR="00144CC3" w:rsidRDefault="00144CC3" w:rsidP="00144CC3">
      <w:pPr>
        <w:pStyle w:val="07-Legenda"/>
        <w:ind w:left="708" w:firstLine="0"/>
        <w:jc w:val="right"/>
        <w:rPr>
          <w:b/>
          <w:szCs w:val="14"/>
        </w:rPr>
      </w:pPr>
      <w:r w:rsidRPr="00315C9A">
        <w:rPr>
          <w:b/>
          <w:szCs w:val="14"/>
        </w:rPr>
        <w:t>R$ mil</w:t>
      </w:r>
    </w:p>
    <w:tbl>
      <w:tblPr>
        <w:tblW w:w="9639" w:type="dxa"/>
        <w:jc w:val="center"/>
        <w:tblBorders>
          <w:top w:val="single" w:sz="2" w:space="0" w:color="9CC2E5" w:themeColor="accent5" w:themeTint="99"/>
          <w:bottom w:val="single" w:sz="2" w:space="0" w:color="9CC2E5" w:themeColor="accent5" w:themeTint="99"/>
        </w:tblBorders>
        <w:shd w:val="clear" w:color="auto" w:fill="FFFFFF" w:themeFill="background1"/>
        <w:tblLayout w:type="fixed"/>
        <w:tblLook w:val="04A0" w:firstRow="1" w:lastRow="0" w:firstColumn="1" w:lastColumn="0" w:noHBand="0" w:noVBand="1"/>
      </w:tblPr>
      <w:tblGrid>
        <w:gridCol w:w="2038"/>
        <w:gridCol w:w="245"/>
        <w:gridCol w:w="1027"/>
        <w:gridCol w:w="236"/>
        <w:gridCol w:w="151"/>
        <w:gridCol w:w="66"/>
        <w:gridCol w:w="19"/>
        <w:gridCol w:w="964"/>
        <w:gridCol w:w="1294"/>
        <w:gridCol w:w="53"/>
        <w:gridCol w:w="183"/>
        <w:gridCol w:w="119"/>
        <w:gridCol w:w="1105"/>
        <w:gridCol w:w="170"/>
        <w:gridCol w:w="960"/>
        <w:gridCol w:w="111"/>
        <w:gridCol w:w="898"/>
      </w:tblGrid>
      <w:tr w:rsidR="00144CC3" w:rsidRPr="00F71EE3" w14:paraId="374AF16A" w14:textId="77777777">
        <w:trPr>
          <w:trHeight w:val="238"/>
          <w:jc w:val="center"/>
        </w:trPr>
        <w:tc>
          <w:tcPr>
            <w:tcW w:w="2038" w:type="dxa"/>
            <w:vMerge w:val="restart"/>
            <w:tcBorders>
              <w:top w:val="single" w:sz="2" w:space="0" w:color="1F3864" w:themeColor="accent1" w:themeShade="80"/>
              <w:bottom w:val="single" w:sz="2" w:space="0" w:color="9CC2E5" w:themeColor="accent5" w:themeTint="99"/>
            </w:tcBorders>
            <w:shd w:val="clear" w:color="auto" w:fill="FFFFFF" w:themeFill="background1"/>
          </w:tcPr>
          <w:p w14:paraId="395F0262" w14:textId="77777777" w:rsidR="00144CC3" w:rsidRPr="00F71EE3" w:rsidRDefault="00144CC3">
            <w:pPr>
              <w:rPr>
                <w:rFonts w:ascii="Arial" w:hAnsi="Arial" w:cs="Arial"/>
                <w:sz w:val="14"/>
                <w:szCs w:val="14"/>
              </w:rPr>
            </w:pPr>
          </w:p>
        </w:tc>
        <w:tc>
          <w:tcPr>
            <w:tcW w:w="7601" w:type="dxa"/>
            <w:gridSpan w:val="16"/>
            <w:tcBorders>
              <w:top w:val="single" w:sz="2" w:space="0" w:color="1F3864" w:themeColor="accent1" w:themeShade="80"/>
              <w:bottom w:val="single" w:sz="2" w:space="0" w:color="1F3864" w:themeColor="accent1" w:themeShade="80"/>
            </w:tcBorders>
            <w:shd w:val="clear" w:color="auto" w:fill="FFFFFF" w:themeFill="background1"/>
            <w:vAlign w:val="center"/>
          </w:tcPr>
          <w:p w14:paraId="0CEB3B34" w14:textId="77777777" w:rsidR="00144CC3" w:rsidRPr="00EF7262" w:rsidRDefault="00144CC3">
            <w:pPr>
              <w:pStyle w:val="08-Tabelageral"/>
              <w:jc w:val="center"/>
              <w:rPr>
                <w:b/>
              </w:rPr>
            </w:pPr>
            <w:r w:rsidRPr="00EF7262">
              <w:rPr>
                <w:b/>
              </w:rPr>
              <w:t>Controlador e Consolidado</w:t>
            </w:r>
          </w:p>
        </w:tc>
      </w:tr>
      <w:tr w:rsidR="00144CC3" w:rsidRPr="00F71EE3" w14:paraId="628B2D3F" w14:textId="77777777">
        <w:trPr>
          <w:trHeight w:val="238"/>
          <w:jc w:val="center"/>
        </w:trPr>
        <w:tc>
          <w:tcPr>
            <w:tcW w:w="2038" w:type="dxa"/>
            <w:vMerge/>
            <w:tcBorders>
              <w:top w:val="nil"/>
              <w:bottom w:val="single" w:sz="2" w:space="0" w:color="9CC2E5" w:themeColor="accent5" w:themeTint="99"/>
            </w:tcBorders>
            <w:shd w:val="clear" w:color="auto" w:fill="FFFFFF" w:themeFill="background1"/>
          </w:tcPr>
          <w:p w14:paraId="511C39D6" w14:textId="77777777" w:rsidR="00144CC3" w:rsidRPr="00F71EE3" w:rsidRDefault="00144CC3">
            <w:pPr>
              <w:rPr>
                <w:rFonts w:ascii="Arial" w:hAnsi="Arial" w:cs="Arial"/>
                <w:sz w:val="14"/>
                <w:szCs w:val="14"/>
              </w:rPr>
            </w:pPr>
          </w:p>
        </w:tc>
        <w:tc>
          <w:tcPr>
            <w:tcW w:w="245" w:type="dxa"/>
            <w:tcBorders>
              <w:top w:val="single" w:sz="2" w:space="0" w:color="1F3864" w:themeColor="accent1" w:themeShade="80"/>
              <w:bottom w:val="nil"/>
            </w:tcBorders>
            <w:shd w:val="clear" w:color="auto" w:fill="FFFFFF" w:themeFill="background1"/>
          </w:tcPr>
          <w:p w14:paraId="42E3A7C6" w14:textId="77777777" w:rsidR="00144CC3" w:rsidRPr="00F71EE3" w:rsidRDefault="00144CC3">
            <w:pPr>
              <w:jc w:val="center"/>
              <w:rPr>
                <w:rFonts w:ascii="Arial" w:hAnsi="Arial" w:cs="Arial"/>
                <w:b/>
                <w:sz w:val="14"/>
                <w:szCs w:val="14"/>
              </w:rPr>
            </w:pPr>
          </w:p>
        </w:tc>
        <w:tc>
          <w:tcPr>
            <w:tcW w:w="1027"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32A83963" w14:textId="77777777" w:rsidR="00144CC3" w:rsidRPr="00DE3735" w:rsidRDefault="00144CC3">
            <w:pPr>
              <w:pStyle w:val="08-Tabelageral"/>
              <w:jc w:val="center"/>
              <w:rPr>
                <w:b/>
              </w:rPr>
            </w:pPr>
            <w:r>
              <w:rPr>
                <w:b/>
              </w:rPr>
              <w:t>31.12.2023</w:t>
            </w:r>
          </w:p>
        </w:tc>
        <w:tc>
          <w:tcPr>
            <w:tcW w:w="236"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7AAE585D" w14:textId="77777777" w:rsidR="00144CC3" w:rsidRPr="00DE3735" w:rsidRDefault="00144CC3">
            <w:pPr>
              <w:pStyle w:val="08-Tabelageral"/>
              <w:jc w:val="center"/>
              <w:rPr>
                <w:b/>
              </w:rPr>
            </w:pPr>
          </w:p>
        </w:tc>
        <w:tc>
          <w:tcPr>
            <w:tcW w:w="236" w:type="dxa"/>
            <w:gridSpan w:val="3"/>
            <w:tcBorders>
              <w:top w:val="single" w:sz="2" w:space="0" w:color="1F3864" w:themeColor="accent1" w:themeShade="80"/>
              <w:bottom w:val="nil"/>
            </w:tcBorders>
            <w:shd w:val="clear" w:color="auto" w:fill="FFFFFF" w:themeFill="background1"/>
            <w:vAlign w:val="center"/>
          </w:tcPr>
          <w:p w14:paraId="0D80D9FB" w14:textId="77777777" w:rsidR="00144CC3" w:rsidRPr="00DE3735" w:rsidRDefault="00144CC3">
            <w:pPr>
              <w:pStyle w:val="08-Tabelageral"/>
              <w:jc w:val="center"/>
              <w:rPr>
                <w:b/>
              </w:rPr>
            </w:pPr>
          </w:p>
        </w:tc>
        <w:tc>
          <w:tcPr>
            <w:tcW w:w="2311" w:type="dxa"/>
            <w:gridSpan w:val="3"/>
            <w:tcBorders>
              <w:top w:val="single" w:sz="2" w:space="0" w:color="1F3864" w:themeColor="accent1" w:themeShade="80"/>
              <w:bottom w:val="single" w:sz="2" w:space="0" w:color="9CC2E5" w:themeColor="accent5" w:themeTint="99"/>
            </w:tcBorders>
            <w:shd w:val="clear" w:color="auto" w:fill="FFFFFF" w:themeFill="background1"/>
            <w:vAlign w:val="center"/>
          </w:tcPr>
          <w:p w14:paraId="23371EC5" w14:textId="77777777" w:rsidR="00144CC3" w:rsidRPr="00DE3735" w:rsidRDefault="00144CC3">
            <w:pPr>
              <w:pStyle w:val="08-Tabelageral"/>
              <w:jc w:val="center"/>
              <w:rPr>
                <w:b/>
              </w:rPr>
            </w:pPr>
            <w:r w:rsidRPr="00406E5A">
              <w:rPr>
                <w:b/>
              </w:rPr>
              <w:t>Exercício 202</w:t>
            </w:r>
            <w:r>
              <w:rPr>
                <w:b/>
              </w:rPr>
              <w:t>4</w:t>
            </w:r>
          </w:p>
        </w:tc>
        <w:tc>
          <w:tcPr>
            <w:tcW w:w="302" w:type="dxa"/>
            <w:gridSpan w:val="2"/>
            <w:tcBorders>
              <w:top w:val="single" w:sz="2" w:space="0" w:color="1F3864" w:themeColor="accent1" w:themeShade="80"/>
              <w:bottom w:val="nil"/>
            </w:tcBorders>
            <w:shd w:val="clear" w:color="auto" w:fill="FFFFFF" w:themeFill="background1"/>
            <w:vAlign w:val="center"/>
          </w:tcPr>
          <w:p w14:paraId="14A421F8" w14:textId="77777777" w:rsidR="00144CC3" w:rsidRPr="00DE3735" w:rsidRDefault="00144CC3">
            <w:pPr>
              <w:pStyle w:val="08-Tabelageral"/>
              <w:jc w:val="center"/>
              <w:rPr>
                <w:b/>
              </w:rPr>
            </w:pPr>
          </w:p>
        </w:tc>
        <w:tc>
          <w:tcPr>
            <w:tcW w:w="3244" w:type="dxa"/>
            <w:gridSpan w:val="5"/>
            <w:tcBorders>
              <w:top w:val="single" w:sz="2" w:space="0" w:color="1F3864" w:themeColor="accent1" w:themeShade="80"/>
              <w:bottom w:val="single" w:sz="2" w:space="0" w:color="9CC2E5" w:themeColor="accent5" w:themeTint="99"/>
            </w:tcBorders>
            <w:shd w:val="clear" w:color="auto" w:fill="FFFFFF" w:themeFill="background1"/>
            <w:vAlign w:val="center"/>
          </w:tcPr>
          <w:p w14:paraId="77B7D59F" w14:textId="77777777" w:rsidR="00144CC3" w:rsidRPr="00DE3735" w:rsidRDefault="00144CC3">
            <w:pPr>
              <w:pStyle w:val="08-Tabelageral"/>
              <w:jc w:val="center"/>
              <w:rPr>
                <w:b/>
              </w:rPr>
            </w:pPr>
            <w:r>
              <w:rPr>
                <w:b/>
              </w:rPr>
              <w:t>31.12.2024</w:t>
            </w:r>
          </w:p>
        </w:tc>
      </w:tr>
      <w:tr w:rsidR="00144CC3" w:rsidRPr="00F71EE3" w14:paraId="05F83553" w14:textId="77777777">
        <w:trPr>
          <w:trHeight w:val="238"/>
          <w:jc w:val="center"/>
        </w:trPr>
        <w:tc>
          <w:tcPr>
            <w:tcW w:w="2038" w:type="dxa"/>
            <w:vMerge/>
            <w:tcBorders>
              <w:top w:val="nil"/>
              <w:bottom w:val="single" w:sz="2" w:space="0" w:color="1F3864" w:themeColor="accent1" w:themeShade="80"/>
            </w:tcBorders>
            <w:shd w:val="clear" w:color="auto" w:fill="FFFFFF" w:themeFill="background1"/>
          </w:tcPr>
          <w:p w14:paraId="1053A6BA" w14:textId="77777777" w:rsidR="00144CC3" w:rsidRPr="00F71EE3" w:rsidRDefault="00144CC3">
            <w:pPr>
              <w:rPr>
                <w:rFonts w:ascii="Arial" w:hAnsi="Arial" w:cs="Arial"/>
                <w:sz w:val="14"/>
                <w:szCs w:val="14"/>
              </w:rPr>
            </w:pPr>
          </w:p>
        </w:tc>
        <w:tc>
          <w:tcPr>
            <w:tcW w:w="245" w:type="dxa"/>
            <w:tcBorders>
              <w:top w:val="nil"/>
              <w:bottom w:val="single" w:sz="2" w:space="0" w:color="1F3864" w:themeColor="accent1" w:themeShade="80"/>
            </w:tcBorders>
            <w:shd w:val="clear" w:color="auto" w:fill="FFFFFF" w:themeFill="background1"/>
          </w:tcPr>
          <w:p w14:paraId="742FE311" w14:textId="77777777" w:rsidR="00144CC3" w:rsidRPr="00F71EE3" w:rsidRDefault="00144CC3">
            <w:pPr>
              <w:jc w:val="center"/>
              <w:rPr>
                <w:rFonts w:ascii="Arial" w:hAnsi="Arial" w:cs="Arial"/>
                <w:b/>
                <w:sz w:val="14"/>
                <w:szCs w:val="14"/>
              </w:rPr>
            </w:pPr>
          </w:p>
        </w:tc>
        <w:tc>
          <w:tcPr>
            <w:tcW w:w="1027"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6C26F789" w14:textId="77777777" w:rsidR="00144CC3" w:rsidRPr="00DE3735" w:rsidRDefault="00144CC3">
            <w:pPr>
              <w:pStyle w:val="08-Tabelageral"/>
              <w:jc w:val="center"/>
              <w:rPr>
                <w:b/>
              </w:rPr>
            </w:pPr>
            <w:r w:rsidRPr="00DE3735">
              <w:rPr>
                <w:b/>
              </w:rPr>
              <w:t>Saldo Contábil</w:t>
            </w:r>
          </w:p>
        </w:tc>
        <w:tc>
          <w:tcPr>
            <w:tcW w:w="387" w:type="dxa"/>
            <w:gridSpan w:val="2"/>
            <w:tcBorders>
              <w:top w:val="nil"/>
              <w:bottom w:val="single" w:sz="2" w:space="0" w:color="1F3864" w:themeColor="accent1" w:themeShade="80"/>
            </w:tcBorders>
            <w:shd w:val="clear" w:color="auto" w:fill="FFFFFF" w:themeFill="background1"/>
            <w:vAlign w:val="center"/>
          </w:tcPr>
          <w:p w14:paraId="2DF3466C" w14:textId="77777777" w:rsidR="00144CC3" w:rsidRPr="00DE3735" w:rsidRDefault="00144CC3">
            <w:pPr>
              <w:pStyle w:val="08-Tabelageral"/>
              <w:jc w:val="center"/>
              <w:rPr>
                <w:b/>
              </w:rPr>
            </w:pPr>
          </w:p>
        </w:tc>
        <w:tc>
          <w:tcPr>
            <w:tcW w:w="1049" w:type="dxa"/>
            <w:gridSpan w:val="3"/>
            <w:tcBorders>
              <w:top w:val="single" w:sz="2" w:space="0" w:color="1F3864" w:themeColor="accent1" w:themeShade="80"/>
              <w:bottom w:val="single" w:sz="2" w:space="0" w:color="1F3864" w:themeColor="accent1" w:themeShade="80"/>
            </w:tcBorders>
            <w:shd w:val="clear" w:color="auto" w:fill="FFFFFF" w:themeFill="background1"/>
            <w:vAlign w:val="center"/>
          </w:tcPr>
          <w:p w14:paraId="68E15641" w14:textId="77777777" w:rsidR="00144CC3" w:rsidRPr="00DE3735" w:rsidRDefault="00144CC3">
            <w:pPr>
              <w:pStyle w:val="08-Tabelageral"/>
              <w:jc w:val="center"/>
              <w:rPr>
                <w:b/>
              </w:rPr>
            </w:pPr>
            <w:r w:rsidRPr="00DE3735">
              <w:rPr>
                <w:b/>
              </w:rPr>
              <w:t>Aquisições</w:t>
            </w:r>
            <w:r>
              <w:t xml:space="preserve"> </w:t>
            </w:r>
            <w:r w:rsidRPr="002460AB">
              <w:rPr>
                <w:b/>
              </w:rPr>
              <w:t>no Período</w:t>
            </w:r>
          </w:p>
        </w:tc>
        <w:tc>
          <w:tcPr>
            <w:tcW w:w="1294"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27B6DE39" w14:textId="77777777" w:rsidR="00144CC3" w:rsidRPr="00DE3735" w:rsidRDefault="00144CC3">
            <w:pPr>
              <w:pStyle w:val="08-Tabelageral"/>
              <w:jc w:val="center"/>
              <w:rPr>
                <w:b/>
              </w:rPr>
            </w:pPr>
            <w:r w:rsidRPr="00DE3735">
              <w:rPr>
                <w:b/>
              </w:rPr>
              <w:t xml:space="preserve">Amortização </w:t>
            </w:r>
            <w:r w:rsidRPr="002460AB">
              <w:rPr>
                <w:b/>
              </w:rPr>
              <w:t>no Período</w:t>
            </w:r>
            <w:r w:rsidRPr="004D4718">
              <w:rPr>
                <w:b/>
              </w:rPr>
              <w:t xml:space="preserve">            </w:t>
            </w:r>
          </w:p>
        </w:tc>
        <w:tc>
          <w:tcPr>
            <w:tcW w:w="236" w:type="dxa"/>
            <w:gridSpan w:val="2"/>
            <w:tcBorders>
              <w:top w:val="nil"/>
              <w:bottom w:val="single" w:sz="2" w:space="0" w:color="1F3864" w:themeColor="accent1" w:themeShade="80"/>
            </w:tcBorders>
            <w:shd w:val="clear" w:color="auto" w:fill="FFFFFF" w:themeFill="background1"/>
            <w:vAlign w:val="center"/>
          </w:tcPr>
          <w:p w14:paraId="2D77E5AF" w14:textId="77777777" w:rsidR="00144CC3" w:rsidRPr="00DE3735" w:rsidRDefault="00144CC3">
            <w:pPr>
              <w:pStyle w:val="08-Tabelageral"/>
              <w:jc w:val="center"/>
              <w:rPr>
                <w:b/>
              </w:rPr>
            </w:pPr>
          </w:p>
        </w:tc>
        <w:tc>
          <w:tcPr>
            <w:tcW w:w="1224" w:type="dxa"/>
            <w:gridSpan w:val="2"/>
            <w:tcBorders>
              <w:top w:val="single" w:sz="2" w:space="0" w:color="1F3864" w:themeColor="accent1" w:themeShade="80"/>
              <w:bottom w:val="single" w:sz="2" w:space="0" w:color="1F3864" w:themeColor="accent1" w:themeShade="80"/>
            </w:tcBorders>
            <w:shd w:val="clear" w:color="auto" w:fill="FFFFFF" w:themeFill="background1"/>
            <w:vAlign w:val="center"/>
          </w:tcPr>
          <w:p w14:paraId="6BB32E28" w14:textId="77777777" w:rsidR="00144CC3" w:rsidRPr="00DE3735" w:rsidRDefault="00144CC3">
            <w:pPr>
              <w:pStyle w:val="08-Tabelageral"/>
              <w:jc w:val="center"/>
              <w:rPr>
                <w:b/>
              </w:rPr>
            </w:pPr>
            <w:r w:rsidRPr="00DE3735">
              <w:rPr>
                <w:b/>
              </w:rPr>
              <w:t>Valor de Custo</w:t>
            </w:r>
          </w:p>
        </w:tc>
        <w:tc>
          <w:tcPr>
            <w:tcW w:w="1130" w:type="dxa"/>
            <w:gridSpan w:val="2"/>
            <w:tcBorders>
              <w:top w:val="single" w:sz="2" w:space="0" w:color="1F3864" w:themeColor="accent1" w:themeShade="80"/>
              <w:bottom w:val="single" w:sz="2" w:space="0" w:color="1F3864" w:themeColor="accent1" w:themeShade="80"/>
            </w:tcBorders>
            <w:shd w:val="clear" w:color="auto" w:fill="FFFFFF" w:themeFill="background1"/>
            <w:vAlign w:val="center"/>
          </w:tcPr>
          <w:p w14:paraId="53FEAE97" w14:textId="77777777" w:rsidR="00144CC3" w:rsidRPr="00DE3735" w:rsidRDefault="00144CC3">
            <w:pPr>
              <w:pStyle w:val="08-Tabelageral"/>
              <w:jc w:val="center"/>
              <w:rPr>
                <w:b/>
              </w:rPr>
            </w:pPr>
            <w:r w:rsidRPr="00DE3735">
              <w:rPr>
                <w:b/>
                <w:bCs/>
              </w:rPr>
              <w:t>Amortização Acumulada</w:t>
            </w:r>
          </w:p>
        </w:tc>
        <w:tc>
          <w:tcPr>
            <w:tcW w:w="1009" w:type="dxa"/>
            <w:gridSpan w:val="2"/>
            <w:tcBorders>
              <w:top w:val="single" w:sz="2" w:space="0" w:color="1F3864" w:themeColor="accent1" w:themeShade="80"/>
              <w:bottom w:val="single" w:sz="2" w:space="0" w:color="1F3864" w:themeColor="accent1" w:themeShade="80"/>
            </w:tcBorders>
            <w:shd w:val="clear" w:color="auto" w:fill="FFFFFF" w:themeFill="background1"/>
            <w:vAlign w:val="center"/>
          </w:tcPr>
          <w:p w14:paraId="6C7CACA5" w14:textId="77777777" w:rsidR="00144CC3" w:rsidRPr="00DE3735" w:rsidRDefault="00144CC3">
            <w:pPr>
              <w:pStyle w:val="08-Tabelageral"/>
              <w:jc w:val="center"/>
              <w:rPr>
                <w:b/>
              </w:rPr>
            </w:pPr>
            <w:r w:rsidRPr="00DE3735">
              <w:rPr>
                <w:b/>
                <w:bCs/>
              </w:rPr>
              <w:t>Saldo Contábil</w:t>
            </w:r>
          </w:p>
        </w:tc>
      </w:tr>
      <w:tr w:rsidR="00144CC3" w:rsidRPr="00543AEB" w14:paraId="2B31D736" w14:textId="77777777">
        <w:trPr>
          <w:trHeight w:val="238"/>
          <w:jc w:val="center"/>
        </w:trPr>
        <w:tc>
          <w:tcPr>
            <w:tcW w:w="2038" w:type="dxa"/>
            <w:tcBorders>
              <w:top w:val="single" w:sz="2" w:space="0" w:color="1F3864" w:themeColor="accent1" w:themeShade="80"/>
              <w:bottom w:val="single" w:sz="2" w:space="0" w:color="1F3864" w:themeColor="accent1" w:themeShade="80"/>
            </w:tcBorders>
            <w:shd w:val="clear" w:color="auto" w:fill="FFFFFF" w:themeFill="background1"/>
          </w:tcPr>
          <w:p w14:paraId="1E225C8A" w14:textId="77777777" w:rsidR="00144CC3" w:rsidRPr="003B0482" w:rsidRDefault="00144CC3">
            <w:pPr>
              <w:pStyle w:val="08-Tabelageral"/>
              <w:jc w:val="left"/>
              <w:rPr>
                <w:rFonts w:cs="Arial"/>
                <w:b/>
                <w:szCs w:val="14"/>
                <w:vertAlign w:val="superscript"/>
              </w:rPr>
            </w:pPr>
            <w:r w:rsidRPr="003B0482">
              <w:rPr>
                <w:rFonts w:cs="Arial"/>
                <w:szCs w:val="14"/>
              </w:rPr>
              <w:t>Software adquirido – ERP</w:t>
            </w:r>
            <w:r>
              <w:rPr>
                <w:rFonts w:cs="Arial"/>
                <w:szCs w:val="14"/>
              </w:rPr>
              <w:t xml:space="preserve"> </w:t>
            </w:r>
            <w:r w:rsidRPr="003B0482">
              <w:rPr>
                <w:rFonts w:cs="Arial"/>
                <w:szCs w:val="14"/>
                <w:vertAlign w:val="superscript"/>
              </w:rPr>
              <w:t>(1)</w:t>
            </w:r>
          </w:p>
        </w:tc>
        <w:tc>
          <w:tcPr>
            <w:tcW w:w="245" w:type="dxa"/>
            <w:tcBorders>
              <w:top w:val="single" w:sz="2" w:space="0" w:color="1F3864" w:themeColor="accent1" w:themeShade="80"/>
              <w:bottom w:val="single" w:sz="2" w:space="0" w:color="1F3864" w:themeColor="accent1" w:themeShade="80"/>
            </w:tcBorders>
            <w:shd w:val="clear" w:color="auto" w:fill="FFFFFF" w:themeFill="background1"/>
          </w:tcPr>
          <w:p w14:paraId="2744D421" w14:textId="77777777" w:rsidR="00144CC3" w:rsidRPr="003B0482" w:rsidRDefault="00144CC3">
            <w:pPr>
              <w:pStyle w:val="08-Tabelageral"/>
              <w:jc w:val="center"/>
              <w:rPr>
                <w:rFonts w:cs="Arial"/>
                <w:szCs w:val="14"/>
              </w:rPr>
            </w:pPr>
          </w:p>
        </w:tc>
        <w:tc>
          <w:tcPr>
            <w:tcW w:w="1027" w:type="dxa"/>
            <w:tcBorders>
              <w:top w:val="single" w:sz="2" w:space="0" w:color="1F3864" w:themeColor="accent1" w:themeShade="80"/>
              <w:bottom w:val="single" w:sz="2" w:space="0" w:color="1F3864" w:themeColor="accent1" w:themeShade="80"/>
            </w:tcBorders>
            <w:shd w:val="clear" w:color="auto" w:fill="FFFFFF" w:themeFill="background1"/>
          </w:tcPr>
          <w:p w14:paraId="168AC018" w14:textId="77777777" w:rsidR="00144CC3" w:rsidRPr="003B0482" w:rsidRDefault="00144CC3">
            <w:pPr>
              <w:pStyle w:val="08-Tabelageral"/>
              <w:jc w:val="center"/>
              <w:rPr>
                <w:rFonts w:cs="Arial"/>
                <w:szCs w:val="14"/>
              </w:rPr>
            </w:pPr>
            <w:r w:rsidRPr="002460AB">
              <w:rPr>
                <w:rFonts w:cs="Arial"/>
                <w:szCs w:val="14"/>
              </w:rPr>
              <w:t>3.58</w:t>
            </w:r>
            <w:r>
              <w:rPr>
                <w:rFonts w:cs="Arial"/>
                <w:szCs w:val="14"/>
              </w:rPr>
              <w:t>5</w:t>
            </w:r>
          </w:p>
        </w:tc>
        <w:tc>
          <w:tcPr>
            <w:tcW w:w="453" w:type="dxa"/>
            <w:gridSpan w:val="3"/>
            <w:tcBorders>
              <w:top w:val="single" w:sz="2" w:space="0" w:color="1F3864" w:themeColor="accent1" w:themeShade="80"/>
              <w:bottom w:val="single" w:sz="2" w:space="0" w:color="1F3864" w:themeColor="accent1" w:themeShade="80"/>
            </w:tcBorders>
            <w:shd w:val="clear" w:color="auto" w:fill="FFFFFF" w:themeFill="background1"/>
          </w:tcPr>
          <w:p w14:paraId="63F824D8" w14:textId="77777777" w:rsidR="00144CC3" w:rsidRPr="003B0482" w:rsidRDefault="00144CC3">
            <w:pPr>
              <w:pStyle w:val="08-Tabelageral"/>
              <w:jc w:val="left"/>
              <w:rPr>
                <w:rFonts w:cs="Arial"/>
                <w:szCs w:val="14"/>
              </w:rPr>
            </w:pPr>
          </w:p>
        </w:tc>
        <w:tc>
          <w:tcPr>
            <w:tcW w:w="983" w:type="dxa"/>
            <w:gridSpan w:val="2"/>
            <w:tcBorders>
              <w:top w:val="single" w:sz="2" w:space="0" w:color="1F3864" w:themeColor="accent1" w:themeShade="80"/>
              <w:bottom w:val="single" w:sz="2" w:space="0" w:color="1F3864" w:themeColor="accent1" w:themeShade="80"/>
            </w:tcBorders>
            <w:shd w:val="clear" w:color="auto" w:fill="FFFFFF" w:themeFill="background1"/>
          </w:tcPr>
          <w:p w14:paraId="41AA614A" w14:textId="77777777" w:rsidR="00144CC3" w:rsidRPr="003B0482" w:rsidRDefault="00144CC3">
            <w:pPr>
              <w:pStyle w:val="08-Tabelageral"/>
              <w:jc w:val="center"/>
              <w:rPr>
                <w:rFonts w:cs="Arial"/>
                <w:szCs w:val="14"/>
              </w:rPr>
            </w:pPr>
            <w:r>
              <w:rPr>
                <w:rFonts w:cs="Arial"/>
                <w:szCs w:val="14"/>
              </w:rPr>
              <w:t>109</w:t>
            </w:r>
          </w:p>
        </w:tc>
        <w:tc>
          <w:tcPr>
            <w:tcW w:w="1294" w:type="dxa"/>
            <w:tcBorders>
              <w:top w:val="single" w:sz="2" w:space="0" w:color="1F3864" w:themeColor="accent1" w:themeShade="80"/>
              <w:bottom w:val="single" w:sz="2" w:space="0" w:color="1F3864" w:themeColor="accent1" w:themeShade="80"/>
            </w:tcBorders>
            <w:shd w:val="clear" w:color="auto" w:fill="FFFFFF" w:themeFill="background1"/>
          </w:tcPr>
          <w:p w14:paraId="40632029" w14:textId="77777777" w:rsidR="00144CC3" w:rsidRPr="003B0482" w:rsidRDefault="00144CC3">
            <w:pPr>
              <w:pStyle w:val="08-Tabelageral"/>
              <w:jc w:val="center"/>
              <w:rPr>
                <w:rFonts w:cs="Arial"/>
                <w:szCs w:val="14"/>
              </w:rPr>
            </w:pPr>
            <w:r>
              <w:rPr>
                <w:rFonts w:cs="Arial"/>
                <w:szCs w:val="14"/>
              </w:rPr>
              <w:t>(904)</w:t>
            </w:r>
          </w:p>
        </w:tc>
        <w:tc>
          <w:tcPr>
            <w:tcW w:w="236" w:type="dxa"/>
            <w:gridSpan w:val="2"/>
            <w:tcBorders>
              <w:top w:val="single" w:sz="2" w:space="0" w:color="1F3864" w:themeColor="accent1" w:themeShade="80"/>
              <w:bottom w:val="single" w:sz="2" w:space="0" w:color="1F3864" w:themeColor="accent1" w:themeShade="80"/>
            </w:tcBorders>
            <w:shd w:val="clear" w:color="auto" w:fill="FFFFFF" w:themeFill="background1"/>
          </w:tcPr>
          <w:p w14:paraId="35D59B4A" w14:textId="77777777" w:rsidR="00144CC3" w:rsidRPr="003B0482" w:rsidRDefault="00144CC3">
            <w:pPr>
              <w:pStyle w:val="08-Tabelageral"/>
              <w:jc w:val="left"/>
              <w:rPr>
                <w:rFonts w:cs="Arial"/>
                <w:szCs w:val="14"/>
              </w:rPr>
            </w:pPr>
          </w:p>
        </w:tc>
        <w:tc>
          <w:tcPr>
            <w:tcW w:w="1394" w:type="dxa"/>
            <w:gridSpan w:val="3"/>
            <w:tcBorders>
              <w:top w:val="single" w:sz="2" w:space="0" w:color="1F3864" w:themeColor="accent1" w:themeShade="80"/>
              <w:bottom w:val="single" w:sz="2" w:space="0" w:color="1F3864" w:themeColor="accent1" w:themeShade="80"/>
            </w:tcBorders>
            <w:shd w:val="clear" w:color="auto" w:fill="FFFFFF" w:themeFill="background1"/>
          </w:tcPr>
          <w:p w14:paraId="5EB329EB" w14:textId="77777777" w:rsidR="00144CC3" w:rsidRPr="002174AE" w:rsidRDefault="00144CC3">
            <w:pPr>
              <w:pStyle w:val="08-Tabelageral"/>
              <w:jc w:val="center"/>
              <w:rPr>
                <w:rFonts w:cs="Arial"/>
                <w:szCs w:val="14"/>
              </w:rPr>
            </w:pPr>
            <w:r w:rsidRPr="004A038C">
              <w:rPr>
                <w:rFonts w:cs="Arial"/>
                <w:szCs w:val="14"/>
              </w:rPr>
              <w:t>7.</w:t>
            </w:r>
            <w:r>
              <w:rPr>
                <w:rFonts w:cs="Arial"/>
                <w:szCs w:val="14"/>
              </w:rPr>
              <w:t>837</w:t>
            </w:r>
          </w:p>
        </w:tc>
        <w:tc>
          <w:tcPr>
            <w:tcW w:w="1071" w:type="dxa"/>
            <w:gridSpan w:val="2"/>
            <w:tcBorders>
              <w:top w:val="single" w:sz="2" w:space="0" w:color="1F3864" w:themeColor="accent1" w:themeShade="80"/>
              <w:bottom w:val="single" w:sz="2" w:space="0" w:color="1F3864" w:themeColor="accent1" w:themeShade="80"/>
            </w:tcBorders>
            <w:shd w:val="clear" w:color="auto" w:fill="FFFFFF" w:themeFill="background1"/>
          </w:tcPr>
          <w:p w14:paraId="1A5BF384" w14:textId="77777777" w:rsidR="00144CC3" w:rsidRPr="002174AE" w:rsidRDefault="00144CC3">
            <w:pPr>
              <w:pStyle w:val="08-Tabelageral"/>
              <w:jc w:val="center"/>
              <w:rPr>
                <w:rFonts w:cs="Arial"/>
                <w:szCs w:val="14"/>
              </w:rPr>
            </w:pPr>
            <w:r>
              <w:rPr>
                <w:rFonts w:cs="Arial"/>
                <w:szCs w:val="14"/>
              </w:rPr>
              <w:t>(5.047)</w:t>
            </w:r>
          </w:p>
        </w:tc>
        <w:tc>
          <w:tcPr>
            <w:tcW w:w="898" w:type="dxa"/>
            <w:tcBorders>
              <w:top w:val="single" w:sz="2" w:space="0" w:color="1F3864" w:themeColor="accent1" w:themeShade="80"/>
              <w:bottom w:val="single" w:sz="2" w:space="0" w:color="1F3864" w:themeColor="accent1" w:themeShade="80"/>
            </w:tcBorders>
            <w:shd w:val="clear" w:color="auto" w:fill="FFFFFF" w:themeFill="background1"/>
          </w:tcPr>
          <w:p w14:paraId="5499CBF2" w14:textId="77777777" w:rsidR="00144CC3" w:rsidRPr="003B0482" w:rsidRDefault="00144CC3">
            <w:pPr>
              <w:pStyle w:val="08-Tabelageral"/>
              <w:jc w:val="center"/>
              <w:rPr>
                <w:rFonts w:cs="Arial"/>
                <w:szCs w:val="14"/>
              </w:rPr>
            </w:pPr>
            <w:r w:rsidRPr="004A038C">
              <w:rPr>
                <w:rFonts w:cs="Arial"/>
                <w:szCs w:val="14"/>
              </w:rPr>
              <w:t>2.</w:t>
            </w:r>
            <w:r>
              <w:rPr>
                <w:rFonts w:cs="Arial"/>
                <w:szCs w:val="14"/>
              </w:rPr>
              <w:t>790</w:t>
            </w:r>
          </w:p>
        </w:tc>
      </w:tr>
    </w:tbl>
    <w:p w14:paraId="3219F35B" w14:textId="77777777" w:rsidR="00144CC3" w:rsidRDefault="00144CC3" w:rsidP="00144CC3">
      <w:pPr>
        <w:pStyle w:val="07-Legenda"/>
        <w:numPr>
          <w:ilvl w:val="0"/>
          <w:numId w:val="2"/>
        </w:numPr>
        <w:tabs>
          <w:tab w:val="clear" w:pos="284"/>
          <w:tab w:val="left" w:pos="0"/>
        </w:tabs>
        <w:ind w:left="284" w:hanging="284"/>
      </w:pPr>
      <w:r w:rsidRPr="00F26FC4">
        <w:t>A partir de janeiro de 2018</w:t>
      </w:r>
      <w:r>
        <w:t xml:space="preserve">, iniciou-se </w:t>
      </w:r>
      <w:r w:rsidRPr="00F26FC4">
        <w:t>a amortização do</w:t>
      </w:r>
      <w:r>
        <w:t xml:space="preserve"> custo do </w:t>
      </w:r>
      <w:r w:rsidRPr="00A71578">
        <w:rPr>
          <w:i/>
          <w:iCs/>
        </w:rPr>
        <w:t>software</w:t>
      </w:r>
      <w:r w:rsidRPr="00F26FC4">
        <w:t xml:space="preserve"> de gestão adquirido (</w:t>
      </w:r>
      <w:r w:rsidRPr="00255E0A">
        <w:rPr>
          <w:i/>
        </w:rPr>
        <w:t xml:space="preserve">Enterprise </w:t>
      </w:r>
      <w:proofErr w:type="spellStart"/>
      <w:r w:rsidRPr="00255E0A">
        <w:rPr>
          <w:i/>
        </w:rPr>
        <w:t>Resource</w:t>
      </w:r>
      <w:proofErr w:type="spellEnd"/>
      <w:r w:rsidRPr="00255E0A">
        <w:rPr>
          <w:i/>
        </w:rPr>
        <w:t xml:space="preserve"> Planning</w:t>
      </w:r>
      <w:r w:rsidRPr="00F26FC4">
        <w:t xml:space="preserve"> – ERP), conforme CPC 04 </w:t>
      </w:r>
      <w:r>
        <w:t>[</w:t>
      </w:r>
      <w:r w:rsidRPr="00F26FC4">
        <w:t>IAS 38</w:t>
      </w:r>
      <w:r>
        <w:t>]</w:t>
      </w:r>
      <w:r w:rsidRPr="00F26FC4">
        <w:t xml:space="preserve"> – Ativo Intangível, em que o prazo de amortização é de dez anos e a amortização, calculada à taxa anual de 10%,</w:t>
      </w:r>
      <w:r>
        <w:t xml:space="preserve"> é reconhecida no resultado </w:t>
      </w:r>
      <w:r w:rsidRPr="00F26FC4">
        <w:t>pelo método linear.</w:t>
      </w:r>
      <w:r>
        <w:t xml:space="preserve"> Para as novas aquisições, o prazo de amortização é o período restante da vida útil.</w:t>
      </w:r>
    </w:p>
    <w:p w14:paraId="2899C180" w14:textId="77777777" w:rsidR="00144CC3" w:rsidRDefault="00144CC3" w:rsidP="00144CC3">
      <w:pPr>
        <w:spacing w:after="120"/>
        <w:rPr>
          <w:rFonts w:ascii="Arial" w:hAnsi="Arial" w:cs="Arial"/>
          <w:b/>
          <w:color w:val="1F3864" w:themeColor="accent1" w:themeShade="80"/>
          <w:sz w:val="18"/>
          <w:szCs w:val="18"/>
        </w:rPr>
      </w:pPr>
    </w:p>
    <w:p w14:paraId="2DA1245E" w14:textId="77777777" w:rsidR="00144CC3" w:rsidRPr="00DB05FD" w:rsidRDefault="00144CC3" w:rsidP="00144CC3">
      <w:pPr>
        <w:pStyle w:val="01-TtulodeNota"/>
        <w:rPr>
          <w:color w:val="1F3864" w:themeColor="accent1" w:themeShade="80"/>
          <w:sz w:val="18"/>
        </w:rPr>
      </w:pPr>
      <w:r w:rsidRPr="00DB05FD">
        <w:rPr>
          <w:color w:val="1F3864" w:themeColor="accent1" w:themeShade="80"/>
          <w:sz w:val="18"/>
        </w:rPr>
        <w:t>a.1) Estimativa de amortização</w:t>
      </w:r>
    </w:p>
    <w:p w14:paraId="19FCEDF6" w14:textId="77777777" w:rsidR="00144CC3" w:rsidRPr="00315C9A" w:rsidRDefault="00144CC3" w:rsidP="00144CC3">
      <w:pPr>
        <w:pStyle w:val="07-Legenda"/>
        <w:ind w:left="708" w:firstLine="0"/>
        <w:jc w:val="right"/>
        <w:rPr>
          <w:b/>
          <w:szCs w:val="12"/>
        </w:rPr>
      </w:pPr>
      <w:r w:rsidRPr="00315C9A">
        <w:rPr>
          <w:b/>
          <w:szCs w:val="12"/>
        </w:rPr>
        <w:t>R$ mil</w:t>
      </w:r>
    </w:p>
    <w:tbl>
      <w:tblPr>
        <w:tblW w:w="9639" w:type="dxa"/>
        <w:jc w:val="center"/>
        <w:tblBorders>
          <w:top w:val="single" w:sz="2" w:space="0" w:color="1F3864" w:themeColor="accent1" w:themeShade="80"/>
          <w:bottom w:val="single" w:sz="2" w:space="0" w:color="1F3864" w:themeColor="accent1" w:themeShade="80"/>
          <w:insideH w:val="single" w:sz="2" w:space="0" w:color="1F3864" w:themeColor="accent1" w:themeShade="80"/>
        </w:tblBorders>
        <w:shd w:val="clear" w:color="auto" w:fill="FFFFFF" w:themeFill="background1"/>
        <w:tblLook w:val="04A0" w:firstRow="1" w:lastRow="0" w:firstColumn="1" w:lastColumn="0" w:noHBand="0" w:noVBand="1"/>
      </w:tblPr>
      <w:tblGrid>
        <w:gridCol w:w="3113"/>
        <w:gridCol w:w="1051"/>
        <w:gridCol w:w="1052"/>
        <w:gridCol w:w="1058"/>
        <w:gridCol w:w="1058"/>
        <w:gridCol w:w="1158"/>
        <w:gridCol w:w="1149"/>
      </w:tblGrid>
      <w:tr w:rsidR="00144CC3" w:rsidRPr="00255E0A" w14:paraId="4CCCD5FA" w14:textId="77777777">
        <w:trPr>
          <w:trHeight w:val="238"/>
          <w:jc w:val="center"/>
        </w:trPr>
        <w:tc>
          <w:tcPr>
            <w:tcW w:w="3162" w:type="dxa"/>
            <w:shd w:val="clear" w:color="auto" w:fill="FFFFFF" w:themeFill="background1"/>
            <w:vAlign w:val="center"/>
          </w:tcPr>
          <w:p w14:paraId="1741B89B" w14:textId="77777777" w:rsidR="00144CC3" w:rsidRPr="00255E0A" w:rsidRDefault="00144CC3">
            <w:pPr>
              <w:pStyle w:val="08-Tabelageral"/>
              <w:jc w:val="center"/>
              <w:rPr>
                <w:b/>
              </w:rPr>
            </w:pPr>
          </w:p>
        </w:tc>
        <w:tc>
          <w:tcPr>
            <w:tcW w:w="1070" w:type="dxa"/>
            <w:shd w:val="clear" w:color="auto" w:fill="FFFFFF" w:themeFill="background1"/>
            <w:vAlign w:val="center"/>
          </w:tcPr>
          <w:p w14:paraId="4F53DBAA" w14:textId="77777777" w:rsidR="00144CC3" w:rsidRPr="00255E0A" w:rsidRDefault="00144CC3">
            <w:pPr>
              <w:pStyle w:val="08-Tabelageral"/>
              <w:jc w:val="center"/>
              <w:rPr>
                <w:b/>
              </w:rPr>
            </w:pPr>
          </w:p>
        </w:tc>
        <w:tc>
          <w:tcPr>
            <w:tcW w:w="1071" w:type="dxa"/>
            <w:shd w:val="clear" w:color="auto" w:fill="FFFFFF" w:themeFill="background1"/>
            <w:vAlign w:val="center"/>
          </w:tcPr>
          <w:p w14:paraId="5F1EDBED" w14:textId="77777777" w:rsidR="00144CC3" w:rsidRPr="00255E0A" w:rsidRDefault="00144CC3">
            <w:pPr>
              <w:pStyle w:val="08-Tabelageral"/>
              <w:jc w:val="center"/>
              <w:rPr>
                <w:b/>
              </w:rPr>
            </w:pPr>
          </w:p>
        </w:tc>
        <w:tc>
          <w:tcPr>
            <w:tcW w:w="1071" w:type="dxa"/>
            <w:shd w:val="clear" w:color="auto" w:fill="FFFFFF" w:themeFill="background1"/>
            <w:vAlign w:val="center"/>
          </w:tcPr>
          <w:p w14:paraId="3DE804C4" w14:textId="77777777" w:rsidR="00144CC3" w:rsidRPr="00255E0A" w:rsidRDefault="00144CC3">
            <w:pPr>
              <w:pStyle w:val="08-Tabelageral"/>
              <w:jc w:val="center"/>
              <w:rPr>
                <w:b/>
              </w:rPr>
            </w:pPr>
            <w:r w:rsidRPr="00255E0A">
              <w:rPr>
                <w:b/>
              </w:rPr>
              <w:t>2025</w:t>
            </w:r>
          </w:p>
        </w:tc>
        <w:tc>
          <w:tcPr>
            <w:tcW w:w="1071" w:type="dxa"/>
            <w:shd w:val="clear" w:color="auto" w:fill="FFFFFF" w:themeFill="background1"/>
            <w:vAlign w:val="center"/>
          </w:tcPr>
          <w:p w14:paraId="090B9BBD" w14:textId="77777777" w:rsidR="00144CC3" w:rsidRPr="00255E0A" w:rsidRDefault="00144CC3">
            <w:pPr>
              <w:pStyle w:val="08-Tabelageral"/>
              <w:jc w:val="center"/>
              <w:rPr>
                <w:b/>
              </w:rPr>
            </w:pPr>
            <w:r w:rsidRPr="00255E0A">
              <w:rPr>
                <w:b/>
              </w:rPr>
              <w:t>2026</w:t>
            </w:r>
          </w:p>
        </w:tc>
        <w:tc>
          <w:tcPr>
            <w:tcW w:w="1173" w:type="dxa"/>
            <w:shd w:val="clear" w:color="auto" w:fill="FFFFFF" w:themeFill="background1"/>
            <w:vAlign w:val="center"/>
          </w:tcPr>
          <w:p w14:paraId="1D624E8B" w14:textId="77777777" w:rsidR="00144CC3" w:rsidRPr="00255E0A" w:rsidRDefault="00144CC3">
            <w:pPr>
              <w:pStyle w:val="08-Tabelageral"/>
              <w:jc w:val="center"/>
              <w:rPr>
                <w:b/>
              </w:rPr>
            </w:pPr>
            <w:r>
              <w:rPr>
                <w:b/>
              </w:rPr>
              <w:t>2027</w:t>
            </w:r>
          </w:p>
        </w:tc>
        <w:tc>
          <w:tcPr>
            <w:tcW w:w="1163" w:type="dxa"/>
            <w:shd w:val="clear" w:color="auto" w:fill="FFFFFF" w:themeFill="background1"/>
            <w:vAlign w:val="center"/>
          </w:tcPr>
          <w:p w14:paraId="5F6BFCC4" w14:textId="77777777" w:rsidR="00144CC3" w:rsidRPr="00255E0A" w:rsidRDefault="00144CC3">
            <w:pPr>
              <w:pStyle w:val="08-Tabelageral"/>
              <w:jc w:val="center"/>
              <w:rPr>
                <w:b/>
              </w:rPr>
            </w:pPr>
            <w:r w:rsidRPr="00255E0A">
              <w:rPr>
                <w:b/>
              </w:rPr>
              <w:t>Total</w:t>
            </w:r>
          </w:p>
        </w:tc>
      </w:tr>
      <w:tr w:rsidR="00144CC3" w:rsidRPr="00E177EF" w14:paraId="58ECB685" w14:textId="77777777">
        <w:trPr>
          <w:trHeight w:val="238"/>
          <w:jc w:val="center"/>
        </w:trPr>
        <w:tc>
          <w:tcPr>
            <w:tcW w:w="3162" w:type="dxa"/>
            <w:shd w:val="clear" w:color="auto" w:fill="FFFFFF" w:themeFill="background1"/>
          </w:tcPr>
          <w:p w14:paraId="6939AB70" w14:textId="77777777" w:rsidR="00144CC3" w:rsidRPr="0095503D" w:rsidRDefault="00144CC3">
            <w:pPr>
              <w:pStyle w:val="08-Tabelageral"/>
              <w:jc w:val="left"/>
              <w:rPr>
                <w:b/>
                <w:szCs w:val="14"/>
              </w:rPr>
            </w:pPr>
            <w:r w:rsidRPr="0095503D">
              <w:rPr>
                <w:szCs w:val="14"/>
              </w:rPr>
              <w:t>Estimativa de Amortização</w:t>
            </w:r>
          </w:p>
        </w:tc>
        <w:tc>
          <w:tcPr>
            <w:tcW w:w="1070" w:type="dxa"/>
            <w:shd w:val="clear" w:color="auto" w:fill="FFFFFF" w:themeFill="background1"/>
          </w:tcPr>
          <w:p w14:paraId="6472DCCC" w14:textId="77777777" w:rsidR="00144CC3" w:rsidRPr="008331D9" w:rsidRDefault="00144CC3">
            <w:pPr>
              <w:pStyle w:val="08-Tabelageral"/>
              <w:jc w:val="center"/>
              <w:rPr>
                <w:szCs w:val="14"/>
              </w:rPr>
            </w:pPr>
          </w:p>
        </w:tc>
        <w:tc>
          <w:tcPr>
            <w:tcW w:w="1071" w:type="dxa"/>
            <w:shd w:val="clear" w:color="auto" w:fill="FFFFFF" w:themeFill="background1"/>
          </w:tcPr>
          <w:p w14:paraId="258D7AA4" w14:textId="77777777" w:rsidR="00144CC3" w:rsidRPr="008331D9" w:rsidRDefault="00144CC3">
            <w:pPr>
              <w:pStyle w:val="08-Tabelageral"/>
              <w:jc w:val="center"/>
              <w:rPr>
                <w:szCs w:val="14"/>
              </w:rPr>
            </w:pPr>
          </w:p>
        </w:tc>
        <w:tc>
          <w:tcPr>
            <w:tcW w:w="1071" w:type="dxa"/>
            <w:shd w:val="clear" w:color="auto" w:fill="FFFFFF" w:themeFill="background1"/>
          </w:tcPr>
          <w:p w14:paraId="3FA6BB12" w14:textId="77777777" w:rsidR="00144CC3" w:rsidRPr="008331D9" w:rsidRDefault="00144CC3">
            <w:pPr>
              <w:pStyle w:val="08-Tabelageral"/>
              <w:jc w:val="center"/>
              <w:rPr>
                <w:szCs w:val="14"/>
              </w:rPr>
            </w:pPr>
            <w:r w:rsidRPr="004A038C">
              <w:rPr>
                <w:szCs w:val="14"/>
              </w:rPr>
              <w:t>9</w:t>
            </w:r>
            <w:r>
              <w:rPr>
                <w:szCs w:val="14"/>
              </w:rPr>
              <w:t>30</w:t>
            </w:r>
          </w:p>
        </w:tc>
        <w:tc>
          <w:tcPr>
            <w:tcW w:w="1071" w:type="dxa"/>
            <w:shd w:val="clear" w:color="auto" w:fill="FFFFFF" w:themeFill="background1"/>
          </w:tcPr>
          <w:p w14:paraId="7A63850A" w14:textId="77777777" w:rsidR="00144CC3" w:rsidRPr="008331D9" w:rsidRDefault="00144CC3">
            <w:pPr>
              <w:pStyle w:val="08-Tabelageral"/>
              <w:jc w:val="center"/>
              <w:rPr>
                <w:szCs w:val="14"/>
              </w:rPr>
            </w:pPr>
            <w:r w:rsidRPr="004A038C">
              <w:rPr>
                <w:szCs w:val="14"/>
              </w:rPr>
              <w:t>9</w:t>
            </w:r>
            <w:r>
              <w:rPr>
                <w:szCs w:val="14"/>
              </w:rPr>
              <w:t>30</w:t>
            </w:r>
          </w:p>
        </w:tc>
        <w:tc>
          <w:tcPr>
            <w:tcW w:w="1173" w:type="dxa"/>
            <w:shd w:val="clear" w:color="auto" w:fill="FFFFFF" w:themeFill="background1"/>
          </w:tcPr>
          <w:p w14:paraId="56F3D93A" w14:textId="77777777" w:rsidR="00144CC3" w:rsidRPr="008331D9" w:rsidRDefault="00144CC3">
            <w:pPr>
              <w:pStyle w:val="08-Tabelageral"/>
              <w:jc w:val="center"/>
              <w:rPr>
                <w:szCs w:val="14"/>
              </w:rPr>
            </w:pPr>
            <w:r w:rsidRPr="004A038C">
              <w:rPr>
                <w:szCs w:val="14"/>
              </w:rPr>
              <w:t>9</w:t>
            </w:r>
            <w:r>
              <w:rPr>
                <w:szCs w:val="14"/>
              </w:rPr>
              <w:t>30</w:t>
            </w:r>
          </w:p>
        </w:tc>
        <w:tc>
          <w:tcPr>
            <w:tcW w:w="1163" w:type="dxa"/>
            <w:shd w:val="clear" w:color="auto" w:fill="FFFFFF" w:themeFill="background1"/>
          </w:tcPr>
          <w:p w14:paraId="63E16501" w14:textId="77777777" w:rsidR="00144CC3" w:rsidRPr="00B94B8C" w:rsidRDefault="00144CC3">
            <w:pPr>
              <w:pStyle w:val="08-Tabelageral"/>
              <w:jc w:val="center"/>
              <w:rPr>
                <w:bCs/>
              </w:rPr>
            </w:pPr>
            <w:r w:rsidRPr="004A038C">
              <w:rPr>
                <w:bCs/>
              </w:rPr>
              <w:t>2.</w:t>
            </w:r>
            <w:r>
              <w:rPr>
                <w:bCs/>
              </w:rPr>
              <w:t>790</w:t>
            </w:r>
          </w:p>
        </w:tc>
      </w:tr>
    </w:tbl>
    <w:p w14:paraId="7F8CA75A" w14:textId="77777777" w:rsidR="009D7E9E" w:rsidRPr="00BF2AAF" w:rsidRDefault="009D7E9E" w:rsidP="009D7E9E">
      <w:pPr>
        <w:rPr>
          <w:rFonts w:ascii="Arial" w:hAnsi="Arial" w:cs="Arial"/>
          <w:b/>
          <w:color w:val="1F3864" w:themeColor="accent1" w:themeShade="80"/>
          <w:sz w:val="18"/>
          <w:szCs w:val="18"/>
        </w:rPr>
      </w:pPr>
    </w:p>
    <w:p w14:paraId="51092B24" w14:textId="02B94067" w:rsidR="007D4AB0" w:rsidRPr="00BF2AAF" w:rsidRDefault="005C6C41" w:rsidP="005E02D8">
      <w:pPr>
        <w:pStyle w:val="02-TtulodeNota"/>
        <w:keepNext/>
        <w:keepLines/>
        <w:rPr>
          <w:rFonts w:cs="Arial"/>
          <w:b w:val="0"/>
        </w:rPr>
      </w:pPr>
      <w:bookmarkStart w:id="110" w:name="_Toc189757086"/>
      <w:r w:rsidRPr="00BF2AAF">
        <w:rPr>
          <w:rFonts w:cs="Arial"/>
        </w:rPr>
        <w:t>20</w:t>
      </w:r>
      <w:r w:rsidR="007D4AB0" w:rsidRPr="00BF2AAF">
        <w:rPr>
          <w:rFonts w:cs="Arial"/>
        </w:rPr>
        <w:t xml:space="preserve"> – OUTROS ATIVOS</w:t>
      </w:r>
      <w:bookmarkEnd w:id="110"/>
    </w:p>
    <w:p w14:paraId="3CFAD336" w14:textId="77777777" w:rsidR="001C600B" w:rsidRPr="001C600B" w:rsidRDefault="001C600B" w:rsidP="001C600B">
      <w:pPr>
        <w:spacing w:after="0" w:line="240" w:lineRule="auto"/>
        <w:jc w:val="right"/>
        <w:rPr>
          <w:rFonts w:ascii="Arial" w:eastAsia="MS Mincho" w:hAnsi="Arial" w:cs="Arial"/>
          <w:b/>
          <w:sz w:val="14"/>
          <w:szCs w:val="22"/>
          <w:lang w:eastAsia="pt-BR"/>
        </w:rPr>
      </w:pPr>
      <w:r w:rsidRPr="001C600B">
        <w:rPr>
          <w:rFonts w:ascii="Arial" w:eastAsia="MS Mincho" w:hAnsi="Arial" w:cs="Arial"/>
          <w:b/>
          <w:sz w:val="14"/>
          <w:szCs w:val="22"/>
          <w:lang w:eastAsia="pt-BR"/>
        </w:rPr>
        <w:t>R$ mil</w:t>
      </w:r>
    </w:p>
    <w:tbl>
      <w:tblPr>
        <w:tblW w:w="9639" w:type="dxa"/>
        <w:tblBorders>
          <w:top w:val="single" w:sz="2" w:space="0" w:color="8EAADB"/>
          <w:bottom w:val="single" w:sz="2" w:space="0" w:color="8EAADB"/>
        </w:tblBorders>
        <w:tblLook w:val="04A0" w:firstRow="1" w:lastRow="0" w:firstColumn="1" w:lastColumn="0" w:noHBand="0" w:noVBand="1"/>
      </w:tblPr>
      <w:tblGrid>
        <w:gridCol w:w="3094"/>
        <w:gridCol w:w="604"/>
        <w:gridCol w:w="1411"/>
        <w:gridCol w:w="1412"/>
        <w:gridCol w:w="283"/>
        <w:gridCol w:w="1417"/>
        <w:gridCol w:w="1418"/>
      </w:tblGrid>
      <w:tr w:rsidR="001C600B" w:rsidRPr="001C600B" w14:paraId="5B710BCA" w14:textId="77777777" w:rsidTr="001C600B">
        <w:trPr>
          <w:trHeight w:val="238"/>
        </w:trPr>
        <w:tc>
          <w:tcPr>
            <w:tcW w:w="3094" w:type="dxa"/>
            <w:tcBorders>
              <w:top w:val="single" w:sz="2" w:space="0" w:color="1F4E79"/>
            </w:tcBorders>
            <w:shd w:val="clear" w:color="auto" w:fill="auto"/>
          </w:tcPr>
          <w:p w14:paraId="7D85881E" w14:textId="77777777" w:rsidR="001C600B" w:rsidRPr="001C600B" w:rsidRDefault="001C600B" w:rsidP="001C600B">
            <w:pPr>
              <w:spacing w:after="0" w:line="276" w:lineRule="auto"/>
              <w:jc w:val="center"/>
              <w:rPr>
                <w:rFonts w:ascii="Arial" w:eastAsia="MS Mincho" w:hAnsi="Arial" w:cs="Arial"/>
                <w:b/>
                <w:sz w:val="18"/>
                <w:szCs w:val="18"/>
              </w:rPr>
            </w:pPr>
          </w:p>
        </w:tc>
        <w:tc>
          <w:tcPr>
            <w:tcW w:w="604" w:type="dxa"/>
            <w:tcBorders>
              <w:top w:val="single" w:sz="2" w:space="0" w:color="1F4E79"/>
            </w:tcBorders>
            <w:shd w:val="clear" w:color="auto" w:fill="auto"/>
          </w:tcPr>
          <w:p w14:paraId="06C3EE5F" w14:textId="77777777" w:rsidR="001C600B" w:rsidRPr="001C600B" w:rsidRDefault="001C600B" w:rsidP="001C600B">
            <w:pPr>
              <w:spacing w:after="0" w:line="276" w:lineRule="auto"/>
              <w:jc w:val="center"/>
              <w:rPr>
                <w:rFonts w:ascii="Arial" w:eastAsia="MS Mincho" w:hAnsi="Arial" w:cs="Arial"/>
                <w:b/>
                <w:sz w:val="18"/>
                <w:szCs w:val="18"/>
              </w:rPr>
            </w:pPr>
          </w:p>
        </w:tc>
        <w:tc>
          <w:tcPr>
            <w:tcW w:w="2823" w:type="dxa"/>
            <w:gridSpan w:val="2"/>
            <w:tcBorders>
              <w:top w:val="single" w:sz="2" w:space="0" w:color="1F4E79"/>
              <w:bottom w:val="single" w:sz="2" w:space="0" w:color="1F4E79"/>
            </w:tcBorders>
            <w:shd w:val="clear" w:color="auto" w:fill="auto"/>
            <w:vAlign w:val="center"/>
          </w:tcPr>
          <w:p w14:paraId="259C7593" w14:textId="77777777" w:rsidR="001C600B" w:rsidRPr="001C600B" w:rsidRDefault="001C600B" w:rsidP="001C600B">
            <w:pPr>
              <w:spacing w:after="0" w:line="276" w:lineRule="auto"/>
              <w:jc w:val="center"/>
              <w:rPr>
                <w:rFonts w:ascii="Arial" w:eastAsia="MS Mincho" w:hAnsi="Arial" w:cs="Arial"/>
                <w:b/>
                <w:sz w:val="14"/>
                <w:szCs w:val="18"/>
              </w:rPr>
            </w:pPr>
            <w:r w:rsidRPr="001C600B">
              <w:rPr>
                <w:rFonts w:ascii="Arial" w:eastAsia="MS Mincho" w:hAnsi="Arial" w:cs="Arial"/>
                <w:b/>
                <w:sz w:val="14"/>
                <w:szCs w:val="18"/>
              </w:rPr>
              <w:t>Controlador</w:t>
            </w:r>
          </w:p>
        </w:tc>
        <w:tc>
          <w:tcPr>
            <w:tcW w:w="283" w:type="dxa"/>
            <w:tcBorders>
              <w:top w:val="single" w:sz="2" w:space="0" w:color="1F4E79"/>
            </w:tcBorders>
            <w:shd w:val="clear" w:color="auto" w:fill="auto"/>
            <w:vAlign w:val="center"/>
          </w:tcPr>
          <w:p w14:paraId="7E5751AE" w14:textId="77777777" w:rsidR="001C600B" w:rsidRPr="001C600B" w:rsidRDefault="001C600B" w:rsidP="001C600B">
            <w:pPr>
              <w:spacing w:after="0" w:line="276" w:lineRule="auto"/>
              <w:jc w:val="center"/>
              <w:rPr>
                <w:rFonts w:ascii="Arial" w:eastAsia="MS Mincho" w:hAnsi="Arial" w:cs="Arial"/>
                <w:b/>
                <w:sz w:val="18"/>
                <w:szCs w:val="18"/>
              </w:rPr>
            </w:pPr>
          </w:p>
        </w:tc>
        <w:tc>
          <w:tcPr>
            <w:tcW w:w="2835" w:type="dxa"/>
            <w:gridSpan w:val="2"/>
            <w:tcBorders>
              <w:top w:val="single" w:sz="2" w:space="0" w:color="1F4E79"/>
              <w:bottom w:val="single" w:sz="2" w:space="0" w:color="1F4E79"/>
            </w:tcBorders>
            <w:shd w:val="clear" w:color="auto" w:fill="auto"/>
            <w:vAlign w:val="center"/>
          </w:tcPr>
          <w:p w14:paraId="76E572C6" w14:textId="77777777" w:rsidR="001C600B" w:rsidRPr="001C600B" w:rsidRDefault="001C600B" w:rsidP="001C600B">
            <w:pPr>
              <w:spacing w:after="0" w:line="276" w:lineRule="auto"/>
              <w:jc w:val="center"/>
              <w:rPr>
                <w:rFonts w:ascii="Arial" w:eastAsia="MS Mincho" w:hAnsi="Arial" w:cs="Arial"/>
                <w:b/>
                <w:sz w:val="18"/>
                <w:szCs w:val="18"/>
              </w:rPr>
            </w:pPr>
            <w:r w:rsidRPr="001C600B">
              <w:rPr>
                <w:rFonts w:ascii="Arial" w:eastAsia="MS Mincho" w:hAnsi="Arial" w:cs="Arial"/>
                <w:b/>
                <w:sz w:val="14"/>
                <w:szCs w:val="18"/>
              </w:rPr>
              <w:t>Consolidado</w:t>
            </w:r>
          </w:p>
        </w:tc>
      </w:tr>
      <w:tr w:rsidR="001C600B" w:rsidRPr="001C600B" w14:paraId="5A3CCD09" w14:textId="77777777" w:rsidTr="001C600B">
        <w:trPr>
          <w:trHeight w:val="238"/>
        </w:trPr>
        <w:tc>
          <w:tcPr>
            <w:tcW w:w="3094" w:type="dxa"/>
            <w:tcBorders>
              <w:bottom w:val="single" w:sz="2" w:space="0" w:color="1F4E79"/>
            </w:tcBorders>
            <w:shd w:val="clear" w:color="auto" w:fill="auto"/>
          </w:tcPr>
          <w:p w14:paraId="1ADE39F3" w14:textId="77777777" w:rsidR="001C600B" w:rsidRPr="001C600B" w:rsidRDefault="001C600B" w:rsidP="001C600B">
            <w:pPr>
              <w:keepNext/>
              <w:keepLines/>
              <w:spacing w:before="40" w:after="40" w:line="240" w:lineRule="auto"/>
              <w:jc w:val="right"/>
              <w:rPr>
                <w:rFonts w:ascii="Arial" w:eastAsia="Times New Roman" w:hAnsi="Arial" w:cs="Arial"/>
                <w:b/>
                <w:spacing w:val="-2"/>
                <w:sz w:val="14"/>
                <w:szCs w:val="18"/>
                <w:lang w:eastAsia="pt-BR"/>
              </w:rPr>
            </w:pPr>
          </w:p>
        </w:tc>
        <w:tc>
          <w:tcPr>
            <w:tcW w:w="604" w:type="dxa"/>
            <w:tcBorders>
              <w:bottom w:val="single" w:sz="2" w:space="0" w:color="1F4E79"/>
            </w:tcBorders>
            <w:shd w:val="clear" w:color="auto" w:fill="auto"/>
          </w:tcPr>
          <w:p w14:paraId="5A61D287" w14:textId="77777777" w:rsidR="001C600B" w:rsidRPr="001C600B" w:rsidRDefault="001C600B" w:rsidP="001C600B">
            <w:pPr>
              <w:keepNext/>
              <w:keepLines/>
              <w:spacing w:before="40" w:after="40" w:line="240" w:lineRule="auto"/>
              <w:jc w:val="right"/>
              <w:rPr>
                <w:rFonts w:ascii="Arial" w:eastAsia="Times New Roman" w:hAnsi="Arial" w:cs="Arial"/>
                <w:b/>
                <w:spacing w:val="-2"/>
                <w:sz w:val="14"/>
                <w:szCs w:val="18"/>
                <w:lang w:eastAsia="pt-BR"/>
              </w:rPr>
            </w:pPr>
          </w:p>
        </w:tc>
        <w:tc>
          <w:tcPr>
            <w:tcW w:w="1411" w:type="dxa"/>
            <w:tcBorders>
              <w:top w:val="single" w:sz="2" w:space="0" w:color="1F4E79"/>
              <w:bottom w:val="single" w:sz="2" w:space="0" w:color="1F4E79"/>
            </w:tcBorders>
            <w:shd w:val="clear" w:color="auto" w:fill="auto"/>
            <w:vAlign w:val="center"/>
          </w:tcPr>
          <w:p w14:paraId="75D6682C" w14:textId="77777777" w:rsidR="001C600B" w:rsidRPr="001C600B" w:rsidRDefault="001C600B" w:rsidP="001C600B">
            <w:pPr>
              <w:keepNext/>
              <w:keepLines/>
              <w:spacing w:before="40" w:after="40" w:line="240" w:lineRule="auto"/>
              <w:jc w:val="right"/>
              <w:rPr>
                <w:rFonts w:ascii="Arial" w:eastAsia="Times New Roman" w:hAnsi="Arial" w:cs="Arial"/>
                <w:b/>
                <w:spacing w:val="-2"/>
                <w:sz w:val="14"/>
                <w:szCs w:val="18"/>
                <w:lang w:eastAsia="pt-BR"/>
              </w:rPr>
            </w:pPr>
            <w:r w:rsidRPr="001C600B">
              <w:rPr>
                <w:rFonts w:ascii="Arial" w:eastAsia="Times New Roman" w:hAnsi="Arial" w:cs="Arial"/>
                <w:b/>
                <w:spacing w:val="-2"/>
                <w:sz w:val="14"/>
                <w:szCs w:val="18"/>
                <w:lang w:eastAsia="pt-BR"/>
              </w:rPr>
              <w:t>31.12.2024</w:t>
            </w:r>
          </w:p>
        </w:tc>
        <w:tc>
          <w:tcPr>
            <w:tcW w:w="1412" w:type="dxa"/>
            <w:tcBorders>
              <w:top w:val="single" w:sz="2" w:space="0" w:color="1F4E79"/>
              <w:bottom w:val="single" w:sz="2" w:space="0" w:color="1F4E79"/>
            </w:tcBorders>
            <w:shd w:val="clear" w:color="auto" w:fill="auto"/>
            <w:vAlign w:val="center"/>
          </w:tcPr>
          <w:p w14:paraId="3D6745BD" w14:textId="77777777" w:rsidR="001C600B" w:rsidRPr="001C600B" w:rsidRDefault="001C600B" w:rsidP="001C600B">
            <w:pPr>
              <w:keepNext/>
              <w:keepLines/>
              <w:spacing w:before="40" w:after="40" w:line="240" w:lineRule="auto"/>
              <w:jc w:val="right"/>
              <w:rPr>
                <w:rFonts w:ascii="Arial" w:eastAsia="Times New Roman" w:hAnsi="Arial" w:cs="Arial"/>
                <w:b/>
                <w:spacing w:val="-2"/>
                <w:sz w:val="14"/>
                <w:szCs w:val="18"/>
                <w:lang w:eastAsia="pt-BR"/>
              </w:rPr>
            </w:pPr>
            <w:r w:rsidRPr="001C600B">
              <w:rPr>
                <w:rFonts w:ascii="Arial" w:eastAsia="Times New Roman" w:hAnsi="Arial" w:cs="Arial"/>
                <w:b/>
                <w:spacing w:val="-2"/>
                <w:sz w:val="14"/>
                <w:szCs w:val="18"/>
                <w:lang w:eastAsia="pt-BR"/>
              </w:rPr>
              <w:t>31.12.2023</w:t>
            </w:r>
          </w:p>
        </w:tc>
        <w:tc>
          <w:tcPr>
            <w:tcW w:w="283" w:type="dxa"/>
            <w:tcBorders>
              <w:bottom w:val="single" w:sz="2" w:space="0" w:color="1F4E79"/>
            </w:tcBorders>
            <w:shd w:val="clear" w:color="auto" w:fill="auto"/>
            <w:vAlign w:val="center"/>
          </w:tcPr>
          <w:p w14:paraId="3DEB30E9" w14:textId="77777777" w:rsidR="001C600B" w:rsidRPr="001C600B" w:rsidRDefault="001C600B" w:rsidP="001C600B">
            <w:pPr>
              <w:keepNext/>
              <w:keepLines/>
              <w:spacing w:before="40" w:after="40" w:line="240" w:lineRule="auto"/>
              <w:jc w:val="right"/>
              <w:rPr>
                <w:rFonts w:ascii="Arial" w:eastAsia="Times New Roman" w:hAnsi="Arial" w:cs="Arial"/>
                <w:b/>
                <w:spacing w:val="-2"/>
                <w:sz w:val="14"/>
                <w:szCs w:val="18"/>
                <w:lang w:eastAsia="pt-BR"/>
              </w:rPr>
            </w:pPr>
          </w:p>
        </w:tc>
        <w:tc>
          <w:tcPr>
            <w:tcW w:w="1417" w:type="dxa"/>
            <w:tcBorders>
              <w:top w:val="single" w:sz="2" w:space="0" w:color="1F4E79"/>
              <w:bottom w:val="single" w:sz="2" w:space="0" w:color="1F4E79"/>
            </w:tcBorders>
            <w:shd w:val="clear" w:color="auto" w:fill="auto"/>
            <w:vAlign w:val="center"/>
          </w:tcPr>
          <w:p w14:paraId="02C03EE7" w14:textId="77777777" w:rsidR="001C600B" w:rsidRPr="001C600B" w:rsidRDefault="001C600B" w:rsidP="001C600B">
            <w:pPr>
              <w:keepNext/>
              <w:keepLines/>
              <w:spacing w:before="40" w:after="40" w:line="240" w:lineRule="auto"/>
              <w:jc w:val="right"/>
              <w:rPr>
                <w:rFonts w:ascii="Arial" w:eastAsia="Times New Roman" w:hAnsi="Arial" w:cs="Arial"/>
                <w:b/>
                <w:spacing w:val="-2"/>
                <w:sz w:val="14"/>
                <w:szCs w:val="18"/>
                <w:lang w:eastAsia="pt-BR"/>
              </w:rPr>
            </w:pPr>
            <w:r w:rsidRPr="001C600B">
              <w:rPr>
                <w:rFonts w:ascii="Arial" w:eastAsia="Times New Roman" w:hAnsi="Arial" w:cs="Arial"/>
                <w:b/>
                <w:spacing w:val="-2"/>
                <w:sz w:val="14"/>
                <w:szCs w:val="18"/>
                <w:lang w:eastAsia="pt-BR"/>
              </w:rPr>
              <w:t>31.12.2024</w:t>
            </w:r>
          </w:p>
        </w:tc>
        <w:tc>
          <w:tcPr>
            <w:tcW w:w="1418" w:type="dxa"/>
            <w:tcBorders>
              <w:top w:val="single" w:sz="2" w:space="0" w:color="1F4E79"/>
              <w:bottom w:val="single" w:sz="2" w:space="0" w:color="1F4E79"/>
            </w:tcBorders>
            <w:shd w:val="clear" w:color="auto" w:fill="auto"/>
            <w:vAlign w:val="center"/>
          </w:tcPr>
          <w:p w14:paraId="2439D8BF" w14:textId="77777777" w:rsidR="001C600B" w:rsidRPr="001C600B" w:rsidRDefault="001C600B" w:rsidP="001C600B">
            <w:pPr>
              <w:keepNext/>
              <w:keepLines/>
              <w:spacing w:before="40" w:after="40" w:line="240" w:lineRule="auto"/>
              <w:jc w:val="right"/>
              <w:rPr>
                <w:rFonts w:ascii="Arial" w:eastAsia="Times New Roman" w:hAnsi="Arial" w:cs="Arial"/>
                <w:b/>
                <w:spacing w:val="-2"/>
                <w:sz w:val="14"/>
                <w:szCs w:val="18"/>
                <w:lang w:eastAsia="pt-BR"/>
              </w:rPr>
            </w:pPr>
            <w:r w:rsidRPr="001C600B">
              <w:rPr>
                <w:rFonts w:ascii="Arial" w:eastAsia="Times New Roman" w:hAnsi="Arial" w:cs="Arial"/>
                <w:b/>
                <w:spacing w:val="-2"/>
                <w:sz w:val="14"/>
                <w:szCs w:val="18"/>
                <w:lang w:eastAsia="pt-BR"/>
              </w:rPr>
              <w:t>31.12.2023</w:t>
            </w:r>
          </w:p>
        </w:tc>
      </w:tr>
      <w:tr w:rsidR="001C600B" w:rsidRPr="001C600B" w14:paraId="66250CB9" w14:textId="77777777" w:rsidTr="001C600B">
        <w:trPr>
          <w:trHeight w:val="238"/>
        </w:trPr>
        <w:tc>
          <w:tcPr>
            <w:tcW w:w="3094" w:type="dxa"/>
            <w:tcBorders>
              <w:top w:val="single" w:sz="2" w:space="0" w:color="1F4E79"/>
            </w:tcBorders>
            <w:shd w:val="clear" w:color="auto" w:fill="auto"/>
          </w:tcPr>
          <w:p w14:paraId="6992C535" w14:textId="77777777" w:rsidR="001C600B" w:rsidRPr="001C600B" w:rsidRDefault="001C600B" w:rsidP="001C600B">
            <w:pPr>
              <w:keepNext/>
              <w:keepLines/>
              <w:spacing w:before="40" w:after="40" w:line="240" w:lineRule="auto"/>
              <w:rPr>
                <w:rFonts w:ascii="Arial" w:eastAsia="Times New Roman" w:hAnsi="Arial" w:cs="Arial"/>
                <w:b/>
                <w:bCs/>
                <w:spacing w:val="-2"/>
                <w:sz w:val="14"/>
                <w:szCs w:val="14"/>
                <w:lang w:eastAsia="pt-BR"/>
              </w:rPr>
            </w:pPr>
            <w:r w:rsidRPr="001C600B">
              <w:rPr>
                <w:rFonts w:ascii="Arial" w:eastAsia="Times New Roman" w:hAnsi="Arial" w:cs="Arial"/>
                <w:b/>
                <w:spacing w:val="-2"/>
                <w:sz w:val="14"/>
                <w:szCs w:val="14"/>
                <w:lang w:eastAsia="pt-BR"/>
              </w:rPr>
              <w:t>Ativo Circulante</w:t>
            </w:r>
          </w:p>
        </w:tc>
        <w:tc>
          <w:tcPr>
            <w:tcW w:w="604" w:type="dxa"/>
            <w:tcBorders>
              <w:top w:val="single" w:sz="2" w:space="0" w:color="1F4E79"/>
            </w:tcBorders>
            <w:shd w:val="clear" w:color="auto" w:fill="auto"/>
          </w:tcPr>
          <w:p w14:paraId="3EA47485" w14:textId="77777777" w:rsidR="001C600B" w:rsidRPr="001C600B" w:rsidRDefault="001C600B" w:rsidP="001C600B">
            <w:pPr>
              <w:keepNext/>
              <w:keepLines/>
              <w:spacing w:before="40" w:after="40" w:line="240" w:lineRule="auto"/>
              <w:jc w:val="center"/>
              <w:rPr>
                <w:rFonts w:ascii="Arial" w:eastAsia="Times New Roman" w:hAnsi="Arial" w:cs="Arial"/>
                <w:b/>
                <w:spacing w:val="-2"/>
                <w:sz w:val="14"/>
                <w:szCs w:val="14"/>
                <w:lang w:eastAsia="pt-BR"/>
              </w:rPr>
            </w:pPr>
          </w:p>
        </w:tc>
        <w:tc>
          <w:tcPr>
            <w:tcW w:w="1411" w:type="dxa"/>
            <w:tcBorders>
              <w:top w:val="single" w:sz="2" w:space="0" w:color="1F4E79"/>
            </w:tcBorders>
            <w:shd w:val="clear" w:color="auto" w:fill="auto"/>
            <w:vAlign w:val="center"/>
          </w:tcPr>
          <w:p w14:paraId="4616EC3B" w14:textId="57371901" w:rsidR="001C600B" w:rsidRPr="001C600B" w:rsidRDefault="001C600B" w:rsidP="001C600B">
            <w:pPr>
              <w:keepNext/>
              <w:keepLines/>
              <w:spacing w:before="40" w:after="40" w:line="240" w:lineRule="auto"/>
              <w:jc w:val="right"/>
              <w:rPr>
                <w:rFonts w:ascii="Arial" w:eastAsia="Times New Roman" w:hAnsi="Arial" w:cs="Arial"/>
                <w:b/>
                <w:spacing w:val="-2"/>
                <w:sz w:val="14"/>
                <w:szCs w:val="14"/>
                <w:lang w:eastAsia="pt-BR"/>
              </w:rPr>
            </w:pPr>
            <w:r w:rsidRPr="001C600B">
              <w:rPr>
                <w:rFonts w:ascii="Arial" w:eastAsia="Times New Roman" w:hAnsi="Arial" w:cs="Arial"/>
                <w:b/>
                <w:spacing w:val="-2"/>
                <w:sz w:val="14"/>
                <w:szCs w:val="14"/>
                <w:lang w:eastAsia="pt-BR"/>
              </w:rPr>
              <w:t>10.93</w:t>
            </w:r>
            <w:r w:rsidR="00AD1B70">
              <w:rPr>
                <w:rFonts w:ascii="Arial" w:eastAsia="Times New Roman" w:hAnsi="Arial" w:cs="Arial"/>
                <w:b/>
                <w:spacing w:val="-2"/>
                <w:sz w:val="14"/>
                <w:szCs w:val="14"/>
                <w:lang w:eastAsia="pt-BR"/>
              </w:rPr>
              <w:t>5</w:t>
            </w:r>
          </w:p>
        </w:tc>
        <w:tc>
          <w:tcPr>
            <w:tcW w:w="1412" w:type="dxa"/>
            <w:tcBorders>
              <w:top w:val="single" w:sz="2" w:space="0" w:color="1F4E79"/>
            </w:tcBorders>
            <w:shd w:val="clear" w:color="auto" w:fill="auto"/>
            <w:vAlign w:val="center"/>
          </w:tcPr>
          <w:p w14:paraId="78716C12" w14:textId="77777777" w:rsidR="001C600B" w:rsidRPr="001C600B" w:rsidRDefault="001C600B" w:rsidP="001C600B">
            <w:pPr>
              <w:keepNext/>
              <w:keepLines/>
              <w:spacing w:before="40" w:after="40" w:line="240" w:lineRule="auto"/>
              <w:jc w:val="right"/>
              <w:rPr>
                <w:rFonts w:ascii="Arial" w:eastAsia="Times New Roman" w:hAnsi="Arial" w:cs="Arial"/>
                <w:b/>
                <w:spacing w:val="-2"/>
                <w:sz w:val="14"/>
                <w:szCs w:val="14"/>
                <w:lang w:eastAsia="pt-BR"/>
              </w:rPr>
            </w:pPr>
            <w:r w:rsidRPr="001C600B">
              <w:rPr>
                <w:rFonts w:ascii="Arial" w:eastAsia="Times New Roman" w:hAnsi="Arial" w:cs="Arial"/>
                <w:b/>
                <w:spacing w:val="-2"/>
                <w:sz w:val="14"/>
                <w:szCs w:val="14"/>
                <w:lang w:eastAsia="pt-BR"/>
              </w:rPr>
              <w:t>13.526</w:t>
            </w:r>
          </w:p>
        </w:tc>
        <w:tc>
          <w:tcPr>
            <w:tcW w:w="283" w:type="dxa"/>
            <w:tcBorders>
              <w:top w:val="single" w:sz="2" w:space="0" w:color="1F4E79"/>
            </w:tcBorders>
            <w:shd w:val="clear" w:color="auto" w:fill="auto"/>
            <w:vAlign w:val="center"/>
          </w:tcPr>
          <w:p w14:paraId="324BEA2C" w14:textId="77777777" w:rsidR="001C600B" w:rsidRPr="001C600B" w:rsidRDefault="001C600B" w:rsidP="001C600B">
            <w:pPr>
              <w:keepNext/>
              <w:keepLines/>
              <w:spacing w:before="40" w:after="40" w:line="240" w:lineRule="auto"/>
              <w:jc w:val="right"/>
              <w:rPr>
                <w:rFonts w:ascii="Arial" w:eastAsia="Times New Roman" w:hAnsi="Arial" w:cs="Arial"/>
                <w:b/>
                <w:spacing w:val="-2"/>
                <w:sz w:val="14"/>
                <w:szCs w:val="14"/>
                <w:lang w:eastAsia="pt-BR"/>
              </w:rPr>
            </w:pPr>
          </w:p>
        </w:tc>
        <w:tc>
          <w:tcPr>
            <w:tcW w:w="1417" w:type="dxa"/>
            <w:tcBorders>
              <w:top w:val="single" w:sz="2" w:space="0" w:color="1F4E79"/>
            </w:tcBorders>
            <w:shd w:val="clear" w:color="auto" w:fill="auto"/>
            <w:vAlign w:val="center"/>
          </w:tcPr>
          <w:p w14:paraId="256368BC" w14:textId="77777777" w:rsidR="001C600B" w:rsidRPr="001C600B" w:rsidRDefault="001C600B" w:rsidP="001C600B">
            <w:pPr>
              <w:keepNext/>
              <w:keepLines/>
              <w:spacing w:before="40" w:after="40" w:line="240" w:lineRule="auto"/>
              <w:jc w:val="right"/>
              <w:rPr>
                <w:rFonts w:ascii="Arial" w:eastAsia="Times New Roman" w:hAnsi="Arial" w:cs="Arial"/>
                <w:b/>
                <w:spacing w:val="-2"/>
                <w:sz w:val="14"/>
                <w:szCs w:val="14"/>
                <w:lang w:eastAsia="pt-BR"/>
              </w:rPr>
            </w:pPr>
            <w:r w:rsidRPr="001C600B">
              <w:rPr>
                <w:rFonts w:ascii="Arial" w:eastAsia="Times New Roman" w:hAnsi="Arial" w:cs="Arial"/>
                <w:b/>
                <w:spacing w:val="-2"/>
                <w:sz w:val="14"/>
                <w:szCs w:val="14"/>
                <w:lang w:eastAsia="pt-BR"/>
              </w:rPr>
              <w:t>3.258</w:t>
            </w:r>
          </w:p>
        </w:tc>
        <w:tc>
          <w:tcPr>
            <w:tcW w:w="1418" w:type="dxa"/>
            <w:tcBorders>
              <w:top w:val="single" w:sz="2" w:space="0" w:color="1F4E79"/>
            </w:tcBorders>
            <w:shd w:val="clear" w:color="auto" w:fill="auto"/>
            <w:vAlign w:val="center"/>
          </w:tcPr>
          <w:p w14:paraId="71B5CA76" w14:textId="77777777" w:rsidR="001C600B" w:rsidRPr="001C600B" w:rsidRDefault="001C600B" w:rsidP="001C600B">
            <w:pPr>
              <w:keepNext/>
              <w:keepLines/>
              <w:spacing w:before="40" w:after="40" w:line="240" w:lineRule="auto"/>
              <w:jc w:val="right"/>
              <w:rPr>
                <w:rFonts w:ascii="Arial" w:eastAsia="Times New Roman" w:hAnsi="Arial" w:cs="Arial"/>
                <w:b/>
                <w:spacing w:val="-2"/>
                <w:sz w:val="14"/>
                <w:szCs w:val="14"/>
                <w:lang w:eastAsia="pt-BR"/>
              </w:rPr>
            </w:pPr>
            <w:r w:rsidRPr="001C600B">
              <w:rPr>
                <w:rFonts w:ascii="Arial" w:eastAsia="Times New Roman" w:hAnsi="Arial" w:cs="Arial"/>
                <w:b/>
                <w:spacing w:val="-2"/>
                <w:sz w:val="14"/>
                <w:szCs w:val="14"/>
                <w:lang w:eastAsia="pt-BR"/>
              </w:rPr>
              <w:t>9.911</w:t>
            </w:r>
          </w:p>
        </w:tc>
      </w:tr>
      <w:tr w:rsidR="001C600B" w:rsidRPr="001C600B" w14:paraId="4DA61C49" w14:textId="77777777" w:rsidTr="001C600B">
        <w:trPr>
          <w:trHeight w:val="238"/>
        </w:trPr>
        <w:tc>
          <w:tcPr>
            <w:tcW w:w="3094" w:type="dxa"/>
            <w:shd w:val="clear" w:color="auto" w:fill="auto"/>
          </w:tcPr>
          <w:p w14:paraId="3665F8CA" w14:textId="77777777" w:rsidR="001C600B" w:rsidRPr="001C600B" w:rsidRDefault="001C600B" w:rsidP="001C600B">
            <w:pPr>
              <w:keepNext/>
              <w:keepLines/>
              <w:spacing w:before="40" w:after="40" w:line="240" w:lineRule="auto"/>
              <w:ind w:left="113"/>
              <w:rPr>
                <w:rFonts w:ascii="Arial" w:eastAsia="Times New Roman" w:hAnsi="Arial" w:cs="Arial"/>
                <w:spacing w:val="-2"/>
                <w:sz w:val="14"/>
                <w:szCs w:val="14"/>
                <w:vertAlign w:val="superscript"/>
                <w:lang w:eastAsia="pt-BR"/>
              </w:rPr>
            </w:pPr>
            <w:r w:rsidRPr="001C600B">
              <w:rPr>
                <w:rFonts w:ascii="Arial" w:eastAsia="Times New Roman" w:hAnsi="Arial" w:cs="Arial"/>
                <w:spacing w:val="-2"/>
                <w:sz w:val="14"/>
                <w:szCs w:val="14"/>
                <w:lang w:eastAsia="pt-BR"/>
              </w:rPr>
              <w:t>Valores a receber de sociedades ligadas</w:t>
            </w:r>
            <w:r w:rsidRPr="001C600B">
              <w:rPr>
                <w:rFonts w:ascii="Arial" w:eastAsia="Times New Roman" w:hAnsi="Arial" w:cs="Arial"/>
                <w:spacing w:val="-2"/>
                <w:sz w:val="14"/>
                <w:szCs w:val="14"/>
                <w:vertAlign w:val="superscript"/>
                <w:lang w:eastAsia="pt-BR"/>
              </w:rPr>
              <w:t xml:space="preserve"> (1)</w:t>
            </w:r>
          </w:p>
        </w:tc>
        <w:tc>
          <w:tcPr>
            <w:tcW w:w="604" w:type="dxa"/>
            <w:shd w:val="clear" w:color="auto" w:fill="auto"/>
          </w:tcPr>
          <w:p w14:paraId="01062039" w14:textId="77777777" w:rsidR="001C600B" w:rsidRPr="001C600B" w:rsidRDefault="001C600B" w:rsidP="001C600B">
            <w:pPr>
              <w:keepNext/>
              <w:keepLines/>
              <w:spacing w:before="40" w:after="40" w:line="240" w:lineRule="auto"/>
              <w:ind w:left="113"/>
              <w:jc w:val="center"/>
              <w:rPr>
                <w:rFonts w:ascii="Arial" w:eastAsia="Times New Roman" w:hAnsi="Arial" w:cs="Arial"/>
                <w:spacing w:val="-2"/>
                <w:sz w:val="14"/>
                <w:szCs w:val="14"/>
                <w:lang w:eastAsia="pt-BR"/>
              </w:rPr>
            </w:pPr>
          </w:p>
        </w:tc>
        <w:tc>
          <w:tcPr>
            <w:tcW w:w="1411" w:type="dxa"/>
            <w:shd w:val="clear" w:color="auto" w:fill="auto"/>
            <w:vAlign w:val="center"/>
          </w:tcPr>
          <w:p w14:paraId="630EDF15" w14:textId="77777777" w:rsidR="001C600B" w:rsidRPr="001C600B" w:rsidRDefault="001C600B" w:rsidP="001C600B">
            <w:pPr>
              <w:keepNext/>
              <w:keepLines/>
              <w:spacing w:before="40" w:after="40" w:line="240" w:lineRule="auto"/>
              <w:ind w:left="113"/>
              <w:jc w:val="right"/>
              <w:rPr>
                <w:rFonts w:ascii="Arial" w:eastAsia="Times New Roman" w:hAnsi="Arial" w:cs="Arial"/>
                <w:spacing w:val="-2"/>
                <w:sz w:val="14"/>
                <w:szCs w:val="14"/>
                <w:lang w:eastAsia="pt-BR"/>
              </w:rPr>
            </w:pPr>
            <w:r w:rsidRPr="001C600B">
              <w:rPr>
                <w:rFonts w:ascii="Arial" w:eastAsia="Times New Roman" w:hAnsi="Arial" w:cs="Arial"/>
                <w:spacing w:val="-2"/>
                <w:sz w:val="14"/>
                <w:szCs w:val="14"/>
                <w:lang w:eastAsia="pt-BR"/>
              </w:rPr>
              <w:t>10.799</w:t>
            </w:r>
          </w:p>
        </w:tc>
        <w:tc>
          <w:tcPr>
            <w:tcW w:w="1412" w:type="dxa"/>
            <w:shd w:val="clear" w:color="auto" w:fill="auto"/>
            <w:vAlign w:val="center"/>
          </w:tcPr>
          <w:p w14:paraId="4C910132" w14:textId="77777777" w:rsidR="001C600B" w:rsidRPr="001C600B" w:rsidRDefault="001C600B" w:rsidP="001C600B">
            <w:pPr>
              <w:keepNext/>
              <w:keepLines/>
              <w:spacing w:before="40" w:after="40" w:line="240" w:lineRule="auto"/>
              <w:ind w:left="113"/>
              <w:jc w:val="right"/>
              <w:rPr>
                <w:rFonts w:ascii="Arial" w:eastAsia="Times New Roman" w:hAnsi="Arial" w:cs="Arial"/>
                <w:spacing w:val="-2"/>
                <w:sz w:val="14"/>
                <w:szCs w:val="14"/>
                <w:lang w:eastAsia="pt-BR"/>
              </w:rPr>
            </w:pPr>
            <w:r w:rsidRPr="001C600B">
              <w:rPr>
                <w:rFonts w:ascii="Arial" w:eastAsia="Times New Roman" w:hAnsi="Arial" w:cs="Arial"/>
                <w:spacing w:val="-2"/>
                <w:sz w:val="14"/>
                <w:szCs w:val="14"/>
                <w:lang w:eastAsia="pt-BR"/>
              </w:rPr>
              <w:t>10.417</w:t>
            </w:r>
          </w:p>
        </w:tc>
        <w:tc>
          <w:tcPr>
            <w:tcW w:w="283" w:type="dxa"/>
            <w:shd w:val="clear" w:color="auto" w:fill="auto"/>
            <w:vAlign w:val="center"/>
          </w:tcPr>
          <w:p w14:paraId="71E7B4ED" w14:textId="77777777" w:rsidR="001C600B" w:rsidRPr="001C600B" w:rsidRDefault="001C600B" w:rsidP="001C600B">
            <w:pPr>
              <w:keepNext/>
              <w:keepLines/>
              <w:spacing w:before="40" w:after="40" w:line="240" w:lineRule="auto"/>
              <w:ind w:left="113"/>
              <w:jc w:val="right"/>
              <w:rPr>
                <w:rFonts w:ascii="Arial" w:eastAsia="Times New Roman" w:hAnsi="Arial" w:cs="Arial"/>
                <w:spacing w:val="-2"/>
                <w:sz w:val="14"/>
                <w:szCs w:val="14"/>
                <w:lang w:eastAsia="pt-BR"/>
              </w:rPr>
            </w:pPr>
          </w:p>
        </w:tc>
        <w:tc>
          <w:tcPr>
            <w:tcW w:w="1417" w:type="dxa"/>
            <w:shd w:val="clear" w:color="auto" w:fill="auto"/>
            <w:vAlign w:val="center"/>
          </w:tcPr>
          <w:p w14:paraId="6114D92A" w14:textId="77777777" w:rsidR="001C600B" w:rsidRPr="001C600B" w:rsidRDefault="001C600B" w:rsidP="001C600B">
            <w:pPr>
              <w:keepNext/>
              <w:keepLines/>
              <w:spacing w:before="40" w:after="40" w:line="240" w:lineRule="auto"/>
              <w:ind w:left="113"/>
              <w:jc w:val="right"/>
              <w:rPr>
                <w:rFonts w:ascii="Arial" w:eastAsia="Times New Roman" w:hAnsi="Arial" w:cs="Arial"/>
                <w:spacing w:val="-2"/>
                <w:sz w:val="14"/>
                <w:szCs w:val="14"/>
                <w:lang w:eastAsia="pt-BR"/>
              </w:rPr>
            </w:pPr>
            <w:r w:rsidRPr="001C600B">
              <w:rPr>
                <w:rFonts w:ascii="Arial" w:eastAsia="Times New Roman" w:hAnsi="Arial" w:cs="Arial"/>
                <w:spacing w:val="-2"/>
                <w:sz w:val="14"/>
                <w:szCs w:val="14"/>
                <w:lang w:eastAsia="pt-BR"/>
              </w:rPr>
              <w:t>3.196</w:t>
            </w:r>
          </w:p>
        </w:tc>
        <w:tc>
          <w:tcPr>
            <w:tcW w:w="1418" w:type="dxa"/>
            <w:shd w:val="clear" w:color="auto" w:fill="auto"/>
            <w:vAlign w:val="center"/>
          </w:tcPr>
          <w:p w14:paraId="77DBFDD7" w14:textId="77777777" w:rsidR="001C600B" w:rsidRPr="001C600B" w:rsidRDefault="001C600B" w:rsidP="001C600B">
            <w:pPr>
              <w:keepNext/>
              <w:keepLines/>
              <w:spacing w:before="40" w:after="40" w:line="240" w:lineRule="auto"/>
              <w:ind w:left="113"/>
              <w:jc w:val="right"/>
              <w:rPr>
                <w:rFonts w:ascii="Arial" w:eastAsia="Times New Roman" w:hAnsi="Arial" w:cs="Arial"/>
                <w:spacing w:val="-2"/>
                <w:sz w:val="14"/>
                <w:szCs w:val="14"/>
                <w:lang w:eastAsia="pt-BR"/>
              </w:rPr>
            </w:pPr>
            <w:r w:rsidRPr="001C600B">
              <w:rPr>
                <w:rFonts w:ascii="Arial" w:eastAsia="Times New Roman" w:hAnsi="Arial" w:cs="Arial"/>
                <w:spacing w:val="-2"/>
                <w:sz w:val="14"/>
                <w:szCs w:val="14"/>
                <w:lang w:eastAsia="pt-BR"/>
              </w:rPr>
              <w:t>6.788</w:t>
            </w:r>
          </w:p>
        </w:tc>
      </w:tr>
      <w:tr w:rsidR="001C600B" w:rsidRPr="001C600B" w14:paraId="4F80E80A" w14:textId="77777777" w:rsidTr="001C600B">
        <w:trPr>
          <w:trHeight w:val="238"/>
        </w:trPr>
        <w:tc>
          <w:tcPr>
            <w:tcW w:w="3094" w:type="dxa"/>
            <w:shd w:val="clear" w:color="auto" w:fill="auto"/>
          </w:tcPr>
          <w:p w14:paraId="78980E08" w14:textId="77777777" w:rsidR="001C600B" w:rsidRPr="001C600B" w:rsidRDefault="001C600B" w:rsidP="001C600B">
            <w:pPr>
              <w:keepNext/>
              <w:keepLines/>
              <w:spacing w:before="40" w:after="40" w:line="240" w:lineRule="auto"/>
              <w:ind w:left="113"/>
              <w:rPr>
                <w:rFonts w:ascii="Arial" w:eastAsia="Times New Roman" w:hAnsi="Arial" w:cs="Arial"/>
                <w:spacing w:val="-2"/>
                <w:sz w:val="14"/>
                <w:szCs w:val="14"/>
                <w:lang w:eastAsia="pt-BR"/>
              </w:rPr>
            </w:pPr>
            <w:r w:rsidRPr="001C600B">
              <w:rPr>
                <w:rFonts w:ascii="Arial" w:eastAsia="Times New Roman" w:hAnsi="Arial" w:cs="Arial"/>
                <w:spacing w:val="-2"/>
                <w:sz w:val="14"/>
                <w:szCs w:val="14"/>
                <w:lang w:eastAsia="pt-BR"/>
              </w:rPr>
              <w:t>Valores a receber ADR</w:t>
            </w:r>
          </w:p>
        </w:tc>
        <w:tc>
          <w:tcPr>
            <w:tcW w:w="604" w:type="dxa"/>
            <w:shd w:val="clear" w:color="auto" w:fill="auto"/>
          </w:tcPr>
          <w:p w14:paraId="7C5F5039" w14:textId="77777777" w:rsidR="001C600B" w:rsidRPr="001C600B" w:rsidRDefault="001C600B" w:rsidP="001C600B">
            <w:pPr>
              <w:keepNext/>
              <w:keepLines/>
              <w:spacing w:before="40" w:after="40" w:line="240" w:lineRule="auto"/>
              <w:ind w:left="113"/>
              <w:jc w:val="center"/>
              <w:rPr>
                <w:rFonts w:ascii="Arial" w:eastAsia="Times New Roman" w:hAnsi="Arial" w:cs="Arial"/>
                <w:spacing w:val="-2"/>
                <w:sz w:val="14"/>
                <w:szCs w:val="14"/>
                <w:lang w:eastAsia="pt-BR"/>
              </w:rPr>
            </w:pPr>
          </w:p>
        </w:tc>
        <w:tc>
          <w:tcPr>
            <w:tcW w:w="1411" w:type="dxa"/>
            <w:shd w:val="clear" w:color="auto" w:fill="auto"/>
            <w:vAlign w:val="center"/>
          </w:tcPr>
          <w:p w14:paraId="6F959CB4" w14:textId="77777777" w:rsidR="001C600B" w:rsidRPr="001C600B" w:rsidRDefault="001C600B" w:rsidP="001C600B">
            <w:pPr>
              <w:keepNext/>
              <w:keepLines/>
              <w:spacing w:before="40" w:after="40" w:line="240" w:lineRule="auto"/>
              <w:ind w:left="113"/>
              <w:jc w:val="right"/>
              <w:rPr>
                <w:rFonts w:ascii="Arial" w:eastAsia="Times New Roman" w:hAnsi="Arial" w:cs="Arial"/>
                <w:spacing w:val="-2"/>
                <w:sz w:val="14"/>
                <w:szCs w:val="14"/>
                <w:lang w:eastAsia="pt-BR"/>
              </w:rPr>
            </w:pPr>
            <w:r w:rsidRPr="001C600B">
              <w:rPr>
                <w:rFonts w:ascii="Arial" w:eastAsia="Times New Roman" w:hAnsi="Arial" w:cs="Arial"/>
                <w:spacing w:val="-2"/>
                <w:sz w:val="14"/>
                <w:szCs w:val="14"/>
                <w:lang w:eastAsia="pt-BR"/>
              </w:rPr>
              <w:t>--</w:t>
            </w:r>
          </w:p>
        </w:tc>
        <w:tc>
          <w:tcPr>
            <w:tcW w:w="1412" w:type="dxa"/>
            <w:shd w:val="clear" w:color="auto" w:fill="auto"/>
            <w:vAlign w:val="center"/>
          </w:tcPr>
          <w:p w14:paraId="59A9AB49" w14:textId="77777777" w:rsidR="001C600B" w:rsidRPr="001C600B" w:rsidRDefault="001C600B" w:rsidP="001C600B">
            <w:pPr>
              <w:keepNext/>
              <w:keepLines/>
              <w:spacing w:before="40" w:after="40" w:line="240" w:lineRule="auto"/>
              <w:ind w:left="113"/>
              <w:jc w:val="right"/>
              <w:rPr>
                <w:rFonts w:ascii="Arial" w:eastAsia="Times New Roman" w:hAnsi="Arial" w:cs="Arial"/>
                <w:spacing w:val="-2"/>
                <w:sz w:val="14"/>
                <w:szCs w:val="14"/>
                <w:lang w:eastAsia="pt-BR"/>
              </w:rPr>
            </w:pPr>
            <w:r w:rsidRPr="001C600B">
              <w:rPr>
                <w:rFonts w:ascii="Arial" w:eastAsia="Times New Roman" w:hAnsi="Arial" w:cs="Arial"/>
                <w:spacing w:val="-2"/>
                <w:sz w:val="14"/>
                <w:szCs w:val="14"/>
                <w:lang w:eastAsia="pt-BR"/>
              </w:rPr>
              <w:t>2.994</w:t>
            </w:r>
          </w:p>
        </w:tc>
        <w:tc>
          <w:tcPr>
            <w:tcW w:w="283" w:type="dxa"/>
            <w:shd w:val="clear" w:color="auto" w:fill="auto"/>
            <w:vAlign w:val="center"/>
          </w:tcPr>
          <w:p w14:paraId="5D1D0023" w14:textId="77777777" w:rsidR="001C600B" w:rsidRPr="001C600B" w:rsidRDefault="001C600B" w:rsidP="001C600B">
            <w:pPr>
              <w:keepNext/>
              <w:keepLines/>
              <w:spacing w:before="40" w:after="40" w:line="240" w:lineRule="auto"/>
              <w:ind w:left="113"/>
              <w:jc w:val="right"/>
              <w:rPr>
                <w:rFonts w:ascii="Arial" w:eastAsia="Times New Roman" w:hAnsi="Arial" w:cs="Arial"/>
                <w:spacing w:val="-2"/>
                <w:sz w:val="14"/>
                <w:szCs w:val="14"/>
                <w:lang w:eastAsia="pt-BR"/>
              </w:rPr>
            </w:pPr>
          </w:p>
        </w:tc>
        <w:tc>
          <w:tcPr>
            <w:tcW w:w="1417" w:type="dxa"/>
            <w:shd w:val="clear" w:color="auto" w:fill="auto"/>
            <w:vAlign w:val="center"/>
          </w:tcPr>
          <w:p w14:paraId="3C9B18C7" w14:textId="77777777" w:rsidR="001C600B" w:rsidRPr="001C600B" w:rsidRDefault="001C600B" w:rsidP="001C600B">
            <w:pPr>
              <w:keepNext/>
              <w:keepLines/>
              <w:spacing w:before="40" w:after="40" w:line="240" w:lineRule="auto"/>
              <w:ind w:left="113"/>
              <w:jc w:val="right"/>
              <w:rPr>
                <w:rFonts w:ascii="Arial" w:eastAsia="Times New Roman" w:hAnsi="Arial" w:cs="Arial"/>
                <w:spacing w:val="-2"/>
                <w:sz w:val="14"/>
                <w:szCs w:val="14"/>
                <w:lang w:eastAsia="pt-BR"/>
              </w:rPr>
            </w:pPr>
            <w:r w:rsidRPr="001C600B">
              <w:rPr>
                <w:rFonts w:ascii="Arial" w:eastAsia="Times New Roman" w:hAnsi="Arial" w:cs="Arial"/>
                <w:spacing w:val="-2"/>
                <w:sz w:val="14"/>
                <w:szCs w:val="14"/>
                <w:lang w:eastAsia="pt-BR"/>
              </w:rPr>
              <w:t>--</w:t>
            </w:r>
          </w:p>
        </w:tc>
        <w:tc>
          <w:tcPr>
            <w:tcW w:w="1418" w:type="dxa"/>
            <w:shd w:val="clear" w:color="auto" w:fill="auto"/>
            <w:vAlign w:val="center"/>
          </w:tcPr>
          <w:p w14:paraId="251270DF" w14:textId="77777777" w:rsidR="001C600B" w:rsidRPr="001C600B" w:rsidRDefault="001C600B" w:rsidP="001C600B">
            <w:pPr>
              <w:keepNext/>
              <w:keepLines/>
              <w:spacing w:before="40" w:after="40" w:line="240" w:lineRule="auto"/>
              <w:ind w:left="113"/>
              <w:jc w:val="right"/>
              <w:rPr>
                <w:rFonts w:ascii="Arial" w:eastAsia="Times New Roman" w:hAnsi="Arial" w:cs="Arial"/>
                <w:spacing w:val="-2"/>
                <w:sz w:val="14"/>
                <w:szCs w:val="14"/>
                <w:lang w:eastAsia="pt-BR"/>
              </w:rPr>
            </w:pPr>
            <w:r w:rsidRPr="001C600B">
              <w:rPr>
                <w:rFonts w:ascii="Arial" w:eastAsia="Times New Roman" w:hAnsi="Arial" w:cs="Arial"/>
                <w:spacing w:val="-2"/>
                <w:sz w:val="14"/>
                <w:szCs w:val="14"/>
                <w:lang w:eastAsia="pt-BR"/>
              </w:rPr>
              <w:t>2.994</w:t>
            </w:r>
          </w:p>
        </w:tc>
      </w:tr>
      <w:tr w:rsidR="001C600B" w:rsidRPr="001C600B" w14:paraId="6ABF9C23" w14:textId="77777777" w:rsidTr="001C600B">
        <w:trPr>
          <w:trHeight w:val="238"/>
        </w:trPr>
        <w:tc>
          <w:tcPr>
            <w:tcW w:w="3094" w:type="dxa"/>
            <w:shd w:val="clear" w:color="auto" w:fill="auto"/>
          </w:tcPr>
          <w:p w14:paraId="1F5296FC" w14:textId="77777777" w:rsidR="001C600B" w:rsidRPr="001C600B" w:rsidRDefault="001C600B" w:rsidP="001C600B">
            <w:pPr>
              <w:keepNext/>
              <w:keepLines/>
              <w:spacing w:before="40" w:after="40" w:line="240" w:lineRule="auto"/>
              <w:ind w:left="113"/>
              <w:rPr>
                <w:rFonts w:ascii="Arial" w:eastAsia="Times New Roman" w:hAnsi="Arial" w:cs="Arial"/>
                <w:spacing w:val="-2"/>
                <w:sz w:val="14"/>
                <w:szCs w:val="14"/>
                <w:lang w:eastAsia="pt-BR"/>
              </w:rPr>
            </w:pPr>
            <w:r w:rsidRPr="001C600B">
              <w:rPr>
                <w:rFonts w:ascii="Arial" w:eastAsia="Times New Roman" w:hAnsi="Arial" w:cs="Arial"/>
                <w:spacing w:val="-2"/>
                <w:sz w:val="14"/>
                <w:szCs w:val="14"/>
                <w:lang w:eastAsia="pt-BR"/>
              </w:rPr>
              <w:t>Outros</w:t>
            </w:r>
          </w:p>
        </w:tc>
        <w:tc>
          <w:tcPr>
            <w:tcW w:w="604" w:type="dxa"/>
            <w:shd w:val="clear" w:color="auto" w:fill="auto"/>
          </w:tcPr>
          <w:p w14:paraId="3E7702BC" w14:textId="77777777" w:rsidR="001C600B" w:rsidRPr="001C600B" w:rsidRDefault="001C600B" w:rsidP="001C600B">
            <w:pPr>
              <w:keepNext/>
              <w:keepLines/>
              <w:spacing w:before="40" w:after="40" w:line="240" w:lineRule="auto"/>
              <w:ind w:left="113"/>
              <w:jc w:val="center"/>
              <w:rPr>
                <w:rFonts w:ascii="Arial" w:eastAsia="Times New Roman" w:hAnsi="Arial" w:cs="Arial"/>
                <w:spacing w:val="-2"/>
                <w:sz w:val="14"/>
                <w:szCs w:val="14"/>
                <w:lang w:eastAsia="pt-BR"/>
              </w:rPr>
            </w:pPr>
          </w:p>
        </w:tc>
        <w:tc>
          <w:tcPr>
            <w:tcW w:w="1411" w:type="dxa"/>
            <w:shd w:val="clear" w:color="auto" w:fill="auto"/>
            <w:vAlign w:val="center"/>
          </w:tcPr>
          <w:p w14:paraId="76B0C12F" w14:textId="722723EC" w:rsidR="001C600B" w:rsidRPr="001C600B" w:rsidRDefault="001C600B" w:rsidP="001C600B">
            <w:pPr>
              <w:keepNext/>
              <w:keepLines/>
              <w:spacing w:before="40" w:after="40" w:line="240" w:lineRule="auto"/>
              <w:ind w:left="113"/>
              <w:jc w:val="right"/>
              <w:rPr>
                <w:rFonts w:ascii="Arial" w:eastAsia="Times New Roman" w:hAnsi="Arial" w:cs="Arial"/>
                <w:spacing w:val="-2"/>
                <w:sz w:val="14"/>
                <w:szCs w:val="14"/>
                <w:lang w:eastAsia="pt-BR"/>
              </w:rPr>
            </w:pPr>
            <w:r w:rsidRPr="001C600B">
              <w:rPr>
                <w:rFonts w:ascii="Arial" w:eastAsia="Times New Roman" w:hAnsi="Arial" w:cs="Arial"/>
                <w:spacing w:val="-2"/>
                <w:sz w:val="14"/>
                <w:szCs w:val="14"/>
                <w:lang w:eastAsia="pt-BR"/>
              </w:rPr>
              <w:t>13</w:t>
            </w:r>
            <w:r w:rsidR="00C9288D">
              <w:rPr>
                <w:rFonts w:ascii="Arial" w:eastAsia="Times New Roman" w:hAnsi="Arial" w:cs="Arial"/>
                <w:spacing w:val="-2"/>
                <w:sz w:val="14"/>
                <w:szCs w:val="14"/>
                <w:lang w:eastAsia="pt-BR"/>
              </w:rPr>
              <w:t>6</w:t>
            </w:r>
          </w:p>
        </w:tc>
        <w:tc>
          <w:tcPr>
            <w:tcW w:w="1412" w:type="dxa"/>
            <w:shd w:val="clear" w:color="auto" w:fill="auto"/>
            <w:vAlign w:val="center"/>
          </w:tcPr>
          <w:p w14:paraId="75F00E93" w14:textId="77777777" w:rsidR="001C600B" w:rsidRPr="001C600B" w:rsidRDefault="001C600B" w:rsidP="001C600B">
            <w:pPr>
              <w:keepNext/>
              <w:keepLines/>
              <w:spacing w:before="40" w:after="40" w:line="240" w:lineRule="auto"/>
              <w:ind w:left="113"/>
              <w:jc w:val="right"/>
              <w:rPr>
                <w:rFonts w:ascii="Arial" w:eastAsia="Times New Roman" w:hAnsi="Arial" w:cs="Arial"/>
                <w:spacing w:val="-2"/>
                <w:sz w:val="14"/>
                <w:szCs w:val="14"/>
                <w:lang w:eastAsia="pt-BR"/>
              </w:rPr>
            </w:pPr>
            <w:r w:rsidRPr="001C600B">
              <w:rPr>
                <w:rFonts w:ascii="Arial" w:eastAsia="Times New Roman" w:hAnsi="Arial" w:cs="Arial"/>
                <w:spacing w:val="-2"/>
                <w:sz w:val="14"/>
                <w:szCs w:val="14"/>
                <w:lang w:eastAsia="pt-BR"/>
              </w:rPr>
              <w:t>115</w:t>
            </w:r>
          </w:p>
        </w:tc>
        <w:tc>
          <w:tcPr>
            <w:tcW w:w="283" w:type="dxa"/>
            <w:shd w:val="clear" w:color="auto" w:fill="auto"/>
            <w:vAlign w:val="center"/>
          </w:tcPr>
          <w:p w14:paraId="156C09D4" w14:textId="77777777" w:rsidR="001C600B" w:rsidRPr="001C600B" w:rsidRDefault="001C600B" w:rsidP="001C600B">
            <w:pPr>
              <w:keepNext/>
              <w:keepLines/>
              <w:spacing w:before="40" w:after="40" w:line="240" w:lineRule="auto"/>
              <w:ind w:left="113"/>
              <w:jc w:val="right"/>
              <w:rPr>
                <w:rFonts w:ascii="Arial" w:eastAsia="Times New Roman" w:hAnsi="Arial" w:cs="Arial"/>
                <w:spacing w:val="-2"/>
                <w:sz w:val="14"/>
                <w:szCs w:val="14"/>
                <w:lang w:eastAsia="pt-BR"/>
              </w:rPr>
            </w:pPr>
          </w:p>
        </w:tc>
        <w:tc>
          <w:tcPr>
            <w:tcW w:w="1417" w:type="dxa"/>
            <w:shd w:val="clear" w:color="auto" w:fill="auto"/>
            <w:vAlign w:val="center"/>
          </w:tcPr>
          <w:p w14:paraId="6CC1B732" w14:textId="77777777" w:rsidR="001C600B" w:rsidRPr="001C600B" w:rsidRDefault="001C600B" w:rsidP="001C600B">
            <w:pPr>
              <w:keepNext/>
              <w:keepLines/>
              <w:spacing w:before="40" w:after="40" w:line="240" w:lineRule="auto"/>
              <w:ind w:left="113"/>
              <w:jc w:val="right"/>
              <w:rPr>
                <w:rFonts w:ascii="Arial" w:eastAsia="Times New Roman" w:hAnsi="Arial" w:cs="Arial"/>
                <w:spacing w:val="-2"/>
                <w:sz w:val="14"/>
                <w:szCs w:val="14"/>
                <w:lang w:eastAsia="pt-BR"/>
              </w:rPr>
            </w:pPr>
            <w:r w:rsidRPr="001C600B">
              <w:rPr>
                <w:rFonts w:ascii="Arial" w:eastAsia="Times New Roman" w:hAnsi="Arial" w:cs="Arial"/>
                <w:spacing w:val="-2"/>
                <w:sz w:val="14"/>
                <w:szCs w:val="14"/>
                <w:lang w:eastAsia="pt-BR"/>
              </w:rPr>
              <w:t>62</w:t>
            </w:r>
          </w:p>
        </w:tc>
        <w:tc>
          <w:tcPr>
            <w:tcW w:w="1418" w:type="dxa"/>
            <w:shd w:val="clear" w:color="auto" w:fill="auto"/>
            <w:vAlign w:val="center"/>
          </w:tcPr>
          <w:p w14:paraId="5E9DE74F" w14:textId="77777777" w:rsidR="001C600B" w:rsidRPr="001C600B" w:rsidRDefault="001C600B" w:rsidP="001C600B">
            <w:pPr>
              <w:keepNext/>
              <w:keepLines/>
              <w:spacing w:before="40" w:after="40" w:line="240" w:lineRule="auto"/>
              <w:ind w:left="113"/>
              <w:jc w:val="right"/>
              <w:rPr>
                <w:rFonts w:ascii="Arial" w:eastAsia="Times New Roman" w:hAnsi="Arial" w:cs="Arial"/>
                <w:spacing w:val="-2"/>
                <w:sz w:val="14"/>
                <w:szCs w:val="14"/>
                <w:lang w:eastAsia="pt-BR"/>
              </w:rPr>
            </w:pPr>
            <w:r w:rsidRPr="001C600B">
              <w:rPr>
                <w:rFonts w:ascii="Arial" w:eastAsia="Times New Roman" w:hAnsi="Arial" w:cs="Arial"/>
                <w:spacing w:val="-2"/>
                <w:sz w:val="14"/>
                <w:szCs w:val="14"/>
                <w:lang w:eastAsia="pt-BR"/>
              </w:rPr>
              <w:t>129</w:t>
            </w:r>
          </w:p>
        </w:tc>
      </w:tr>
      <w:tr w:rsidR="001C600B" w:rsidRPr="001C600B" w14:paraId="47AC1477" w14:textId="77777777" w:rsidTr="001C600B">
        <w:trPr>
          <w:trHeight w:val="238"/>
        </w:trPr>
        <w:tc>
          <w:tcPr>
            <w:tcW w:w="3094" w:type="dxa"/>
            <w:shd w:val="clear" w:color="auto" w:fill="auto"/>
          </w:tcPr>
          <w:p w14:paraId="53D5CDC5" w14:textId="77777777" w:rsidR="001C600B" w:rsidRPr="001C600B" w:rsidRDefault="001C600B" w:rsidP="001C600B">
            <w:pPr>
              <w:keepNext/>
              <w:keepLines/>
              <w:spacing w:before="40" w:after="40" w:line="240" w:lineRule="auto"/>
              <w:rPr>
                <w:rFonts w:ascii="Arial" w:eastAsia="Times New Roman" w:hAnsi="Arial" w:cs="Arial"/>
                <w:b/>
                <w:spacing w:val="-2"/>
                <w:sz w:val="14"/>
                <w:szCs w:val="14"/>
                <w:lang w:eastAsia="pt-BR"/>
              </w:rPr>
            </w:pPr>
            <w:r w:rsidRPr="001C600B">
              <w:rPr>
                <w:rFonts w:ascii="Arial" w:eastAsia="Times New Roman" w:hAnsi="Arial" w:cs="Arial"/>
                <w:b/>
                <w:spacing w:val="-2"/>
                <w:sz w:val="14"/>
                <w:szCs w:val="14"/>
                <w:lang w:eastAsia="pt-BR"/>
              </w:rPr>
              <w:t>Ativo Não Circulante</w:t>
            </w:r>
          </w:p>
        </w:tc>
        <w:tc>
          <w:tcPr>
            <w:tcW w:w="604" w:type="dxa"/>
            <w:shd w:val="clear" w:color="auto" w:fill="auto"/>
          </w:tcPr>
          <w:p w14:paraId="4C43DD5A" w14:textId="77777777" w:rsidR="001C600B" w:rsidRPr="001C600B" w:rsidRDefault="001C600B" w:rsidP="001C600B">
            <w:pPr>
              <w:keepNext/>
              <w:keepLines/>
              <w:spacing w:before="40" w:after="40" w:line="240" w:lineRule="auto"/>
              <w:jc w:val="center"/>
              <w:rPr>
                <w:rFonts w:ascii="Arial" w:eastAsia="Times New Roman" w:hAnsi="Arial" w:cs="Arial"/>
                <w:b/>
                <w:spacing w:val="-2"/>
                <w:sz w:val="14"/>
                <w:szCs w:val="14"/>
                <w:lang w:eastAsia="pt-BR"/>
              </w:rPr>
            </w:pPr>
          </w:p>
        </w:tc>
        <w:tc>
          <w:tcPr>
            <w:tcW w:w="1411" w:type="dxa"/>
            <w:shd w:val="clear" w:color="auto" w:fill="auto"/>
            <w:vAlign w:val="center"/>
          </w:tcPr>
          <w:p w14:paraId="628F96EA" w14:textId="77777777" w:rsidR="001C600B" w:rsidRPr="001C600B" w:rsidRDefault="001C600B" w:rsidP="001C600B">
            <w:pPr>
              <w:keepNext/>
              <w:keepLines/>
              <w:spacing w:before="40" w:after="40" w:line="240" w:lineRule="auto"/>
              <w:jc w:val="right"/>
              <w:rPr>
                <w:rFonts w:ascii="Arial" w:eastAsia="Times New Roman" w:hAnsi="Arial" w:cs="Arial"/>
                <w:b/>
                <w:spacing w:val="-2"/>
                <w:sz w:val="14"/>
                <w:szCs w:val="14"/>
                <w:lang w:eastAsia="pt-BR"/>
              </w:rPr>
            </w:pPr>
            <w:r w:rsidRPr="001C600B">
              <w:rPr>
                <w:rFonts w:ascii="Arial" w:eastAsia="Times New Roman" w:hAnsi="Arial" w:cs="Arial"/>
                <w:b/>
                <w:spacing w:val="-2"/>
                <w:sz w:val="14"/>
                <w:szCs w:val="14"/>
                <w:lang w:eastAsia="pt-BR"/>
              </w:rPr>
              <w:t>57</w:t>
            </w:r>
          </w:p>
        </w:tc>
        <w:tc>
          <w:tcPr>
            <w:tcW w:w="1412" w:type="dxa"/>
            <w:shd w:val="clear" w:color="auto" w:fill="auto"/>
            <w:vAlign w:val="center"/>
          </w:tcPr>
          <w:p w14:paraId="399D8B51" w14:textId="77777777" w:rsidR="001C600B" w:rsidRPr="001C600B" w:rsidRDefault="001C600B" w:rsidP="001C600B">
            <w:pPr>
              <w:keepNext/>
              <w:keepLines/>
              <w:spacing w:before="40" w:after="40" w:line="240" w:lineRule="auto"/>
              <w:jc w:val="right"/>
              <w:rPr>
                <w:rFonts w:ascii="Arial" w:eastAsia="Times New Roman" w:hAnsi="Arial" w:cs="Arial"/>
                <w:b/>
                <w:spacing w:val="-2"/>
                <w:sz w:val="14"/>
                <w:szCs w:val="14"/>
                <w:lang w:eastAsia="pt-BR"/>
              </w:rPr>
            </w:pPr>
            <w:r w:rsidRPr="001C600B">
              <w:rPr>
                <w:rFonts w:ascii="Arial" w:eastAsia="Times New Roman" w:hAnsi="Arial" w:cs="Arial"/>
                <w:b/>
                <w:spacing w:val="-2"/>
                <w:sz w:val="14"/>
                <w:szCs w:val="14"/>
                <w:lang w:eastAsia="pt-BR"/>
              </w:rPr>
              <w:t>49</w:t>
            </w:r>
          </w:p>
        </w:tc>
        <w:tc>
          <w:tcPr>
            <w:tcW w:w="283" w:type="dxa"/>
            <w:shd w:val="clear" w:color="auto" w:fill="auto"/>
            <w:vAlign w:val="center"/>
          </w:tcPr>
          <w:p w14:paraId="6BF66303" w14:textId="77777777" w:rsidR="001C600B" w:rsidRPr="001C600B" w:rsidRDefault="001C600B" w:rsidP="001C600B">
            <w:pPr>
              <w:keepNext/>
              <w:keepLines/>
              <w:spacing w:before="40" w:after="40" w:line="240" w:lineRule="auto"/>
              <w:jc w:val="right"/>
              <w:rPr>
                <w:rFonts w:ascii="Arial" w:eastAsia="Times New Roman" w:hAnsi="Arial" w:cs="Arial"/>
                <w:b/>
                <w:spacing w:val="-2"/>
                <w:sz w:val="14"/>
                <w:szCs w:val="14"/>
                <w:lang w:eastAsia="pt-BR"/>
              </w:rPr>
            </w:pPr>
          </w:p>
        </w:tc>
        <w:tc>
          <w:tcPr>
            <w:tcW w:w="1417" w:type="dxa"/>
            <w:shd w:val="clear" w:color="auto" w:fill="auto"/>
            <w:vAlign w:val="center"/>
          </w:tcPr>
          <w:p w14:paraId="664159F5" w14:textId="575A2413" w:rsidR="001C600B" w:rsidRPr="001C600B" w:rsidRDefault="001C600B" w:rsidP="001C600B">
            <w:pPr>
              <w:keepNext/>
              <w:keepLines/>
              <w:spacing w:before="40" w:after="40" w:line="240" w:lineRule="auto"/>
              <w:jc w:val="right"/>
              <w:rPr>
                <w:rFonts w:ascii="Arial" w:eastAsia="Times New Roman" w:hAnsi="Arial" w:cs="Arial"/>
                <w:b/>
                <w:spacing w:val="-2"/>
                <w:sz w:val="14"/>
                <w:szCs w:val="14"/>
                <w:lang w:eastAsia="pt-BR"/>
              </w:rPr>
            </w:pPr>
            <w:r w:rsidRPr="001C600B">
              <w:rPr>
                <w:rFonts w:ascii="Arial" w:eastAsia="Times New Roman" w:hAnsi="Arial" w:cs="Arial"/>
                <w:b/>
                <w:spacing w:val="-2"/>
                <w:sz w:val="14"/>
                <w:szCs w:val="14"/>
                <w:lang w:eastAsia="pt-BR"/>
              </w:rPr>
              <w:t>251.21</w:t>
            </w:r>
            <w:r w:rsidR="001319E6">
              <w:rPr>
                <w:rFonts w:ascii="Arial" w:eastAsia="Times New Roman" w:hAnsi="Arial" w:cs="Arial"/>
                <w:b/>
                <w:spacing w:val="-2"/>
                <w:sz w:val="14"/>
                <w:szCs w:val="14"/>
                <w:lang w:eastAsia="pt-BR"/>
              </w:rPr>
              <w:t>5</w:t>
            </w:r>
          </w:p>
        </w:tc>
        <w:tc>
          <w:tcPr>
            <w:tcW w:w="1418" w:type="dxa"/>
            <w:shd w:val="clear" w:color="auto" w:fill="auto"/>
            <w:vAlign w:val="center"/>
          </w:tcPr>
          <w:p w14:paraId="7424ED2F" w14:textId="77777777" w:rsidR="001C600B" w:rsidRPr="001C600B" w:rsidRDefault="001C600B" w:rsidP="001C600B">
            <w:pPr>
              <w:keepNext/>
              <w:keepLines/>
              <w:spacing w:before="40" w:after="40" w:line="240" w:lineRule="auto"/>
              <w:jc w:val="right"/>
              <w:rPr>
                <w:rFonts w:ascii="Arial" w:eastAsia="Times New Roman" w:hAnsi="Arial" w:cs="Arial"/>
                <w:b/>
                <w:spacing w:val="-2"/>
                <w:sz w:val="14"/>
                <w:szCs w:val="14"/>
                <w:lang w:eastAsia="pt-BR"/>
              </w:rPr>
            </w:pPr>
            <w:r w:rsidRPr="001C600B">
              <w:rPr>
                <w:rFonts w:ascii="Arial" w:eastAsia="Times New Roman" w:hAnsi="Arial" w:cs="Arial"/>
                <w:b/>
                <w:spacing w:val="-2"/>
                <w:sz w:val="14"/>
                <w:szCs w:val="14"/>
                <w:lang w:eastAsia="pt-BR"/>
              </w:rPr>
              <w:t>234.873</w:t>
            </w:r>
          </w:p>
        </w:tc>
      </w:tr>
      <w:tr w:rsidR="001C600B" w:rsidRPr="001C600B" w14:paraId="610715BC" w14:textId="77777777" w:rsidTr="001C600B">
        <w:trPr>
          <w:trHeight w:val="238"/>
        </w:trPr>
        <w:tc>
          <w:tcPr>
            <w:tcW w:w="3094" w:type="dxa"/>
            <w:shd w:val="clear" w:color="auto" w:fill="auto"/>
          </w:tcPr>
          <w:p w14:paraId="2F9A04C1" w14:textId="77777777" w:rsidR="001C600B" w:rsidRPr="001C600B" w:rsidRDefault="001C600B" w:rsidP="001C600B">
            <w:pPr>
              <w:keepNext/>
              <w:keepLines/>
              <w:spacing w:before="40" w:after="40" w:line="240" w:lineRule="auto"/>
              <w:ind w:left="113"/>
              <w:rPr>
                <w:rFonts w:ascii="Arial" w:eastAsia="Times New Roman" w:hAnsi="Arial" w:cs="Arial"/>
                <w:spacing w:val="-2"/>
                <w:sz w:val="14"/>
                <w:szCs w:val="14"/>
                <w:lang w:eastAsia="pt-BR"/>
              </w:rPr>
            </w:pPr>
            <w:r w:rsidRPr="001C600B">
              <w:rPr>
                <w:rFonts w:ascii="Arial" w:eastAsia="Times New Roman" w:hAnsi="Arial" w:cs="Arial"/>
                <w:spacing w:val="-2"/>
                <w:sz w:val="14"/>
                <w:szCs w:val="14"/>
                <w:lang w:eastAsia="pt-BR"/>
              </w:rPr>
              <w:t xml:space="preserve">Depósitos judiciais </w:t>
            </w:r>
            <w:r w:rsidRPr="001C600B">
              <w:rPr>
                <w:rFonts w:ascii="Arial" w:eastAsia="Times New Roman" w:hAnsi="Arial" w:cs="Arial"/>
                <w:spacing w:val="-2"/>
                <w:sz w:val="14"/>
                <w:szCs w:val="14"/>
                <w:vertAlign w:val="superscript"/>
                <w:lang w:eastAsia="pt-BR"/>
              </w:rPr>
              <w:t>(2)</w:t>
            </w:r>
          </w:p>
        </w:tc>
        <w:tc>
          <w:tcPr>
            <w:tcW w:w="604" w:type="dxa"/>
            <w:shd w:val="clear" w:color="auto" w:fill="auto"/>
          </w:tcPr>
          <w:p w14:paraId="42B52CB1" w14:textId="77777777" w:rsidR="001C600B" w:rsidRPr="001C600B" w:rsidRDefault="001C600B" w:rsidP="001C600B">
            <w:pPr>
              <w:keepNext/>
              <w:keepLines/>
              <w:spacing w:before="40" w:after="40" w:line="240" w:lineRule="auto"/>
              <w:ind w:left="113"/>
              <w:jc w:val="center"/>
              <w:rPr>
                <w:rFonts w:ascii="Arial" w:eastAsia="Times New Roman" w:hAnsi="Arial" w:cs="Arial"/>
                <w:spacing w:val="-2"/>
                <w:sz w:val="14"/>
                <w:szCs w:val="14"/>
                <w:lang w:eastAsia="pt-BR"/>
              </w:rPr>
            </w:pPr>
          </w:p>
        </w:tc>
        <w:tc>
          <w:tcPr>
            <w:tcW w:w="1411" w:type="dxa"/>
            <w:shd w:val="clear" w:color="auto" w:fill="auto"/>
            <w:vAlign w:val="center"/>
          </w:tcPr>
          <w:p w14:paraId="3B804E34" w14:textId="77777777" w:rsidR="001C600B" w:rsidRPr="001C600B" w:rsidRDefault="001C600B" w:rsidP="001C600B">
            <w:pPr>
              <w:keepNext/>
              <w:keepLines/>
              <w:spacing w:before="40" w:after="40" w:line="240" w:lineRule="auto"/>
              <w:ind w:left="113"/>
              <w:jc w:val="right"/>
              <w:rPr>
                <w:rFonts w:ascii="Arial" w:eastAsia="Times New Roman" w:hAnsi="Arial" w:cs="Arial"/>
                <w:spacing w:val="-2"/>
                <w:sz w:val="14"/>
                <w:szCs w:val="14"/>
                <w:lang w:eastAsia="pt-BR"/>
              </w:rPr>
            </w:pPr>
            <w:r w:rsidRPr="001C600B">
              <w:rPr>
                <w:rFonts w:ascii="Arial" w:eastAsia="Times New Roman" w:hAnsi="Arial" w:cs="Arial"/>
                <w:spacing w:val="-2"/>
                <w:sz w:val="14"/>
                <w:szCs w:val="14"/>
                <w:lang w:eastAsia="pt-BR"/>
              </w:rPr>
              <w:t>44</w:t>
            </w:r>
          </w:p>
        </w:tc>
        <w:tc>
          <w:tcPr>
            <w:tcW w:w="1412" w:type="dxa"/>
            <w:shd w:val="clear" w:color="auto" w:fill="auto"/>
            <w:vAlign w:val="center"/>
          </w:tcPr>
          <w:p w14:paraId="4444FACE" w14:textId="77777777" w:rsidR="001C600B" w:rsidRPr="001C600B" w:rsidRDefault="001C600B" w:rsidP="001C600B">
            <w:pPr>
              <w:keepNext/>
              <w:keepLines/>
              <w:spacing w:before="40" w:after="40" w:line="240" w:lineRule="auto"/>
              <w:ind w:left="113"/>
              <w:jc w:val="right"/>
              <w:rPr>
                <w:rFonts w:ascii="Arial" w:eastAsia="Times New Roman" w:hAnsi="Arial" w:cs="Arial"/>
                <w:spacing w:val="-2"/>
                <w:sz w:val="14"/>
                <w:szCs w:val="14"/>
                <w:lang w:eastAsia="pt-BR"/>
              </w:rPr>
            </w:pPr>
            <w:r w:rsidRPr="001C600B">
              <w:rPr>
                <w:rFonts w:ascii="Arial" w:eastAsia="Times New Roman" w:hAnsi="Arial" w:cs="Arial"/>
                <w:spacing w:val="-2"/>
                <w:sz w:val="14"/>
                <w:szCs w:val="14"/>
                <w:lang w:eastAsia="pt-BR"/>
              </w:rPr>
              <w:t>25</w:t>
            </w:r>
          </w:p>
        </w:tc>
        <w:tc>
          <w:tcPr>
            <w:tcW w:w="283" w:type="dxa"/>
            <w:shd w:val="clear" w:color="auto" w:fill="auto"/>
            <w:vAlign w:val="center"/>
          </w:tcPr>
          <w:p w14:paraId="2556897A" w14:textId="77777777" w:rsidR="001C600B" w:rsidRPr="001C600B" w:rsidRDefault="001C600B" w:rsidP="001C600B">
            <w:pPr>
              <w:keepNext/>
              <w:keepLines/>
              <w:spacing w:before="40" w:after="40" w:line="240" w:lineRule="auto"/>
              <w:ind w:left="113"/>
              <w:jc w:val="right"/>
              <w:rPr>
                <w:rFonts w:ascii="Arial" w:eastAsia="Times New Roman" w:hAnsi="Arial" w:cs="Arial"/>
                <w:spacing w:val="-2"/>
                <w:sz w:val="14"/>
                <w:szCs w:val="14"/>
                <w:lang w:eastAsia="pt-BR"/>
              </w:rPr>
            </w:pPr>
          </w:p>
        </w:tc>
        <w:tc>
          <w:tcPr>
            <w:tcW w:w="1417" w:type="dxa"/>
            <w:shd w:val="clear" w:color="auto" w:fill="auto"/>
            <w:vAlign w:val="center"/>
          </w:tcPr>
          <w:p w14:paraId="03E4E298" w14:textId="620CB598" w:rsidR="001C600B" w:rsidRPr="001C600B" w:rsidRDefault="001C600B" w:rsidP="001C600B">
            <w:pPr>
              <w:keepNext/>
              <w:keepLines/>
              <w:spacing w:before="40" w:after="40" w:line="240" w:lineRule="auto"/>
              <w:ind w:left="113"/>
              <w:jc w:val="right"/>
              <w:rPr>
                <w:rFonts w:ascii="Arial" w:eastAsia="Times New Roman" w:hAnsi="Arial" w:cs="Arial"/>
                <w:spacing w:val="-2"/>
                <w:sz w:val="14"/>
                <w:szCs w:val="14"/>
                <w:lang w:eastAsia="pt-BR"/>
              </w:rPr>
            </w:pPr>
            <w:r w:rsidRPr="001C600B">
              <w:rPr>
                <w:rFonts w:ascii="Arial" w:eastAsia="Times New Roman" w:hAnsi="Arial" w:cs="Arial"/>
                <w:spacing w:val="-2"/>
                <w:sz w:val="14"/>
                <w:szCs w:val="14"/>
                <w:lang w:eastAsia="pt-BR"/>
              </w:rPr>
              <w:t>251.20</w:t>
            </w:r>
            <w:r w:rsidR="008B3214">
              <w:rPr>
                <w:rFonts w:ascii="Arial" w:eastAsia="Times New Roman" w:hAnsi="Arial" w:cs="Arial"/>
                <w:spacing w:val="-2"/>
                <w:sz w:val="14"/>
                <w:szCs w:val="14"/>
                <w:lang w:eastAsia="pt-BR"/>
              </w:rPr>
              <w:t>2</w:t>
            </w:r>
          </w:p>
        </w:tc>
        <w:tc>
          <w:tcPr>
            <w:tcW w:w="1418" w:type="dxa"/>
            <w:shd w:val="clear" w:color="auto" w:fill="auto"/>
            <w:vAlign w:val="center"/>
          </w:tcPr>
          <w:p w14:paraId="7ED58974" w14:textId="77777777" w:rsidR="001C600B" w:rsidRPr="001C600B" w:rsidRDefault="001C600B" w:rsidP="001C600B">
            <w:pPr>
              <w:keepNext/>
              <w:keepLines/>
              <w:spacing w:before="40" w:after="40" w:line="240" w:lineRule="auto"/>
              <w:ind w:left="113"/>
              <w:jc w:val="right"/>
              <w:rPr>
                <w:rFonts w:ascii="Arial" w:eastAsia="Times New Roman" w:hAnsi="Arial" w:cs="Arial"/>
                <w:spacing w:val="-2"/>
                <w:sz w:val="14"/>
                <w:szCs w:val="14"/>
                <w:lang w:eastAsia="pt-BR"/>
              </w:rPr>
            </w:pPr>
            <w:r w:rsidRPr="001C600B">
              <w:rPr>
                <w:rFonts w:ascii="Arial" w:eastAsia="Times New Roman" w:hAnsi="Arial" w:cs="Arial"/>
                <w:spacing w:val="-2"/>
                <w:sz w:val="14"/>
                <w:szCs w:val="14"/>
                <w:lang w:eastAsia="pt-BR"/>
              </w:rPr>
              <w:t>234.849</w:t>
            </w:r>
          </w:p>
        </w:tc>
      </w:tr>
      <w:tr w:rsidR="001C600B" w:rsidRPr="001C600B" w14:paraId="63543A2B" w14:textId="77777777" w:rsidTr="001C600B">
        <w:trPr>
          <w:trHeight w:val="238"/>
        </w:trPr>
        <w:tc>
          <w:tcPr>
            <w:tcW w:w="3094" w:type="dxa"/>
            <w:tcBorders>
              <w:bottom w:val="nil"/>
            </w:tcBorders>
            <w:shd w:val="clear" w:color="auto" w:fill="auto"/>
          </w:tcPr>
          <w:p w14:paraId="67D9AB08" w14:textId="77777777" w:rsidR="001C600B" w:rsidRPr="001C600B" w:rsidRDefault="001C600B" w:rsidP="001C600B">
            <w:pPr>
              <w:keepNext/>
              <w:keepLines/>
              <w:spacing w:before="40" w:after="40" w:line="240" w:lineRule="auto"/>
              <w:ind w:left="113"/>
              <w:rPr>
                <w:rFonts w:ascii="Arial" w:eastAsia="Times New Roman" w:hAnsi="Arial" w:cs="Arial"/>
                <w:spacing w:val="-2"/>
                <w:sz w:val="14"/>
                <w:szCs w:val="14"/>
                <w:vertAlign w:val="superscript"/>
                <w:lang w:eastAsia="pt-BR"/>
              </w:rPr>
            </w:pPr>
            <w:r w:rsidRPr="001C600B">
              <w:rPr>
                <w:rFonts w:ascii="Arial" w:eastAsia="Times New Roman" w:hAnsi="Arial" w:cs="Arial"/>
                <w:spacing w:val="-2"/>
                <w:sz w:val="14"/>
                <w:szCs w:val="14"/>
                <w:lang w:eastAsia="pt-BR"/>
              </w:rPr>
              <w:t xml:space="preserve">Imobilizado </w:t>
            </w:r>
          </w:p>
        </w:tc>
        <w:tc>
          <w:tcPr>
            <w:tcW w:w="604" w:type="dxa"/>
            <w:tcBorders>
              <w:bottom w:val="nil"/>
            </w:tcBorders>
            <w:shd w:val="clear" w:color="auto" w:fill="auto"/>
          </w:tcPr>
          <w:p w14:paraId="248334AA" w14:textId="77777777" w:rsidR="001C600B" w:rsidRPr="001C600B" w:rsidRDefault="001C600B" w:rsidP="001C600B">
            <w:pPr>
              <w:keepNext/>
              <w:keepLines/>
              <w:spacing w:before="40" w:after="40" w:line="240" w:lineRule="auto"/>
              <w:ind w:left="113"/>
              <w:jc w:val="center"/>
              <w:rPr>
                <w:rFonts w:ascii="Arial" w:eastAsia="Times New Roman" w:hAnsi="Arial" w:cs="Arial"/>
                <w:spacing w:val="-2"/>
                <w:sz w:val="14"/>
                <w:szCs w:val="14"/>
                <w:lang w:eastAsia="pt-BR"/>
              </w:rPr>
            </w:pPr>
          </w:p>
        </w:tc>
        <w:tc>
          <w:tcPr>
            <w:tcW w:w="1411" w:type="dxa"/>
            <w:tcBorders>
              <w:bottom w:val="nil"/>
            </w:tcBorders>
            <w:shd w:val="clear" w:color="auto" w:fill="auto"/>
            <w:vAlign w:val="center"/>
          </w:tcPr>
          <w:p w14:paraId="588820AB" w14:textId="77777777" w:rsidR="001C600B" w:rsidRPr="001C600B" w:rsidRDefault="001C600B" w:rsidP="001C600B">
            <w:pPr>
              <w:keepNext/>
              <w:keepLines/>
              <w:spacing w:before="40" w:after="40" w:line="240" w:lineRule="auto"/>
              <w:ind w:left="113"/>
              <w:jc w:val="right"/>
              <w:rPr>
                <w:rFonts w:ascii="Arial" w:eastAsia="Times New Roman" w:hAnsi="Arial" w:cs="Arial"/>
                <w:spacing w:val="-2"/>
                <w:sz w:val="14"/>
                <w:szCs w:val="14"/>
                <w:lang w:eastAsia="pt-BR"/>
              </w:rPr>
            </w:pPr>
            <w:r w:rsidRPr="001C600B">
              <w:rPr>
                <w:rFonts w:ascii="Arial" w:eastAsia="Times New Roman" w:hAnsi="Arial" w:cs="Arial"/>
                <w:spacing w:val="-2"/>
                <w:sz w:val="14"/>
                <w:szCs w:val="14"/>
                <w:lang w:eastAsia="pt-BR"/>
              </w:rPr>
              <w:t>13</w:t>
            </w:r>
          </w:p>
        </w:tc>
        <w:tc>
          <w:tcPr>
            <w:tcW w:w="1412" w:type="dxa"/>
            <w:tcBorders>
              <w:bottom w:val="nil"/>
            </w:tcBorders>
            <w:shd w:val="clear" w:color="auto" w:fill="auto"/>
            <w:vAlign w:val="center"/>
          </w:tcPr>
          <w:p w14:paraId="795A21D3" w14:textId="77777777" w:rsidR="001C600B" w:rsidRPr="001C600B" w:rsidRDefault="001C600B" w:rsidP="001C600B">
            <w:pPr>
              <w:keepNext/>
              <w:keepLines/>
              <w:spacing w:before="40" w:after="40" w:line="240" w:lineRule="auto"/>
              <w:ind w:left="113"/>
              <w:jc w:val="right"/>
              <w:rPr>
                <w:rFonts w:ascii="Arial" w:eastAsia="Times New Roman" w:hAnsi="Arial" w:cs="Arial"/>
                <w:spacing w:val="-2"/>
                <w:sz w:val="14"/>
                <w:szCs w:val="14"/>
                <w:lang w:eastAsia="pt-BR"/>
              </w:rPr>
            </w:pPr>
            <w:r w:rsidRPr="001C600B">
              <w:rPr>
                <w:rFonts w:ascii="Arial" w:eastAsia="Times New Roman" w:hAnsi="Arial" w:cs="Arial"/>
                <w:spacing w:val="-2"/>
                <w:sz w:val="14"/>
                <w:szCs w:val="14"/>
                <w:lang w:eastAsia="pt-BR"/>
              </w:rPr>
              <w:t>24</w:t>
            </w:r>
          </w:p>
        </w:tc>
        <w:tc>
          <w:tcPr>
            <w:tcW w:w="283" w:type="dxa"/>
            <w:tcBorders>
              <w:bottom w:val="nil"/>
            </w:tcBorders>
            <w:shd w:val="clear" w:color="auto" w:fill="auto"/>
            <w:vAlign w:val="center"/>
          </w:tcPr>
          <w:p w14:paraId="11D09677" w14:textId="77777777" w:rsidR="001C600B" w:rsidRPr="001C600B" w:rsidRDefault="001C600B" w:rsidP="001C600B">
            <w:pPr>
              <w:keepNext/>
              <w:keepLines/>
              <w:spacing w:before="40" w:after="40" w:line="240" w:lineRule="auto"/>
              <w:ind w:left="113"/>
              <w:jc w:val="right"/>
              <w:rPr>
                <w:rFonts w:ascii="Arial" w:eastAsia="Times New Roman" w:hAnsi="Arial" w:cs="Arial"/>
                <w:spacing w:val="-2"/>
                <w:sz w:val="14"/>
                <w:szCs w:val="14"/>
                <w:lang w:eastAsia="pt-BR"/>
              </w:rPr>
            </w:pPr>
          </w:p>
        </w:tc>
        <w:tc>
          <w:tcPr>
            <w:tcW w:w="1417" w:type="dxa"/>
            <w:tcBorders>
              <w:bottom w:val="nil"/>
            </w:tcBorders>
            <w:shd w:val="clear" w:color="auto" w:fill="auto"/>
            <w:vAlign w:val="center"/>
          </w:tcPr>
          <w:p w14:paraId="0A28FB9F" w14:textId="39180937" w:rsidR="001C600B" w:rsidRPr="001C600B" w:rsidRDefault="001C600B" w:rsidP="001C600B">
            <w:pPr>
              <w:keepNext/>
              <w:keepLines/>
              <w:spacing w:before="40" w:after="40" w:line="240" w:lineRule="auto"/>
              <w:ind w:left="113"/>
              <w:jc w:val="right"/>
              <w:rPr>
                <w:rFonts w:ascii="Arial" w:eastAsia="Times New Roman" w:hAnsi="Arial" w:cs="Arial"/>
                <w:spacing w:val="-2"/>
                <w:sz w:val="14"/>
                <w:szCs w:val="14"/>
                <w:lang w:eastAsia="pt-BR"/>
              </w:rPr>
            </w:pPr>
            <w:r w:rsidRPr="001C600B">
              <w:rPr>
                <w:rFonts w:ascii="Arial" w:eastAsia="Times New Roman" w:hAnsi="Arial" w:cs="Arial"/>
                <w:spacing w:val="-2"/>
                <w:sz w:val="14"/>
                <w:szCs w:val="14"/>
                <w:lang w:eastAsia="pt-BR"/>
              </w:rPr>
              <w:t>1</w:t>
            </w:r>
            <w:r w:rsidR="008B3214">
              <w:rPr>
                <w:rFonts w:ascii="Arial" w:eastAsia="Times New Roman" w:hAnsi="Arial" w:cs="Arial"/>
                <w:spacing w:val="-2"/>
                <w:sz w:val="14"/>
                <w:szCs w:val="14"/>
                <w:lang w:eastAsia="pt-BR"/>
              </w:rPr>
              <w:t>3</w:t>
            </w:r>
          </w:p>
        </w:tc>
        <w:tc>
          <w:tcPr>
            <w:tcW w:w="1418" w:type="dxa"/>
            <w:tcBorders>
              <w:bottom w:val="nil"/>
            </w:tcBorders>
            <w:shd w:val="clear" w:color="auto" w:fill="auto"/>
            <w:vAlign w:val="center"/>
          </w:tcPr>
          <w:p w14:paraId="6149B290" w14:textId="77777777" w:rsidR="001C600B" w:rsidRPr="001C600B" w:rsidRDefault="001C600B" w:rsidP="001C600B">
            <w:pPr>
              <w:keepNext/>
              <w:keepLines/>
              <w:spacing w:before="40" w:after="40" w:line="240" w:lineRule="auto"/>
              <w:ind w:left="113"/>
              <w:jc w:val="right"/>
              <w:rPr>
                <w:rFonts w:ascii="Arial" w:eastAsia="Times New Roman" w:hAnsi="Arial" w:cs="Arial"/>
                <w:spacing w:val="-2"/>
                <w:sz w:val="14"/>
                <w:szCs w:val="14"/>
                <w:lang w:eastAsia="pt-BR"/>
              </w:rPr>
            </w:pPr>
            <w:r w:rsidRPr="001C600B">
              <w:rPr>
                <w:rFonts w:ascii="Arial" w:eastAsia="Times New Roman" w:hAnsi="Arial" w:cs="Arial"/>
                <w:spacing w:val="-2"/>
                <w:sz w:val="14"/>
                <w:szCs w:val="14"/>
                <w:lang w:eastAsia="pt-BR"/>
              </w:rPr>
              <w:t>24</w:t>
            </w:r>
          </w:p>
        </w:tc>
      </w:tr>
      <w:tr w:rsidR="001C600B" w:rsidRPr="001C600B" w14:paraId="2D9D652B" w14:textId="77777777" w:rsidTr="001C600B">
        <w:trPr>
          <w:trHeight w:val="238"/>
        </w:trPr>
        <w:tc>
          <w:tcPr>
            <w:tcW w:w="3094" w:type="dxa"/>
            <w:tcBorders>
              <w:top w:val="nil"/>
              <w:bottom w:val="single" w:sz="2" w:space="0" w:color="1F4E79"/>
            </w:tcBorders>
            <w:shd w:val="clear" w:color="auto" w:fill="auto"/>
          </w:tcPr>
          <w:p w14:paraId="31486721" w14:textId="77777777" w:rsidR="001C600B" w:rsidRPr="001C600B" w:rsidRDefault="001C600B" w:rsidP="001C600B">
            <w:pPr>
              <w:keepNext/>
              <w:keepLines/>
              <w:spacing w:before="40" w:after="40" w:line="240" w:lineRule="auto"/>
              <w:rPr>
                <w:rFonts w:ascii="Arial" w:eastAsia="Times New Roman" w:hAnsi="Arial" w:cs="Arial"/>
                <w:b/>
                <w:spacing w:val="-2"/>
                <w:sz w:val="14"/>
                <w:szCs w:val="18"/>
                <w:lang w:eastAsia="pt-BR"/>
              </w:rPr>
            </w:pPr>
            <w:r w:rsidRPr="001C600B">
              <w:rPr>
                <w:rFonts w:ascii="Arial" w:eastAsia="Times New Roman" w:hAnsi="Arial" w:cs="Arial"/>
                <w:b/>
                <w:spacing w:val="-2"/>
                <w:sz w:val="14"/>
                <w:szCs w:val="18"/>
                <w:lang w:eastAsia="pt-BR"/>
              </w:rPr>
              <w:t xml:space="preserve">Total </w:t>
            </w:r>
          </w:p>
        </w:tc>
        <w:tc>
          <w:tcPr>
            <w:tcW w:w="604" w:type="dxa"/>
            <w:tcBorders>
              <w:top w:val="nil"/>
              <w:bottom w:val="single" w:sz="2" w:space="0" w:color="1F4E79"/>
            </w:tcBorders>
            <w:shd w:val="clear" w:color="auto" w:fill="auto"/>
          </w:tcPr>
          <w:p w14:paraId="41A918DB" w14:textId="77777777" w:rsidR="001C600B" w:rsidRPr="001C600B" w:rsidRDefault="001C600B" w:rsidP="001C600B">
            <w:pPr>
              <w:keepNext/>
              <w:keepLines/>
              <w:spacing w:before="40" w:after="40" w:line="240" w:lineRule="auto"/>
              <w:jc w:val="center"/>
              <w:rPr>
                <w:rFonts w:ascii="Arial" w:eastAsia="Times New Roman" w:hAnsi="Arial" w:cs="Arial"/>
                <w:b/>
                <w:spacing w:val="-2"/>
                <w:sz w:val="14"/>
                <w:szCs w:val="14"/>
                <w:lang w:eastAsia="pt-BR"/>
              </w:rPr>
            </w:pPr>
          </w:p>
        </w:tc>
        <w:tc>
          <w:tcPr>
            <w:tcW w:w="1411" w:type="dxa"/>
            <w:tcBorders>
              <w:top w:val="nil"/>
              <w:bottom w:val="single" w:sz="2" w:space="0" w:color="1F4E79"/>
            </w:tcBorders>
            <w:shd w:val="clear" w:color="auto" w:fill="auto"/>
            <w:vAlign w:val="center"/>
          </w:tcPr>
          <w:p w14:paraId="0F2B686C" w14:textId="29BC6B34" w:rsidR="001C600B" w:rsidRPr="001C600B" w:rsidRDefault="001C600B" w:rsidP="001C600B">
            <w:pPr>
              <w:keepNext/>
              <w:keepLines/>
              <w:spacing w:before="40" w:after="40" w:line="240" w:lineRule="auto"/>
              <w:jc w:val="right"/>
              <w:rPr>
                <w:rFonts w:ascii="Arial" w:eastAsia="Times New Roman" w:hAnsi="Arial" w:cs="Arial"/>
                <w:b/>
                <w:spacing w:val="-2"/>
                <w:sz w:val="14"/>
                <w:szCs w:val="14"/>
                <w:lang w:eastAsia="pt-BR"/>
              </w:rPr>
            </w:pPr>
            <w:r w:rsidRPr="001C600B">
              <w:rPr>
                <w:rFonts w:ascii="Arial" w:eastAsia="Times New Roman" w:hAnsi="Arial" w:cs="Arial"/>
                <w:b/>
                <w:spacing w:val="-2"/>
                <w:sz w:val="14"/>
                <w:szCs w:val="14"/>
                <w:lang w:eastAsia="pt-BR"/>
              </w:rPr>
              <w:t>10.99</w:t>
            </w:r>
            <w:r w:rsidR="00E17BC5">
              <w:rPr>
                <w:rFonts w:ascii="Arial" w:eastAsia="Times New Roman" w:hAnsi="Arial" w:cs="Arial"/>
                <w:b/>
                <w:spacing w:val="-2"/>
                <w:sz w:val="14"/>
                <w:szCs w:val="14"/>
                <w:lang w:eastAsia="pt-BR"/>
              </w:rPr>
              <w:t>2</w:t>
            </w:r>
          </w:p>
        </w:tc>
        <w:tc>
          <w:tcPr>
            <w:tcW w:w="1412" w:type="dxa"/>
            <w:tcBorders>
              <w:top w:val="nil"/>
              <w:bottom w:val="single" w:sz="2" w:space="0" w:color="1F4E79"/>
            </w:tcBorders>
            <w:shd w:val="clear" w:color="auto" w:fill="auto"/>
            <w:vAlign w:val="center"/>
          </w:tcPr>
          <w:p w14:paraId="0F51A911" w14:textId="77777777" w:rsidR="001C600B" w:rsidRPr="001C600B" w:rsidRDefault="001C600B" w:rsidP="001C600B">
            <w:pPr>
              <w:keepNext/>
              <w:keepLines/>
              <w:spacing w:before="40" w:after="40" w:line="240" w:lineRule="auto"/>
              <w:jc w:val="right"/>
              <w:rPr>
                <w:rFonts w:ascii="Arial" w:eastAsia="Times New Roman" w:hAnsi="Arial" w:cs="Arial"/>
                <w:b/>
                <w:spacing w:val="-2"/>
                <w:sz w:val="14"/>
                <w:szCs w:val="14"/>
                <w:lang w:eastAsia="pt-BR"/>
              </w:rPr>
            </w:pPr>
            <w:r w:rsidRPr="001C600B">
              <w:rPr>
                <w:rFonts w:ascii="Arial" w:eastAsia="Times New Roman" w:hAnsi="Arial" w:cs="Arial"/>
                <w:b/>
                <w:spacing w:val="-2"/>
                <w:sz w:val="14"/>
                <w:szCs w:val="14"/>
                <w:lang w:eastAsia="pt-BR"/>
              </w:rPr>
              <w:t>13.575</w:t>
            </w:r>
          </w:p>
        </w:tc>
        <w:tc>
          <w:tcPr>
            <w:tcW w:w="283" w:type="dxa"/>
            <w:tcBorders>
              <w:top w:val="nil"/>
              <w:bottom w:val="single" w:sz="2" w:space="0" w:color="1F4E79"/>
            </w:tcBorders>
            <w:shd w:val="clear" w:color="auto" w:fill="auto"/>
            <w:vAlign w:val="center"/>
          </w:tcPr>
          <w:p w14:paraId="4ACF9CA2" w14:textId="77777777" w:rsidR="001C600B" w:rsidRPr="001C600B" w:rsidRDefault="001C600B" w:rsidP="001C600B">
            <w:pPr>
              <w:keepNext/>
              <w:keepLines/>
              <w:spacing w:before="40" w:after="40" w:line="240" w:lineRule="auto"/>
              <w:jc w:val="right"/>
              <w:rPr>
                <w:rFonts w:ascii="Arial" w:eastAsia="Times New Roman" w:hAnsi="Arial" w:cs="Arial"/>
                <w:b/>
                <w:spacing w:val="-2"/>
                <w:sz w:val="14"/>
                <w:szCs w:val="14"/>
                <w:lang w:eastAsia="pt-BR"/>
              </w:rPr>
            </w:pPr>
          </w:p>
        </w:tc>
        <w:tc>
          <w:tcPr>
            <w:tcW w:w="1417" w:type="dxa"/>
            <w:tcBorders>
              <w:top w:val="nil"/>
              <w:bottom w:val="single" w:sz="2" w:space="0" w:color="1F4E79"/>
            </w:tcBorders>
            <w:shd w:val="clear" w:color="auto" w:fill="auto"/>
            <w:vAlign w:val="center"/>
          </w:tcPr>
          <w:p w14:paraId="19B8DA2E" w14:textId="02B6C6CF" w:rsidR="001C600B" w:rsidRPr="001C600B" w:rsidRDefault="001C600B" w:rsidP="001C600B">
            <w:pPr>
              <w:keepNext/>
              <w:keepLines/>
              <w:spacing w:before="40" w:after="40" w:line="240" w:lineRule="auto"/>
              <w:jc w:val="right"/>
              <w:rPr>
                <w:rFonts w:ascii="Arial" w:eastAsia="Times New Roman" w:hAnsi="Arial" w:cs="Arial"/>
                <w:b/>
                <w:spacing w:val="-2"/>
                <w:sz w:val="14"/>
                <w:szCs w:val="14"/>
                <w:lang w:eastAsia="pt-BR"/>
              </w:rPr>
            </w:pPr>
            <w:r w:rsidRPr="001C600B">
              <w:rPr>
                <w:rFonts w:ascii="Arial" w:eastAsia="Times New Roman" w:hAnsi="Arial" w:cs="Arial"/>
                <w:b/>
                <w:spacing w:val="-2"/>
                <w:sz w:val="14"/>
                <w:szCs w:val="14"/>
                <w:lang w:eastAsia="pt-BR"/>
              </w:rPr>
              <w:t>254.47</w:t>
            </w:r>
            <w:r w:rsidR="001319E6">
              <w:rPr>
                <w:rFonts w:ascii="Arial" w:eastAsia="Times New Roman" w:hAnsi="Arial" w:cs="Arial"/>
                <w:b/>
                <w:spacing w:val="-2"/>
                <w:sz w:val="14"/>
                <w:szCs w:val="14"/>
                <w:lang w:eastAsia="pt-BR"/>
              </w:rPr>
              <w:t>3</w:t>
            </w:r>
          </w:p>
        </w:tc>
        <w:tc>
          <w:tcPr>
            <w:tcW w:w="1418" w:type="dxa"/>
            <w:tcBorders>
              <w:top w:val="nil"/>
              <w:bottom w:val="single" w:sz="2" w:space="0" w:color="1F4E79"/>
            </w:tcBorders>
            <w:shd w:val="clear" w:color="auto" w:fill="auto"/>
            <w:vAlign w:val="center"/>
          </w:tcPr>
          <w:p w14:paraId="6396DCB1" w14:textId="77777777" w:rsidR="001C600B" w:rsidRPr="001C600B" w:rsidRDefault="001C600B" w:rsidP="001C600B">
            <w:pPr>
              <w:keepNext/>
              <w:keepLines/>
              <w:spacing w:before="40" w:after="40" w:line="240" w:lineRule="auto"/>
              <w:jc w:val="right"/>
              <w:rPr>
                <w:rFonts w:ascii="Arial" w:eastAsia="Times New Roman" w:hAnsi="Arial" w:cs="Arial"/>
                <w:b/>
                <w:spacing w:val="-2"/>
                <w:sz w:val="14"/>
                <w:szCs w:val="14"/>
                <w:lang w:eastAsia="pt-BR"/>
              </w:rPr>
            </w:pPr>
            <w:r w:rsidRPr="001C600B">
              <w:rPr>
                <w:rFonts w:ascii="Arial" w:eastAsia="Times New Roman" w:hAnsi="Arial" w:cs="Arial"/>
                <w:b/>
                <w:spacing w:val="-2"/>
                <w:sz w:val="14"/>
                <w:szCs w:val="14"/>
                <w:lang w:eastAsia="pt-BR"/>
              </w:rPr>
              <w:t>244.784</w:t>
            </w:r>
          </w:p>
        </w:tc>
      </w:tr>
    </w:tbl>
    <w:p w14:paraId="0A3EE78F" w14:textId="5B42B9E4" w:rsidR="001C600B" w:rsidRPr="001C600B" w:rsidRDefault="001C600B" w:rsidP="002C3B56">
      <w:pPr>
        <w:keepLines/>
        <w:numPr>
          <w:ilvl w:val="0"/>
          <w:numId w:val="12"/>
        </w:numPr>
        <w:tabs>
          <w:tab w:val="left" w:pos="284"/>
        </w:tabs>
        <w:spacing w:before="40" w:after="0" w:line="240" w:lineRule="auto"/>
        <w:jc w:val="both"/>
        <w:rPr>
          <w:rFonts w:ascii="Arial" w:eastAsia="Times New Roman" w:hAnsi="Arial" w:cs="Arial"/>
          <w:spacing w:val="-2"/>
          <w:sz w:val="14"/>
          <w:szCs w:val="18"/>
          <w:lang w:eastAsia="pt-BR"/>
        </w:rPr>
      </w:pPr>
      <w:r w:rsidRPr="001C600B">
        <w:rPr>
          <w:rFonts w:ascii="Arial" w:eastAsia="Times New Roman" w:hAnsi="Arial" w:cs="Arial"/>
          <w:spacing w:val="-2"/>
          <w:sz w:val="14"/>
          <w:szCs w:val="18"/>
          <w:lang w:eastAsia="pt-BR"/>
        </w:rPr>
        <w:t xml:space="preserve">No controlador, refere-se ao ressarcimento de rateio de despesas administrativas entre a BB Seguridade e suas controladas BB Seguros e BB Corretora. No consolidado, inclui os valores a receber referente a convênio de ressarcimento </w:t>
      </w:r>
      <w:r w:rsidR="00A73D87">
        <w:rPr>
          <w:rFonts w:ascii="Arial" w:eastAsia="Times New Roman" w:hAnsi="Arial" w:cs="Arial"/>
          <w:spacing w:val="-2"/>
          <w:sz w:val="14"/>
          <w:szCs w:val="18"/>
          <w:lang w:eastAsia="pt-BR"/>
        </w:rPr>
        <w:t>de gastos com campanhas</w:t>
      </w:r>
      <w:r w:rsidR="005C49AE">
        <w:rPr>
          <w:rFonts w:ascii="Arial" w:eastAsia="Times New Roman" w:hAnsi="Arial" w:cs="Arial"/>
          <w:spacing w:val="-2"/>
          <w:sz w:val="14"/>
          <w:szCs w:val="18"/>
          <w:lang w:eastAsia="pt-BR"/>
        </w:rPr>
        <w:t xml:space="preserve"> comerciais</w:t>
      </w:r>
      <w:r w:rsidRPr="001C600B">
        <w:rPr>
          <w:rFonts w:ascii="Arial" w:eastAsia="Times New Roman" w:hAnsi="Arial" w:cs="Arial"/>
          <w:spacing w:val="-2"/>
          <w:sz w:val="14"/>
          <w:szCs w:val="18"/>
          <w:lang w:eastAsia="pt-BR"/>
        </w:rPr>
        <w:t xml:space="preserve"> celebrado entre a BB Corretora, </w:t>
      </w:r>
      <w:proofErr w:type="spellStart"/>
      <w:r w:rsidRPr="001C600B">
        <w:rPr>
          <w:rFonts w:ascii="Arial" w:eastAsia="Times New Roman" w:hAnsi="Arial" w:cs="Arial"/>
          <w:spacing w:val="-2"/>
          <w:sz w:val="14"/>
          <w:szCs w:val="18"/>
          <w:lang w:eastAsia="pt-BR"/>
        </w:rPr>
        <w:t>Brasilseg</w:t>
      </w:r>
      <w:proofErr w:type="spellEnd"/>
      <w:r w:rsidRPr="001C600B">
        <w:rPr>
          <w:rFonts w:ascii="Arial" w:eastAsia="Times New Roman" w:hAnsi="Arial" w:cs="Arial"/>
          <w:spacing w:val="-2"/>
          <w:sz w:val="14"/>
          <w:szCs w:val="18"/>
          <w:lang w:eastAsia="pt-BR"/>
        </w:rPr>
        <w:t xml:space="preserve"> e Aliança do Brasil Seguros.</w:t>
      </w:r>
    </w:p>
    <w:p w14:paraId="2A46109F" w14:textId="1AC6C45F" w:rsidR="001C600B" w:rsidRPr="001C600B" w:rsidRDefault="001C600B" w:rsidP="002C3B56">
      <w:pPr>
        <w:keepLines/>
        <w:numPr>
          <w:ilvl w:val="0"/>
          <w:numId w:val="12"/>
        </w:numPr>
        <w:tabs>
          <w:tab w:val="left" w:pos="284"/>
        </w:tabs>
        <w:spacing w:before="40" w:after="0" w:line="240" w:lineRule="auto"/>
        <w:jc w:val="both"/>
        <w:rPr>
          <w:rFonts w:ascii="Arial" w:eastAsia="Times New Roman" w:hAnsi="Arial" w:cs="Arial"/>
          <w:spacing w:val="-2"/>
          <w:sz w:val="14"/>
          <w:szCs w:val="18"/>
          <w:lang w:eastAsia="pt-BR"/>
        </w:rPr>
      </w:pPr>
      <w:r w:rsidRPr="001C600B">
        <w:rPr>
          <w:rFonts w:ascii="Arial" w:eastAsia="Times New Roman" w:hAnsi="Arial" w:cs="Arial"/>
          <w:spacing w:val="-2"/>
          <w:sz w:val="14"/>
          <w:szCs w:val="18"/>
          <w:lang w:eastAsia="pt-BR"/>
        </w:rPr>
        <w:t>No consolidad</w:t>
      </w:r>
      <w:r w:rsidR="000C0520">
        <w:rPr>
          <w:rFonts w:ascii="Arial" w:eastAsia="Times New Roman" w:hAnsi="Arial" w:cs="Arial"/>
          <w:spacing w:val="-2"/>
          <w:sz w:val="14"/>
          <w:szCs w:val="18"/>
          <w:lang w:eastAsia="pt-BR"/>
        </w:rPr>
        <w:t>o</w:t>
      </w:r>
      <w:r w:rsidRPr="001C600B">
        <w:rPr>
          <w:rFonts w:ascii="Arial" w:eastAsia="Times New Roman" w:hAnsi="Arial" w:cs="Arial"/>
          <w:spacing w:val="-2"/>
          <w:sz w:val="14"/>
          <w:szCs w:val="18"/>
          <w:lang w:eastAsia="pt-BR"/>
        </w:rPr>
        <w:t>, refere-se, principalmente, à ação judicial de natureza fiscal, com o objetivo de anular decisão administrativa que não homologou declarações de compensação de saldos negativos de IRPJ com diversos tributos próprios. O valor atualizado do referido depósito judicial é de R$ 184.132 mil (R$</w:t>
      </w:r>
      <w:r w:rsidR="000B4AA0">
        <w:rPr>
          <w:rFonts w:ascii="Arial" w:eastAsia="Times New Roman" w:hAnsi="Arial" w:cs="Arial"/>
          <w:spacing w:val="-2"/>
          <w:sz w:val="14"/>
          <w:szCs w:val="18"/>
          <w:lang w:eastAsia="pt-BR"/>
        </w:rPr>
        <w:t> </w:t>
      </w:r>
      <w:r w:rsidRPr="001C600B">
        <w:rPr>
          <w:rFonts w:ascii="Arial" w:eastAsia="Times New Roman" w:hAnsi="Arial" w:cs="Arial"/>
          <w:spacing w:val="-2"/>
          <w:sz w:val="14"/>
          <w:szCs w:val="18"/>
          <w:lang w:eastAsia="pt-BR"/>
        </w:rPr>
        <w:t>175.555</w:t>
      </w:r>
      <w:r w:rsidR="00D74BAF">
        <w:rPr>
          <w:rFonts w:ascii="Arial" w:eastAsia="Times New Roman" w:hAnsi="Arial" w:cs="Arial"/>
          <w:spacing w:val="-2"/>
          <w:sz w:val="14"/>
          <w:szCs w:val="18"/>
          <w:lang w:eastAsia="pt-BR"/>
        </w:rPr>
        <w:t> </w:t>
      </w:r>
      <w:r w:rsidRPr="001C600B">
        <w:rPr>
          <w:rFonts w:ascii="Arial" w:eastAsia="Times New Roman" w:hAnsi="Arial" w:cs="Arial"/>
          <w:spacing w:val="-2"/>
          <w:sz w:val="14"/>
          <w:szCs w:val="18"/>
          <w:lang w:eastAsia="pt-BR"/>
        </w:rPr>
        <w:t>mil em 31.12.2023), sendo que a sua atualização monetária é efetuada pela taxa SELIC.</w:t>
      </w:r>
    </w:p>
    <w:p w14:paraId="70F35F80" w14:textId="77777777" w:rsidR="007D4AB0" w:rsidRPr="00BF2AAF" w:rsidRDefault="007D4AB0" w:rsidP="00163DE7">
      <w:pPr>
        <w:rPr>
          <w:rFonts w:ascii="Arial" w:hAnsi="Arial" w:cs="Arial"/>
          <w:color w:val="1F3864" w:themeColor="accent1" w:themeShade="80"/>
          <w:sz w:val="20"/>
          <w:szCs w:val="20"/>
        </w:rPr>
      </w:pPr>
    </w:p>
    <w:p w14:paraId="7496F8CC" w14:textId="25E6D9CD" w:rsidR="007D4AB0" w:rsidRPr="00730D57" w:rsidRDefault="005C6C41" w:rsidP="00D5649F">
      <w:pPr>
        <w:pStyle w:val="02-TtulodeNota"/>
        <w:pageBreakBefore/>
      </w:pPr>
      <w:bookmarkStart w:id="111" w:name="_Toc189757087"/>
      <w:r w:rsidRPr="00BF2AAF">
        <w:rPr>
          <w:rFonts w:cs="Arial"/>
        </w:rPr>
        <w:lastRenderedPageBreak/>
        <w:t>21</w:t>
      </w:r>
      <w:r w:rsidR="007D4AB0" w:rsidRPr="00BF2AAF">
        <w:rPr>
          <w:rFonts w:cs="Arial"/>
        </w:rPr>
        <w:t xml:space="preserve"> – OBRIGAÇÕES SOCIETÁRIAS E ESTATUTÁRIAS</w:t>
      </w:r>
      <w:bookmarkEnd w:id="111"/>
    </w:p>
    <w:p w14:paraId="5ED39781" w14:textId="77777777" w:rsidR="00FF4271" w:rsidRPr="00334399" w:rsidRDefault="00FF4271" w:rsidP="00FF4271">
      <w:pPr>
        <w:pStyle w:val="01-TtulodeNota"/>
        <w:spacing w:before="0" w:after="0"/>
        <w:jc w:val="right"/>
        <w:rPr>
          <w:rFonts w:cs="Arial"/>
          <w:sz w:val="14"/>
          <w:szCs w:val="14"/>
        </w:rPr>
      </w:pPr>
      <w:r w:rsidRPr="00334399">
        <w:rPr>
          <w:rFonts w:cs="Arial"/>
          <w:sz w:val="14"/>
          <w:szCs w:val="14"/>
        </w:rPr>
        <w:t>R$ mil</w:t>
      </w:r>
    </w:p>
    <w:tbl>
      <w:tblPr>
        <w:tblW w:w="9639" w:type="dxa"/>
        <w:tblBorders>
          <w:top w:val="single" w:sz="2" w:space="0" w:color="1F3864" w:themeColor="accent1" w:themeShade="80"/>
          <w:bottom w:val="single" w:sz="2" w:space="0" w:color="1F3864" w:themeColor="accent1" w:themeShade="80"/>
          <w:insideH w:val="single" w:sz="2" w:space="0" w:color="1F3864" w:themeColor="accent1" w:themeShade="80"/>
        </w:tblBorders>
        <w:tblLook w:val="04A0" w:firstRow="1" w:lastRow="0" w:firstColumn="1" w:lastColumn="0" w:noHBand="0" w:noVBand="1"/>
      </w:tblPr>
      <w:tblGrid>
        <w:gridCol w:w="850"/>
        <w:gridCol w:w="2244"/>
        <w:gridCol w:w="604"/>
        <w:gridCol w:w="1411"/>
        <w:gridCol w:w="1412"/>
        <w:gridCol w:w="283"/>
        <w:gridCol w:w="1417"/>
        <w:gridCol w:w="1418"/>
      </w:tblGrid>
      <w:tr w:rsidR="00FF4271" w:rsidRPr="00C74971" w14:paraId="7DB5A36F" w14:textId="77777777" w:rsidTr="002B290B">
        <w:trPr>
          <w:trHeight w:val="238"/>
        </w:trPr>
        <w:tc>
          <w:tcPr>
            <w:tcW w:w="850" w:type="dxa"/>
            <w:tcBorders>
              <w:bottom w:val="nil"/>
            </w:tcBorders>
            <w:shd w:val="clear" w:color="auto" w:fill="auto"/>
          </w:tcPr>
          <w:p w14:paraId="76681131" w14:textId="77777777" w:rsidR="00FF4271" w:rsidRPr="00C74971" w:rsidRDefault="00FF4271" w:rsidP="002B290B">
            <w:pPr>
              <w:keepNext/>
              <w:keepLines/>
              <w:spacing w:before="40" w:after="40"/>
              <w:jc w:val="center"/>
              <w:rPr>
                <w:rFonts w:ascii="Arial" w:hAnsi="Arial" w:cs="Arial"/>
                <w:b/>
                <w:bCs/>
                <w:spacing w:val="-2"/>
                <w:sz w:val="14"/>
                <w:szCs w:val="14"/>
              </w:rPr>
            </w:pPr>
          </w:p>
        </w:tc>
        <w:tc>
          <w:tcPr>
            <w:tcW w:w="2848" w:type="dxa"/>
            <w:gridSpan w:val="2"/>
            <w:tcBorders>
              <w:bottom w:val="nil"/>
            </w:tcBorders>
            <w:shd w:val="clear" w:color="auto" w:fill="auto"/>
          </w:tcPr>
          <w:p w14:paraId="11688322" w14:textId="77777777" w:rsidR="00FF4271" w:rsidRPr="00C74971" w:rsidRDefault="00FF4271" w:rsidP="002B290B">
            <w:pPr>
              <w:keepNext/>
              <w:keepLines/>
              <w:spacing w:before="40" w:after="40"/>
              <w:jc w:val="center"/>
              <w:rPr>
                <w:rFonts w:ascii="Arial" w:hAnsi="Arial" w:cs="Arial"/>
                <w:b/>
                <w:spacing w:val="-2"/>
                <w:sz w:val="14"/>
                <w:szCs w:val="14"/>
              </w:rPr>
            </w:pPr>
          </w:p>
        </w:tc>
        <w:tc>
          <w:tcPr>
            <w:tcW w:w="2823" w:type="dxa"/>
            <w:gridSpan w:val="2"/>
            <w:shd w:val="clear" w:color="auto" w:fill="auto"/>
            <w:vAlign w:val="center"/>
          </w:tcPr>
          <w:p w14:paraId="717B6C6A" w14:textId="77777777" w:rsidR="00FF4271" w:rsidRPr="00C74971" w:rsidRDefault="00FF4271" w:rsidP="002B290B">
            <w:pPr>
              <w:keepNext/>
              <w:keepLines/>
              <w:spacing w:before="40" w:after="40"/>
              <w:jc w:val="center"/>
              <w:rPr>
                <w:rFonts w:ascii="Arial" w:hAnsi="Arial" w:cs="Arial"/>
                <w:b/>
                <w:spacing w:val="-2"/>
                <w:sz w:val="14"/>
                <w:szCs w:val="14"/>
                <w:vertAlign w:val="superscript"/>
              </w:rPr>
            </w:pPr>
            <w:r w:rsidRPr="00C74971">
              <w:rPr>
                <w:rFonts w:ascii="Arial" w:hAnsi="Arial" w:cs="Arial"/>
                <w:b/>
                <w:spacing w:val="-2"/>
                <w:sz w:val="14"/>
                <w:szCs w:val="14"/>
              </w:rPr>
              <w:t>Controlador</w:t>
            </w:r>
          </w:p>
        </w:tc>
        <w:tc>
          <w:tcPr>
            <w:tcW w:w="283" w:type="dxa"/>
            <w:shd w:val="clear" w:color="auto" w:fill="auto"/>
            <w:vAlign w:val="center"/>
          </w:tcPr>
          <w:p w14:paraId="26FB2023" w14:textId="77777777" w:rsidR="00FF4271" w:rsidRPr="00C74971" w:rsidRDefault="00FF4271" w:rsidP="002B290B">
            <w:pPr>
              <w:keepNext/>
              <w:keepLines/>
              <w:spacing w:before="40" w:after="40"/>
              <w:jc w:val="center"/>
              <w:rPr>
                <w:rFonts w:ascii="Arial" w:hAnsi="Arial" w:cs="Arial"/>
                <w:b/>
                <w:bCs/>
                <w:spacing w:val="-2"/>
                <w:sz w:val="14"/>
                <w:szCs w:val="14"/>
              </w:rPr>
            </w:pPr>
          </w:p>
        </w:tc>
        <w:tc>
          <w:tcPr>
            <w:tcW w:w="2835" w:type="dxa"/>
            <w:gridSpan w:val="2"/>
            <w:shd w:val="clear" w:color="auto" w:fill="auto"/>
            <w:vAlign w:val="center"/>
          </w:tcPr>
          <w:p w14:paraId="0B0C9B7C" w14:textId="77777777" w:rsidR="00FF4271" w:rsidRPr="00C74971" w:rsidRDefault="00FF4271" w:rsidP="002B290B">
            <w:pPr>
              <w:keepNext/>
              <w:keepLines/>
              <w:spacing w:before="40" w:after="40"/>
              <w:jc w:val="center"/>
              <w:rPr>
                <w:rFonts w:ascii="Arial" w:hAnsi="Arial" w:cs="Arial"/>
                <w:b/>
                <w:spacing w:val="-2"/>
                <w:sz w:val="14"/>
                <w:szCs w:val="14"/>
                <w:vertAlign w:val="superscript"/>
              </w:rPr>
            </w:pPr>
            <w:r w:rsidRPr="00C74971">
              <w:rPr>
                <w:rFonts w:ascii="Arial" w:hAnsi="Arial" w:cs="Arial"/>
                <w:b/>
                <w:spacing w:val="-2"/>
                <w:sz w:val="14"/>
                <w:szCs w:val="14"/>
              </w:rPr>
              <w:t>Consolidado</w:t>
            </w:r>
          </w:p>
        </w:tc>
      </w:tr>
      <w:tr w:rsidR="00FF4271" w:rsidRPr="00C74971" w14:paraId="397599B5" w14:textId="77777777" w:rsidTr="002B290B">
        <w:trPr>
          <w:trHeight w:val="238"/>
        </w:trPr>
        <w:tc>
          <w:tcPr>
            <w:tcW w:w="3094" w:type="dxa"/>
            <w:gridSpan w:val="2"/>
            <w:tcBorders>
              <w:top w:val="nil"/>
              <w:bottom w:val="single" w:sz="2" w:space="0" w:color="1F3864" w:themeColor="accent1" w:themeShade="80"/>
            </w:tcBorders>
            <w:shd w:val="clear" w:color="auto" w:fill="auto"/>
          </w:tcPr>
          <w:p w14:paraId="3C4BCCCA" w14:textId="77777777" w:rsidR="00FF4271" w:rsidRPr="00C74971" w:rsidRDefault="00FF4271" w:rsidP="002B290B">
            <w:pPr>
              <w:keepNext/>
              <w:keepLines/>
              <w:spacing w:before="40" w:after="40"/>
              <w:rPr>
                <w:rFonts w:ascii="Arial" w:hAnsi="Arial" w:cs="Arial"/>
                <w:b/>
                <w:spacing w:val="-2"/>
                <w:sz w:val="14"/>
                <w:szCs w:val="14"/>
              </w:rPr>
            </w:pPr>
          </w:p>
        </w:tc>
        <w:tc>
          <w:tcPr>
            <w:tcW w:w="604" w:type="dxa"/>
            <w:tcBorders>
              <w:top w:val="nil"/>
              <w:bottom w:val="single" w:sz="2" w:space="0" w:color="1F3864" w:themeColor="accent1" w:themeShade="80"/>
            </w:tcBorders>
            <w:shd w:val="clear" w:color="auto" w:fill="auto"/>
          </w:tcPr>
          <w:p w14:paraId="42FC37C6" w14:textId="77777777" w:rsidR="00FF4271" w:rsidRPr="00C74971" w:rsidRDefault="00FF4271" w:rsidP="002B290B">
            <w:pPr>
              <w:keepNext/>
              <w:keepLines/>
              <w:spacing w:before="40" w:after="40"/>
              <w:rPr>
                <w:rFonts w:ascii="Arial" w:hAnsi="Arial" w:cs="Arial"/>
                <w:b/>
                <w:spacing w:val="-2"/>
                <w:sz w:val="14"/>
                <w:szCs w:val="14"/>
              </w:rPr>
            </w:pPr>
          </w:p>
        </w:tc>
        <w:tc>
          <w:tcPr>
            <w:tcW w:w="1411" w:type="dxa"/>
            <w:tcBorders>
              <w:bottom w:val="single" w:sz="2" w:space="0" w:color="1F3864" w:themeColor="accent1" w:themeShade="80"/>
            </w:tcBorders>
            <w:shd w:val="clear" w:color="auto" w:fill="auto"/>
            <w:vAlign w:val="center"/>
          </w:tcPr>
          <w:p w14:paraId="60F49154" w14:textId="77777777" w:rsidR="00FF4271" w:rsidRPr="00C74971" w:rsidRDefault="00FF4271" w:rsidP="002B290B">
            <w:pPr>
              <w:keepNext/>
              <w:keepLines/>
              <w:spacing w:before="40" w:after="40"/>
              <w:jc w:val="right"/>
              <w:rPr>
                <w:rFonts w:ascii="Arial" w:hAnsi="Arial" w:cs="Arial"/>
                <w:b/>
                <w:spacing w:val="-2"/>
                <w:sz w:val="14"/>
                <w:szCs w:val="14"/>
              </w:rPr>
            </w:pPr>
            <w:r w:rsidRPr="00C74971">
              <w:rPr>
                <w:rFonts w:ascii="Arial" w:hAnsi="Arial" w:cs="Arial"/>
                <w:b/>
                <w:spacing w:val="-2"/>
                <w:sz w:val="14"/>
                <w:szCs w:val="14"/>
              </w:rPr>
              <w:t>3</w:t>
            </w:r>
            <w:r>
              <w:rPr>
                <w:rFonts w:ascii="Arial" w:hAnsi="Arial" w:cs="Arial"/>
                <w:b/>
                <w:spacing w:val="-2"/>
                <w:sz w:val="14"/>
                <w:szCs w:val="14"/>
              </w:rPr>
              <w:t>1</w:t>
            </w:r>
            <w:r w:rsidRPr="00C74971">
              <w:rPr>
                <w:rFonts w:ascii="Arial" w:hAnsi="Arial" w:cs="Arial"/>
                <w:b/>
                <w:spacing w:val="-2"/>
                <w:sz w:val="14"/>
                <w:szCs w:val="14"/>
              </w:rPr>
              <w:t>.</w:t>
            </w:r>
            <w:r>
              <w:rPr>
                <w:rFonts w:ascii="Arial" w:hAnsi="Arial" w:cs="Arial"/>
                <w:b/>
                <w:spacing w:val="-2"/>
                <w:sz w:val="14"/>
                <w:szCs w:val="14"/>
              </w:rPr>
              <w:t>12</w:t>
            </w:r>
            <w:r w:rsidRPr="00C74971">
              <w:rPr>
                <w:rFonts w:ascii="Arial" w:hAnsi="Arial" w:cs="Arial"/>
                <w:b/>
                <w:spacing w:val="-2"/>
                <w:sz w:val="14"/>
                <w:szCs w:val="14"/>
              </w:rPr>
              <w:t>.20</w:t>
            </w:r>
            <w:r>
              <w:rPr>
                <w:rFonts w:ascii="Arial" w:hAnsi="Arial" w:cs="Arial"/>
                <w:b/>
                <w:spacing w:val="-2"/>
                <w:sz w:val="14"/>
                <w:szCs w:val="14"/>
              </w:rPr>
              <w:t>24</w:t>
            </w:r>
          </w:p>
        </w:tc>
        <w:tc>
          <w:tcPr>
            <w:tcW w:w="1412" w:type="dxa"/>
            <w:tcBorders>
              <w:bottom w:val="single" w:sz="2" w:space="0" w:color="1F3864" w:themeColor="accent1" w:themeShade="80"/>
            </w:tcBorders>
            <w:shd w:val="clear" w:color="auto" w:fill="auto"/>
            <w:vAlign w:val="center"/>
          </w:tcPr>
          <w:p w14:paraId="21781AA9" w14:textId="77777777" w:rsidR="00FF4271" w:rsidRPr="00C74971" w:rsidRDefault="00FF4271" w:rsidP="002B290B">
            <w:pPr>
              <w:keepNext/>
              <w:keepLines/>
              <w:spacing w:before="40" w:after="40"/>
              <w:jc w:val="right"/>
              <w:rPr>
                <w:rFonts w:ascii="Arial" w:hAnsi="Arial" w:cs="Arial"/>
                <w:b/>
                <w:spacing w:val="-2"/>
                <w:sz w:val="14"/>
                <w:szCs w:val="14"/>
                <w:vertAlign w:val="superscript"/>
              </w:rPr>
            </w:pPr>
            <w:r w:rsidRPr="00C74971">
              <w:rPr>
                <w:rFonts w:ascii="Arial" w:hAnsi="Arial" w:cs="Arial"/>
                <w:b/>
                <w:spacing w:val="-2"/>
                <w:sz w:val="14"/>
                <w:szCs w:val="14"/>
              </w:rPr>
              <w:t>3</w:t>
            </w:r>
            <w:r>
              <w:rPr>
                <w:rFonts w:ascii="Arial" w:hAnsi="Arial" w:cs="Arial"/>
                <w:b/>
                <w:spacing w:val="-2"/>
                <w:sz w:val="14"/>
                <w:szCs w:val="14"/>
              </w:rPr>
              <w:t>1</w:t>
            </w:r>
            <w:r w:rsidRPr="00C74971">
              <w:rPr>
                <w:rFonts w:ascii="Arial" w:hAnsi="Arial" w:cs="Arial"/>
                <w:b/>
                <w:spacing w:val="-2"/>
                <w:sz w:val="14"/>
                <w:szCs w:val="14"/>
              </w:rPr>
              <w:t>.</w:t>
            </w:r>
            <w:r>
              <w:rPr>
                <w:rFonts w:ascii="Arial" w:hAnsi="Arial" w:cs="Arial"/>
                <w:b/>
                <w:spacing w:val="-2"/>
                <w:sz w:val="14"/>
                <w:szCs w:val="14"/>
              </w:rPr>
              <w:t>12</w:t>
            </w:r>
            <w:r w:rsidRPr="00C74971">
              <w:rPr>
                <w:rFonts w:ascii="Arial" w:hAnsi="Arial" w:cs="Arial"/>
                <w:b/>
                <w:spacing w:val="-2"/>
                <w:sz w:val="14"/>
                <w:szCs w:val="14"/>
              </w:rPr>
              <w:t>.20</w:t>
            </w:r>
            <w:r>
              <w:rPr>
                <w:rFonts w:ascii="Arial" w:hAnsi="Arial" w:cs="Arial"/>
                <w:b/>
                <w:spacing w:val="-2"/>
                <w:sz w:val="14"/>
                <w:szCs w:val="14"/>
              </w:rPr>
              <w:t>23</w:t>
            </w:r>
          </w:p>
        </w:tc>
        <w:tc>
          <w:tcPr>
            <w:tcW w:w="283" w:type="dxa"/>
            <w:tcBorders>
              <w:bottom w:val="single" w:sz="2" w:space="0" w:color="1F3864" w:themeColor="accent1" w:themeShade="80"/>
            </w:tcBorders>
            <w:shd w:val="clear" w:color="auto" w:fill="auto"/>
            <w:vAlign w:val="center"/>
          </w:tcPr>
          <w:p w14:paraId="17A38264" w14:textId="77777777" w:rsidR="00FF4271" w:rsidRPr="00C74971" w:rsidRDefault="00FF4271" w:rsidP="002B290B">
            <w:pPr>
              <w:keepNext/>
              <w:keepLines/>
              <w:spacing w:before="40" w:after="40"/>
              <w:jc w:val="right"/>
              <w:rPr>
                <w:rFonts w:ascii="Arial" w:hAnsi="Arial" w:cs="Arial"/>
                <w:b/>
                <w:spacing w:val="-2"/>
                <w:sz w:val="14"/>
                <w:szCs w:val="14"/>
              </w:rPr>
            </w:pPr>
          </w:p>
        </w:tc>
        <w:tc>
          <w:tcPr>
            <w:tcW w:w="1417" w:type="dxa"/>
            <w:tcBorders>
              <w:bottom w:val="single" w:sz="2" w:space="0" w:color="1F3864" w:themeColor="accent1" w:themeShade="80"/>
            </w:tcBorders>
            <w:shd w:val="clear" w:color="auto" w:fill="auto"/>
            <w:vAlign w:val="center"/>
          </w:tcPr>
          <w:p w14:paraId="76CDE442" w14:textId="77777777" w:rsidR="00FF4271" w:rsidRPr="00C74971" w:rsidRDefault="00FF4271" w:rsidP="002B290B">
            <w:pPr>
              <w:keepNext/>
              <w:keepLines/>
              <w:spacing w:before="40" w:after="40"/>
              <w:jc w:val="right"/>
              <w:rPr>
                <w:rFonts w:ascii="Arial" w:hAnsi="Arial" w:cs="Arial"/>
                <w:b/>
                <w:spacing w:val="-2"/>
                <w:sz w:val="14"/>
                <w:szCs w:val="14"/>
              </w:rPr>
            </w:pPr>
            <w:r w:rsidRPr="00C74971">
              <w:rPr>
                <w:rFonts w:ascii="Arial" w:hAnsi="Arial" w:cs="Arial"/>
                <w:b/>
                <w:spacing w:val="-2"/>
                <w:sz w:val="14"/>
                <w:szCs w:val="14"/>
              </w:rPr>
              <w:t>3</w:t>
            </w:r>
            <w:r>
              <w:rPr>
                <w:rFonts w:ascii="Arial" w:hAnsi="Arial" w:cs="Arial"/>
                <w:b/>
                <w:spacing w:val="-2"/>
                <w:sz w:val="14"/>
                <w:szCs w:val="14"/>
              </w:rPr>
              <w:t>1</w:t>
            </w:r>
            <w:r w:rsidRPr="00C74971">
              <w:rPr>
                <w:rFonts w:ascii="Arial" w:hAnsi="Arial" w:cs="Arial"/>
                <w:b/>
                <w:spacing w:val="-2"/>
                <w:sz w:val="14"/>
                <w:szCs w:val="14"/>
              </w:rPr>
              <w:t>.</w:t>
            </w:r>
            <w:r>
              <w:rPr>
                <w:rFonts w:ascii="Arial" w:hAnsi="Arial" w:cs="Arial"/>
                <w:b/>
                <w:spacing w:val="-2"/>
                <w:sz w:val="14"/>
                <w:szCs w:val="14"/>
              </w:rPr>
              <w:t>12</w:t>
            </w:r>
            <w:r w:rsidRPr="00C74971">
              <w:rPr>
                <w:rFonts w:ascii="Arial" w:hAnsi="Arial" w:cs="Arial"/>
                <w:b/>
                <w:spacing w:val="-2"/>
                <w:sz w:val="14"/>
                <w:szCs w:val="14"/>
              </w:rPr>
              <w:t>.20</w:t>
            </w:r>
            <w:r>
              <w:rPr>
                <w:rFonts w:ascii="Arial" w:hAnsi="Arial" w:cs="Arial"/>
                <w:b/>
                <w:spacing w:val="-2"/>
                <w:sz w:val="14"/>
                <w:szCs w:val="14"/>
              </w:rPr>
              <w:t>24</w:t>
            </w:r>
          </w:p>
        </w:tc>
        <w:tc>
          <w:tcPr>
            <w:tcW w:w="1418" w:type="dxa"/>
            <w:tcBorders>
              <w:bottom w:val="single" w:sz="2" w:space="0" w:color="1F3864" w:themeColor="accent1" w:themeShade="80"/>
            </w:tcBorders>
            <w:shd w:val="clear" w:color="auto" w:fill="auto"/>
            <w:vAlign w:val="center"/>
          </w:tcPr>
          <w:p w14:paraId="53BA9F14" w14:textId="77777777" w:rsidR="00FF4271" w:rsidRPr="00C74971" w:rsidRDefault="00FF4271" w:rsidP="002B290B">
            <w:pPr>
              <w:keepNext/>
              <w:keepLines/>
              <w:spacing w:before="40" w:after="40"/>
              <w:jc w:val="right"/>
              <w:rPr>
                <w:rFonts w:ascii="Arial" w:hAnsi="Arial" w:cs="Arial"/>
                <w:b/>
                <w:spacing w:val="-2"/>
                <w:sz w:val="14"/>
                <w:szCs w:val="14"/>
              </w:rPr>
            </w:pPr>
            <w:r w:rsidRPr="00C74971">
              <w:rPr>
                <w:rFonts w:ascii="Arial" w:hAnsi="Arial" w:cs="Arial"/>
                <w:b/>
                <w:spacing w:val="-2"/>
                <w:sz w:val="14"/>
                <w:szCs w:val="14"/>
              </w:rPr>
              <w:t>3</w:t>
            </w:r>
            <w:r>
              <w:rPr>
                <w:rFonts w:ascii="Arial" w:hAnsi="Arial" w:cs="Arial"/>
                <w:b/>
                <w:spacing w:val="-2"/>
                <w:sz w:val="14"/>
                <w:szCs w:val="14"/>
              </w:rPr>
              <w:t>1</w:t>
            </w:r>
            <w:r w:rsidRPr="00C74971">
              <w:rPr>
                <w:rFonts w:ascii="Arial" w:hAnsi="Arial" w:cs="Arial"/>
                <w:b/>
                <w:spacing w:val="-2"/>
                <w:sz w:val="14"/>
                <w:szCs w:val="14"/>
              </w:rPr>
              <w:t>.</w:t>
            </w:r>
            <w:r>
              <w:rPr>
                <w:rFonts w:ascii="Arial" w:hAnsi="Arial" w:cs="Arial"/>
                <w:b/>
                <w:spacing w:val="-2"/>
                <w:sz w:val="14"/>
                <w:szCs w:val="14"/>
              </w:rPr>
              <w:t>12</w:t>
            </w:r>
            <w:r w:rsidRPr="00C74971">
              <w:rPr>
                <w:rFonts w:ascii="Arial" w:hAnsi="Arial" w:cs="Arial"/>
                <w:b/>
                <w:spacing w:val="-2"/>
                <w:sz w:val="14"/>
                <w:szCs w:val="14"/>
              </w:rPr>
              <w:t>.20</w:t>
            </w:r>
            <w:r>
              <w:rPr>
                <w:rFonts w:ascii="Arial" w:hAnsi="Arial" w:cs="Arial"/>
                <w:b/>
                <w:spacing w:val="-2"/>
                <w:sz w:val="14"/>
                <w:szCs w:val="14"/>
              </w:rPr>
              <w:t>23</w:t>
            </w:r>
          </w:p>
        </w:tc>
      </w:tr>
      <w:tr w:rsidR="00FF4271" w:rsidRPr="00894FD7" w14:paraId="1A861A27" w14:textId="77777777" w:rsidTr="002B290B">
        <w:trPr>
          <w:trHeight w:val="238"/>
        </w:trPr>
        <w:tc>
          <w:tcPr>
            <w:tcW w:w="3094" w:type="dxa"/>
            <w:gridSpan w:val="2"/>
            <w:tcBorders>
              <w:bottom w:val="nil"/>
            </w:tcBorders>
            <w:shd w:val="clear" w:color="auto" w:fill="auto"/>
          </w:tcPr>
          <w:p w14:paraId="6F968D9E" w14:textId="77777777" w:rsidR="00FF4271" w:rsidRPr="00FD5306" w:rsidRDefault="00FF4271" w:rsidP="002B290B">
            <w:pPr>
              <w:pStyle w:val="08-Tabelageral"/>
              <w:ind w:left="113"/>
              <w:jc w:val="left"/>
              <w:rPr>
                <w:rFonts w:cs="Arial"/>
                <w:szCs w:val="14"/>
                <w:vertAlign w:val="superscript"/>
              </w:rPr>
            </w:pPr>
            <w:r w:rsidRPr="00FD5306">
              <w:rPr>
                <w:rFonts w:cs="Arial"/>
                <w:szCs w:val="14"/>
              </w:rPr>
              <w:t xml:space="preserve">Dividendos a pagar </w:t>
            </w:r>
            <w:r w:rsidRPr="00FD5306">
              <w:rPr>
                <w:rFonts w:cs="Arial"/>
                <w:szCs w:val="14"/>
                <w:vertAlign w:val="superscript"/>
              </w:rPr>
              <w:t>(1)</w:t>
            </w:r>
          </w:p>
        </w:tc>
        <w:tc>
          <w:tcPr>
            <w:tcW w:w="604" w:type="dxa"/>
            <w:tcBorders>
              <w:bottom w:val="nil"/>
            </w:tcBorders>
            <w:shd w:val="clear" w:color="auto" w:fill="auto"/>
          </w:tcPr>
          <w:p w14:paraId="7DC3D092" w14:textId="77777777" w:rsidR="00FF4271" w:rsidRPr="00894FD7" w:rsidRDefault="00FF4271" w:rsidP="002B290B">
            <w:pPr>
              <w:pStyle w:val="08-Tabelageral"/>
              <w:rPr>
                <w:rFonts w:cs="Arial"/>
                <w:color w:val="FF0000"/>
                <w:szCs w:val="14"/>
              </w:rPr>
            </w:pPr>
          </w:p>
        </w:tc>
        <w:tc>
          <w:tcPr>
            <w:tcW w:w="1411" w:type="dxa"/>
            <w:tcBorders>
              <w:bottom w:val="nil"/>
            </w:tcBorders>
            <w:shd w:val="clear" w:color="auto" w:fill="auto"/>
          </w:tcPr>
          <w:p w14:paraId="5C2559B6" w14:textId="77777777" w:rsidR="00FF4271" w:rsidRPr="00452D44" w:rsidRDefault="00FF4271" w:rsidP="002B290B">
            <w:pPr>
              <w:pStyle w:val="08-Tabelageral"/>
              <w:rPr>
                <w:rFonts w:cs="Arial"/>
                <w:szCs w:val="14"/>
              </w:rPr>
            </w:pPr>
            <w:r>
              <w:rPr>
                <w:rFonts w:cs="Arial"/>
                <w:szCs w:val="14"/>
              </w:rPr>
              <w:t>4.411.271</w:t>
            </w:r>
          </w:p>
        </w:tc>
        <w:tc>
          <w:tcPr>
            <w:tcW w:w="1412" w:type="dxa"/>
            <w:tcBorders>
              <w:bottom w:val="nil"/>
            </w:tcBorders>
            <w:shd w:val="clear" w:color="auto" w:fill="auto"/>
          </w:tcPr>
          <w:p w14:paraId="1FEF91E1" w14:textId="77777777" w:rsidR="00FF4271" w:rsidRPr="00894FD7" w:rsidRDefault="00FF4271" w:rsidP="002B290B">
            <w:pPr>
              <w:pStyle w:val="08-Tabelageral"/>
              <w:rPr>
                <w:rFonts w:cs="Arial"/>
                <w:szCs w:val="14"/>
              </w:rPr>
            </w:pPr>
            <w:r>
              <w:rPr>
                <w:rFonts w:cs="Arial"/>
                <w:szCs w:val="14"/>
              </w:rPr>
              <w:t>2.455.234</w:t>
            </w:r>
          </w:p>
        </w:tc>
        <w:tc>
          <w:tcPr>
            <w:tcW w:w="283" w:type="dxa"/>
            <w:tcBorders>
              <w:bottom w:val="nil"/>
            </w:tcBorders>
            <w:shd w:val="clear" w:color="auto" w:fill="auto"/>
          </w:tcPr>
          <w:p w14:paraId="44BC3AC2" w14:textId="77777777" w:rsidR="00FF4271" w:rsidRPr="00894FD7" w:rsidRDefault="00FF4271" w:rsidP="002B290B">
            <w:pPr>
              <w:pStyle w:val="08-Tabelageral"/>
              <w:rPr>
                <w:rFonts w:cs="Arial"/>
                <w:color w:val="FF0000"/>
                <w:szCs w:val="14"/>
              </w:rPr>
            </w:pPr>
          </w:p>
        </w:tc>
        <w:tc>
          <w:tcPr>
            <w:tcW w:w="1417" w:type="dxa"/>
            <w:tcBorders>
              <w:bottom w:val="nil"/>
            </w:tcBorders>
            <w:shd w:val="clear" w:color="auto" w:fill="auto"/>
          </w:tcPr>
          <w:p w14:paraId="0426EC09" w14:textId="77777777" w:rsidR="00FF4271" w:rsidRPr="00452D44" w:rsidRDefault="00FF4271" w:rsidP="002B290B">
            <w:pPr>
              <w:pStyle w:val="08-Tabelageral"/>
              <w:rPr>
                <w:rFonts w:cs="Arial"/>
                <w:szCs w:val="14"/>
              </w:rPr>
            </w:pPr>
            <w:r>
              <w:rPr>
                <w:rFonts w:cs="Arial"/>
                <w:szCs w:val="14"/>
              </w:rPr>
              <w:t>4.411.271</w:t>
            </w:r>
          </w:p>
        </w:tc>
        <w:tc>
          <w:tcPr>
            <w:tcW w:w="1418" w:type="dxa"/>
            <w:tcBorders>
              <w:bottom w:val="nil"/>
            </w:tcBorders>
            <w:shd w:val="clear" w:color="auto" w:fill="auto"/>
          </w:tcPr>
          <w:p w14:paraId="6439DAA7" w14:textId="77777777" w:rsidR="00FF4271" w:rsidRPr="00894FD7" w:rsidRDefault="00FF4271" w:rsidP="002B290B">
            <w:pPr>
              <w:pStyle w:val="08-Tabelageral"/>
              <w:rPr>
                <w:rFonts w:cs="Arial"/>
                <w:szCs w:val="14"/>
              </w:rPr>
            </w:pPr>
            <w:r>
              <w:rPr>
                <w:rFonts w:cs="Arial"/>
                <w:szCs w:val="14"/>
              </w:rPr>
              <w:t>2.455.234</w:t>
            </w:r>
          </w:p>
        </w:tc>
      </w:tr>
      <w:tr w:rsidR="00FF4271" w:rsidRPr="00894FD7" w14:paraId="2B71564D" w14:textId="77777777" w:rsidTr="002B290B">
        <w:trPr>
          <w:trHeight w:val="238"/>
        </w:trPr>
        <w:tc>
          <w:tcPr>
            <w:tcW w:w="3094" w:type="dxa"/>
            <w:gridSpan w:val="2"/>
            <w:tcBorders>
              <w:top w:val="nil"/>
              <w:bottom w:val="nil"/>
            </w:tcBorders>
            <w:shd w:val="clear" w:color="auto" w:fill="auto"/>
          </w:tcPr>
          <w:p w14:paraId="25A609B6" w14:textId="77777777" w:rsidR="00FF4271" w:rsidRPr="00FD5306" w:rsidRDefault="00FF4271" w:rsidP="002B290B">
            <w:pPr>
              <w:pStyle w:val="08-Tabelageral"/>
              <w:ind w:left="113"/>
              <w:jc w:val="left"/>
              <w:rPr>
                <w:rFonts w:cs="Arial"/>
                <w:szCs w:val="14"/>
                <w:vertAlign w:val="superscript"/>
              </w:rPr>
            </w:pPr>
            <w:r w:rsidRPr="00FD5306">
              <w:rPr>
                <w:rFonts w:cs="Arial"/>
                <w:szCs w:val="14"/>
              </w:rPr>
              <w:t xml:space="preserve">Redução de capital a pagar </w:t>
            </w:r>
          </w:p>
        </w:tc>
        <w:tc>
          <w:tcPr>
            <w:tcW w:w="604" w:type="dxa"/>
            <w:tcBorders>
              <w:top w:val="nil"/>
              <w:bottom w:val="nil"/>
            </w:tcBorders>
            <w:shd w:val="clear" w:color="auto" w:fill="auto"/>
          </w:tcPr>
          <w:p w14:paraId="6DCF3FCA" w14:textId="77777777" w:rsidR="00FF4271" w:rsidRPr="00894FD7" w:rsidRDefault="00FF4271" w:rsidP="002B290B">
            <w:pPr>
              <w:pStyle w:val="08-Tabelageral"/>
              <w:rPr>
                <w:rFonts w:cs="Arial"/>
                <w:color w:val="FF0000"/>
                <w:szCs w:val="14"/>
              </w:rPr>
            </w:pPr>
          </w:p>
        </w:tc>
        <w:tc>
          <w:tcPr>
            <w:tcW w:w="1411" w:type="dxa"/>
            <w:tcBorders>
              <w:top w:val="nil"/>
              <w:bottom w:val="nil"/>
            </w:tcBorders>
            <w:shd w:val="clear" w:color="auto" w:fill="auto"/>
          </w:tcPr>
          <w:p w14:paraId="42CF1CD2" w14:textId="77777777" w:rsidR="00FF4271" w:rsidRPr="00452D44" w:rsidRDefault="00FF4271" w:rsidP="002B290B">
            <w:pPr>
              <w:pStyle w:val="08-Tabelageral"/>
              <w:rPr>
                <w:rFonts w:cs="Arial"/>
                <w:szCs w:val="14"/>
              </w:rPr>
            </w:pPr>
            <w:r>
              <w:rPr>
                <w:rFonts w:cs="Arial"/>
                <w:szCs w:val="14"/>
              </w:rPr>
              <w:t>75</w:t>
            </w:r>
          </w:p>
        </w:tc>
        <w:tc>
          <w:tcPr>
            <w:tcW w:w="1412" w:type="dxa"/>
            <w:tcBorders>
              <w:top w:val="nil"/>
              <w:bottom w:val="nil"/>
            </w:tcBorders>
            <w:shd w:val="clear" w:color="auto" w:fill="auto"/>
          </w:tcPr>
          <w:p w14:paraId="1E91889F" w14:textId="77777777" w:rsidR="00FF4271" w:rsidRPr="00894FD7" w:rsidRDefault="00FF4271" w:rsidP="002B290B">
            <w:pPr>
              <w:pStyle w:val="08-Tabelageral"/>
              <w:rPr>
                <w:rFonts w:cs="Arial"/>
                <w:szCs w:val="14"/>
              </w:rPr>
            </w:pPr>
            <w:r>
              <w:rPr>
                <w:rFonts w:cs="Arial"/>
                <w:szCs w:val="14"/>
              </w:rPr>
              <w:t>75</w:t>
            </w:r>
          </w:p>
        </w:tc>
        <w:tc>
          <w:tcPr>
            <w:tcW w:w="283" w:type="dxa"/>
            <w:tcBorders>
              <w:top w:val="nil"/>
              <w:bottom w:val="nil"/>
            </w:tcBorders>
            <w:shd w:val="clear" w:color="auto" w:fill="auto"/>
          </w:tcPr>
          <w:p w14:paraId="5032F78E" w14:textId="77777777" w:rsidR="00FF4271" w:rsidRPr="00894FD7" w:rsidRDefault="00FF4271" w:rsidP="002B290B">
            <w:pPr>
              <w:pStyle w:val="08-Tabelageral"/>
              <w:rPr>
                <w:rFonts w:cs="Arial"/>
                <w:color w:val="FF0000"/>
                <w:szCs w:val="14"/>
              </w:rPr>
            </w:pPr>
          </w:p>
        </w:tc>
        <w:tc>
          <w:tcPr>
            <w:tcW w:w="1417" w:type="dxa"/>
            <w:tcBorders>
              <w:top w:val="nil"/>
              <w:bottom w:val="nil"/>
            </w:tcBorders>
            <w:shd w:val="clear" w:color="auto" w:fill="auto"/>
          </w:tcPr>
          <w:p w14:paraId="4E4FDA7A" w14:textId="77777777" w:rsidR="00FF4271" w:rsidRPr="00452D44" w:rsidRDefault="00FF4271" w:rsidP="002B290B">
            <w:pPr>
              <w:pStyle w:val="08-Tabelageral"/>
              <w:rPr>
                <w:rFonts w:cs="Arial"/>
                <w:szCs w:val="14"/>
              </w:rPr>
            </w:pPr>
            <w:r>
              <w:rPr>
                <w:rFonts w:cs="Arial"/>
                <w:szCs w:val="14"/>
              </w:rPr>
              <w:t>75</w:t>
            </w:r>
          </w:p>
        </w:tc>
        <w:tc>
          <w:tcPr>
            <w:tcW w:w="1418" w:type="dxa"/>
            <w:tcBorders>
              <w:top w:val="nil"/>
              <w:bottom w:val="nil"/>
            </w:tcBorders>
            <w:shd w:val="clear" w:color="auto" w:fill="auto"/>
          </w:tcPr>
          <w:p w14:paraId="687D56A1" w14:textId="77777777" w:rsidR="00FF4271" w:rsidRPr="00894FD7" w:rsidRDefault="00FF4271" w:rsidP="002B290B">
            <w:pPr>
              <w:pStyle w:val="08-Tabelageral"/>
              <w:rPr>
                <w:rFonts w:cs="Arial"/>
                <w:szCs w:val="14"/>
              </w:rPr>
            </w:pPr>
            <w:r>
              <w:rPr>
                <w:rFonts w:cs="Arial"/>
                <w:szCs w:val="14"/>
              </w:rPr>
              <w:t>75</w:t>
            </w:r>
          </w:p>
        </w:tc>
      </w:tr>
      <w:tr w:rsidR="00FF4271" w:rsidRPr="00894FD7" w14:paraId="54678763" w14:textId="77777777" w:rsidTr="002B290B">
        <w:trPr>
          <w:trHeight w:val="238"/>
        </w:trPr>
        <w:tc>
          <w:tcPr>
            <w:tcW w:w="3094" w:type="dxa"/>
            <w:gridSpan w:val="2"/>
            <w:tcBorders>
              <w:top w:val="nil"/>
            </w:tcBorders>
            <w:shd w:val="clear" w:color="auto" w:fill="auto"/>
          </w:tcPr>
          <w:p w14:paraId="36088C75" w14:textId="77777777" w:rsidR="00FF4271" w:rsidRPr="00FD5306" w:rsidRDefault="00FF4271" w:rsidP="002B290B">
            <w:pPr>
              <w:pStyle w:val="08-Tabelageral"/>
              <w:jc w:val="left"/>
              <w:rPr>
                <w:rFonts w:cs="Arial"/>
                <w:b/>
                <w:szCs w:val="14"/>
              </w:rPr>
            </w:pPr>
            <w:r w:rsidRPr="00FD5306">
              <w:rPr>
                <w:rFonts w:cs="Arial"/>
                <w:b/>
                <w:szCs w:val="14"/>
              </w:rPr>
              <w:t>Total</w:t>
            </w:r>
          </w:p>
        </w:tc>
        <w:tc>
          <w:tcPr>
            <w:tcW w:w="604" w:type="dxa"/>
            <w:tcBorders>
              <w:top w:val="nil"/>
            </w:tcBorders>
            <w:shd w:val="clear" w:color="auto" w:fill="auto"/>
          </w:tcPr>
          <w:p w14:paraId="01013F19" w14:textId="77777777" w:rsidR="00FF4271" w:rsidRPr="00894FD7" w:rsidRDefault="00FF4271" w:rsidP="002B290B">
            <w:pPr>
              <w:pStyle w:val="08-Tabelageral"/>
              <w:rPr>
                <w:rFonts w:cs="Arial"/>
                <w:b/>
                <w:color w:val="FF0000"/>
                <w:szCs w:val="14"/>
              </w:rPr>
            </w:pPr>
          </w:p>
        </w:tc>
        <w:tc>
          <w:tcPr>
            <w:tcW w:w="1411" w:type="dxa"/>
            <w:tcBorders>
              <w:top w:val="nil"/>
            </w:tcBorders>
            <w:shd w:val="clear" w:color="auto" w:fill="auto"/>
          </w:tcPr>
          <w:p w14:paraId="27DE4659" w14:textId="77777777" w:rsidR="00FF4271" w:rsidRPr="00452D44" w:rsidRDefault="00FF4271" w:rsidP="002B290B">
            <w:pPr>
              <w:pStyle w:val="08-Tabelageral"/>
              <w:rPr>
                <w:rFonts w:cs="Arial"/>
                <w:b/>
                <w:szCs w:val="14"/>
              </w:rPr>
            </w:pPr>
            <w:r>
              <w:rPr>
                <w:rFonts w:cs="Arial"/>
                <w:b/>
                <w:szCs w:val="14"/>
              </w:rPr>
              <w:t>4.411.346</w:t>
            </w:r>
          </w:p>
        </w:tc>
        <w:tc>
          <w:tcPr>
            <w:tcW w:w="1412" w:type="dxa"/>
            <w:tcBorders>
              <w:top w:val="nil"/>
            </w:tcBorders>
            <w:shd w:val="clear" w:color="auto" w:fill="auto"/>
          </w:tcPr>
          <w:p w14:paraId="153D9AE1" w14:textId="77777777" w:rsidR="00FF4271" w:rsidRPr="00894FD7" w:rsidRDefault="00FF4271" w:rsidP="002B290B">
            <w:pPr>
              <w:pStyle w:val="08-Tabelageral"/>
              <w:rPr>
                <w:rFonts w:cs="Arial"/>
                <w:b/>
                <w:szCs w:val="14"/>
              </w:rPr>
            </w:pPr>
            <w:r>
              <w:rPr>
                <w:rFonts w:cs="Arial"/>
                <w:b/>
                <w:szCs w:val="14"/>
              </w:rPr>
              <w:t>2.455.309</w:t>
            </w:r>
          </w:p>
        </w:tc>
        <w:tc>
          <w:tcPr>
            <w:tcW w:w="283" w:type="dxa"/>
            <w:tcBorders>
              <w:top w:val="nil"/>
            </w:tcBorders>
            <w:shd w:val="clear" w:color="auto" w:fill="auto"/>
          </w:tcPr>
          <w:p w14:paraId="776B60D8" w14:textId="77777777" w:rsidR="00FF4271" w:rsidRPr="00894FD7" w:rsidRDefault="00FF4271" w:rsidP="002B290B">
            <w:pPr>
              <w:pStyle w:val="08-Tabelageral"/>
              <w:rPr>
                <w:rFonts w:cs="Arial"/>
                <w:b/>
                <w:color w:val="FF0000"/>
                <w:szCs w:val="14"/>
              </w:rPr>
            </w:pPr>
          </w:p>
        </w:tc>
        <w:tc>
          <w:tcPr>
            <w:tcW w:w="1417" w:type="dxa"/>
            <w:tcBorders>
              <w:top w:val="nil"/>
            </w:tcBorders>
            <w:shd w:val="clear" w:color="auto" w:fill="auto"/>
          </w:tcPr>
          <w:p w14:paraId="6D6F4261" w14:textId="77777777" w:rsidR="00FF4271" w:rsidRPr="00452D44" w:rsidRDefault="00FF4271" w:rsidP="002B290B">
            <w:pPr>
              <w:pStyle w:val="08-Tabelageral"/>
              <w:rPr>
                <w:rFonts w:cs="Arial"/>
                <w:b/>
                <w:szCs w:val="14"/>
              </w:rPr>
            </w:pPr>
            <w:r>
              <w:rPr>
                <w:rFonts w:cs="Arial"/>
                <w:b/>
                <w:szCs w:val="14"/>
              </w:rPr>
              <w:t>4.411.346</w:t>
            </w:r>
          </w:p>
        </w:tc>
        <w:tc>
          <w:tcPr>
            <w:tcW w:w="1418" w:type="dxa"/>
            <w:tcBorders>
              <w:top w:val="nil"/>
            </w:tcBorders>
            <w:shd w:val="clear" w:color="auto" w:fill="auto"/>
          </w:tcPr>
          <w:p w14:paraId="605267DE" w14:textId="77777777" w:rsidR="00FF4271" w:rsidRPr="00894FD7" w:rsidRDefault="00FF4271" w:rsidP="002B290B">
            <w:pPr>
              <w:pStyle w:val="08-Tabelageral"/>
              <w:rPr>
                <w:rFonts w:cs="Arial"/>
                <w:b/>
                <w:szCs w:val="14"/>
              </w:rPr>
            </w:pPr>
            <w:r>
              <w:rPr>
                <w:rFonts w:cs="Arial"/>
                <w:b/>
                <w:szCs w:val="14"/>
              </w:rPr>
              <w:t>2.455.309</w:t>
            </w:r>
          </w:p>
        </w:tc>
      </w:tr>
    </w:tbl>
    <w:p w14:paraId="22C1D5B5" w14:textId="77777777" w:rsidR="00FF4271" w:rsidRDefault="00FF4271" w:rsidP="00FF4271">
      <w:pPr>
        <w:pStyle w:val="07-Legenda"/>
        <w:keepNext/>
        <w:numPr>
          <w:ilvl w:val="0"/>
          <w:numId w:val="6"/>
        </w:numPr>
        <w:ind w:left="284" w:hanging="284"/>
        <w:rPr>
          <w:rFonts w:cs="Arial"/>
          <w:szCs w:val="14"/>
        </w:rPr>
      </w:pPr>
      <w:r w:rsidRPr="00D7456E">
        <w:rPr>
          <w:rFonts w:cs="Arial"/>
          <w:szCs w:val="14"/>
        </w:rPr>
        <w:t>Os dividendos a pagar em 31.12.2023 foram pagos aos acionistas em 22.02.2024.</w:t>
      </w:r>
    </w:p>
    <w:p w14:paraId="01303415" w14:textId="77777777" w:rsidR="00FF4271" w:rsidRDefault="00FF4271" w:rsidP="00FF4271">
      <w:pPr>
        <w:pStyle w:val="07-Legenda"/>
        <w:keepNext/>
        <w:ind w:left="0" w:firstLine="0"/>
        <w:rPr>
          <w:rFonts w:cs="Arial"/>
          <w:szCs w:val="14"/>
        </w:rPr>
      </w:pPr>
    </w:p>
    <w:p w14:paraId="314ACD5E" w14:textId="77777777" w:rsidR="00FF4271" w:rsidRPr="00D5649F" w:rsidRDefault="00FF4271" w:rsidP="00FF4271">
      <w:pPr>
        <w:pStyle w:val="05-Textonormal"/>
        <w:rPr>
          <w:rFonts w:cs="Arial"/>
          <w:color w:val="1F3864" w:themeColor="accent1" w:themeShade="80"/>
        </w:rPr>
      </w:pPr>
      <w:r w:rsidRPr="00D5649F">
        <w:rPr>
          <w:rFonts w:cs="Arial"/>
          <w:b/>
          <w:bCs/>
          <w:color w:val="1F3864" w:themeColor="accent1" w:themeShade="80"/>
        </w:rPr>
        <w:t>Dividendos Pagos no Período</w:t>
      </w:r>
    </w:p>
    <w:p w14:paraId="1DB54A6C" w14:textId="57618FD7" w:rsidR="00FF4271" w:rsidRPr="00DD779E" w:rsidRDefault="00FF4271" w:rsidP="00FF4271">
      <w:pPr>
        <w:pStyle w:val="05-Textonormal"/>
        <w:rPr>
          <w:rFonts w:cs="Arial"/>
        </w:rPr>
      </w:pPr>
      <w:r w:rsidRPr="00DD779E">
        <w:rPr>
          <w:rFonts w:cs="Arial"/>
        </w:rPr>
        <w:t xml:space="preserve">No </w:t>
      </w:r>
      <w:r>
        <w:rPr>
          <w:rFonts w:cs="Arial"/>
        </w:rPr>
        <w:t>exercício de 2024</w:t>
      </w:r>
      <w:r w:rsidRPr="00DD779E">
        <w:rPr>
          <w:rFonts w:cs="Arial"/>
        </w:rPr>
        <w:t>, BB Seguridade pagou R$ 2.493.350 mil de dividendos relacionados ao exercício de 2023 (correspondente ao lucro, descontados dos adiantam</w:t>
      </w:r>
      <w:r w:rsidR="00C037F0">
        <w:rPr>
          <w:rFonts w:cs="Arial"/>
        </w:rPr>
        <w:t>ent</w:t>
      </w:r>
      <w:r w:rsidRPr="00DD779E">
        <w:rPr>
          <w:rFonts w:cs="Arial"/>
        </w:rPr>
        <w:t xml:space="preserve">os de dividendos intercalares), acrescidos da respectiva atualização monetária, R$ 2.699.970 mil de dividendos intercalares relativos ao lucro do 1º semestre de 2024 e R$ </w:t>
      </w:r>
      <w:r>
        <w:rPr>
          <w:rFonts w:cs="Arial"/>
        </w:rPr>
        <w:t>20</w:t>
      </w:r>
      <w:r w:rsidRPr="00DD779E">
        <w:rPr>
          <w:rFonts w:cs="Arial"/>
        </w:rPr>
        <w:t xml:space="preserve"> mil referente a dividendos de exercícios anteriores.</w:t>
      </w:r>
    </w:p>
    <w:p w14:paraId="5E8EF602" w14:textId="77777777" w:rsidR="007D4AB0" w:rsidRPr="00BF2AAF" w:rsidRDefault="007D4AB0" w:rsidP="00163DE7">
      <w:pPr>
        <w:rPr>
          <w:rFonts w:ascii="Arial" w:hAnsi="Arial" w:cs="Arial"/>
          <w:sz w:val="20"/>
          <w:szCs w:val="20"/>
        </w:rPr>
      </w:pPr>
    </w:p>
    <w:p w14:paraId="20740E44" w14:textId="636A833A" w:rsidR="007D4AB0" w:rsidRPr="00662D2A" w:rsidRDefault="005C6C41" w:rsidP="00D5649F">
      <w:pPr>
        <w:pStyle w:val="02-TtulodeNota"/>
      </w:pPr>
      <w:bookmarkStart w:id="112" w:name="_Toc189757088"/>
      <w:r w:rsidRPr="00662D2A">
        <w:t>22</w:t>
      </w:r>
      <w:r w:rsidR="007D4AB0" w:rsidRPr="00662D2A">
        <w:t xml:space="preserve"> – PROVISÕES E PASSIVOS CONTINGENTES</w:t>
      </w:r>
      <w:bookmarkEnd w:id="112"/>
      <w:r w:rsidR="007D4AB0" w:rsidRPr="00662D2A">
        <w:t xml:space="preserve"> </w:t>
      </w:r>
    </w:p>
    <w:p w14:paraId="30CDF736" w14:textId="77777777" w:rsidR="00990285" w:rsidRDefault="00990285" w:rsidP="00990285">
      <w:pPr>
        <w:spacing w:before="120" w:after="120"/>
        <w:jc w:val="both"/>
        <w:rPr>
          <w:rFonts w:ascii="Arial" w:eastAsia="Times New Roman" w:hAnsi="Arial" w:cs="Arial"/>
          <w:b/>
          <w:color w:val="1F3864" w:themeColor="accent1" w:themeShade="80"/>
          <w:spacing w:val="-2"/>
          <w:sz w:val="18"/>
          <w:szCs w:val="18"/>
          <w:lang w:eastAsia="pt-BR"/>
        </w:rPr>
      </w:pPr>
      <w:r>
        <w:rPr>
          <w:rFonts w:ascii="Arial" w:eastAsia="Times New Roman" w:hAnsi="Arial" w:cs="Arial"/>
          <w:b/>
          <w:color w:val="1F3864" w:themeColor="accent1" w:themeShade="80"/>
          <w:spacing w:val="-2"/>
          <w:sz w:val="18"/>
          <w:szCs w:val="18"/>
          <w:lang w:eastAsia="pt-BR"/>
        </w:rPr>
        <w:t>a</w:t>
      </w:r>
      <w:r w:rsidRPr="00F32199">
        <w:rPr>
          <w:rFonts w:ascii="Arial" w:eastAsia="Times New Roman" w:hAnsi="Arial" w:cs="Arial"/>
          <w:b/>
          <w:color w:val="1F3864" w:themeColor="accent1" w:themeShade="80"/>
          <w:spacing w:val="-2"/>
          <w:sz w:val="18"/>
          <w:szCs w:val="18"/>
          <w:lang w:eastAsia="pt-BR"/>
        </w:rPr>
        <w:t>) P</w:t>
      </w:r>
      <w:r>
        <w:rPr>
          <w:rFonts w:ascii="Arial" w:eastAsia="Times New Roman" w:hAnsi="Arial" w:cs="Arial"/>
          <w:b/>
          <w:color w:val="1F3864" w:themeColor="accent1" w:themeShade="80"/>
          <w:spacing w:val="-2"/>
          <w:sz w:val="18"/>
          <w:szCs w:val="18"/>
          <w:lang w:eastAsia="pt-BR"/>
        </w:rPr>
        <w:t>rovisões para ações judiciais e administrativas</w:t>
      </w:r>
      <w:r w:rsidRPr="00F32199">
        <w:rPr>
          <w:rFonts w:ascii="Arial" w:eastAsia="Times New Roman" w:hAnsi="Arial" w:cs="Arial"/>
          <w:b/>
          <w:color w:val="1F3864" w:themeColor="accent1" w:themeShade="80"/>
          <w:spacing w:val="-2"/>
          <w:sz w:val="18"/>
          <w:szCs w:val="18"/>
          <w:lang w:eastAsia="pt-BR"/>
        </w:rPr>
        <w:t xml:space="preserve"> - </w:t>
      </w:r>
      <w:r>
        <w:rPr>
          <w:rFonts w:ascii="Arial" w:eastAsia="Times New Roman" w:hAnsi="Arial" w:cs="Arial"/>
          <w:b/>
          <w:color w:val="1F3864" w:themeColor="accent1" w:themeShade="80"/>
          <w:spacing w:val="-2"/>
          <w:sz w:val="18"/>
          <w:szCs w:val="18"/>
          <w:lang w:eastAsia="pt-BR"/>
        </w:rPr>
        <w:t>perdas p</w:t>
      </w:r>
      <w:r w:rsidRPr="00F32199">
        <w:rPr>
          <w:rFonts w:ascii="Arial" w:eastAsia="Times New Roman" w:hAnsi="Arial" w:cs="Arial"/>
          <w:b/>
          <w:color w:val="1F3864" w:themeColor="accent1" w:themeShade="80"/>
          <w:spacing w:val="-2"/>
          <w:sz w:val="18"/>
          <w:szCs w:val="18"/>
          <w:lang w:eastAsia="pt-BR"/>
        </w:rPr>
        <w:t>rováveis</w:t>
      </w:r>
    </w:p>
    <w:p w14:paraId="6891B0CD" w14:textId="77777777" w:rsidR="00990285" w:rsidRPr="00F85E46" w:rsidRDefault="00990285" w:rsidP="00990285">
      <w:pPr>
        <w:spacing w:before="120" w:after="120"/>
        <w:jc w:val="both"/>
        <w:rPr>
          <w:rFonts w:ascii="Arial" w:eastAsia="Times New Roman" w:hAnsi="Arial" w:cs="Arial"/>
          <w:spacing w:val="-2"/>
          <w:sz w:val="18"/>
          <w:szCs w:val="18"/>
          <w:lang w:eastAsia="pt-BR"/>
        </w:rPr>
      </w:pPr>
      <w:r w:rsidRPr="00F85E46">
        <w:rPr>
          <w:rFonts w:ascii="Arial" w:eastAsia="Times New Roman" w:hAnsi="Arial" w:cs="Arial"/>
          <w:spacing w:val="-2"/>
          <w:sz w:val="18"/>
          <w:szCs w:val="18"/>
          <w:lang w:eastAsia="pt-BR"/>
        </w:rPr>
        <w:t xml:space="preserve">Em conformidade com o CPC 25 [IAS 37], </w:t>
      </w:r>
      <w:r>
        <w:rPr>
          <w:rFonts w:ascii="Arial" w:eastAsia="Times New Roman" w:hAnsi="Arial" w:cs="Arial"/>
          <w:spacing w:val="-2"/>
          <w:sz w:val="18"/>
          <w:szCs w:val="18"/>
          <w:lang w:eastAsia="pt-BR"/>
        </w:rPr>
        <w:t xml:space="preserve">as </w:t>
      </w:r>
      <w:r w:rsidRPr="00F85E46">
        <w:rPr>
          <w:rFonts w:ascii="Arial" w:eastAsia="Times New Roman" w:hAnsi="Arial" w:cs="Arial"/>
          <w:spacing w:val="-2"/>
          <w:sz w:val="18"/>
          <w:szCs w:val="18"/>
          <w:lang w:eastAsia="pt-BR"/>
        </w:rPr>
        <w:t xml:space="preserve">demandas fiscais, cíveis e trabalhistas </w:t>
      </w:r>
      <w:r>
        <w:rPr>
          <w:rFonts w:ascii="Arial" w:eastAsia="Times New Roman" w:hAnsi="Arial" w:cs="Arial"/>
          <w:spacing w:val="-2"/>
          <w:sz w:val="18"/>
          <w:szCs w:val="18"/>
          <w:lang w:eastAsia="pt-BR"/>
        </w:rPr>
        <w:t xml:space="preserve">classificadas </w:t>
      </w:r>
      <w:r w:rsidRPr="00F85E46">
        <w:rPr>
          <w:rFonts w:ascii="Arial" w:eastAsia="Times New Roman" w:hAnsi="Arial" w:cs="Arial"/>
          <w:spacing w:val="-2"/>
          <w:sz w:val="18"/>
          <w:szCs w:val="18"/>
          <w:lang w:eastAsia="pt-BR"/>
        </w:rPr>
        <w:t>com risco de perda provável</w:t>
      </w:r>
      <w:r>
        <w:rPr>
          <w:rFonts w:ascii="Arial" w:eastAsia="Times New Roman" w:hAnsi="Arial" w:cs="Arial"/>
          <w:spacing w:val="-2"/>
          <w:sz w:val="18"/>
          <w:szCs w:val="18"/>
          <w:lang w:eastAsia="pt-BR"/>
        </w:rPr>
        <w:t xml:space="preserve"> são provisionadas, pelos valores das perdas estimadas.</w:t>
      </w:r>
    </w:p>
    <w:p w14:paraId="38388EAD" w14:textId="77777777" w:rsidR="00990285" w:rsidRPr="00F85E46" w:rsidRDefault="00990285" w:rsidP="00990285">
      <w:pPr>
        <w:spacing w:before="120" w:after="120"/>
        <w:jc w:val="both"/>
        <w:rPr>
          <w:rFonts w:ascii="Arial" w:eastAsia="Times New Roman" w:hAnsi="Arial" w:cs="Arial"/>
          <w:spacing w:val="-2"/>
          <w:sz w:val="18"/>
          <w:szCs w:val="18"/>
          <w:lang w:eastAsia="pt-BR"/>
        </w:rPr>
      </w:pPr>
      <w:r w:rsidRPr="00F85E46">
        <w:rPr>
          <w:rFonts w:ascii="Arial" w:eastAsia="Times New Roman" w:hAnsi="Arial" w:cs="Arial"/>
          <w:spacing w:val="-2"/>
          <w:sz w:val="18"/>
          <w:szCs w:val="18"/>
          <w:lang w:eastAsia="pt-BR"/>
        </w:rPr>
        <w:t>Essas provisões referem-se, principalmente, às contingências registradas na BB Corretora.</w:t>
      </w:r>
    </w:p>
    <w:p w14:paraId="6CC65365" w14:textId="77777777" w:rsidR="00990285" w:rsidRPr="00F85E46" w:rsidRDefault="00990285" w:rsidP="00990285">
      <w:pPr>
        <w:keepNext/>
        <w:keepLines/>
        <w:spacing w:after="0" w:line="240" w:lineRule="auto"/>
        <w:jc w:val="right"/>
        <w:rPr>
          <w:rFonts w:ascii="Arial" w:eastAsia="Times New Roman" w:hAnsi="Arial" w:cs="Times New Roman"/>
          <w:b/>
          <w:spacing w:val="-2"/>
          <w:sz w:val="14"/>
          <w:szCs w:val="18"/>
          <w:lang w:eastAsia="pt-BR"/>
        </w:rPr>
      </w:pPr>
      <w:r w:rsidRPr="00F85E46">
        <w:rPr>
          <w:rFonts w:ascii="Arial" w:eastAsia="Times New Roman" w:hAnsi="Arial" w:cs="Times New Roman"/>
          <w:b/>
          <w:spacing w:val="-2"/>
          <w:sz w:val="14"/>
          <w:szCs w:val="18"/>
          <w:lang w:eastAsia="pt-BR"/>
        </w:rPr>
        <w:t>R$ mil</w:t>
      </w:r>
    </w:p>
    <w:tbl>
      <w:tblPr>
        <w:tblW w:w="9639" w:type="dxa"/>
        <w:jc w:val="center"/>
        <w:tblBorders>
          <w:top w:val="single" w:sz="2" w:space="0" w:color="1F4E79"/>
          <w:bottom w:val="single" w:sz="2" w:space="0" w:color="1F4E79"/>
          <w:insideH w:val="single" w:sz="2" w:space="0" w:color="1F4E79"/>
        </w:tblBorders>
        <w:tblLook w:val="04A0" w:firstRow="1" w:lastRow="0" w:firstColumn="1" w:lastColumn="0" w:noHBand="0" w:noVBand="1"/>
      </w:tblPr>
      <w:tblGrid>
        <w:gridCol w:w="1560"/>
        <w:gridCol w:w="425"/>
        <w:gridCol w:w="1843"/>
        <w:gridCol w:w="2409"/>
        <w:gridCol w:w="284"/>
        <w:gridCol w:w="1276"/>
        <w:gridCol w:w="1842"/>
      </w:tblGrid>
      <w:tr w:rsidR="00990285" w:rsidRPr="00F85E46" w14:paraId="61C13C06" w14:textId="77777777">
        <w:trPr>
          <w:trHeight w:hRule="exact" w:val="238"/>
          <w:jc w:val="center"/>
        </w:trPr>
        <w:tc>
          <w:tcPr>
            <w:tcW w:w="1560" w:type="dxa"/>
            <w:tcBorders>
              <w:top w:val="single" w:sz="2" w:space="0" w:color="1F4E79"/>
              <w:left w:val="nil"/>
              <w:bottom w:val="nil"/>
              <w:right w:val="nil"/>
            </w:tcBorders>
            <w:vAlign w:val="center"/>
          </w:tcPr>
          <w:p w14:paraId="0F7A2DA6" w14:textId="77777777" w:rsidR="00990285" w:rsidRPr="00F85E46" w:rsidRDefault="00990285">
            <w:pPr>
              <w:keepNext/>
              <w:keepLines/>
              <w:spacing w:before="40" w:after="40" w:line="240" w:lineRule="auto"/>
              <w:jc w:val="center"/>
              <w:rPr>
                <w:rFonts w:ascii="Arial" w:hAnsi="Arial" w:cs="Arial"/>
                <w:b/>
                <w:spacing w:val="-2"/>
                <w:sz w:val="14"/>
                <w:szCs w:val="14"/>
              </w:rPr>
            </w:pPr>
          </w:p>
        </w:tc>
        <w:tc>
          <w:tcPr>
            <w:tcW w:w="425" w:type="dxa"/>
            <w:tcBorders>
              <w:top w:val="single" w:sz="2" w:space="0" w:color="1F4E79"/>
              <w:left w:val="nil"/>
              <w:bottom w:val="nil"/>
              <w:right w:val="nil"/>
            </w:tcBorders>
            <w:vAlign w:val="center"/>
          </w:tcPr>
          <w:p w14:paraId="5D35F8C4" w14:textId="77777777" w:rsidR="00990285" w:rsidRPr="00F85E46" w:rsidRDefault="00990285">
            <w:pPr>
              <w:keepNext/>
              <w:keepLines/>
              <w:spacing w:before="40" w:after="40" w:line="240" w:lineRule="auto"/>
              <w:jc w:val="center"/>
              <w:rPr>
                <w:rFonts w:ascii="Arial" w:hAnsi="Arial" w:cs="Arial"/>
                <w:b/>
                <w:spacing w:val="-2"/>
                <w:sz w:val="14"/>
                <w:szCs w:val="14"/>
              </w:rPr>
            </w:pPr>
          </w:p>
        </w:tc>
        <w:tc>
          <w:tcPr>
            <w:tcW w:w="7654" w:type="dxa"/>
            <w:gridSpan w:val="5"/>
            <w:tcBorders>
              <w:top w:val="single" w:sz="2" w:space="0" w:color="1F4E79"/>
              <w:left w:val="nil"/>
              <w:bottom w:val="single" w:sz="2" w:space="0" w:color="1F4E79"/>
              <w:right w:val="nil"/>
            </w:tcBorders>
            <w:vAlign w:val="center"/>
          </w:tcPr>
          <w:p w14:paraId="7A9571A2" w14:textId="4555DA63" w:rsidR="00990285" w:rsidRPr="00F85E46" w:rsidRDefault="00B94E37">
            <w:pPr>
              <w:keepNext/>
              <w:keepLines/>
              <w:spacing w:before="40" w:after="40" w:line="240" w:lineRule="auto"/>
              <w:jc w:val="center"/>
              <w:rPr>
                <w:rFonts w:ascii="Arial" w:hAnsi="Arial" w:cs="Arial"/>
                <w:b/>
                <w:spacing w:val="-2"/>
                <w:sz w:val="14"/>
                <w:szCs w:val="14"/>
              </w:rPr>
            </w:pPr>
            <w:r w:rsidRPr="00B94E37">
              <w:rPr>
                <w:rFonts w:ascii="Arial" w:hAnsi="Arial" w:cs="Arial"/>
                <w:b/>
                <w:spacing w:val="-2"/>
                <w:sz w:val="14"/>
                <w:szCs w:val="14"/>
              </w:rPr>
              <w:t>Exercício 2024</w:t>
            </w:r>
            <w:r w:rsidR="00990285" w:rsidRPr="00F85E46">
              <w:rPr>
                <w:rFonts w:ascii="Arial" w:hAnsi="Arial" w:cs="Arial"/>
                <w:b/>
                <w:spacing w:val="-2"/>
                <w:sz w:val="14"/>
                <w:szCs w:val="14"/>
              </w:rPr>
              <w:t xml:space="preserve"> - Consolidado</w:t>
            </w:r>
          </w:p>
          <w:p w14:paraId="52354C69" w14:textId="77777777" w:rsidR="00990285" w:rsidRPr="00F85E46" w:rsidRDefault="00990285">
            <w:pPr>
              <w:keepNext/>
              <w:keepLines/>
              <w:spacing w:before="40" w:after="40" w:line="240" w:lineRule="auto"/>
              <w:jc w:val="center"/>
              <w:rPr>
                <w:rFonts w:ascii="Arial" w:hAnsi="Arial" w:cs="Arial"/>
                <w:b/>
                <w:spacing w:val="-2"/>
                <w:sz w:val="14"/>
                <w:szCs w:val="14"/>
              </w:rPr>
            </w:pPr>
          </w:p>
        </w:tc>
      </w:tr>
      <w:tr w:rsidR="00990285" w:rsidRPr="00F85E46" w14:paraId="0FF41CD2" w14:textId="77777777">
        <w:trPr>
          <w:trHeight w:hRule="exact" w:val="238"/>
          <w:jc w:val="center"/>
        </w:trPr>
        <w:tc>
          <w:tcPr>
            <w:tcW w:w="1560" w:type="dxa"/>
            <w:tcBorders>
              <w:top w:val="nil"/>
              <w:left w:val="nil"/>
              <w:bottom w:val="single" w:sz="2" w:space="0" w:color="1F4E79"/>
              <w:right w:val="nil"/>
            </w:tcBorders>
            <w:vAlign w:val="center"/>
          </w:tcPr>
          <w:p w14:paraId="4D2890E3" w14:textId="77777777" w:rsidR="00990285" w:rsidRPr="00F85E46" w:rsidRDefault="00990285">
            <w:pPr>
              <w:keepNext/>
              <w:keepLines/>
              <w:spacing w:before="40" w:after="40" w:line="240" w:lineRule="auto"/>
              <w:rPr>
                <w:rFonts w:ascii="Arial" w:hAnsi="Arial" w:cs="Arial"/>
                <w:b/>
                <w:spacing w:val="-2"/>
                <w:sz w:val="14"/>
                <w:szCs w:val="14"/>
              </w:rPr>
            </w:pPr>
          </w:p>
        </w:tc>
        <w:tc>
          <w:tcPr>
            <w:tcW w:w="425" w:type="dxa"/>
            <w:tcBorders>
              <w:top w:val="nil"/>
              <w:left w:val="nil"/>
              <w:bottom w:val="single" w:sz="2" w:space="0" w:color="1F4E79"/>
              <w:right w:val="nil"/>
            </w:tcBorders>
            <w:vAlign w:val="center"/>
          </w:tcPr>
          <w:p w14:paraId="284B4515" w14:textId="77777777" w:rsidR="00990285" w:rsidRPr="00F85E46" w:rsidRDefault="00990285">
            <w:pPr>
              <w:keepNext/>
              <w:keepLines/>
              <w:spacing w:before="40" w:after="40" w:line="240" w:lineRule="auto"/>
              <w:jc w:val="right"/>
              <w:rPr>
                <w:rFonts w:ascii="Arial" w:hAnsi="Arial" w:cs="Arial"/>
                <w:b/>
                <w:spacing w:val="-2"/>
                <w:sz w:val="14"/>
                <w:szCs w:val="14"/>
              </w:rPr>
            </w:pPr>
          </w:p>
        </w:tc>
        <w:tc>
          <w:tcPr>
            <w:tcW w:w="1843" w:type="dxa"/>
            <w:tcBorders>
              <w:top w:val="single" w:sz="2" w:space="0" w:color="1F4E79"/>
              <w:left w:val="nil"/>
              <w:bottom w:val="single" w:sz="2" w:space="0" w:color="1F4E79"/>
              <w:right w:val="nil"/>
            </w:tcBorders>
            <w:vAlign w:val="center"/>
            <w:hideMark/>
          </w:tcPr>
          <w:p w14:paraId="6AA610B1" w14:textId="77777777" w:rsidR="00990285" w:rsidRPr="00F85E46" w:rsidRDefault="00990285">
            <w:pPr>
              <w:keepNext/>
              <w:keepLines/>
              <w:spacing w:before="40" w:after="40" w:line="240" w:lineRule="auto"/>
              <w:jc w:val="right"/>
              <w:rPr>
                <w:rFonts w:ascii="Arial" w:hAnsi="Arial" w:cs="Arial"/>
                <w:b/>
                <w:spacing w:val="-2"/>
                <w:sz w:val="14"/>
                <w:szCs w:val="14"/>
              </w:rPr>
            </w:pPr>
            <w:r w:rsidRPr="00F85E46">
              <w:rPr>
                <w:rFonts w:ascii="Arial" w:hAnsi="Arial" w:cs="Arial"/>
                <w:b/>
                <w:spacing w:val="-2"/>
                <w:sz w:val="14"/>
                <w:szCs w:val="14"/>
              </w:rPr>
              <w:t>Saldo Inicial</w:t>
            </w:r>
          </w:p>
        </w:tc>
        <w:tc>
          <w:tcPr>
            <w:tcW w:w="2409" w:type="dxa"/>
            <w:tcBorders>
              <w:top w:val="single" w:sz="2" w:space="0" w:color="1F4E79"/>
              <w:left w:val="nil"/>
              <w:bottom w:val="single" w:sz="2" w:space="0" w:color="1F4E79"/>
              <w:right w:val="nil"/>
            </w:tcBorders>
            <w:vAlign w:val="center"/>
            <w:hideMark/>
          </w:tcPr>
          <w:p w14:paraId="7FDB3CE0" w14:textId="77777777" w:rsidR="00990285" w:rsidRPr="00F85E46" w:rsidRDefault="00990285">
            <w:pPr>
              <w:keepNext/>
              <w:keepLines/>
              <w:spacing w:before="40" w:after="40" w:line="240" w:lineRule="auto"/>
              <w:jc w:val="right"/>
              <w:rPr>
                <w:rFonts w:ascii="Arial" w:hAnsi="Arial" w:cs="Arial"/>
                <w:b/>
                <w:spacing w:val="-2"/>
                <w:sz w:val="14"/>
                <w:szCs w:val="14"/>
              </w:rPr>
            </w:pPr>
            <w:r w:rsidRPr="00F85E46">
              <w:rPr>
                <w:rFonts w:ascii="Arial" w:hAnsi="Arial" w:cs="Arial"/>
                <w:b/>
                <w:spacing w:val="-2"/>
                <w:sz w:val="14"/>
                <w:szCs w:val="14"/>
              </w:rPr>
              <w:t>Constituição / Atualização</w:t>
            </w:r>
          </w:p>
        </w:tc>
        <w:tc>
          <w:tcPr>
            <w:tcW w:w="284" w:type="dxa"/>
            <w:tcBorders>
              <w:top w:val="single" w:sz="2" w:space="0" w:color="1F4E79"/>
              <w:left w:val="nil"/>
              <w:bottom w:val="single" w:sz="2" w:space="0" w:color="1F4E79"/>
              <w:right w:val="nil"/>
            </w:tcBorders>
            <w:vAlign w:val="center"/>
          </w:tcPr>
          <w:p w14:paraId="18BB50C4" w14:textId="77777777" w:rsidR="00990285" w:rsidRPr="00F85E46" w:rsidRDefault="00990285">
            <w:pPr>
              <w:keepNext/>
              <w:keepLines/>
              <w:spacing w:before="40" w:after="40" w:line="240" w:lineRule="auto"/>
              <w:jc w:val="right"/>
              <w:rPr>
                <w:rFonts w:ascii="Arial" w:hAnsi="Arial" w:cs="Arial"/>
                <w:b/>
                <w:spacing w:val="-2"/>
                <w:sz w:val="14"/>
                <w:szCs w:val="14"/>
              </w:rPr>
            </w:pPr>
          </w:p>
        </w:tc>
        <w:tc>
          <w:tcPr>
            <w:tcW w:w="1276" w:type="dxa"/>
            <w:tcBorders>
              <w:top w:val="single" w:sz="2" w:space="0" w:color="1F4E79"/>
              <w:left w:val="nil"/>
              <w:bottom w:val="single" w:sz="2" w:space="0" w:color="1F4E79"/>
              <w:right w:val="nil"/>
            </w:tcBorders>
            <w:vAlign w:val="center"/>
            <w:hideMark/>
          </w:tcPr>
          <w:p w14:paraId="65163E8D" w14:textId="77777777" w:rsidR="00990285" w:rsidRPr="00F85E46" w:rsidRDefault="00990285">
            <w:pPr>
              <w:keepNext/>
              <w:keepLines/>
              <w:spacing w:before="40" w:after="40" w:line="240" w:lineRule="auto"/>
              <w:jc w:val="right"/>
              <w:rPr>
                <w:rFonts w:ascii="Arial" w:hAnsi="Arial" w:cs="Arial"/>
                <w:b/>
                <w:spacing w:val="-2"/>
                <w:sz w:val="14"/>
                <w:szCs w:val="14"/>
              </w:rPr>
            </w:pPr>
            <w:r w:rsidRPr="00F85E46">
              <w:rPr>
                <w:rFonts w:ascii="Arial" w:hAnsi="Arial" w:cs="Arial"/>
                <w:b/>
                <w:spacing w:val="-2"/>
                <w:sz w:val="14"/>
                <w:szCs w:val="14"/>
              </w:rPr>
              <w:t>Reversão</w:t>
            </w:r>
          </w:p>
        </w:tc>
        <w:tc>
          <w:tcPr>
            <w:tcW w:w="1842" w:type="dxa"/>
            <w:tcBorders>
              <w:top w:val="single" w:sz="2" w:space="0" w:color="1F4E79"/>
              <w:left w:val="nil"/>
              <w:bottom w:val="single" w:sz="2" w:space="0" w:color="1F4E79"/>
              <w:right w:val="nil"/>
            </w:tcBorders>
            <w:vAlign w:val="center"/>
            <w:hideMark/>
          </w:tcPr>
          <w:p w14:paraId="216A8EC7" w14:textId="77777777" w:rsidR="00990285" w:rsidRPr="00F85E46" w:rsidRDefault="00990285">
            <w:pPr>
              <w:keepNext/>
              <w:keepLines/>
              <w:spacing w:before="40" w:after="40" w:line="240" w:lineRule="auto"/>
              <w:jc w:val="right"/>
              <w:rPr>
                <w:rFonts w:ascii="Arial" w:hAnsi="Arial" w:cs="Arial"/>
                <w:b/>
                <w:spacing w:val="-2"/>
                <w:sz w:val="14"/>
                <w:szCs w:val="14"/>
              </w:rPr>
            </w:pPr>
            <w:r w:rsidRPr="00F85E46">
              <w:rPr>
                <w:rFonts w:ascii="Arial" w:hAnsi="Arial" w:cs="Arial"/>
                <w:b/>
                <w:spacing w:val="-2"/>
                <w:sz w:val="14"/>
                <w:szCs w:val="14"/>
              </w:rPr>
              <w:t>Saldo Final</w:t>
            </w:r>
          </w:p>
        </w:tc>
      </w:tr>
      <w:tr w:rsidR="004122BA" w:rsidRPr="00F85E46" w14:paraId="4590047D" w14:textId="77777777">
        <w:trPr>
          <w:trHeight w:hRule="exact" w:val="238"/>
          <w:jc w:val="center"/>
        </w:trPr>
        <w:tc>
          <w:tcPr>
            <w:tcW w:w="1560" w:type="dxa"/>
            <w:tcBorders>
              <w:top w:val="single" w:sz="2" w:space="0" w:color="1F4E79"/>
              <w:left w:val="nil"/>
              <w:bottom w:val="nil"/>
              <w:right w:val="nil"/>
            </w:tcBorders>
            <w:vAlign w:val="center"/>
            <w:hideMark/>
          </w:tcPr>
          <w:p w14:paraId="2302646E" w14:textId="759A6A72" w:rsidR="004122BA" w:rsidRPr="00F85E46" w:rsidRDefault="004122BA" w:rsidP="004122BA">
            <w:pPr>
              <w:keepNext/>
              <w:keepLines/>
              <w:spacing w:before="40" w:after="40" w:line="256" w:lineRule="auto"/>
              <w:rPr>
                <w:rFonts w:ascii="Arial" w:eastAsia="Times New Roman" w:hAnsi="Arial" w:cs="Arial"/>
                <w:spacing w:val="-2"/>
                <w:sz w:val="14"/>
                <w:szCs w:val="14"/>
              </w:rPr>
            </w:pPr>
            <w:r>
              <w:rPr>
                <w:rFonts w:ascii="Arial" w:eastAsia="Times New Roman" w:hAnsi="Arial" w:cs="Arial"/>
                <w:spacing w:val="-2"/>
                <w:sz w:val="14"/>
                <w:szCs w:val="14"/>
              </w:rPr>
              <w:t>Cíveis</w:t>
            </w:r>
            <w:r w:rsidR="00B820E0">
              <w:rPr>
                <w:rFonts w:ascii="Arial" w:eastAsia="Times New Roman" w:hAnsi="Arial" w:cs="Arial"/>
                <w:spacing w:val="-2"/>
                <w:sz w:val="14"/>
                <w:szCs w:val="14"/>
              </w:rPr>
              <w:t xml:space="preserve"> </w:t>
            </w:r>
            <w:r w:rsidR="00B820E0" w:rsidRPr="00B820E0">
              <w:rPr>
                <w:rFonts w:ascii="Arial" w:eastAsia="Times New Roman" w:hAnsi="Arial" w:cs="Arial"/>
                <w:spacing w:val="-2"/>
                <w:sz w:val="14"/>
                <w:szCs w:val="14"/>
                <w:vertAlign w:val="superscript"/>
              </w:rPr>
              <w:t>(1)</w:t>
            </w:r>
          </w:p>
        </w:tc>
        <w:tc>
          <w:tcPr>
            <w:tcW w:w="425" w:type="dxa"/>
            <w:tcBorders>
              <w:top w:val="single" w:sz="2" w:space="0" w:color="1F4E79"/>
              <w:left w:val="nil"/>
              <w:bottom w:val="nil"/>
              <w:right w:val="nil"/>
            </w:tcBorders>
            <w:vAlign w:val="center"/>
          </w:tcPr>
          <w:p w14:paraId="2DD39605" w14:textId="77777777" w:rsidR="004122BA" w:rsidRPr="00F85E46" w:rsidRDefault="004122BA" w:rsidP="004122BA">
            <w:pPr>
              <w:keepNext/>
              <w:keepLines/>
              <w:spacing w:before="40" w:after="40" w:line="256" w:lineRule="auto"/>
              <w:jc w:val="right"/>
              <w:rPr>
                <w:rFonts w:ascii="Arial" w:eastAsia="Times New Roman" w:hAnsi="Arial" w:cs="Arial"/>
                <w:spacing w:val="-2"/>
                <w:sz w:val="14"/>
                <w:szCs w:val="14"/>
              </w:rPr>
            </w:pPr>
          </w:p>
        </w:tc>
        <w:tc>
          <w:tcPr>
            <w:tcW w:w="1843" w:type="dxa"/>
            <w:tcBorders>
              <w:top w:val="single" w:sz="2" w:space="0" w:color="1F4E79"/>
              <w:left w:val="nil"/>
              <w:bottom w:val="nil"/>
              <w:right w:val="nil"/>
            </w:tcBorders>
            <w:vAlign w:val="center"/>
            <w:hideMark/>
          </w:tcPr>
          <w:p w14:paraId="292F114A" w14:textId="7E702882" w:rsidR="004122BA" w:rsidRPr="004122BA" w:rsidRDefault="004122BA" w:rsidP="004122BA">
            <w:pPr>
              <w:keepNext/>
              <w:keepLines/>
              <w:spacing w:before="40" w:after="40" w:line="256" w:lineRule="auto"/>
              <w:jc w:val="right"/>
              <w:rPr>
                <w:rFonts w:ascii="Arial" w:eastAsia="Times New Roman" w:hAnsi="Arial" w:cs="Arial"/>
                <w:spacing w:val="-2"/>
                <w:sz w:val="14"/>
                <w:szCs w:val="14"/>
              </w:rPr>
            </w:pPr>
            <w:r w:rsidRPr="004122BA">
              <w:rPr>
                <w:rFonts w:ascii="Arial" w:eastAsia="Times New Roman" w:hAnsi="Arial" w:cs="Arial"/>
                <w:spacing w:val="-2"/>
                <w:sz w:val="14"/>
                <w:szCs w:val="14"/>
              </w:rPr>
              <w:t>29.894</w:t>
            </w:r>
          </w:p>
        </w:tc>
        <w:tc>
          <w:tcPr>
            <w:tcW w:w="2409" w:type="dxa"/>
            <w:tcBorders>
              <w:top w:val="single" w:sz="2" w:space="0" w:color="1F4E79"/>
              <w:left w:val="nil"/>
              <w:bottom w:val="nil"/>
              <w:right w:val="nil"/>
            </w:tcBorders>
            <w:vAlign w:val="center"/>
            <w:hideMark/>
          </w:tcPr>
          <w:p w14:paraId="0DB704B3" w14:textId="214413F8" w:rsidR="004122BA" w:rsidRPr="00F85E46" w:rsidRDefault="00FF59AF" w:rsidP="004122BA">
            <w:pPr>
              <w:keepNext/>
              <w:keepLines/>
              <w:spacing w:before="40" w:after="40" w:line="256" w:lineRule="auto"/>
              <w:jc w:val="right"/>
              <w:rPr>
                <w:rFonts w:ascii="Arial" w:eastAsia="Times New Roman" w:hAnsi="Arial" w:cs="Arial"/>
                <w:spacing w:val="-2"/>
                <w:sz w:val="14"/>
                <w:szCs w:val="14"/>
              </w:rPr>
            </w:pPr>
            <w:r w:rsidRPr="00FF59AF">
              <w:rPr>
                <w:rFonts w:ascii="Arial" w:eastAsia="Times New Roman" w:hAnsi="Arial" w:cs="Arial"/>
                <w:spacing w:val="-2"/>
                <w:sz w:val="14"/>
                <w:szCs w:val="14"/>
              </w:rPr>
              <w:t>37.575</w:t>
            </w:r>
          </w:p>
        </w:tc>
        <w:tc>
          <w:tcPr>
            <w:tcW w:w="284" w:type="dxa"/>
            <w:tcBorders>
              <w:top w:val="single" w:sz="2" w:space="0" w:color="1F4E79"/>
              <w:left w:val="nil"/>
              <w:bottom w:val="nil"/>
              <w:right w:val="nil"/>
            </w:tcBorders>
            <w:vAlign w:val="center"/>
          </w:tcPr>
          <w:p w14:paraId="413BFF13" w14:textId="77777777" w:rsidR="004122BA" w:rsidRPr="00F85E46" w:rsidRDefault="004122BA" w:rsidP="004122BA">
            <w:pPr>
              <w:keepNext/>
              <w:keepLines/>
              <w:spacing w:before="40" w:after="40" w:line="256" w:lineRule="auto"/>
              <w:jc w:val="right"/>
              <w:rPr>
                <w:rFonts w:ascii="Arial" w:eastAsia="Times New Roman" w:hAnsi="Arial" w:cs="Arial"/>
                <w:spacing w:val="-2"/>
                <w:sz w:val="14"/>
                <w:szCs w:val="14"/>
              </w:rPr>
            </w:pPr>
          </w:p>
        </w:tc>
        <w:tc>
          <w:tcPr>
            <w:tcW w:w="1276" w:type="dxa"/>
            <w:tcBorders>
              <w:top w:val="single" w:sz="2" w:space="0" w:color="1F4E79"/>
              <w:left w:val="nil"/>
              <w:bottom w:val="nil"/>
              <w:right w:val="nil"/>
            </w:tcBorders>
            <w:vAlign w:val="center"/>
            <w:hideMark/>
          </w:tcPr>
          <w:p w14:paraId="35B550A6" w14:textId="3A4D0249" w:rsidR="004122BA" w:rsidRPr="00F85E46" w:rsidRDefault="004122BA" w:rsidP="004122BA">
            <w:pPr>
              <w:keepNext/>
              <w:keepLines/>
              <w:spacing w:before="40" w:after="40" w:line="256" w:lineRule="auto"/>
              <w:jc w:val="right"/>
              <w:rPr>
                <w:rFonts w:ascii="Arial" w:eastAsia="Times New Roman" w:hAnsi="Arial" w:cs="Arial"/>
                <w:spacing w:val="-2"/>
                <w:sz w:val="14"/>
                <w:szCs w:val="14"/>
              </w:rPr>
            </w:pPr>
            <w:r w:rsidRPr="00F85E46">
              <w:rPr>
                <w:rFonts w:ascii="Arial" w:eastAsia="Times New Roman" w:hAnsi="Arial" w:cs="Times New Roman"/>
                <w:spacing w:val="-2"/>
                <w:sz w:val="14"/>
                <w:szCs w:val="18"/>
              </w:rPr>
              <w:t>(</w:t>
            </w:r>
            <w:r w:rsidR="004B1643" w:rsidRPr="004B1643">
              <w:rPr>
                <w:rFonts w:ascii="Arial" w:eastAsia="Times New Roman" w:hAnsi="Arial" w:cs="Times New Roman"/>
                <w:spacing w:val="-2"/>
                <w:sz w:val="14"/>
                <w:szCs w:val="18"/>
              </w:rPr>
              <w:t>17.562</w:t>
            </w:r>
            <w:r w:rsidRPr="00F85E46">
              <w:rPr>
                <w:rFonts w:ascii="Arial" w:eastAsia="Times New Roman" w:hAnsi="Arial" w:cs="Times New Roman"/>
                <w:spacing w:val="-2"/>
                <w:sz w:val="14"/>
                <w:szCs w:val="18"/>
              </w:rPr>
              <w:t>)</w:t>
            </w:r>
          </w:p>
        </w:tc>
        <w:tc>
          <w:tcPr>
            <w:tcW w:w="1842" w:type="dxa"/>
            <w:tcBorders>
              <w:top w:val="single" w:sz="2" w:space="0" w:color="1F4E79"/>
              <w:left w:val="nil"/>
              <w:bottom w:val="nil"/>
              <w:right w:val="nil"/>
            </w:tcBorders>
            <w:vAlign w:val="center"/>
            <w:hideMark/>
          </w:tcPr>
          <w:p w14:paraId="07E3B47E" w14:textId="6C86E2C7" w:rsidR="004122BA" w:rsidRPr="00F85E46" w:rsidRDefault="00B349C5" w:rsidP="004122BA">
            <w:pPr>
              <w:keepNext/>
              <w:keepLines/>
              <w:spacing w:before="40" w:after="40" w:line="256" w:lineRule="auto"/>
              <w:jc w:val="right"/>
              <w:rPr>
                <w:rFonts w:ascii="Arial" w:eastAsia="Times New Roman" w:hAnsi="Arial" w:cs="Arial"/>
                <w:b/>
                <w:bCs/>
                <w:spacing w:val="-2"/>
                <w:sz w:val="14"/>
                <w:szCs w:val="14"/>
              </w:rPr>
            </w:pPr>
            <w:r w:rsidRPr="00B349C5">
              <w:rPr>
                <w:rFonts w:ascii="Arial" w:eastAsia="Times New Roman" w:hAnsi="Arial" w:cs="Arial"/>
                <w:b/>
                <w:bCs/>
                <w:spacing w:val="-2"/>
                <w:sz w:val="14"/>
                <w:szCs w:val="14"/>
              </w:rPr>
              <w:t>49.907</w:t>
            </w:r>
          </w:p>
        </w:tc>
      </w:tr>
      <w:tr w:rsidR="004122BA" w:rsidRPr="00F85E46" w14:paraId="5905A3A5" w14:textId="77777777">
        <w:trPr>
          <w:trHeight w:hRule="exact" w:val="238"/>
          <w:jc w:val="center"/>
        </w:trPr>
        <w:tc>
          <w:tcPr>
            <w:tcW w:w="1560" w:type="dxa"/>
            <w:tcBorders>
              <w:top w:val="nil"/>
              <w:left w:val="nil"/>
              <w:bottom w:val="nil"/>
              <w:right w:val="nil"/>
            </w:tcBorders>
            <w:vAlign w:val="center"/>
            <w:hideMark/>
          </w:tcPr>
          <w:p w14:paraId="41090A86" w14:textId="77777777" w:rsidR="004122BA" w:rsidRPr="00F85E46" w:rsidRDefault="004122BA" w:rsidP="004122BA">
            <w:pPr>
              <w:keepNext/>
              <w:keepLines/>
              <w:spacing w:before="40" w:after="40" w:line="256" w:lineRule="auto"/>
              <w:rPr>
                <w:rFonts w:ascii="Arial" w:eastAsia="Times New Roman" w:hAnsi="Arial" w:cs="Arial"/>
                <w:spacing w:val="-2"/>
                <w:sz w:val="14"/>
                <w:szCs w:val="14"/>
              </w:rPr>
            </w:pPr>
            <w:r w:rsidRPr="00F85E46">
              <w:rPr>
                <w:rFonts w:ascii="Arial" w:eastAsia="Times New Roman" w:hAnsi="Arial" w:cs="Arial"/>
                <w:spacing w:val="-2"/>
                <w:sz w:val="14"/>
                <w:szCs w:val="14"/>
              </w:rPr>
              <w:t>Trabalhistas</w:t>
            </w:r>
          </w:p>
        </w:tc>
        <w:tc>
          <w:tcPr>
            <w:tcW w:w="425" w:type="dxa"/>
            <w:tcBorders>
              <w:top w:val="nil"/>
              <w:left w:val="nil"/>
              <w:bottom w:val="nil"/>
              <w:right w:val="nil"/>
            </w:tcBorders>
            <w:vAlign w:val="center"/>
          </w:tcPr>
          <w:p w14:paraId="12E58BBA" w14:textId="77777777" w:rsidR="004122BA" w:rsidRPr="00F85E46" w:rsidRDefault="004122BA" w:rsidP="004122BA">
            <w:pPr>
              <w:keepNext/>
              <w:keepLines/>
              <w:spacing w:before="40" w:after="40" w:line="256" w:lineRule="auto"/>
              <w:jc w:val="right"/>
              <w:rPr>
                <w:rFonts w:ascii="Arial" w:eastAsia="Times New Roman" w:hAnsi="Arial" w:cs="Arial"/>
                <w:spacing w:val="-2"/>
                <w:sz w:val="14"/>
                <w:szCs w:val="14"/>
              </w:rPr>
            </w:pPr>
          </w:p>
        </w:tc>
        <w:tc>
          <w:tcPr>
            <w:tcW w:w="1843" w:type="dxa"/>
            <w:tcBorders>
              <w:top w:val="nil"/>
              <w:left w:val="nil"/>
              <w:bottom w:val="nil"/>
              <w:right w:val="nil"/>
            </w:tcBorders>
            <w:vAlign w:val="center"/>
            <w:hideMark/>
          </w:tcPr>
          <w:p w14:paraId="0B2E1845" w14:textId="33F72262" w:rsidR="004122BA" w:rsidRPr="004122BA" w:rsidRDefault="004122BA" w:rsidP="004122BA">
            <w:pPr>
              <w:keepNext/>
              <w:keepLines/>
              <w:spacing w:before="40" w:after="40" w:line="256" w:lineRule="auto"/>
              <w:jc w:val="right"/>
              <w:rPr>
                <w:rFonts w:ascii="Arial" w:eastAsia="Times New Roman" w:hAnsi="Arial" w:cs="Arial"/>
                <w:spacing w:val="-2"/>
                <w:sz w:val="14"/>
                <w:szCs w:val="14"/>
              </w:rPr>
            </w:pPr>
            <w:r w:rsidRPr="004122BA">
              <w:rPr>
                <w:rFonts w:ascii="Arial" w:eastAsia="Times New Roman" w:hAnsi="Arial" w:cs="Arial"/>
                <w:spacing w:val="-2"/>
                <w:sz w:val="14"/>
                <w:szCs w:val="14"/>
              </w:rPr>
              <w:t>71</w:t>
            </w:r>
          </w:p>
        </w:tc>
        <w:tc>
          <w:tcPr>
            <w:tcW w:w="2409" w:type="dxa"/>
            <w:tcBorders>
              <w:top w:val="nil"/>
              <w:left w:val="nil"/>
              <w:bottom w:val="nil"/>
              <w:right w:val="nil"/>
            </w:tcBorders>
            <w:vAlign w:val="center"/>
            <w:hideMark/>
          </w:tcPr>
          <w:p w14:paraId="0265BD4D" w14:textId="036B4E15" w:rsidR="004122BA" w:rsidRPr="00F85E46" w:rsidRDefault="00563EE1" w:rsidP="004122BA">
            <w:pPr>
              <w:keepNext/>
              <w:keepLines/>
              <w:spacing w:before="40" w:after="40" w:line="256" w:lineRule="auto"/>
              <w:jc w:val="right"/>
              <w:rPr>
                <w:rFonts w:ascii="Arial" w:eastAsia="Times New Roman" w:hAnsi="Arial" w:cs="Arial"/>
                <w:spacing w:val="-2"/>
                <w:sz w:val="14"/>
                <w:szCs w:val="14"/>
              </w:rPr>
            </w:pPr>
            <w:r>
              <w:rPr>
                <w:rFonts w:ascii="Arial" w:eastAsia="Times New Roman" w:hAnsi="Arial" w:cs="Arial"/>
                <w:spacing w:val="-2"/>
                <w:sz w:val="14"/>
                <w:szCs w:val="14"/>
              </w:rPr>
              <w:t>480</w:t>
            </w:r>
          </w:p>
        </w:tc>
        <w:tc>
          <w:tcPr>
            <w:tcW w:w="284" w:type="dxa"/>
            <w:tcBorders>
              <w:top w:val="nil"/>
              <w:left w:val="nil"/>
              <w:bottom w:val="nil"/>
              <w:right w:val="nil"/>
            </w:tcBorders>
            <w:vAlign w:val="center"/>
          </w:tcPr>
          <w:p w14:paraId="141BE939" w14:textId="77777777" w:rsidR="004122BA" w:rsidRPr="00F85E46" w:rsidRDefault="004122BA" w:rsidP="004122BA">
            <w:pPr>
              <w:keepNext/>
              <w:keepLines/>
              <w:spacing w:before="40" w:after="40" w:line="256" w:lineRule="auto"/>
              <w:jc w:val="right"/>
              <w:rPr>
                <w:rFonts w:ascii="Arial" w:eastAsia="Times New Roman" w:hAnsi="Arial" w:cs="Arial"/>
                <w:spacing w:val="-2"/>
                <w:sz w:val="14"/>
                <w:szCs w:val="14"/>
              </w:rPr>
            </w:pPr>
          </w:p>
        </w:tc>
        <w:tc>
          <w:tcPr>
            <w:tcW w:w="1276" w:type="dxa"/>
            <w:tcBorders>
              <w:top w:val="nil"/>
              <w:left w:val="nil"/>
              <w:bottom w:val="nil"/>
              <w:right w:val="nil"/>
            </w:tcBorders>
            <w:vAlign w:val="center"/>
            <w:hideMark/>
          </w:tcPr>
          <w:p w14:paraId="0DCEF6AB" w14:textId="639371A4" w:rsidR="004122BA" w:rsidRPr="00F85E46" w:rsidRDefault="002126A6" w:rsidP="004122BA">
            <w:pPr>
              <w:keepNext/>
              <w:keepLines/>
              <w:spacing w:before="40" w:after="40" w:line="256" w:lineRule="auto"/>
              <w:jc w:val="right"/>
              <w:rPr>
                <w:rFonts w:ascii="Arial" w:eastAsia="Times New Roman" w:hAnsi="Arial" w:cs="Arial"/>
                <w:spacing w:val="-2"/>
                <w:sz w:val="14"/>
                <w:szCs w:val="14"/>
              </w:rPr>
            </w:pPr>
            <w:r>
              <w:rPr>
                <w:rFonts w:ascii="Arial" w:eastAsia="Times New Roman" w:hAnsi="Arial" w:cs="Times New Roman"/>
                <w:spacing w:val="-2"/>
                <w:sz w:val="14"/>
                <w:szCs w:val="18"/>
              </w:rPr>
              <w:t>(97)</w:t>
            </w:r>
          </w:p>
        </w:tc>
        <w:tc>
          <w:tcPr>
            <w:tcW w:w="1842" w:type="dxa"/>
            <w:tcBorders>
              <w:top w:val="nil"/>
              <w:left w:val="nil"/>
              <w:bottom w:val="nil"/>
              <w:right w:val="nil"/>
            </w:tcBorders>
            <w:vAlign w:val="center"/>
            <w:hideMark/>
          </w:tcPr>
          <w:p w14:paraId="57D9C920" w14:textId="06A0787A" w:rsidR="004122BA" w:rsidRPr="00F85E46" w:rsidRDefault="00533500" w:rsidP="004122BA">
            <w:pPr>
              <w:keepNext/>
              <w:keepLines/>
              <w:spacing w:before="40" w:after="40" w:line="256" w:lineRule="auto"/>
              <w:jc w:val="right"/>
              <w:rPr>
                <w:rFonts w:ascii="Arial" w:eastAsia="Times New Roman" w:hAnsi="Arial" w:cs="Arial"/>
                <w:b/>
                <w:bCs/>
                <w:spacing w:val="-2"/>
                <w:sz w:val="14"/>
                <w:szCs w:val="14"/>
              </w:rPr>
            </w:pPr>
            <w:r>
              <w:rPr>
                <w:rFonts w:ascii="Arial" w:eastAsia="Times New Roman" w:hAnsi="Arial" w:cs="Arial"/>
                <w:b/>
                <w:bCs/>
                <w:spacing w:val="-2"/>
                <w:sz w:val="14"/>
                <w:szCs w:val="14"/>
              </w:rPr>
              <w:t>454</w:t>
            </w:r>
          </w:p>
        </w:tc>
      </w:tr>
      <w:tr w:rsidR="004122BA" w:rsidRPr="00F85E46" w14:paraId="240F1B8E" w14:textId="77777777">
        <w:trPr>
          <w:trHeight w:hRule="exact" w:val="238"/>
          <w:jc w:val="center"/>
        </w:trPr>
        <w:tc>
          <w:tcPr>
            <w:tcW w:w="1560" w:type="dxa"/>
            <w:tcBorders>
              <w:top w:val="nil"/>
              <w:left w:val="nil"/>
              <w:bottom w:val="nil"/>
              <w:right w:val="nil"/>
            </w:tcBorders>
            <w:vAlign w:val="center"/>
            <w:hideMark/>
          </w:tcPr>
          <w:p w14:paraId="4863D4AC" w14:textId="77777777" w:rsidR="004122BA" w:rsidRPr="00F85E46" w:rsidRDefault="004122BA" w:rsidP="004122BA">
            <w:pPr>
              <w:keepNext/>
              <w:keepLines/>
              <w:spacing w:before="40" w:after="40" w:line="256" w:lineRule="auto"/>
              <w:rPr>
                <w:rFonts w:ascii="Arial" w:eastAsia="Times New Roman" w:hAnsi="Arial" w:cs="Arial"/>
                <w:spacing w:val="-2"/>
                <w:sz w:val="14"/>
                <w:szCs w:val="14"/>
              </w:rPr>
            </w:pPr>
            <w:r w:rsidRPr="00F85E46">
              <w:rPr>
                <w:rFonts w:ascii="Arial" w:eastAsia="Times New Roman" w:hAnsi="Arial" w:cs="Arial"/>
                <w:spacing w:val="-2"/>
                <w:sz w:val="14"/>
                <w:szCs w:val="14"/>
              </w:rPr>
              <w:t>Fiscais</w:t>
            </w:r>
          </w:p>
        </w:tc>
        <w:tc>
          <w:tcPr>
            <w:tcW w:w="425" w:type="dxa"/>
            <w:tcBorders>
              <w:top w:val="nil"/>
              <w:left w:val="nil"/>
              <w:bottom w:val="nil"/>
              <w:right w:val="nil"/>
            </w:tcBorders>
            <w:vAlign w:val="center"/>
          </w:tcPr>
          <w:p w14:paraId="38E29B42" w14:textId="77777777" w:rsidR="004122BA" w:rsidRPr="00F85E46" w:rsidRDefault="004122BA" w:rsidP="004122BA">
            <w:pPr>
              <w:keepNext/>
              <w:keepLines/>
              <w:spacing w:before="40" w:after="40" w:line="256" w:lineRule="auto"/>
              <w:jc w:val="right"/>
              <w:rPr>
                <w:rFonts w:ascii="Arial" w:eastAsia="Times New Roman" w:hAnsi="Arial" w:cs="Arial"/>
                <w:spacing w:val="-2"/>
                <w:sz w:val="14"/>
                <w:szCs w:val="14"/>
              </w:rPr>
            </w:pPr>
          </w:p>
        </w:tc>
        <w:tc>
          <w:tcPr>
            <w:tcW w:w="1843" w:type="dxa"/>
            <w:tcBorders>
              <w:top w:val="nil"/>
              <w:left w:val="nil"/>
              <w:bottom w:val="nil"/>
              <w:right w:val="nil"/>
            </w:tcBorders>
            <w:vAlign w:val="center"/>
            <w:hideMark/>
          </w:tcPr>
          <w:p w14:paraId="686B0578" w14:textId="25344A4A" w:rsidR="004122BA" w:rsidRPr="004122BA" w:rsidRDefault="004122BA" w:rsidP="004122BA">
            <w:pPr>
              <w:keepNext/>
              <w:keepLines/>
              <w:spacing w:before="40" w:after="40" w:line="256" w:lineRule="auto"/>
              <w:jc w:val="right"/>
              <w:rPr>
                <w:rFonts w:ascii="Arial" w:eastAsia="Times New Roman" w:hAnsi="Arial" w:cs="Arial"/>
                <w:spacing w:val="-2"/>
                <w:sz w:val="14"/>
                <w:szCs w:val="14"/>
              </w:rPr>
            </w:pPr>
            <w:r w:rsidRPr="004122BA">
              <w:rPr>
                <w:rFonts w:ascii="Arial" w:eastAsia="Times New Roman" w:hAnsi="Arial" w:cs="Arial"/>
                <w:spacing w:val="-2"/>
                <w:sz w:val="14"/>
                <w:szCs w:val="14"/>
              </w:rPr>
              <w:t>34</w:t>
            </w:r>
          </w:p>
        </w:tc>
        <w:tc>
          <w:tcPr>
            <w:tcW w:w="2409" w:type="dxa"/>
            <w:tcBorders>
              <w:top w:val="nil"/>
              <w:left w:val="nil"/>
              <w:bottom w:val="nil"/>
              <w:right w:val="nil"/>
            </w:tcBorders>
            <w:vAlign w:val="center"/>
          </w:tcPr>
          <w:p w14:paraId="6CBDCC45" w14:textId="58810978" w:rsidR="004122BA" w:rsidRPr="00F85E46" w:rsidRDefault="00A665FF" w:rsidP="004122BA">
            <w:pPr>
              <w:keepNext/>
              <w:keepLines/>
              <w:spacing w:before="40" w:after="40" w:line="256" w:lineRule="auto"/>
              <w:jc w:val="right"/>
              <w:rPr>
                <w:rFonts w:ascii="Arial" w:eastAsia="Times New Roman" w:hAnsi="Arial" w:cs="Arial"/>
                <w:spacing w:val="-2"/>
                <w:sz w:val="14"/>
                <w:szCs w:val="14"/>
              </w:rPr>
            </w:pPr>
            <w:r>
              <w:rPr>
                <w:rFonts w:ascii="Arial" w:eastAsia="Times New Roman" w:hAnsi="Arial" w:cs="Arial"/>
                <w:spacing w:val="-2"/>
                <w:sz w:val="14"/>
                <w:szCs w:val="14"/>
              </w:rPr>
              <w:t>34</w:t>
            </w:r>
          </w:p>
        </w:tc>
        <w:tc>
          <w:tcPr>
            <w:tcW w:w="284" w:type="dxa"/>
            <w:tcBorders>
              <w:top w:val="nil"/>
              <w:left w:val="nil"/>
              <w:bottom w:val="nil"/>
              <w:right w:val="nil"/>
            </w:tcBorders>
            <w:vAlign w:val="center"/>
          </w:tcPr>
          <w:p w14:paraId="485260B0" w14:textId="77777777" w:rsidR="004122BA" w:rsidRPr="00F85E46" w:rsidRDefault="004122BA" w:rsidP="004122BA">
            <w:pPr>
              <w:keepNext/>
              <w:keepLines/>
              <w:spacing w:before="40" w:after="40" w:line="256" w:lineRule="auto"/>
              <w:jc w:val="right"/>
              <w:rPr>
                <w:rFonts w:ascii="Arial" w:eastAsia="Times New Roman" w:hAnsi="Arial" w:cs="Arial"/>
                <w:spacing w:val="-2"/>
                <w:sz w:val="14"/>
                <w:szCs w:val="14"/>
              </w:rPr>
            </w:pPr>
          </w:p>
        </w:tc>
        <w:tc>
          <w:tcPr>
            <w:tcW w:w="1276" w:type="dxa"/>
            <w:tcBorders>
              <w:top w:val="nil"/>
              <w:left w:val="nil"/>
              <w:bottom w:val="nil"/>
              <w:right w:val="nil"/>
            </w:tcBorders>
            <w:vAlign w:val="center"/>
          </w:tcPr>
          <w:p w14:paraId="1B540FE3" w14:textId="071B1323" w:rsidR="004122BA" w:rsidRPr="00F85E46" w:rsidRDefault="002908CD" w:rsidP="004122BA">
            <w:pPr>
              <w:keepNext/>
              <w:keepLines/>
              <w:spacing w:before="40" w:after="40" w:line="256" w:lineRule="auto"/>
              <w:jc w:val="right"/>
              <w:rPr>
                <w:rFonts w:ascii="Arial" w:eastAsia="Times New Roman" w:hAnsi="Arial" w:cs="Arial"/>
                <w:spacing w:val="-2"/>
                <w:sz w:val="14"/>
                <w:szCs w:val="14"/>
              </w:rPr>
            </w:pPr>
            <w:r>
              <w:rPr>
                <w:rFonts w:ascii="Arial" w:eastAsia="Times New Roman" w:hAnsi="Arial" w:cs="Arial"/>
                <w:spacing w:val="-2"/>
                <w:sz w:val="14"/>
                <w:szCs w:val="14"/>
              </w:rPr>
              <w:t>--</w:t>
            </w:r>
          </w:p>
        </w:tc>
        <w:tc>
          <w:tcPr>
            <w:tcW w:w="1842" w:type="dxa"/>
            <w:tcBorders>
              <w:top w:val="nil"/>
              <w:left w:val="nil"/>
              <w:bottom w:val="nil"/>
              <w:right w:val="nil"/>
            </w:tcBorders>
            <w:vAlign w:val="center"/>
            <w:hideMark/>
          </w:tcPr>
          <w:p w14:paraId="02F24A0A" w14:textId="71DB4851" w:rsidR="004122BA" w:rsidRPr="00F85E46" w:rsidRDefault="00E008E5" w:rsidP="004122BA">
            <w:pPr>
              <w:keepNext/>
              <w:keepLines/>
              <w:spacing w:before="40" w:after="40" w:line="256" w:lineRule="auto"/>
              <w:jc w:val="right"/>
              <w:rPr>
                <w:rFonts w:ascii="Arial" w:eastAsia="Times New Roman" w:hAnsi="Arial" w:cs="Arial"/>
                <w:b/>
                <w:spacing w:val="-2"/>
                <w:sz w:val="14"/>
                <w:szCs w:val="14"/>
              </w:rPr>
            </w:pPr>
            <w:r>
              <w:rPr>
                <w:rFonts w:ascii="Arial" w:eastAsia="Times New Roman" w:hAnsi="Arial" w:cs="Arial"/>
                <w:b/>
                <w:spacing w:val="-2"/>
                <w:sz w:val="14"/>
                <w:szCs w:val="14"/>
              </w:rPr>
              <w:t>68</w:t>
            </w:r>
          </w:p>
        </w:tc>
      </w:tr>
      <w:tr w:rsidR="004122BA" w:rsidRPr="00F85E46" w14:paraId="58401CA3" w14:textId="77777777">
        <w:trPr>
          <w:trHeight w:hRule="exact" w:val="238"/>
          <w:jc w:val="center"/>
        </w:trPr>
        <w:tc>
          <w:tcPr>
            <w:tcW w:w="1560" w:type="dxa"/>
            <w:tcBorders>
              <w:top w:val="nil"/>
              <w:left w:val="nil"/>
              <w:bottom w:val="single" w:sz="2" w:space="0" w:color="1F4E79"/>
              <w:right w:val="nil"/>
            </w:tcBorders>
            <w:vAlign w:val="center"/>
            <w:hideMark/>
          </w:tcPr>
          <w:p w14:paraId="72A0D9B9" w14:textId="77777777" w:rsidR="004122BA" w:rsidRPr="00F85E46" w:rsidRDefault="004122BA" w:rsidP="004122BA">
            <w:pPr>
              <w:keepNext/>
              <w:keepLines/>
              <w:spacing w:before="40" w:after="40" w:line="240" w:lineRule="auto"/>
              <w:rPr>
                <w:rFonts w:ascii="Arial" w:hAnsi="Arial" w:cs="Arial"/>
                <w:b/>
                <w:bCs/>
                <w:spacing w:val="-2"/>
                <w:sz w:val="14"/>
                <w:szCs w:val="14"/>
              </w:rPr>
            </w:pPr>
            <w:r w:rsidRPr="00F85E46">
              <w:rPr>
                <w:rFonts w:ascii="Arial" w:hAnsi="Arial" w:cs="Arial"/>
                <w:b/>
                <w:spacing w:val="-2"/>
                <w:sz w:val="14"/>
                <w:szCs w:val="14"/>
              </w:rPr>
              <w:t>Total</w:t>
            </w:r>
          </w:p>
        </w:tc>
        <w:tc>
          <w:tcPr>
            <w:tcW w:w="425" w:type="dxa"/>
            <w:tcBorders>
              <w:top w:val="nil"/>
              <w:left w:val="nil"/>
              <w:bottom w:val="single" w:sz="2" w:space="0" w:color="1F4E79"/>
              <w:right w:val="nil"/>
            </w:tcBorders>
            <w:vAlign w:val="center"/>
          </w:tcPr>
          <w:p w14:paraId="1FCD7576" w14:textId="77777777" w:rsidR="004122BA" w:rsidRPr="00F85E46" w:rsidRDefault="004122BA" w:rsidP="004122BA">
            <w:pPr>
              <w:keepNext/>
              <w:keepLines/>
              <w:spacing w:before="40" w:after="40" w:line="256" w:lineRule="auto"/>
              <w:jc w:val="right"/>
              <w:rPr>
                <w:rFonts w:ascii="Arial" w:eastAsia="Times New Roman" w:hAnsi="Arial" w:cs="Arial"/>
                <w:b/>
                <w:spacing w:val="-2"/>
                <w:sz w:val="14"/>
                <w:szCs w:val="14"/>
              </w:rPr>
            </w:pPr>
          </w:p>
        </w:tc>
        <w:tc>
          <w:tcPr>
            <w:tcW w:w="1843" w:type="dxa"/>
            <w:tcBorders>
              <w:top w:val="nil"/>
              <w:left w:val="nil"/>
              <w:bottom w:val="single" w:sz="2" w:space="0" w:color="1F4E79"/>
              <w:right w:val="nil"/>
            </w:tcBorders>
            <w:vAlign w:val="bottom"/>
            <w:hideMark/>
          </w:tcPr>
          <w:p w14:paraId="281FEF09" w14:textId="071C7588" w:rsidR="004122BA" w:rsidRPr="004122BA" w:rsidRDefault="004122BA" w:rsidP="004122BA">
            <w:pPr>
              <w:keepNext/>
              <w:keepLines/>
              <w:spacing w:before="40" w:after="40" w:line="256" w:lineRule="auto"/>
              <w:jc w:val="right"/>
              <w:rPr>
                <w:rFonts w:ascii="Arial" w:eastAsia="Times New Roman" w:hAnsi="Arial" w:cs="Arial"/>
                <w:b/>
                <w:bCs/>
                <w:spacing w:val="-2"/>
                <w:sz w:val="14"/>
                <w:szCs w:val="14"/>
              </w:rPr>
            </w:pPr>
            <w:r w:rsidRPr="004122BA">
              <w:rPr>
                <w:rFonts w:ascii="Arial" w:eastAsia="Times New Roman" w:hAnsi="Arial" w:cs="Times New Roman"/>
                <w:b/>
                <w:bCs/>
                <w:spacing w:val="-2"/>
                <w:sz w:val="14"/>
                <w:szCs w:val="18"/>
              </w:rPr>
              <w:t xml:space="preserve">   29.999 </w:t>
            </w:r>
          </w:p>
        </w:tc>
        <w:tc>
          <w:tcPr>
            <w:tcW w:w="2409" w:type="dxa"/>
            <w:tcBorders>
              <w:top w:val="nil"/>
              <w:left w:val="nil"/>
              <w:bottom w:val="single" w:sz="2" w:space="0" w:color="1F4E79"/>
              <w:right w:val="nil"/>
            </w:tcBorders>
            <w:vAlign w:val="center"/>
          </w:tcPr>
          <w:p w14:paraId="6C21E477" w14:textId="77777777" w:rsidR="004122BA" w:rsidRPr="00F85E46" w:rsidRDefault="004122BA" w:rsidP="004122BA">
            <w:pPr>
              <w:keepNext/>
              <w:keepLines/>
              <w:spacing w:before="40" w:after="40" w:line="256" w:lineRule="auto"/>
              <w:jc w:val="right"/>
              <w:rPr>
                <w:rFonts w:ascii="Arial" w:eastAsia="Times New Roman" w:hAnsi="Arial" w:cs="Times New Roman"/>
                <w:b/>
                <w:spacing w:val="-2"/>
                <w:sz w:val="14"/>
                <w:szCs w:val="18"/>
              </w:rPr>
            </w:pPr>
            <w:r w:rsidRPr="00F85E46">
              <w:rPr>
                <w:rFonts w:ascii="Arial" w:eastAsia="Times New Roman" w:hAnsi="Arial" w:cs="Times New Roman"/>
                <w:b/>
                <w:spacing w:val="-2"/>
                <w:sz w:val="14"/>
                <w:szCs w:val="18"/>
              </w:rPr>
              <w:t>30.417</w:t>
            </w:r>
          </w:p>
        </w:tc>
        <w:tc>
          <w:tcPr>
            <w:tcW w:w="284" w:type="dxa"/>
            <w:tcBorders>
              <w:top w:val="nil"/>
              <w:left w:val="nil"/>
              <w:bottom w:val="single" w:sz="2" w:space="0" w:color="1F4E79"/>
              <w:right w:val="nil"/>
            </w:tcBorders>
            <w:vAlign w:val="center"/>
          </w:tcPr>
          <w:p w14:paraId="6B468BE9" w14:textId="77777777" w:rsidR="004122BA" w:rsidRPr="00F85E46" w:rsidRDefault="004122BA" w:rsidP="004122BA">
            <w:pPr>
              <w:keepNext/>
              <w:keepLines/>
              <w:spacing w:before="40" w:after="40" w:line="256" w:lineRule="auto"/>
              <w:jc w:val="right"/>
              <w:rPr>
                <w:rFonts w:ascii="Arial" w:eastAsia="Times New Roman" w:hAnsi="Arial" w:cs="Times New Roman"/>
                <w:b/>
                <w:spacing w:val="-2"/>
                <w:sz w:val="14"/>
                <w:szCs w:val="18"/>
              </w:rPr>
            </w:pPr>
          </w:p>
        </w:tc>
        <w:tc>
          <w:tcPr>
            <w:tcW w:w="1276" w:type="dxa"/>
            <w:tcBorders>
              <w:top w:val="nil"/>
              <w:left w:val="nil"/>
              <w:bottom w:val="single" w:sz="2" w:space="0" w:color="1F4E79"/>
              <w:right w:val="nil"/>
            </w:tcBorders>
            <w:vAlign w:val="center"/>
          </w:tcPr>
          <w:p w14:paraId="0C724C07" w14:textId="77777777" w:rsidR="004122BA" w:rsidRPr="00F85E46" w:rsidRDefault="004122BA" w:rsidP="004122BA">
            <w:pPr>
              <w:keepNext/>
              <w:keepLines/>
              <w:spacing w:before="40" w:after="40" w:line="256" w:lineRule="auto"/>
              <w:jc w:val="right"/>
              <w:rPr>
                <w:rFonts w:ascii="Arial" w:eastAsia="Times New Roman" w:hAnsi="Arial" w:cs="Times New Roman"/>
                <w:b/>
                <w:spacing w:val="-2"/>
                <w:sz w:val="14"/>
                <w:szCs w:val="18"/>
              </w:rPr>
            </w:pPr>
            <w:r w:rsidRPr="00F85E46">
              <w:rPr>
                <w:rFonts w:ascii="Arial" w:eastAsia="Times New Roman" w:hAnsi="Arial" w:cs="Times New Roman"/>
                <w:b/>
                <w:spacing w:val="-2"/>
                <w:sz w:val="14"/>
                <w:szCs w:val="18"/>
              </w:rPr>
              <w:t>(12.719)</w:t>
            </w:r>
          </w:p>
        </w:tc>
        <w:tc>
          <w:tcPr>
            <w:tcW w:w="1842" w:type="dxa"/>
            <w:tcBorders>
              <w:top w:val="nil"/>
              <w:left w:val="nil"/>
              <w:bottom w:val="single" w:sz="2" w:space="0" w:color="1F4E79"/>
              <w:right w:val="nil"/>
            </w:tcBorders>
            <w:vAlign w:val="center"/>
          </w:tcPr>
          <w:p w14:paraId="17DB6F0E" w14:textId="7F5FF53E" w:rsidR="004122BA" w:rsidRPr="00F85E46" w:rsidRDefault="00E51345" w:rsidP="004122BA">
            <w:pPr>
              <w:keepNext/>
              <w:keepLines/>
              <w:spacing w:before="40" w:after="40" w:line="256" w:lineRule="auto"/>
              <w:jc w:val="right"/>
              <w:rPr>
                <w:rFonts w:ascii="Arial" w:eastAsia="Times New Roman" w:hAnsi="Arial" w:cs="Times New Roman"/>
                <w:b/>
                <w:spacing w:val="-2"/>
                <w:sz w:val="14"/>
                <w:szCs w:val="18"/>
              </w:rPr>
            </w:pPr>
            <w:r w:rsidRPr="00E51345">
              <w:rPr>
                <w:rFonts w:ascii="Arial" w:eastAsia="Times New Roman" w:hAnsi="Arial" w:cs="Times New Roman"/>
                <w:b/>
                <w:spacing w:val="-2"/>
                <w:sz w:val="14"/>
                <w:szCs w:val="18"/>
              </w:rPr>
              <w:t>50.429</w:t>
            </w:r>
          </w:p>
        </w:tc>
      </w:tr>
    </w:tbl>
    <w:p w14:paraId="2E978E08" w14:textId="583677FB" w:rsidR="00990285" w:rsidRPr="00F85E46" w:rsidRDefault="00B200B0" w:rsidP="00C50F70">
      <w:pPr>
        <w:pStyle w:val="07-Legenda"/>
        <w:rPr>
          <w:b/>
        </w:rPr>
      </w:pPr>
      <w:r w:rsidRPr="00890220">
        <w:t>(1)</w:t>
      </w:r>
      <w:r>
        <w:tab/>
        <w:t>F</w:t>
      </w:r>
      <w:r w:rsidRPr="00890220">
        <w:t xml:space="preserve">oi incluído no montante o valor de R$ </w:t>
      </w:r>
      <w:r w:rsidRPr="00993FD7">
        <w:t>2</w:t>
      </w:r>
      <w:r>
        <w:t>.</w:t>
      </w:r>
      <w:r w:rsidR="00627845">
        <w:t>2</w:t>
      </w:r>
      <w:r w:rsidRPr="00993FD7">
        <w:t>02</w:t>
      </w:r>
      <w:r w:rsidRPr="00890220">
        <w:t xml:space="preserve"> mil referente a atualização monetária.</w:t>
      </w:r>
    </w:p>
    <w:p w14:paraId="07308334" w14:textId="77777777" w:rsidR="00990285" w:rsidRPr="00F85E46" w:rsidRDefault="00990285" w:rsidP="00990285">
      <w:pPr>
        <w:keepNext/>
        <w:keepLines/>
        <w:spacing w:after="0" w:line="240" w:lineRule="auto"/>
        <w:jc w:val="right"/>
        <w:rPr>
          <w:rFonts w:ascii="Arial" w:eastAsia="Times New Roman" w:hAnsi="Arial" w:cs="Times New Roman"/>
          <w:b/>
          <w:spacing w:val="-2"/>
          <w:sz w:val="14"/>
          <w:szCs w:val="18"/>
          <w:lang w:eastAsia="pt-BR"/>
        </w:rPr>
      </w:pPr>
    </w:p>
    <w:p w14:paraId="6B262181" w14:textId="77777777" w:rsidR="00990285" w:rsidRPr="00F85E46" w:rsidRDefault="00990285" w:rsidP="00990285">
      <w:pPr>
        <w:keepNext/>
        <w:keepLines/>
        <w:spacing w:after="0" w:line="240" w:lineRule="auto"/>
        <w:jc w:val="right"/>
        <w:rPr>
          <w:rFonts w:ascii="Arial" w:eastAsia="Times New Roman" w:hAnsi="Arial" w:cs="Times New Roman"/>
          <w:b/>
          <w:spacing w:val="-2"/>
          <w:sz w:val="14"/>
          <w:szCs w:val="18"/>
          <w:lang w:eastAsia="pt-BR"/>
        </w:rPr>
      </w:pPr>
      <w:r w:rsidRPr="00F85E46">
        <w:rPr>
          <w:rFonts w:ascii="Arial" w:eastAsia="Times New Roman" w:hAnsi="Arial" w:cs="Times New Roman"/>
          <w:b/>
          <w:spacing w:val="-2"/>
          <w:sz w:val="14"/>
          <w:szCs w:val="18"/>
          <w:lang w:eastAsia="pt-BR"/>
        </w:rPr>
        <w:t>R$ mil</w:t>
      </w:r>
    </w:p>
    <w:tbl>
      <w:tblPr>
        <w:tblW w:w="9639" w:type="dxa"/>
        <w:jc w:val="center"/>
        <w:tblBorders>
          <w:top w:val="single" w:sz="2" w:space="0" w:color="1F4E79"/>
          <w:bottom w:val="single" w:sz="2" w:space="0" w:color="1F4E79"/>
          <w:insideH w:val="single" w:sz="2" w:space="0" w:color="1F4E79"/>
        </w:tblBorders>
        <w:tblLook w:val="04A0" w:firstRow="1" w:lastRow="0" w:firstColumn="1" w:lastColumn="0" w:noHBand="0" w:noVBand="1"/>
      </w:tblPr>
      <w:tblGrid>
        <w:gridCol w:w="1560"/>
        <w:gridCol w:w="425"/>
        <w:gridCol w:w="1843"/>
        <w:gridCol w:w="2409"/>
        <w:gridCol w:w="284"/>
        <w:gridCol w:w="1276"/>
        <w:gridCol w:w="1842"/>
      </w:tblGrid>
      <w:tr w:rsidR="00990285" w:rsidRPr="00F85E46" w14:paraId="498CDC38" w14:textId="77777777">
        <w:trPr>
          <w:trHeight w:hRule="exact" w:val="238"/>
          <w:jc w:val="center"/>
        </w:trPr>
        <w:tc>
          <w:tcPr>
            <w:tcW w:w="1560" w:type="dxa"/>
            <w:tcBorders>
              <w:top w:val="single" w:sz="2" w:space="0" w:color="1F4E79"/>
              <w:left w:val="nil"/>
              <w:bottom w:val="nil"/>
              <w:right w:val="nil"/>
            </w:tcBorders>
            <w:vAlign w:val="center"/>
          </w:tcPr>
          <w:p w14:paraId="30E033DF" w14:textId="77777777" w:rsidR="00990285" w:rsidRPr="00F85E46" w:rsidRDefault="00990285">
            <w:pPr>
              <w:keepNext/>
              <w:keepLines/>
              <w:spacing w:before="40" w:after="40" w:line="240" w:lineRule="auto"/>
              <w:jc w:val="center"/>
              <w:rPr>
                <w:rFonts w:ascii="Arial" w:hAnsi="Arial" w:cs="Arial"/>
                <w:b/>
                <w:spacing w:val="-2"/>
                <w:sz w:val="14"/>
                <w:szCs w:val="14"/>
              </w:rPr>
            </w:pPr>
          </w:p>
        </w:tc>
        <w:tc>
          <w:tcPr>
            <w:tcW w:w="425" w:type="dxa"/>
            <w:tcBorders>
              <w:top w:val="single" w:sz="2" w:space="0" w:color="1F4E79"/>
              <w:left w:val="nil"/>
              <w:bottom w:val="nil"/>
              <w:right w:val="nil"/>
            </w:tcBorders>
            <w:vAlign w:val="center"/>
          </w:tcPr>
          <w:p w14:paraId="2432BBF8" w14:textId="77777777" w:rsidR="00990285" w:rsidRPr="00F85E46" w:rsidRDefault="00990285">
            <w:pPr>
              <w:keepNext/>
              <w:keepLines/>
              <w:spacing w:before="40" w:after="40" w:line="240" w:lineRule="auto"/>
              <w:jc w:val="center"/>
              <w:rPr>
                <w:rFonts w:ascii="Arial" w:hAnsi="Arial" w:cs="Arial"/>
                <w:b/>
                <w:spacing w:val="-2"/>
                <w:sz w:val="14"/>
                <w:szCs w:val="14"/>
              </w:rPr>
            </w:pPr>
          </w:p>
        </w:tc>
        <w:tc>
          <w:tcPr>
            <w:tcW w:w="7654" w:type="dxa"/>
            <w:gridSpan w:val="5"/>
            <w:tcBorders>
              <w:top w:val="single" w:sz="2" w:space="0" w:color="1F4E79"/>
              <w:left w:val="nil"/>
              <w:bottom w:val="single" w:sz="2" w:space="0" w:color="1F4E79"/>
              <w:right w:val="nil"/>
            </w:tcBorders>
            <w:vAlign w:val="center"/>
            <w:hideMark/>
          </w:tcPr>
          <w:p w14:paraId="4961D749" w14:textId="1EE56A8F" w:rsidR="00990285" w:rsidRPr="00F85E46" w:rsidRDefault="00B94E37">
            <w:pPr>
              <w:keepNext/>
              <w:keepLines/>
              <w:spacing w:before="40" w:after="40" w:line="240" w:lineRule="auto"/>
              <w:jc w:val="center"/>
              <w:rPr>
                <w:rFonts w:ascii="Arial" w:hAnsi="Arial" w:cs="Arial"/>
                <w:b/>
                <w:spacing w:val="-2"/>
                <w:sz w:val="14"/>
                <w:szCs w:val="14"/>
              </w:rPr>
            </w:pPr>
            <w:r w:rsidRPr="00B94E37">
              <w:rPr>
                <w:rFonts w:ascii="Arial" w:hAnsi="Arial" w:cs="Arial"/>
                <w:b/>
                <w:spacing w:val="-2"/>
                <w:sz w:val="14"/>
                <w:szCs w:val="14"/>
              </w:rPr>
              <w:t>Exercício 202</w:t>
            </w:r>
            <w:r w:rsidR="007D0E71">
              <w:rPr>
                <w:rFonts w:ascii="Arial" w:hAnsi="Arial" w:cs="Arial"/>
                <w:b/>
                <w:spacing w:val="-2"/>
                <w:sz w:val="14"/>
                <w:szCs w:val="14"/>
              </w:rPr>
              <w:t>3</w:t>
            </w:r>
            <w:r w:rsidR="00990285" w:rsidRPr="00F85E46">
              <w:rPr>
                <w:rFonts w:ascii="Arial" w:hAnsi="Arial" w:cs="Arial"/>
                <w:b/>
                <w:spacing w:val="-2"/>
                <w:sz w:val="14"/>
                <w:szCs w:val="14"/>
              </w:rPr>
              <w:t xml:space="preserve"> - Consolidado</w:t>
            </w:r>
          </w:p>
        </w:tc>
      </w:tr>
      <w:tr w:rsidR="00990285" w:rsidRPr="00F85E46" w14:paraId="6324CEB0" w14:textId="77777777">
        <w:trPr>
          <w:trHeight w:hRule="exact" w:val="238"/>
          <w:jc w:val="center"/>
        </w:trPr>
        <w:tc>
          <w:tcPr>
            <w:tcW w:w="1560" w:type="dxa"/>
            <w:tcBorders>
              <w:top w:val="nil"/>
              <w:left w:val="nil"/>
              <w:bottom w:val="single" w:sz="2" w:space="0" w:color="1F4E79"/>
              <w:right w:val="nil"/>
            </w:tcBorders>
            <w:vAlign w:val="center"/>
          </w:tcPr>
          <w:p w14:paraId="3BE91BDF" w14:textId="77777777" w:rsidR="00990285" w:rsidRPr="00F85E46" w:rsidRDefault="00990285">
            <w:pPr>
              <w:keepNext/>
              <w:keepLines/>
              <w:spacing w:before="40" w:after="40" w:line="240" w:lineRule="auto"/>
              <w:rPr>
                <w:rFonts w:ascii="Arial" w:hAnsi="Arial" w:cs="Arial"/>
                <w:b/>
                <w:spacing w:val="-2"/>
                <w:sz w:val="14"/>
                <w:szCs w:val="14"/>
              </w:rPr>
            </w:pPr>
          </w:p>
        </w:tc>
        <w:tc>
          <w:tcPr>
            <w:tcW w:w="425" w:type="dxa"/>
            <w:tcBorders>
              <w:top w:val="nil"/>
              <w:left w:val="nil"/>
              <w:bottom w:val="single" w:sz="2" w:space="0" w:color="1F4E79"/>
              <w:right w:val="nil"/>
            </w:tcBorders>
            <w:vAlign w:val="center"/>
          </w:tcPr>
          <w:p w14:paraId="78DF1772" w14:textId="77777777" w:rsidR="00990285" w:rsidRPr="00F85E46" w:rsidRDefault="00990285">
            <w:pPr>
              <w:keepNext/>
              <w:keepLines/>
              <w:spacing w:before="40" w:after="40" w:line="240" w:lineRule="auto"/>
              <w:jc w:val="right"/>
              <w:rPr>
                <w:rFonts w:ascii="Arial" w:hAnsi="Arial" w:cs="Arial"/>
                <w:b/>
                <w:spacing w:val="-2"/>
                <w:sz w:val="14"/>
                <w:szCs w:val="14"/>
              </w:rPr>
            </w:pPr>
          </w:p>
        </w:tc>
        <w:tc>
          <w:tcPr>
            <w:tcW w:w="1843" w:type="dxa"/>
            <w:tcBorders>
              <w:top w:val="single" w:sz="2" w:space="0" w:color="1F4E79"/>
              <w:left w:val="nil"/>
              <w:bottom w:val="single" w:sz="2" w:space="0" w:color="1F4E79"/>
              <w:right w:val="nil"/>
            </w:tcBorders>
            <w:vAlign w:val="center"/>
            <w:hideMark/>
          </w:tcPr>
          <w:p w14:paraId="21935DA9" w14:textId="77777777" w:rsidR="00990285" w:rsidRPr="00F85E46" w:rsidRDefault="00990285">
            <w:pPr>
              <w:keepNext/>
              <w:keepLines/>
              <w:spacing w:before="40" w:after="40" w:line="240" w:lineRule="auto"/>
              <w:jc w:val="right"/>
              <w:rPr>
                <w:rFonts w:ascii="Arial" w:hAnsi="Arial" w:cs="Arial"/>
                <w:b/>
                <w:spacing w:val="-2"/>
                <w:sz w:val="14"/>
                <w:szCs w:val="14"/>
              </w:rPr>
            </w:pPr>
            <w:r w:rsidRPr="00F85E46">
              <w:rPr>
                <w:rFonts w:ascii="Arial" w:hAnsi="Arial" w:cs="Arial"/>
                <w:b/>
                <w:spacing w:val="-2"/>
                <w:sz w:val="14"/>
                <w:szCs w:val="14"/>
              </w:rPr>
              <w:t>Saldo Inicial</w:t>
            </w:r>
          </w:p>
        </w:tc>
        <w:tc>
          <w:tcPr>
            <w:tcW w:w="2409" w:type="dxa"/>
            <w:tcBorders>
              <w:top w:val="single" w:sz="2" w:space="0" w:color="1F4E79"/>
              <w:left w:val="nil"/>
              <w:bottom w:val="single" w:sz="2" w:space="0" w:color="1F4E79"/>
              <w:right w:val="nil"/>
            </w:tcBorders>
            <w:vAlign w:val="center"/>
            <w:hideMark/>
          </w:tcPr>
          <w:p w14:paraId="2D7CEFF1" w14:textId="77777777" w:rsidR="00990285" w:rsidRPr="00F85E46" w:rsidRDefault="00990285">
            <w:pPr>
              <w:keepNext/>
              <w:keepLines/>
              <w:spacing w:before="40" w:after="40" w:line="240" w:lineRule="auto"/>
              <w:jc w:val="right"/>
              <w:rPr>
                <w:rFonts w:ascii="Arial" w:hAnsi="Arial" w:cs="Arial"/>
                <w:b/>
                <w:spacing w:val="-2"/>
                <w:sz w:val="14"/>
                <w:szCs w:val="14"/>
              </w:rPr>
            </w:pPr>
            <w:r w:rsidRPr="00F85E46">
              <w:rPr>
                <w:rFonts w:ascii="Arial" w:hAnsi="Arial" w:cs="Arial"/>
                <w:b/>
                <w:spacing w:val="-2"/>
                <w:sz w:val="14"/>
                <w:szCs w:val="14"/>
              </w:rPr>
              <w:t>Constituição / Atual</w:t>
            </w:r>
            <w:r>
              <w:rPr>
                <w:rFonts w:ascii="Arial" w:hAnsi="Arial" w:cs="Arial"/>
                <w:b/>
                <w:spacing w:val="-2"/>
                <w:sz w:val="14"/>
                <w:szCs w:val="14"/>
              </w:rPr>
              <w:t>i</w:t>
            </w:r>
            <w:r w:rsidRPr="00F85E46">
              <w:rPr>
                <w:rFonts w:ascii="Arial" w:hAnsi="Arial" w:cs="Arial"/>
                <w:b/>
                <w:spacing w:val="-2"/>
                <w:sz w:val="14"/>
                <w:szCs w:val="14"/>
              </w:rPr>
              <w:t>zação</w:t>
            </w:r>
          </w:p>
        </w:tc>
        <w:tc>
          <w:tcPr>
            <w:tcW w:w="284" w:type="dxa"/>
            <w:tcBorders>
              <w:top w:val="single" w:sz="2" w:space="0" w:color="1F4E79"/>
              <w:left w:val="nil"/>
              <w:bottom w:val="single" w:sz="2" w:space="0" w:color="1F4E79"/>
              <w:right w:val="nil"/>
            </w:tcBorders>
            <w:vAlign w:val="center"/>
          </w:tcPr>
          <w:p w14:paraId="2D0DB855" w14:textId="77777777" w:rsidR="00990285" w:rsidRPr="00F85E46" w:rsidRDefault="00990285">
            <w:pPr>
              <w:keepNext/>
              <w:keepLines/>
              <w:spacing w:before="40" w:after="40" w:line="240" w:lineRule="auto"/>
              <w:jc w:val="right"/>
              <w:rPr>
                <w:rFonts w:ascii="Arial" w:hAnsi="Arial" w:cs="Arial"/>
                <w:b/>
                <w:spacing w:val="-2"/>
                <w:sz w:val="14"/>
                <w:szCs w:val="14"/>
              </w:rPr>
            </w:pPr>
          </w:p>
        </w:tc>
        <w:tc>
          <w:tcPr>
            <w:tcW w:w="1276" w:type="dxa"/>
            <w:tcBorders>
              <w:top w:val="single" w:sz="2" w:space="0" w:color="1F4E79"/>
              <w:left w:val="nil"/>
              <w:bottom w:val="single" w:sz="2" w:space="0" w:color="1F4E79"/>
              <w:right w:val="nil"/>
            </w:tcBorders>
            <w:vAlign w:val="center"/>
            <w:hideMark/>
          </w:tcPr>
          <w:p w14:paraId="02656F2C" w14:textId="77777777" w:rsidR="00990285" w:rsidRPr="00F85E46" w:rsidRDefault="00990285">
            <w:pPr>
              <w:keepNext/>
              <w:keepLines/>
              <w:spacing w:before="40" w:after="40" w:line="240" w:lineRule="auto"/>
              <w:jc w:val="right"/>
              <w:rPr>
                <w:rFonts w:ascii="Arial" w:hAnsi="Arial" w:cs="Arial"/>
                <w:b/>
                <w:spacing w:val="-2"/>
                <w:sz w:val="14"/>
                <w:szCs w:val="14"/>
              </w:rPr>
            </w:pPr>
            <w:r w:rsidRPr="00F85E46">
              <w:rPr>
                <w:rFonts w:ascii="Arial" w:hAnsi="Arial" w:cs="Arial"/>
                <w:b/>
                <w:spacing w:val="-2"/>
                <w:sz w:val="14"/>
                <w:szCs w:val="14"/>
              </w:rPr>
              <w:t>Reversão</w:t>
            </w:r>
          </w:p>
        </w:tc>
        <w:tc>
          <w:tcPr>
            <w:tcW w:w="1842" w:type="dxa"/>
            <w:tcBorders>
              <w:top w:val="single" w:sz="2" w:space="0" w:color="1F4E79"/>
              <w:left w:val="nil"/>
              <w:bottom w:val="single" w:sz="2" w:space="0" w:color="1F4E79"/>
              <w:right w:val="nil"/>
            </w:tcBorders>
            <w:vAlign w:val="center"/>
            <w:hideMark/>
          </w:tcPr>
          <w:p w14:paraId="086699BE" w14:textId="77777777" w:rsidR="00990285" w:rsidRPr="00F85E46" w:rsidRDefault="00990285">
            <w:pPr>
              <w:keepNext/>
              <w:keepLines/>
              <w:spacing w:before="40" w:after="40" w:line="240" w:lineRule="auto"/>
              <w:jc w:val="right"/>
              <w:rPr>
                <w:rFonts w:ascii="Arial" w:hAnsi="Arial" w:cs="Arial"/>
                <w:b/>
                <w:spacing w:val="-2"/>
                <w:sz w:val="14"/>
                <w:szCs w:val="14"/>
              </w:rPr>
            </w:pPr>
            <w:r w:rsidRPr="00F85E46">
              <w:rPr>
                <w:rFonts w:ascii="Arial" w:hAnsi="Arial" w:cs="Arial"/>
                <w:b/>
                <w:spacing w:val="-2"/>
                <w:sz w:val="14"/>
                <w:szCs w:val="14"/>
              </w:rPr>
              <w:t>Saldo Final</w:t>
            </w:r>
          </w:p>
        </w:tc>
      </w:tr>
      <w:tr w:rsidR="00990285" w:rsidRPr="00F85E46" w14:paraId="64DD9283" w14:textId="77777777">
        <w:trPr>
          <w:trHeight w:hRule="exact" w:val="238"/>
          <w:jc w:val="center"/>
        </w:trPr>
        <w:tc>
          <w:tcPr>
            <w:tcW w:w="1560" w:type="dxa"/>
            <w:tcBorders>
              <w:top w:val="single" w:sz="2" w:space="0" w:color="1F4E79"/>
              <w:left w:val="nil"/>
              <w:bottom w:val="nil"/>
              <w:right w:val="nil"/>
            </w:tcBorders>
            <w:vAlign w:val="center"/>
            <w:hideMark/>
          </w:tcPr>
          <w:p w14:paraId="161A1D68" w14:textId="598E2D62" w:rsidR="00990285" w:rsidRPr="00F85E46" w:rsidRDefault="00990285">
            <w:pPr>
              <w:keepNext/>
              <w:keepLines/>
              <w:spacing w:before="40" w:after="40" w:line="256" w:lineRule="auto"/>
              <w:rPr>
                <w:rFonts w:ascii="Arial" w:eastAsia="Times New Roman" w:hAnsi="Arial" w:cs="Arial"/>
                <w:spacing w:val="-2"/>
                <w:sz w:val="14"/>
                <w:szCs w:val="14"/>
              </w:rPr>
            </w:pPr>
            <w:r>
              <w:rPr>
                <w:rFonts w:ascii="Arial" w:eastAsia="Times New Roman" w:hAnsi="Arial" w:cs="Arial"/>
                <w:spacing w:val="-2"/>
                <w:sz w:val="14"/>
                <w:szCs w:val="14"/>
              </w:rPr>
              <w:t>Cíveis</w:t>
            </w:r>
            <w:r w:rsidR="003D370B">
              <w:rPr>
                <w:rFonts w:ascii="Arial" w:eastAsia="Times New Roman" w:hAnsi="Arial" w:cs="Arial"/>
                <w:spacing w:val="-2"/>
                <w:sz w:val="14"/>
                <w:szCs w:val="14"/>
              </w:rPr>
              <w:t xml:space="preserve"> </w:t>
            </w:r>
            <w:r w:rsidR="003537AE" w:rsidRPr="00B820E0">
              <w:rPr>
                <w:rFonts w:ascii="Arial" w:eastAsia="Times New Roman" w:hAnsi="Arial" w:cs="Arial"/>
                <w:spacing w:val="-2"/>
                <w:sz w:val="14"/>
                <w:szCs w:val="14"/>
                <w:vertAlign w:val="superscript"/>
              </w:rPr>
              <w:t>(1)</w:t>
            </w:r>
          </w:p>
        </w:tc>
        <w:tc>
          <w:tcPr>
            <w:tcW w:w="425" w:type="dxa"/>
            <w:tcBorders>
              <w:top w:val="single" w:sz="2" w:space="0" w:color="1F4E79"/>
              <w:left w:val="nil"/>
              <w:bottom w:val="nil"/>
              <w:right w:val="nil"/>
            </w:tcBorders>
            <w:vAlign w:val="center"/>
          </w:tcPr>
          <w:p w14:paraId="02E6E36B" w14:textId="77777777" w:rsidR="00990285" w:rsidRPr="00F85E46" w:rsidRDefault="00990285">
            <w:pPr>
              <w:keepNext/>
              <w:keepLines/>
              <w:spacing w:before="40" w:after="40" w:line="256" w:lineRule="auto"/>
              <w:jc w:val="right"/>
              <w:rPr>
                <w:rFonts w:ascii="Arial" w:eastAsia="Times New Roman" w:hAnsi="Arial" w:cs="Arial"/>
                <w:spacing w:val="-2"/>
                <w:sz w:val="14"/>
                <w:szCs w:val="14"/>
              </w:rPr>
            </w:pPr>
          </w:p>
        </w:tc>
        <w:tc>
          <w:tcPr>
            <w:tcW w:w="1843" w:type="dxa"/>
            <w:tcBorders>
              <w:top w:val="single" w:sz="2" w:space="0" w:color="1F4E79"/>
              <w:left w:val="nil"/>
              <w:bottom w:val="nil"/>
              <w:right w:val="nil"/>
            </w:tcBorders>
            <w:vAlign w:val="center"/>
            <w:hideMark/>
          </w:tcPr>
          <w:p w14:paraId="6EAF4208" w14:textId="05EADE85" w:rsidR="00990285" w:rsidRPr="00F85E46" w:rsidRDefault="00B00719">
            <w:pPr>
              <w:keepNext/>
              <w:keepLines/>
              <w:spacing w:before="40" w:after="40" w:line="256" w:lineRule="auto"/>
              <w:jc w:val="right"/>
              <w:rPr>
                <w:rFonts w:ascii="Arial" w:eastAsia="Times New Roman" w:hAnsi="Arial" w:cs="Arial"/>
                <w:spacing w:val="-2"/>
                <w:sz w:val="14"/>
                <w:szCs w:val="14"/>
              </w:rPr>
            </w:pPr>
            <w:r w:rsidRPr="00B00719">
              <w:rPr>
                <w:rFonts w:ascii="Arial" w:eastAsia="Times New Roman" w:hAnsi="Arial" w:cs="Arial"/>
                <w:bCs/>
                <w:spacing w:val="-2"/>
                <w:sz w:val="14"/>
                <w:szCs w:val="14"/>
              </w:rPr>
              <w:t>13.847</w:t>
            </w:r>
          </w:p>
        </w:tc>
        <w:tc>
          <w:tcPr>
            <w:tcW w:w="2409" w:type="dxa"/>
            <w:tcBorders>
              <w:top w:val="single" w:sz="2" w:space="0" w:color="1F4E79"/>
              <w:left w:val="nil"/>
              <w:bottom w:val="nil"/>
              <w:right w:val="nil"/>
            </w:tcBorders>
            <w:vAlign w:val="center"/>
            <w:hideMark/>
          </w:tcPr>
          <w:p w14:paraId="548515A8" w14:textId="13471E57" w:rsidR="00990285" w:rsidRPr="00F85E46" w:rsidRDefault="006F556B">
            <w:pPr>
              <w:keepNext/>
              <w:keepLines/>
              <w:spacing w:before="40" w:after="40" w:line="256" w:lineRule="auto"/>
              <w:jc w:val="right"/>
              <w:rPr>
                <w:rFonts w:ascii="Arial" w:eastAsia="Times New Roman" w:hAnsi="Arial" w:cs="Arial"/>
                <w:spacing w:val="-2"/>
                <w:sz w:val="14"/>
                <w:szCs w:val="14"/>
              </w:rPr>
            </w:pPr>
            <w:r w:rsidRPr="006F556B">
              <w:rPr>
                <w:rFonts w:ascii="Arial" w:eastAsia="Times New Roman" w:hAnsi="Arial" w:cs="Arial"/>
                <w:spacing w:val="-2"/>
                <w:sz w:val="14"/>
                <w:szCs w:val="14"/>
              </w:rPr>
              <w:t>24.297</w:t>
            </w:r>
          </w:p>
        </w:tc>
        <w:tc>
          <w:tcPr>
            <w:tcW w:w="284" w:type="dxa"/>
            <w:tcBorders>
              <w:top w:val="single" w:sz="2" w:space="0" w:color="1F4E79"/>
              <w:left w:val="nil"/>
              <w:bottom w:val="nil"/>
              <w:right w:val="nil"/>
            </w:tcBorders>
            <w:vAlign w:val="center"/>
          </w:tcPr>
          <w:p w14:paraId="109CBC67" w14:textId="77777777" w:rsidR="00990285" w:rsidRPr="00F85E46" w:rsidRDefault="00990285">
            <w:pPr>
              <w:keepNext/>
              <w:keepLines/>
              <w:spacing w:before="40" w:after="40" w:line="256" w:lineRule="auto"/>
              <w:jc w:val="right"/>
              <w:rPr>
                <w:rFonts w:ascii="Arial" w:eastAsia="Times New Roman" w:hAnsi="Arial" w:cs="Arial"/>
                <w:spacing w:val="-2"/>
                <w:sz w:val="14"/>
                <w:szCs w:val="14"/>
              </w:rPr>
            </w:pPr>
          </w:p>
        </w:tc>
        <w:tc>
          <w:tcPr>
            <w:tcW w:w="1276" w:type="dxa"/>
            <w:tcBorders>
              <w:top w:val="single" w:sz="2" w:space="0" w:color="1F4E79"/>
              <w:left w:val="nil"/>
              <w:bottom w:val="nil"/>
              <w:right w:val="nil"/>
            </w:tcBorders>
            <w:vAlign w:val="center"/>
            <w:hideMark/>
          </w:tcPr>
          <w:p w14:paraId="67F4843F" w14:textId="6F7509D7" w:rsidR="00990285" w:rsidRPr="00F85E46" w:rsidRDefault="00A13493">
            <w:pPr>
              <w:keepNext/>
              <w:keepLines/>
              <w:spacing w:before="40" w:after="40" w:line="256" w:lineRule="auto"/>
              <w:jc w:val="right"/>
              <w:rPr>
                <w:rFonts w:ascii="Arial" w:eastAsia="Times New Roman" w:hAnsi="Arial" w:cs="Arial"/>
                <w:spacing w:val="-2"/>
                <w:sz w:val="14"/>
                <w:szCs w:val="14"/>
              </w:rPr>
            </w:pPr>
            <w:r w:rsidRPr="00A13493">
              <w:rPr>
                <w:rFonts w:ascii="Arial" w:eastAsia="Times New Roman" w:hAnsi="Arial" w:cs="Times New Roman"/>
                <w:spacing w:val="-2"/>
                <w:sz w:val="14"/>
                <w:szCs w:val="18"/>
              </w:rPr>
              <w:t>(8.250)</w:t>
            </w:r>
          </w:p>
        </w:tc>
        <w:tc>
          <w:tcPr>
            <w:tcW w:w="1842" w:type="dxa"/>
            <w:tcBorders>
              <w:top w:val="single" w:sz="2" w:space="0" w:color="1F4E79"/>
              <w:left w:val="nil"/>
              <w:bottom w:val="nil"/>
              <w:right w:val="nil"/>
            </w:tcBorders>
            <w:vAlign w:val="center"/>
            <w:hideMark/>
          </w:tcPr>
          <w:p w14:paraId="2A825402" w14:textId="3A57DCF3" w:rsidR="00990285" w:rsidRPr="00F85E46" w:rsidRDefault="00866587">
            <w:pPr>
              <w:keepNext/>
              <w:keepLines/>
              <w:spacing w:before="40" w:after="40" w:line="256" w:lineRule="auto"/>
              <w:jc w:val="right"/>
              <w:rPr>
                <w:rFonts w:ascii="Arial" w:eastAsia="Times New Roman" w:hAnsi="Arial" w:cs="Arial"/>
                <w:b/>
                <w:bCs/>
                <w:spacing w:val="-2"/>
                <w:sz w:val="14"/>
                <w:szCs w:val="14"/>
              </w:rPr>
            </w:pPr>
            <w:r w:rsidRPr="00866587">
              <w:rPr>
                <w:rFonts w:ascii="Arial" w:eastAsia="Times New Roman" w:hAnsi="Arial" w:cs="Arial"/>
                <w:b/>
                <w:bCs/>
                <w:spacing w:val="-2"/>
                <w:sz w:val="14"/>
                <w:szCs w:val="14"/>
              </w:rPr>
              <w:t>29.894</w:t>
            </w:r>
          </w:p>
        </w:tc>
      </w:tr>
      <w:tr w:rsidR="00990285" w:rsidRPr="00F85E46" w14:paraId="3AEDF3C1" w14:textId="77777777">
        <w:trPr>
          <w:trHeight w:hRule="exact" w:val="238"/>
          <w:jc w:val="center"/>
        </w:trPr>
        <w:tc>
          <w:tcPr>
            <w:tcW w:w="1560" w:type="dxa"/>
            <w:tcBorders>
              <w:top w:val="nil"/>
              <w:left w:val="nil"/>
              <w:bottom w:val="nil"/>
              <w:right w:val="nil"/>
            </w:tcBorders>
            <w:vAlign w:val="center"/>
            <w:hideMark/>
          </w:tcPr>
          <w:p w14:paraId="234A97DD" w14:textId="77777777" w:rsidR="00990285" w:rsidRPr="00F85E46" w:rsidRDefault="00990285">
            <w:pPr>
              <w:keepNext/>
              <w:keepLines/>
              <w:spacing w:before="40" w:after="40" w:line="256" w:lineRule="auto"/>
              <w:rPr>
                <w:rFonts w:ascii="Arial" w:eastAsia="Times New Roman" w:hAnsi="Arial" w:cs="Arial"/>
                <w:spacing w:val="-2"/>
                <w:sz w:val="14"/>
                <w:szCs w:val="14"/>
              </w:rPr>
            </w:pPr>
            <w:r w:rsidRPr="00F85E46">
              <w:rPr>
                <w:rFonts w:ascii="Arial" w:eastAsia="Times New Roman" w:hAnsi="Arial" w:cs="Arial"/>
                <w:spacing w:val="-2"/>
                <w:sz w:val="14"/>
                <w:szCs w:val="14"/>
              </w:rPr>
              <w:t>Trabalhistas</w:t>
            </w:r>
          </w:p>
        </w:tc>
        <w:tc>
          <w:tcPr>
            <w:tcW w:w="425" w:type="dxa"/>
            <w:tcBorders>
              <w:top w:val="nil"/>
              <w:left w:val="nil"/>
              <w:bottom w:val="nil"/>
              <w:right w:val="nil"/>
            </w:tcBorders>
            <w:vAlign w:val="center"/>
          </w:tcPr>
          <w:p w14:paraId="7FB0BED1" w14:textId="77777777" w:rsidR="00990285" w:rsidRPr="00F85E46" w:rsidRDefault="00990285">
            <w:pPr>
              <w:keepNext/>
              <w:keepLines/>
              <w:spacing w:before="40" w:after="40" w:line="256" w:lineRule="auto"/>
              <w:jc w:val="right"/>
              <w:rPr>
                <w:rFonts w:ascii="Arial" w:eastAsia="Times New Roman" w:hAnsi="Arial" w:cs="Arial"/>
                <w:spacing w:val="-2"/>
                <w:sz w:val="14"/>
                <w:szCs w:val="14"/>
              </w:rPr>
            </w:pPr>
          </w:p>
        </w:tc>
        <w:tc>
          <w:tcPr>
            <w:tcW w:w="1843" w:type="dxa"/>
            <w:tcBorders>
              <w:top w:val="nil"/>
              <w:left w:val="nil"/>
              <w:bottom w:val="nil"/>
              <w:right w:val="nil"/>
            </w:tcBorders>
            <w:vAlign w:val="center"/>
            <w:hideMark/>
          </w:tcPr>
          <w:p w14:paraId="3A954758" w14:textId="1BF6F600" w:rsidR="00990285" w:rsidRPr="00F85E46" w:rsidRDefault="009550D1">
            <w:pPr>
              <w:keepNext/>
              <w:keepLines/>
              <w:spacing w:before="40" w:after="40" w:line="256" w:lineRule="auto"/>
              <w:jc w:val="right"/>
              <w:rPr>
                <w:rFonts w:ascii="Arial" w:eastAsia="Times New Roman" w:hAnsi="Arial" w:cs="Arial"/>
                <w:spacing w:val="-2"/>
                <w:sz w:val="14"/>
                <w:szCs w:val="14"/>
              </w:rPr>
            </w:pPr>
            <w:r>
              <w:rPr>
                <w:rFonts w:ascii="Arial" w:eastAsia="Times New Roman" w:hAnsi="Arial" w:cs="Arial"/>
                <w:spacing w:val="-2"/>
                <w:sz w:val="14"/>
                <w:szCs w:val="14"/>
              </w:rPr>
              <w:t>28</w:t>
            </w:r>
          </w:p>
        </w:tc>
        <w:tc>
          <w:tcPr>
            <w:tcW w:w="2409" w:type="dxa"/>
            <w:tcBorders>
              <w:top w:val="nil"/>
              <w:left w:val="nil"/>
              <w:bottom w:val="nil"/>
              <w:right w:val="nil"/>
            </w:tcBorders>
            <w:vAlign w:val="center"/>
            <w:hideMark/>
          </w:tcPr>
          <w:p w14:paraId="0BDED8B5" w14:textId="6B4B8238" w:rsidR="00990285" w:rsidRPr="00F85E46" w:rsidRDefault="00647129">
            <w:pPr>
              <w:keepNext/>
              <w:keepLines/>
              <w:spacing w:before="40" w:after="40" w:line="256" w:lineRule="auto"/>
              <w:jc w:val="right"/>
              <w:rPr>
                <w:rFonts w:ascii="Arial" w:eastAsia="Times New Roman" w:hAnsi="Arial" w:cs="Arial"/>
                <w:spacing w:val="-2"/>
                <w:sz w:val="14"/>
                <w:szCs w:val="14"/>
              </w:rPr>
            </w:pPr>
            <w:r>
              <w:rPr>
                <w:rFonts w:ascii="Arial" w:eastAsia="Times New Roman" w:hAnsi="Arial" w:cs="Arial"/>
                <w:spacing w:val="-2"/>
                <w:sz w:val="14"/>
                <w:szCs w:val="14"/>
              </w:rPr>
              <w:t>43</w:t>
            </w:r>
          </w:p>
        </w:tc>
        <w:tc>
          <w:tcPr>
            <w:tcW w:w="284" w:type="dxa"/>
            <w:tcBorders>
              <w:top w:val="nil"/>
              <w:left w:val="nil"/>
              <w:bottom w:val="nil"/>
              <w:right w:val="nil"/>
            </w:tcBorders>
            <w:vAlign w:val="center"/>
          </w:tcPr>
          <w:p w14:paraId="7F2C5425" w14:textId="77777777" w:rsidR="00990285" w:rsidRPr="00F85E46" w:rsidRDefault="00990285">
            <w:pPr>
              <w:keepNext/>
              <w:keepLines/>
              <w:spacing w:before="40" w:after="40" w:line="256" w:lineRule="auto"/>
              <w:jc w:val="right"/>
              <w:rPr>
                <w:rFonts w:ascii="Arial" w:eastAsia="Times New Roman" w:hAnsi="Arial" w:cs="Arial"/>
                <w:spacing w:val="-2"/>
                <w:sz w:val="14"/>
                <w:szCs w:val="14"/>
              </w:rPr>
            </w:pPr>
          </w:p>
        </w:tc>
        <w:tc>
          <w:tcPr>
            <w:tcW w:w="1276" w:type="dxa"/>
            <w:tcBorders>
              <w:top w:val="nil"/>
              <w:left w:val="nil"/>
              <w:bottom w:val="nil"/>
              <w:right w:val="nil"/>
            </w:tcBorders>
            <w:vAlign w:val="center"/>
            <w:hideMark/>
          </w:tcPr>
          <w:p w14:paraId="62A4F8B7" w14:textId="77777777" w:rsidR="00990285" w:rsidRPr="00F85E46" w:rsidRDefault="00990285">
            <w:pPr>
              <w:keepNext/>
              <w:keepLines/>
              <w:spacing w:before="40" w:after="40" w:line="256" w:lineRule="auto"/>
              <w:jc w:val="right"/>
              <w:rPr>
                <w:rFonts w:ascii="Arial" w:eastAsia="Times New Roman" w:hAnsi="Arial" w:cs="Arial"/>
                <w:spacing w:val="-2"/>
                <w:sz w:val="14"/>
                <w:szCs w:val="14"/>
              </w:rPr>
            </w:pPr>
            <w:r w:rsidRPr="00F85E46">
              <w:rPr>
                <w:rFonts w:ascii="Arial" w:eastAsia="Times New Roman" w:hAnsi="Arial" w:cs="Times New Roman"/>
                <w:spacing w:val="-2"/>
                <w:sz w:val="14"/>
                <w:szCs w:val="18"/>
              </w:rPr>
              <w:t>--</w:t>
            </w:r>
          </w:p>
        </w:tc>
        <w:tc>
          <w:tcPr>
            <w:tcW w:w="1842" w:type="dxa"/>
            <w:tcBorders>
              <w:top w:val="nil"/>
              <w:left w:val="nil"/>
              <w:bottom w:val="nil"/>
              <w:right w:val="nil"/>
            </w:tcBorders>
            <w:vAlign w:val="center"/>
            <w:hideMark/>
          </w:tcPr>
          <w:p w14:paraId="6DE66642" w14:textId="1E81EE93" w:rsidR="00990285" w:rsidRPr="00F85E46" w:rsidRDefault="00647129">
            <w:pPr>
              <w:keepNext/>
              <w:keepLines/>
              <w:spacing w:before="40" w:after="40" w:line="256" w:lineRule="auto"/>
              <w:jc w:val="right"/>
              <w:rPr>
                <w:rFonts w:ascii="Arial" w:eastAsia="Times New Roman" w:hAnsi="Arial" w:cs="Arial"/>
                <w:b/>
                <w:bCs/>
                <w:spacing w:val="-2"/>
                <w:sz w:val="14"/>
                <w:szCs w:val="14"/>
              </w:rPr>
            </w:pPr>
            <w:r>
              <w:rPr>
                <w:rFonts w:ascii="Arial" w:eastAsia="Times New Roman" w:hAnsi="Arial" w:cs="Arial"/>
                <w:b/>
                <w:bCs/>
                <w:spacing w:val="-2"/>
                <w:sz w:val="14"/>
                <w:szCs w:val="14"/>
              </w:rPr>
              <w:t>71</w:t>
            </w:r>
          </w:p>
        </w:tc>
      </w:tr>
      <w:tr w:rsidR="00990285" w:rsidRPr="00F85E46" w14:paraId="05A3BD1D" w14:textId="77777777">
        <w:trPr>
          <w:trHeight w:hRule="exact" w:val="238"/>
          <w:jc w:val="center"/>
        </w:trPr>
        <w:tc>
          <w:tcPr>
            <w:tcW w:w="1560" w:type="dxa"/>
            <w:tcBorders>
              <w:top w:val="nil"/>
              <w:left w:val="nil"/>
              <w:bottom w:val="nil"/>
              <w:right w:val="nil"/>
            </w:tcBorders>
            <w:vAlign w:val="center"/>
            <w:hideMark/>
          </w:tcPr>
          <w:p w14:paraId="55ACFDAA" w14:textId="77777777" w:rsidR="00990285" w:rsidRPr="00F85E46" w:rsidRDefault="00990285">
            <w:pPr>
              <w:keepNext/>
              <w:keepLines/>
              <w:spacing w:before="40" w:after="40" w:line="256" w:lineRule="auto"/>
              <w:rPr>
                <w:rFonts w:ascii="Arial" w:eastAsia="Times New Roman" w:hAnsi="Arial" w:cs="Arial"/>
                <w:spacing w:val="-2"/>
                <w:sz w:val="14"/>
                <w:szCs w:val="14"/>
              </w:rPr>
            </w:pPr>
            <w:r w:rsidRPr="00F85E46">
              <w:rPr>
                <w:rFonts w:ascii="Arial" w:eastAsia="Times New Roman" w:hAnsi="Arial" w:cs="Arial"/>
                <w:spacing w:val="-2"/>
                <w:sz w:val="14"/>
                <w:szCs w:val="14"/>
              </w:rPr>
              <w:t>Fiscais</w:t>
            </w:r>
          </w:p>
        </w:tc>
        <w:tc>
          <w:tcPr>
            <w:tcW w:w="425" w:type="dxa"/>
            <w:tcBorders>
              <w:top w:val="nil"/>
              <w:left w:val="nil"/>
              <w:bottom w:val="nil"/>
              <w:right w:val="nil"/>
            </w:tcBorders>
            <w:vAlign w:val="center"/>
          </w:tcPr>
          <w:p w14:paraId="688C58B1" w14:textId="77777777" w:rsidR="00990285" w:rsidRPr="00F85E46" w:rsidRDefault="00990285">
            <w:pPr>
              <w:keepNext/>
              <w:keepLines/>
              <w:spacing w:before="40" w:after="40" w:line="256" w:lineRule="auto"/>
              <w:jc w:val="right"/>
              <w:rPr>
                <w:rFonts w:ascii="Arial" w:eastAsia="Times New Roman" w:hAnsi="Arial" w:cs="Arial"/>
                <w:spacing w:val="-2"/>
                <w:sz w:val="14"/>
                <w:szCs w:val="14"/>
              </w:rPr>
            </w:pPr>
          </w:p>
        </w:tc>
        <w:tc>
          <w:tcPr>
            <w:tcW w:w="1843" w:type="dxa"/>
            <w:tcBorders>
              <w:top w:val="nil"/>
              <w:left w:val="nil"/>
              <w:bottom w:val="nil"/>
              <w:right w:val="nil"/>
            </w:tcBorders>
            <w:vAlign w:val="center"/>
            <w:hideMark/>
          </w:tcPr>
          <w:p w14:paraId="6B337AC1" w14:textId="0373DA5A" w:rsidR="00990285" w:rsidRPr="00F85E46" w:rsidRDefault="0061247F">
            <w:pPr>
              <w:keepNext/>
              <w:keepLines/>
              <w:spacing w:before="40" w:after="40" w:line="256" w:lineRule="auto"/>
              <w:jc w:val="right"/>
              <w:rPr>
                <w:rFonts w:ascii="Arial" w:eastAsia="Times New Roman" w:hAnsi="Arial" w:cs="Arial"/>
                <w:spacing w:val="-2"/>
                <w:sz w:val="14"/>
                <w:szCs w:val="14"/>
              </w:rPr>
            </w:pPr>
            <w:r>
              <w:rPr>
                <w:rFonts w:ascii="Arial" w:eastAsia="Times New Roman" w:hAnsi="Arial" w:cs="Arial"/>
                <w:bCs/>
                <w:spacing w:val="-2"/>
                <w:sz w:val="14"/>
                <w:szCs w:val="14"/>
              </w:rPr>
              <w:t>7</w:t>
            </w:r>
          </w:p>
        </w:tc>
        <w:tc>
          <w:tcPr>
            <w:tcW w:w="2409" w:type="dxa"/>
            <w:tcBorders>
              <w:top w:val="nil"/>
              <w:left w:val="nil"/>
              <w:bottom w:val="nil"/>
              <w:right w:val="nil"/>
            </w:tcBorders>
            <w:vAlign w:val="center"/>
            <w:hideMark/>
          </w:tcPr>
          <w:p w14:paraId="30F93301" w14:textId="2C6AD9E5" w:rsidR="00990285" w:rsidRPr="00F85E46" w:rsidRDefault="0061247F">
            <w:pPr>
              <w:keepNext/>
              <w:keepLines/>
              <w:spacing w:before="40" w:after="40" w:line="256" w:lineRule="auto"/>
              <w:jc w:val="right"/>
              <w:rPr>
                <w:rFonts w:ascii="Arial" w:eastAsia="Times New Roman" w:hAnsi="Arial" w:cs="Arial"/>
                <w:spacing w:val="-2"/>
                <w:sz w:val="14"/>
                <w:szCs w:val="14"/>
              </w:rPr>
            </w:pPr>
            <w:r>
              <w:rPr>
                <w:rFonts w:ascii="Arial" w:eastAsia="Times New Roman" w:hAnsi="Arial" w:cs="Arial"/>
                <w:spacing w:val="-2"/>
                <w:sz w:val="14"/>
                <w:szCs w:val="14"/>
              </w:rPr>
              <w:t>29</w:t>
            </w:r>
          </w:p>
        </w:tc>
        <w:tc>
          <w:tcPr>
            <w:tcW w:w="284" w:type="dxa"/>
            <w:tcBorders>
              <w:top w:val="nil"/>
              <w:left w:val="nil"/>
              <w:bottom w:val="nil"/>
              <w:right w:val="nil"/>
            </w:tcBorders>
            <w:vAlign w:val="center"/>
          </w:tcPr>
          <w:p w14:paraId="63266EA0" w14:textId="77777777" w:rsidR="00990285" w:rsidRPr="00F85E46" w:rsidRDefault="00990285">
            <w:pPr>
              <w:keepNext/>
              <w:keepLines/>
              <w:spacing w:before="40" w:after="40" w:line="256" w:lineRule="auto"/>
              <w:jc w:val="right"/>
              <w:rPr>
                <w:rFonts w:ascii="Arial" w:eastAsia="Times New Roman" w:hAnsi="Arial" w:cs="Arial"/>
                <w:spacing w:val="-2"/>
                <w:sz w:val="14"/>
                <w:szCs w:val="14"/>
              </w:rPr>
            </w:pPr>
          </w:p>
        </w:tc>
        <w:tc>
          <w:tcPr>
            <w:tcW w:w="1276" w:type="dxa"/>
            <w:tcBorders>
              <w:top w:val="nil"/>
              <w:left w:val="nil"/>
              <w:bottom w:val="nil"/>
              <w:right w:val="nil"/>
            </w:tcBorders>
            <w:vAlign w:val="center"/>
            <w:hideMark/>
          </w:tcPr>
          <w:p w14:paraId="546ED1FB" w14:textId="15DE5056" w:rsidR="00990285" w:rsidRPr="00F85E46" w:rsidRDefault="00301484">
            <w:pPr>
              <w:keepNext/>
              <w:keepLines/>
              <w:spacing w:before="40" w:after="40" w:line="256" w:lineRule="auto"/>
              <w:jc w:val="right"/>
              <w:rPr>
                <w:rFonts w:ascii="Arial" w:eastAsia="Times New Roman" w:hAnsi="Arial" w:cs="Times New Roman"/>
                <w:spacing w:val="-2"/>
                <w:sz w:val="14"/>
                <w:szCs w:val="18"/>
              </w:rPr>
            </w:pPr>
            <w:r>
              <w:rPr>
                <w:rFonts w:ascii="Arial" w:eastAsia="Times New Roman" w:hAnsi="Arial" w:cs="Arial"/>
                <w:spacing w:val="-2"/>
                <w:sz w:val="14"/>
                <w:szCs w:val="14"/>
              </w:rPr>
              <w:t>(2)</w:t>
            </w:r>
          </w:p>
        </w:tc>
        <w:tc>
          <w:tcPr>
            <w:tcW w:w="1842" w:type="dxa"/>
            <w:tcBorders>
              <w:top w:val="nil"/>
              <w:left w:val="nil"/>
              <w:bottom w:val="nil"/>
              <w:right w:val="nil"/>
            </w:tcBorders>
            <w:vAlign w:val="center"/>
            <w:hideMark/>
          </w:tcPr>
          <w:p w14:paraId="3A7A6C91" w14:textId="2723D82A" w:rsidR="00990285" w:rsidRPr="00F85E46" w:rsidRDefault="00B63FBB">
            <w:pPr>
              <w:keepNext/>
              <w:keepLines/>
              <w:spacing w:before="40" w:after="40" w:line="256" w:lineRule="auto"/>
              <w:jc w:val="right"/>
              <w:rPr>
                <w:rFonts w:ascii="Arial" w:eastAsia="Times New Roman" w:hAnsi="Arial" w:cs="Times New Roman"/>
                <w:b/>
                <w:bCs/>
                <w:spacing w:val="-2"/>
                <w:sz w:val="14"/>
                <w:szCs w:val="18"/>
              </w:rPr>
            </w:pPr>
            <w:r>
              <w:rPr>
                <w:rFonts w:ascii="Arial" w:eastAsia="Times New Roman" w:hAnsi="Arial" w:cs="Arial"/>
                <w:b/>
                <w:bCs/>
                <w:spacing w:val="-2"/>
                <w:sz w:val="14"/>
                <w:szCs w:val="14"/>
              </w:rPr>
              <w:t>34</w:t>
            </w:r>
          </w:p>
        </w:tc>
      </w:tr>
      <w:tr w:rsidR="00E65C52" w:rsidRPr="00F85E46" w14:paraId="16B44F9E" w14:textId="77777777">
        <w:trPr>
          <w:trHeight w:hRule="exact" w:val="238"/>
          <w:jc w:val="center"/>
        </w:trPr>
        <w:tc>
          <w:tcPr>
            <w:tcW w:w="1560" w:type="dxa"/>
            <w:tcBorders>
              <w:top w:val="nil"/>
              <w:left w:val="nil"/>
              <w:bottom w:val="single" w:sz="2" w:space="0" w:color="1F4E79"/>
              <w:right w:val="nil"/>
            </w:tcBorders>
            <w:vAlign w:val="center"/>
            <w:hideMark/>
          </w:tcPr>
          <w:p w14:paraId="759AAB1E" w14:textId="77777777" w:rsidR="00E65C52" w:rsidRPr="00F85E46" w:rsidRDefault="00E65C52" w:rsidP="00E65C52">
            <w:pPr>
              <w:keepNext/>
              <w:keepLines/>
              <w:spacing w:before="40" w:after="40" w:line="240" w:lineRule="auto"/>
              <w:rPr>
                <w:rFonts w:ascii="Arial" w:hAnsi="Arial" w:cs="Arial"/>
                <w:b/>
                <w:bCs/>
                <w:spacing w:val="-2"/>
                <w:sz w:val="14"/>
                <w:szCs w:val="14"/>
              </w:rPr>
            </w:pPr>
            <w:r w:rsidRPr="00F85E46">
              <w:rPr>
                <w:rFonts w:ascii="Arial" w:hAnsi="Arial" w:cs="Arial"/>
                <w:b/>
                <w:spacing w:val="-2"/>
                <w:sz w:val="14"/>
                <w:szCs w:val="14"/>
              </w:rPr>
              <w:t>Total</w:t>
            </w:r>
          </w:p>
        </w:tc>
        <w:tc>
          <w:tcPr>
            <w:tcW w:w="425" w:type="dxa"/>
            <w:tcBorders>
              <w:top w:val="nil"/>
              <w:left w:val="nil"/>
              <w:bottom w:val="single" w:sz="2" w:space="0" w:color="1F4E79"/>
              <w:right w:val="nil"/>
            </w:tcBorders>
            <w:vAlign w:val="center"/>
          </w:tcPr>
          <w:p w14:paraId="49A396D5" w14:textId="77777777" w:rsidR="00E65C52" w:rsidRPr="00F85E46" w:rsidRDefault="00E65C52" w:rsidP="00E65C52">
            <w:pPr>
              <w:keepNext/>
              <w:keepLines/>
              <w:spacing w:before="40" w:after="40" w:line="256" w:lineRule="auto"/>
              <w:jc w:val="right"/>
              <w:rPr>
                <w:rFonts w:ascii="Arial" w:eastAsia="Times New Roman" w:hAnsi="Arial" w:cs="Arial"/>
                <w:b/>
                <w:spacing w:val="-2"/>
                <w:sz w:val="14"/>
                <w:szCs w:val="14"/>
              </w:rPr>
            </w:pPr>
          </w:p>
        </w:tc>
        <w:tc>
          <w:tcPr>
            <w:tcW w:w="1843" w:type="dxa"/>
            <w:tcBorders>
              <w:top w:val="nil"/>
              <w:left w:val="nil"/>
              <w:bottom w:val="single" w:sz="2" w:space="0" w:color="1F4E79"/>
              <w:right w:val="nil"/>
            </w:tcBorders>
            <w:hideMark/>
          </w:tcPr>
          <w:p w14:paraId="23DE49D0" w14:textId="77777777" w:rsidR="00E65C52" w:rsidRPr="00F85E46" w:rsidRDefault="00E65C52" w:rsidP="00E65C52">
            <w:pPr>
              <w:keepNext/>
              <w:keepLines/>
              <w:spacing w:before="40" w:after="40" w:line="256" w:lineRule="auto"/>
              <w:jc w:val="right"/>
              <w:rPr>
                <w:rFonts w:ascii="Arial" w:eastAsia="Times New Roman" w:hAnsi="Arial" w:cs="Arial"/>
                <w:b/>
                <w:spacing w:val="-2"/>
                <w:sz w:val="14"/>
                <w:szCs w:val="14"/>
              </w:rPr>
            </w:pPr>
            <w:r w:rsidRPr="00F85E46">
              <w:rPr>
                <w:rFonts w:ascii="Arial" w:eastAsia="Times New Roman" w:hAnsi="Arial" w:cs="Times New Roman"/>
                <w:b/>
                <w:spacing w:val="-2"/>
                <w:sz w:val="14"/>
                <w:szCs w:val="18"/>
              </w:rPr>
              <w:t>13.88</w:t>
            </w:r>
            <w:r>
              <w:rPr>
                <w:rFonts w:ascii="Arial" w:eastAsia="Times New Roman" w:hAnsi="Arial" w:cs="Times New Roman"/>
                <w:b/>
                <w:spacing w:val="-2"/>
                <w:sz w:val="14"/>
                <w:szCs w:val="18"/>
              </w:rPr>
              <w:t>2</w:t>
            </w:r>
          </w:p>
        </w:tc>
        <w:tc>
          <w:tcPr>
            <w:tcW w:w="2409" w:type="dxa"/>
            <w:tcBorders>
              <w:top w:val="nil"/>
              <w:left w:val="nil"/>
              <w:bottom w:val="single" w:sz="2" w:space="0" w:color="1F4E79"/>
              <w:right w:val="nil"/>
            </w:tcBorders>
            <w:vAlign w:val="bottom"/>
            <w:hideMark/>
          </w:tcPr>
          <w:p w14:paraId="21C281A3" w14:textId="2866E983" w:rsidR="00E65C52" w:rsidRPr="00E65C52" w:rsidRDefault="00E65C52" w:rsidP="00E65C52">
            <w:pPr>
              <w:keepNext/>
              <w:keepLines/>
              <w:spacing w:before="40" w:after="40" w:line="256" w:lineRule="auto"/>
              <w:jc w:val="right"/>
              <w:rPr>
                <w:rFonts w:ascii="Arial" w:eastAsia="Times New Roman" w:hAnsi="Arial" w:cs="Times New Roman"/>
                <w:b/>
                <w:spacing w:val="-2"/>
                <w:sz w:val="14"/>
                <w:szCs w:val="18"/>
              </w:rPr>
            </w:pPr>
            <w:r w:rsidRPr="00E65C52">
              <w:rPr>
                <w:rFonts w:ascii="Arial" w:eastAsia="Times New Roman" w:hAnsi="Arial" w:cs="Times New Roman"/>
                <w:b/>
                <w:spacing w:val="-2"/>
                <w:sz w:val="14"/>
                <w:szCs w:val="18"/>
              </w:rPr>
              <w:t>24.369</w:t>
            </w:r>
          </w:p>
        </w:tc>
        <w:tc>
          <w:tcPr>
            <w:tcW w:w="284" w:type="dxa"/>
            <w:tcBorders>
              <w:top w:val="nil"/>
              <w:left w:val="nil"/>
              <w:bottom w:val="single" w:sz="2" w:space="0" w:color="1F4E79"/>
              <w:right w:val="nil"/>
            </w:tcBorders>
            <w:vAlign w:val="bottom"/>
          </w:tcPr>
          <w:p w14:paraId="3DF41239" w14:textId="77777777" w:rsidR="00E65C52" w:rsidRPr="00E65C52" w:rsidRDefault="00E65C52" w:rsidP="00E65C52">
            <w:pPr>
              <w:keepNext/>
              <w:keepLines/>
              <w:spacing w:before="40" w:after="40" w:line="256" w:lineRule="auto"/>
              <w:jc w:val="right"/>
              <w:rPr>
                <w:rFonts w:ascii="Arial" w:eastAsia="Times New Roman" w:hAnsi="Arial" w:cs="Times New Roman"/>
                <w:b/>
                <w:spacing w:val="-2"/>
                <w:sz w:val="14"/>
                <w:szCs w:val="18"/>
              </w:rPr>
            </w:pPr>
          </w:p>
        </w:tc>
        <w:tc>
          <w:tcPr>
            <w:tcW w:w="1276" w:type="dxa"/>
            <w:tcBorders>
              <w:top w:val="nil"/>
              <w:left w:val="nil"/>
              <w:bottom w:val="single" w:sz="2" w:space="0" w:color="1F4E79"/>
              <w:right w:val="nil"/>
            </w:tcBorders>
            <w:vAlign w:val="bottom"/>
            <w:hideMark/>
          </w:tcPr>
          <w:p w14:paraId="576BDD89" w14:textId="5EED46AE" w:rsidR="00E65C52" w:rsidRPr="00E65C52" w:rsidRDefault="00E65C52" w:rsidP="00E65C52">
            <w:pPr>
              <w:keepNext/>
              <w:keepLines/>
              <w:spacing w:before="40" w:after="40" w:line="256" w:lineRule="auto"/>
              <w:jc w:val="right"/>
              <w:rPr>
                <w:rFonts w:ascii="Arial" w:eastAsia="Times New Roman" w:hAnsi="Arial" w:cs="Times New Roman"/>
                <w:b/>
                <w:spacing w:val="-2"/>
                <w:sz w:val="14"/>
                <w:szCs w:val="18"/>
              </w:rPr>
            </w:pPr>
            <w:r>
              <w:rPr>
                <w:rFonts w:ascii="Arial" w:eastAsia="Times New Roman" w:hAnsi="Arial" w:cs="Times New Roman"/>
                <w:b/>
                <w:spacing w:val="-2"/>
                <w:sz w:val="14"/>
                <w:szCs w:val="18"/>
              </w:rPr>
              <w:t>(</w:t>
            </w:r>
            <w:r w:rsidRPr="00E65C52">
              <w:rPr>
                <w:rFonts w:ascii="Arial" w:eastAsia="Times New Roman" w:hAnsi="Arial" w:cs="Times New Roman"/>
                <w:b/>
                <w:spacing w:val="-2"/>
                <w:sz w:val="14"/>
                <w:szCs w:val="18"/>
              </w:rPr>
              <w:t>8.252</w:t>
            </w:r>
            <w:r>
              <w:rPr>
                <w:rFonts w:ascii="Arial" w:eastAsia="Times New Roman" w:hAnsi="Arial" w:cs="Times New Roman"/>
                <w:b/>
                <w:spacing w:val="-2"/>
                <w:sz w:val="14"/>
                <w:szCs w:val="18"/>
              </w:rPr>
              <w:t>)</w:t>
            </w:r>
          </w:p>
        </w:tc>
        <w:tc>
          <w:tcPr>
            <w:tcW w:w="1842" w:type="dxa"/>
            <w:tcBorders>
              <w:top w:val="nil"/>
              <w:left w:val="nil"/>
              <w:bottom w:val="single" w:sz="2" w:space="0" w:color="1F4E79"/>
              <w:right w:val="nil"/>
            </w:tcBorders>
            <w:vAlign w:val="bottom"/>
            <w:hideMark/>
          </w:tcPr>
          <w:p w14:paraId="601EBFE3" w14:textId="0786FCAF" w:rsidR="00E65C52" w:rsidRPr="00E65C52" w:rsidRDefault="00E65C52" w:rsidP="00E65C52">
            <w:pPr>
              <w:keepNext/>
              <w:keepLines/>
              <w:spacing w:before="40" w:after="40" w:line="256" w:lineRule="auto"/>
              <w:jc w:val="right"/>
              <w:rPr>
                <w:rFonts w:ascii="Arial" w:eastAsia="Times New Roman" w:hAnsi="Arial" w:cs="Times New Roman"/>
                <w:b/>
                <w:spacing w:val="-2"/>
                <w:sz w:val="14"/>
                <w:szCs w:val="18"/>
              </w:rPr>
            </w:pPr>
            <w:r w:rsidRPr="00E65C52">
              <w:rPr>
                <w:rFonts w:ascii="Arial" w:eastAsia="Times New Roman" w:hAnsi="Arial" w:cs="Times New Roman"/>
                <w:b/>
                <w:spacing w:val="-2"/>
                <w:sz w:val="14"/>
                <w:szCs w:val="18"/>
              </w:rPr>
              <w:t xml:space="preserve">   29.999 </w:t>
            </w:r>
          </w:p>
        </w:tc>
      </w:tr>
    </w:tbl>
    <w:p w14:paraId="2FA3931D" w14:textId="3ECEEE1F" w:rsidR="00C50F70" w:rsidRPr="00890220" w:rsidRDefault="00C50F70" w:rsidP="00C50F70">
      <w:pPr>
        <w:pStyle w:val="07-Legenda"/>
      </w:pPr>
      <w:r w:rsidRPr="00890220">
        <w:t>(1)</w:t>
      </w:r>
      <w:r>
        <w:tab/>
        <w:t>F</w:t>
      </w:r>
      <w:r w:rsidRPr="00890220">
        <w:t xml:space="preserve">oi incluído no montante o valor de R$ </w:t>
      </w:r>
      <w:r w:rsidR="005F3834" w:rsidRPr="005F3834">
        <w:t>1.686</w:t>
      </w:r>
      <w:r w:rsidRPr="00890220">
        <w:t xml:space="preserve"> mil referente a atualização monetária.</w:t>
      </w:r>
    </w:p>
    <w:p w14:paraId="1E5F264F" w14:textId="77777777" w:rsidR="00990285" w:rsidRPr="00F85E46" w:rsidRDefault="00990285" w:rsidP="00990285">
      <w:pPr>
        <w:spacing w:before="120" w:after="120"/>
        <w:jc w:val="both"/>
        <w:rPr>
          <w:rFonts w:ascii="Arial" w:eastAsia="Times New Roman" w:hAnsi="Arial" w:cs="Arial"/>
          <w:spacing w:val="-2"/>
          <w:sz w:val="18"/>
          <w:szCs w:val="14"/>
          <w:lang w:eastAsia="pt-BR"/>
        </w:rPr>
      </w:pPr>
    </w:p>
    <w:p w14:paraId="434D6A3C" w14:textId="12F6C9A5" w:rsidR="00990285" w:rsidRDefault="00990285" w:rsidP="00990285">
      <w:pPr>
        <w:spacing w:before="120" w:after="120"/>
        <w:jc w:val="both"/>
        <w:rPr>
          <w:rFonts w:ascii="Arial" w:eastAsia="Times New Roman" w:hAnsi="Arial" w:cs="Arial"/>
          <w:spacing w:val="-2"/>
          <w:sz w:val="18"/>
          <w:szCs w:val="18"/>
          <w:lang w:eastAsia="pt-BR"/>
        </w:rPr>
      </w:pPr>
      <w:r>
        <w:rPr>
          <w:rFonts w:ascii="Arial" w:eastAsia="Times New Roman" w:hAnsi="Arial" w:cs="Arial"/>
          <w:spacing w:val="-2"/>
          <w:sz w:val="18"/>
          <w:szCs w:val="14"/>
          <w:lang w:eastAsia="pt-BR"/>
        </w:rPr>
        <w:t>Em 3</w:t>
      </w:r>
      <w:r w:rsidR="00D31F44">
        <w:rPr>
          <w:rFonts w:ascii="Arial" w:eastAsia="Times New Roman" w:hAnsi="Arial" w:cs="Arial"/>
          <w:spacing w:val="-2"/>
          <w:sz w:val="18"/>
          <w:szCs w:val="14"/>
          <w:lang w:eastAsia="pt-BR"/>
        </w:rPr>
        <w:t>1</w:t>
      </w:r>
      <w:r>
        <w:rPr>
          <w:rFonts w:ascii="Arial" w:eastAsia="Times New Roman" w:hAnsi="Arial" w:cs="Arial"/>
          <w:spacing w:val="-2"/>
          <w:sz w:val="18"/>
          <w:szCs w:val="14"/>
          <w:lang w:eastAsia="pt-BR"/>
        </w:rPr>
        <w:t>.</w:t>
      </w:r>
      <w:r w:rsidR="00D31F44">
        <w:rPr>
          <w:rFonts w:ascii="Arial" w:eastAsia="Times New Roman" w:hAnsi="Arial" w:cs="Arial"/>
          <w:spacing w:val="-2"/>
          <w:sz w:val="18"/>
          <w:szCs w:val="14"/>
          <w:lang w:eastAsia="pt-BR"/>
        </w:rPr>
        <w:t>12</w:t>
      </w:r>
      <w:r>
        <w:rPr>
          <w:rFonts w:ascii="Arial" w:eastAsia="Times New Roman" w:hAnsi="Arial" w:cs="Arial"/>
          <w:spacing w:val="-2"/>
          <w:sz w:val="18"/>
          <w:szCs w:val="14"/>
          <w:lang w:eastAsia="pt-BR"/>
        </w:rPr>
        <w:t>.</w:t>
      </w:r>
      <w:r w:rsidRPr="00F85E46">
        <w:rPr>
          <w:rFonts w:ascii="Arial" w:eastAsia="Times New Roman" w:hAnsi="Arial" w:cs="Arial"/>
          <w:spacing w:val="-2"/>
          <w:sz w:val="18"/>
          <w:szCs w:val="14"/>
          <w:lang w:eastAsia="pt-BR"/>
        </w:rPr>
        <w:t>2024</w:t>
      </w:r>
      <w:r w:rsidRPr="00F85E46">
        <w:rPr>
          <w:rFonts w:ascii="Arial" w:eastAsia="Times New Roman" w:hAnsi="Arial" w:cs="Arial"/>
          <w:spacing w:val="-2"/>
          <w:sz w:val="18"/>
          <w:szCs w:val="18"/>
          <w:lang w:eastAsia="pt-BR"/>
        </w:rPr>
        <w:t xml:space="preserve">, há saldos provisionados na BB Seguridade </w:t>
      </w:r>
      <w:r>
        <w:rPr>
          <w:rFonts w:ascii="Arial" w:eastAsia="Times New Roman" w:hAnsi="Arial" w:cs="Arial"/>
          <w:spacing w:val="-2"/>
          <w:sz w:val="18"/>
          <w:szCs w:val="18"/>
          <w:lang w:eastAsia="pt-BR"/>
        </w:rPr>
        <w:t xml:space="preserve">(Controlador) </w:t>
      </w:r>
      <w:r w:rsidRPr="00F85E46">
        <w:rPr>
          <w:rFonts w:ascii="Arial" w:eastAsia="Times New Roman" w:hAnsi="Arial" w:cs="Arial"/>
          <w:spacing w:val="-2"/>
          <w:sz w:val="18"/>
          <w:szCs w:val="18"/>
          <w:lang w:eastAsia="pt-BR"/>
        </w:rPr>
        <w:t xml:space="preserve">nos valores de R$ 369 mil relativos a demandas trabalhistas (R$ 28 </w:t>
      </w:r>
      <w:r w:rsidRPr="00F85E46">
        <w:rPr>
          <w:rFonts w:ascii="Arial" w:eastAsia="Times New Roman" w:hAnsi="Arial" w:cs="Arial"/>
          <w:spacing w:val="-2"/>
          <w:sz w:val="18"/>
          <w:szCs w:val="14"/>
          <w:lang w:eastAsia="pt-BR"/>
        </w:rPr>
        <w:t xml:space="preserve">mil </w:t>
      </w:r>
      <w:r>
        <w:rPr>
          <w:rFonts w:ascii="Arial" w:eastAsia="Times New Roman" w:hAnsi="Arial" w:cs="Arial"/>
          <w:spacing w:val="-2"/>
          <w:sz w:val="18"/>
          <w:szCs w:val="14"/>
          <w:lang w:eastAsia="pt-BR"/>
        </w:rPr>
        <w:t xml:space="preserve">em </w:t>
      </w:r>
      <w:r w:rsidR="00C53060">
        <w:rPr>
          <w:rFonts w:ascii="Arial" w:eastAsia="Times New Roman" w:hAnsi="Arial" w:cs="Arial"/>
          <w:spacing w:val="-2"/>
          <w:sz w:val="18"/>
          <w:szCs w:val="14"/>
          <w:lang w:eastAsia="pt-BR"/>
        </w:rPr>
        <w:t>31.12</w:t>
      </w:r>
      <w:r>
        <w:rPr>
          <w:rFonts w:ascii="Arial" w:eastAsia="Times New Roman" w:hAnsi="Arial" w:cs="Arial"/>
          <w:spacing w:val="-2"/>
          <w:sz w:val="18"/>
          <w:szCs w:val="14"/>
          <w:lang w:eastAsia="pt-BR"/>
        </w:rPr>
        <w:t>.</w:t>
      </w:r>
      <w:r w:rsidRPr="00F85E46">
        <w:rPr>
          <w:rFonts w:ascii="Arial" w:eastAsia="Times New Roman" w:hAnsi="Arial" w:cs="Arial"/>
          <w:spacing w:val="-2"/>
          <w:sz w:val="18"/>
          <w:szCs w:val="14"/>
          <w:lang w:eastAsia="pt-BR"/>
        </w:rPr>
        <w:t xml:space="preserve">2023) </w:t>
      </w:r>
      <w:r w:rsidRPr="00F85E46">
        <w:rPr>
          <w:rFonts w:ascii="Arial" w:eastAsia="Times New Roman" w:hAnsi="Arial" w:cs="Arial"/>
          <w:spacing w:val="-2"/>
          <w:sz w:val="18"/>
          <w:szCs w:val="18"/>
          <w:lang w:eastAsia="pt-BR"/>
        </w:rPr>
        <w:t>e R$ 1.47</w:t>
      </w:r>
      <w:r w:rsidR="00840578">
        <w:rPr>
          <w:rFonts w:ascii="Arial" w:eastAsia="Times New Roman" w:hAnsi="Arial" w:cs="Arial"/>
          <w:spacing w:val="-2"/>
          <w:sz w:val="18"/>
          <w:szCs w:val="18"/>
          <w:lang w:eastAsia="pt-BR"/>
        </w:rPr>
        <w:t>2</w:t>
      </w:r>
      <w:r w:rsidRPr="00F85E46">
        <w:rPr>
          <w:rFonts w:ascii="Arial" w:eastAsia="Times New Roman" w:hAnsi="Arial" w:cs="Arial"/>
          <w:spacing w:val="-2"/>
          <w:sz w:val="18"/>
          <w:szCs w:val="18"/>
          <w:lang w:eastAsia="pt-BR"/>
        </w:rPr>
        <w:t xml:space="preserve"> mil relativos a demandas cíveis (R$ </w:t>
      </w:r>
      <w:r w:rsidR="0075200D" w:rsidRPr="0075200D">
        <w:rPr>
          <w:rFonts w:ascii="Arial" w:eastAsia="Times New Roman" w:hAnsi="Arial" w:cs="Arial"/>
          <w:spacing w:val="-2"/>
          <w:sz w:val="18"/>
          <w:szCs w:val="18"/>
          <w:lang w:eastAsia="pt-BR"/>
        </w:rPr>
        <w:t>625</w:t>
      </w:r>
      <w:r w:rsidRPr="00F85E46">
        <w:rPr>
          <w:rFonts w:ascii="Arial" w:eastAsia="Times New Roman" w:hAnsi="Arial" w:cs="Arial"/>
          <w:spacing w:val="-2"/>
          <w:sz w:val="18"/>
          <w:szCs w:val="18"/>
          <w:lang w:eastAsia="pt-BR"/>
        </w:rPr>
        <w:t xml:space="preserve"> </w:t>
      </w:r>
      <w:r w:rsidRPr="00F85E46">
        <w:rPr>
          <w:rFonts w:ascii="Arial" w:eastAsia="Times New Roman" w:hAnsi="Arial" w:cs="Arial"/>
          <w:spacing w:val="-2"/>
          <w:sz w:val="18"/>
          <w:szCs w:val="14"/>
          <w:lang w:eastAsia="pt-BR"/>
        </w:rPr>
        <w:t xml:space="preserve">mil </w:t>
      </w:r>
      <w:r w:rsidRPr="004856C8">
        <w:rPr>
          <w:rFonts w:ascii="Arial" w:eastAsia="Times New Roman" w:hAnsi="Arial" w:cs="Arial"/>
          <w:spacing w:val="-2"/>
          <w:sz w:val="18"/>
          <w:szCs w:val="14"/>
          <w:lang w:eastAsia="pt-BR"/>
        </w:rPr>
        <w:t xml:space="preserve">em </w:t>
      </w:r>
      <w:r w:rsidR="00923CD8">
        <w:rPr>
          <w:rFonts w:ascii="Arial" w:eastAsia="Times New Roman" w:hAnsi="Arial" w:cs="Arial"/>
          <w:spacing w:val="-2"/>
          <w:sz w:val="18"/>
          <w:szCs w:val="14"/>
          <w:lang w:eastAsia="pt-BR"/>
        </w:rPr>
        <w:t>31.12</w:t>
      </w:r>
      <w:r w:rsidRPr="004856C8">
        <w:rPr>
          <w:rFonts w:ascii="Arial" w:eastAsia="Times New Roman" w:hAnsi="Arial" w:cs="Arial"/>
          <w:spacing w:val="-2"/>
          <w:sz w:val="18"/>
          <w:szCs w:val="14"/>
          <w:lang w:eastAsia="pt-BR"/>
        </w:rPr>
        <w:t>.2023</w:t>
      </w:r>
      <w:r w:rsidRPr="00F85E46">
        <w:rPr>
          <w:rFonts w:ascii="Arial" w:eastAsia="Times New Roman" w:hAnsi="Arial" w:cs="Arial"/>
          <w:spacing w:val="-2"/>
          <w:sz w:val="18"/>
          <w:szCs w:val="14"/>
          <w:lang w:eastAsia="pt-BR"/>
        </w:rPr>
        <w:t>)</w:t>
      </w:r>
      <w:r>
        <w:rPr>
          <w:rFonts w:ascii="Arial" w:eastAsia="Times New Roman" w:hAnsi="Arial" w:cs="Arial"/>
          <w:spacing w:val="-2"/>
          <w:sz w:val="18"/>
          <w:szCs w:val="14"/>
          <w:lang w:eastAsia="pt-BR"/>
        </w:rPr>
        <w:t>; e não há provisão p</w:t>
      </w:r>
      <w:r w:rsidRPr="00F85E46">
        <w:rPr>
          <w:rFonts w:ascii="Arial" w:eastAsia="Times New Roman" w:hAnsi="Arial" w:cs="Arial"/>
          <w:spacing w:val="-2"/>
          <w:sz w:val="18"/>
          <w:szCs w:val="18"/>
          <w:lang w:eastAsia="pt-BR"/>
        </w:rPr>
        <w:t>ara demandas fiscais.</w:t>
      </w:r>
    </w:p>
    <w:p w14:paraId="0BF148DB" w14:textId="77777777" w:rsidR="00990285" w:rsidRPr="00F32199" w:rsidRDefault="00990285" w:rsidP="00990285">
      <w:pPr>
        <w:spacing w:before="120" w:after="120"/>
        <w:jc w:val="both"/>
        <w:rPr>
          <w:rFonts w:ascii="Arial" w:eastAsia="Times New Roman" w:hAnsi="Arial" w:cs="Arial"/>
          <w:b/>
          <w:color w:val="1F3864" w:themeColor="accent1" w:themeShade="80"/>
          <w:spacing w:val="-2"/>
          <w:sz w:val="18"/>
          <w:szCs w:val="18"/>
          <w:lang w:eastAsia="pt-BR"/>
        </w:rPr>
      </w:pPr>
      <w:r>
        <w:rPr>
          <w:rFonts w:ascii="Arial" w:eastAsia="Times New Roman" w:hAnsi="Arial" w:cs="Arial"/>
          <w:b/>
          <w:color w:val="1F3864" w:themeColor="accent1" w:themeShade="80"/>
          <w:spacing w:val="-2"/>
          <w:sz w:val="18"/>
          <w:szCs w:val="18"/>
          <w:lang w:eastAsia="pt-BR"/>
        </w:rPr>
        <w:t>a</w:t>
      </w:r>
      <w:r w:rsidRPr="00F32199">
        <w:rPr>
          <w:rFonts w:ascii="Arial" w:eastAsia="Times New Roman" w:hAnsi="Arial" w:cs="Arial"/>
          <w:b/>
          <w:color w:val="1F3864" w:themeColor="accent1" w:themeShade="80"/>
          <w:spacing w:val="-2"/>
          <w:sz w:val="18"/>
          <w:szCs w:val="18"/>
          <w:lang w:eastAsia="pt-BR"/>
        </w:rPr>
        <w:t>.</w:t>
      </w:r>
      <w:r>
        <w:rPr>
          <w:rFonts w:ascii="Arial" w:eastAsia="Times New Roman" w:hAnsi="Arial" w:cs="Arial"/>
          <w:b/>
          <w:color w:val="1F3864" w:themeColor="accent1" w:themeShade="80"/>
          <w:spacing w:val="-2"/>
          <w:sz w:val="18"/>
          <w:szCs w:val="18"/>
          <w:lang w:eastAsia="pt-BR"/>
        </w:rPr>
        <w:t>1</w:t>
      </w:r>
      <w:r w:rsidRPr="00F32199">
        <w:rPr>
          <w:rFonts w:ascii="Arial" w:eastAsia="Times New Roman" w:hAnsi="Arial" w:cs="Arial"/>
          <w:b/>
          <w:color w:val="1F3864" w:themeColor="accent1" w:themeShade="80"/>
          <w:spacing w:val="-2"/>
          <w:sz w:val="18"/>
          <w:szCs w:val="18"/>
          <w:lang w:eastAsia="pt-BR"/>
        </w:rPr>
        <w:t>) Ações Cíveis</w:t>
      </w:r>
    </w:p>
    <w:p w14:paraId="4284B0DB" w14:textId="77777777" w:rsidR="00990285" w:rsidRPr="00F85E46" w:rsidRDefault="00990285" w:rsidP="00990285">
      <w:pPr>
        <w:spacing w:before="120" w:after="120"/>
        <w:jc w:val="both"/>
        <w:rPr>
          <w:rFonts w:ascii="Arial" w:eastAsia="Times New Roman" w:hAnsi="Arial" w:cs="Arial"/>
          <w:b/>
          <w:spacing w:val="-2"/>
          <w:sz w:val="18"/>
          <w:szCs w:val="18"/>
          <w:lang w:eastAsia="pt-BR"/>
        </w:rPr>
      </w:pPr>
      <w:r w:rsidRPr="00F85E46">
        <w:rPr>
          <w:rFonts w:ascii="Arial" w:eastAsia="Times New Roman" w:hAnsi="Arial" w:cs="Arial"/>
          <w:spacing w:val="-2"/>
          <w:sz w:val="18"/>
          <w:szCs w:val="18"/>
          <w:lang w:eastAsia="pt-BR"/>
        </w:rPr>
        <w:t>Nas ações cíveis envolvendo a BB Seguridade, a BB Seguros e a BB Corretora, sobressaem os pedidos de indenizações diversas (dano material e dano moral, por exemplo), notadamente, decorrentes das relações consumeristas envolvendo os produtos de seguridade e afins (seguros de pessoas e patrimoniais, previdência complementar aberta, capitalização e planos odontológicos).</w:t>
      </w:r>
    </w:p>
    <w:p w14:paraId="77819D58" w14:textId="77777777" w:rsidR="00990285" w:rsidRPr="00F32199" w:rsidRDefault="00990285" w:rsidP="00D5649F">
      <w:pPr>
        <w:pageBreakBefore/>
        <w:spacing w:before="120" w:after="120"/>
        <w:jc w:val="both"/>
        <w:rPr>
          <w:rFonts w:ascii="Arial" w:eastAsia="Times New Roman" w:hAnsi="Arial" w:cs="Arial"/>
          <w:b/>
          <w:color w:val="1F3864" w:themeColor="accent1" w:themeShade="80"/>
          <w:spacing w:val="-2"/>
          <w:sz w:val="18"/>
          <w:szCs w:val="18"/>
          <w:lang w:eastAsia="pt-BR"/>
        </w:rPr>
      </w:pPr>
      <w:r>
        <w:rPr>
          <w:rFonts w:ascii="Arial" w:eastAsia="Times New Roman" w:hAnsi="Arial" w:cs="Arial"/>
          <w:b/>
          <w:color w:val="1F3864" w:themeColor="accent1" w:themeShade="80"/>
          <w:spacing w:val="-2"/>
          <w:sz w:val="18"/>
          <w:szCs w:val="18"/>
          <w:lang w:eastAsia="pt-BR"/>
        </w:rPr>
        <w:lastRenderedPageBreak/>
        <w:t>a</w:t>
      </w:r>
      <w:r w:rsidRPr="00F32199">
        <w:rPr>
          <w:rFonts w:ascii="Arial" w:eastAsia="Times New Roman" w:hAnsi="Arial" w:cs="Arial"/>
          <w:b/>
          <w:color w:val="1F3864" w:themeColor="accent1" w:themeShade="80"/>
          <w:spacing w:val="-2"/>
          <w:sz w:val="18"/>
          <w:szCs w:val="18"/>
          <w:lang w:eastAsia="pt-BR"/>
        </w:rPr>
        <w:t>.</w:t>
      </w:r>
      <w:r>
        <w:rPr>
          <w:rFonts w:ascii="Arial" w:eastAsia="Times New Roman" w:hAnsi="Arial" w:cs="Arial"/>
          <w:b/>
          <w:color w:val="1F3864" w:themeColor="accent1" w:themeShade="80"/>
          <w:spacing w:val="-2"/>
          <w:sz w:val="18"/>
          <w:szCs w:val="18"/>
          <w:lang w:eastAsia="pt-BR"/>
        </w:rPr>
        <w:t>2</w:t>
      </w:r>
      <w:r w:rsidRPr="00F32199">
        <w:rPr>
          <w:rFonts w:ascii="Arial" w:eastAsia="Times New Roman" w:hAnsi="Arial" w:cs="Arial"/>
          <w:b/>
          <w:color w:val="1F3864" w:themeColor="accent1" w:themeShade="80"/>
          <w:spacing w:val="-2"/>
          <w:sz w:val="18"/>
          <w:szCs w:val="18"/>
          <w:lang w:eastAsia="pt-BR"/>
        </w:rPr>
        <w:t>) Ações Trabalhistas</w:t>
      </w:r>
    </w:p>
    <w:p w14:paraId="427E265D" w14:textId="58B4D322" w:rsidR="00990285" w:rsidRDefault="00990285" w:rsidP="00990285">
      <w:pPr>
        <w:spacing w:before="120" w:after="120"/>
        <w:jc w:val="both"/>
        <w:rPr>
          <w:rFonts w:ascii="Arial" w:eastAsia="Times New Roman" w:hAnsi="Arial" w:cs="Arial"/>
          <w:spacing w:val="-2"/>
          <w:sz w:val="18"/>
          <w:szCs w:val="18"/>
          <w:lang w:eastAsia="pt-BR"/>
        </w:rPr>
      </w:pPr>
      <w:r w:rsidRPr="00F85E46">
        <w:rPr>
          <w:rFonts w:ascii="Arial" w:eastAsia="Times New Roman" w:hAnsi="Arial" w:cs="Arial"/>
          <w:spacing w:val="-2"/>
          <w:sz w:val="18"/>
          <w:szCs w:val="18"/>
          <w:lang w:eastAsia="pt-BR"/>
        </w:rPr>
        <w:t>As ações trabalhistas envolvendo a BB Corretora advêm, principalmente, de reclamatórias trabalhistas com cunho cível, decorrentes, majoritariamente, de seguros empresariais de vida em grupo, cujas empregadoras originárias (empresas privadas clientes do conglomerado) contrataram para seus empregados e</w:t>
      </w:r>
      <w:r w:rsidR="007237D2">
        <w:rPr>
          <w:rFonts w:ascii="Arial" w:eastAsia="Times New Roman" w:hAnsi="Arial" w:cs="Arial"/>
          <w:spacing w:val="-2"/>
          <w:sz w:val="18"/>
          <w:szCs w:val="18"/>
          <w:lang w:eastAsia="pt-BR"/>
        </w:rPr>
        <w:t>,</w:t>
      </w:r>
      <w:r w:rsidRPr="00F85E46">
        <w:rPr>
          <w:rFonts w:ascii="Arial" w:eastAsia="Times New Roman" w:hAnsi="Arial" w:cs="Arial"/>
          <w:spacing w:val="-2"/>
          <w:sz w:val="18"/>
          <w:szCs w:val="18"/>
          <w:lang w:eastAsia="pt-BR"/>
        </w:rPr>
        <w:t xml:space="preserve"> os beneficiários destes</w:t>
      </w:r>
      <w:r>
        <w:rPr>
          <w:rFonts w:ascii="Arial" w:eastAsia="Times New Roman" w:hAnsi="Arial" w:cs="Arial"/>
          <w:spacing w:val="-2"/>
          <w:sz w:val="18"/>
          <w:szCs w:val="18"/>
          <w:lang w:eastAsia="pt-BR"/>
        </w:rPr>
        <w:t>,</w:t>
      </w:r>
      <w:r w:rsidRPr="00F85E46">
        <w:rPr>
          <w:rFonts w:ascii="Arial" w:eastAsia="Times New Roman" w:hAnsi="Arial" w:cs="Arial"/>
          <w:spacing w:val="-2"/>
          <w:sz w:val="18"/>
          <w:szCs w:val="18"/>
          <w:lang w:eastAsia="pt-BR"/>
        </w:rPr>
        <w:t xml:space="preserve"> em processo de inventário e partilha, demandam o pagamento de indenização securitária; e de reinvindicações de terceiros em desfavor da BB Corretora, na condição de integrante do Grupo BB Seguridade, especialmente, requerendo eventual condenação subsidiária da Companhia.</w:t>
      </w:r>
    </w:p>
    <w:p w14:paraId="7C929F1D" w14:textId="77777777" w:rsidR="00990285" w:rsidRPr="00F85E46" w:rsidRDefault="00990285" w:rsidP="00990285">
      <w:pPr>
        <w:spacing w:before="120" w:after="120"/>
        <w:jc w:val="both"/>
        <w:rPr>
          <w:rFonts w:ascii="Arial" w:eastAsia="Times New Roman" w:hAnsi="Arial" w:cs="Arial"/>
          <w:spacing w:val="-2"/>
          <w:sz w:val="18"/>
          <w:szCs w:val="18"/>
          <w:lang w:eastAsia="pt-BR"/>
        </w:rPr>
      </w:pPr>
      <w:r>
        <w:rPr>
          <w:rFonts w:ascii="Arial" w:eastAsia="Times New Roman" w:hAnsi="Arial" w:cs="Arial"/>
          <w:spacing w:val="-2"/>
          <w:sz w:val="18"/>
          <w:szCs w:val="18"/>
          <w:lang w:eastAsia="pt-BR"/>
        </w:rPr>
        <w:t xml:space="preserve">Já </w:t>
      </w:r>
      <w:r w:rsidRPr="00F85E46">
        <w:rPr>
          <w:rFonts w:ascii="Arial" w:eastAsia="Times New Roman" w:hAnsi="Arial" w:cs="Arial"/>
          <w:spacing w:val="-2"/>
          <w:sz w:val="18"/>
          <w:szCs w:val="18"/>
          <w:lang w:eastAsia="pt-BR"/>
        </w:rPr>
        <w:t>as ações trabalhistas envolvendo a BB Seguridade são movidas por ex-funcionários (cedidos pelo Banco do Brasil), discutindo direitos decorrentes de 7ª e 8ª horas extras bancárias e respectivos reflexos nas demais verbas de natureza salarial e indenizatória.</w:t>
      </w:r>
    </w:p>
    <w:p w14:paraId="1FEF19DE" w14:textId="77777777" w:rsidR="00990285" w:rsidRPr="00F32199" w:rsidRDefault="00990285" w:rsidP="00990285">
      <w:pPr>
        <w:spacing w:before="120" w:after="120"/>
        <w:jc w:val="both"/>
        <w:rPr>
          <w:rFonts w:ascii="Arial" w:eastAsia="Times New Roman" w:hAnsi="Arial" w:cs="Arial"/>
          <w:b/>
          <w:color w:val="1F3864" w:themeColor="accent1" w:themeShade="80"/>
          <w:spacing w:val="-2"/>
          <w:sz w:val="18"/>
          <w:szCs w:val="18"/>
          <w:lang w:eastAsia="pt-BR"/>
        </w:rPr>
      </w:pPr>
      <w:r>
        <w:rPr>
          <w:rFonts w:ascii="Arial" w:eastAsia="Times New Roman" w:hAnsi="Arial" w:cs="Arial"/>
          <w:b/>
          <w:color w:val="1F3864" w:themeColor="accent1" w:themeShade="80"/>
          <w:spacing w:val="-2"/>
          <w:sz w:val="18"/>
          <w:szCs w:val="18"/>
          <w:lang w:eastAsia="pt-BR"/>
        </w:rPr>
        <w:t>a</w:t>
      </w:r>
      <w:r w:rsidRPr="00F32199">
        <w:rPr>
          <w:rFonts w:ascii="Arial" w:eastAsia="Times New Roman" w:hAnsi="Arial" w:cs="Arial"/>
          <w:b/>
          <w:color w:val="1F3864" w:themeColor="accent1" w:themeShade="80"/>
          <w:spacing w:val="-2"/>
          <w:sz w:val="18"/>
          <w:szCs w:val="18"/>
          <w:lang w:eastAsia="pt-BR"/>
        </w:rPr>
        <w:t>.</w:t>
      </w:r>
      <w:r>
        <w:rPr>
          <w:rFonts w:ascii="Arial" w:eastAsia="Times New Roman" w:hAnsi="Arial" w:cs="Arial"/>
          <w:b/>
          <w:color w:val="1F3864" w:themeColor="accent1" w:themeShade="80"/>
          <w:spacing w:val="-2"/>
          <w:sz w:val="18"/>
          <w:szCs w:val="18"/>
          <w:lang w:eastAsia="pt-BR"/>
        </w:rPr>
        <w:t>3</w:t>
      </w:r>
      <w:r w:rsidRPr="00F32199">
        <w:rPr>
          <w:rFonts w:ascii="Arial" w:eastAsia="Times New Roman" w:hAnsi="Arial" w:cs="Arial"/>
          <w:b/>
          <w:color w:val="1F3864" w:themeColor="accent1" w:themeShade="80"/>
          <w:spacing w:val="-2"/>
          <w:sz w:val="18"/>
          <w:szCs w:val="18"/>
          <w:lang w:eastAsia="pt-BR"/>
        </w:rPr>
        <w:t>) Ações Fiscais</w:t>
      </w:r>
    </w:p>
    <w:p w14:paraId="32C016B7" w14:textId="77777777" w:rsidR="00990285" w:rsidRPr="00F85E46" w:rsidRDefault="00990285" w:rsidP="00990285">
      <w:pPr>
        <w:spacing w:before="120" w:after="120"/>
        <w:jc w:val="both"/>
        <w:rPr>
          <w:rFonts w:ascii="Arial" w:eastAsia="Times New Roman" w:hAnsi="Arial" w:cs="Arial"/>
          <w:spacing w:val="-2"/>
          <w:sz w:val="18"/>
          <w:szCs w:val="18"/>
          <w:lang w:eastAsia="pt-BR"/>
        </w:rPr>
      </w:pPr>
      <w:r w:rsidRPr="00F85E46">
        <w:rPr>
          <w:rFonts w:ascii="Arial" w:eastAsia="Times New Roman" w:hAnsi="Arial" w:cs="Arial"/>
          <w:spacing w:val="-2"/>
          <w:sz w:val="18"/>
          <w:szCs w:val="18"/>
          <w:lang w:eastAsia="pt-BR"/>
        </w:rPr>
        <w:t>As ações fiscais envolvendo a BB Corretora advêm, principalmente, de autuações d</w:t>
      </w:r>
      <w:r>
        <w:rPr>
          <w:rFonts w:ascii="Arial" w:eastAsia="Times New Roman" w:hAnsi="Arial" w:cs="Arial"/>
          <w:spacing w:val="-2"/>
          <w:sz w:val="18"/>
          <w:szCs w:val="18"/>
          <w:lang w:eastAsia="pt-BR"/>
        </w:rPr>
        <w:t>e</w:t>
      </w:r>
      <w:r w:rsidRPr="00F85E46">
        <w:rPr>
          <w:rFonts w:ascii="Arial" w:eastAsia="Times New Roman" w:hAnsi="Arial" w:cs="Arial"/>
          <w:spacing w:val="-2"/>
          <w:sz w:val="18"/>
          <w:szCs w:val="18"/>
          <w:lang w:eastAsia="pt-BR"/>
        </w:rPr>
        <w:t xml:space="preserve"> fisco municipal (discutindo o recolhimento do Imposto Sobre Serviços de Qualquer Natureza - ISSQN); e de demandas da União propostas nas esferas administrativa ou judicial, discutindo tributos </w:t>
      </w:r>
      <w:r w:rsidRPr="00F57EBA">
        <w:rPr>
          <w:rFonts w:ascii="Arial" w:eastAsia="Times New Roman" w:hAnsi="Arial" w:cs="Arial"/>
          <w:spacing w:val="-2"/>
          <w:sz w:val="18"/>
          <w:szCs w:val="18"/>
          <w:lang w:eastAsia="pt-BR"/>
        </w:rPr>
        <w:t>federais (notadamente a não</w:t>
      </w:r>
      <w:r w:rsidRPr="00F85E46">
        <w:rPr>
          <w:rFonts w:ascii="Arial" w:eastAsia="Times New Roman" w:hAnsi="Arial" w:cs="Arial"/>
          <w:spacing w:val="-2"/>
          <w:sz w:val="18"/>
          <w:szCs w:val="18"/>
          <w:lang w:eastAsia="pt-BR"/>
        </w:rPr>
        <w:t xml:space="preserve"> homologação de compensações de créditos tributários próprios com outros tributos).</w:t>
      </w:r>
    </w:p>
    <w:p w14:paraId="0E3445BF" w14:textId="057BFFB2" w:rsidR="00990285" w:rsidRPr="00F85E46" w:rsidRDefault="00990285" w:rsidP="00990285">
      <w:pPr>
        <w:spacing w:before="120" w:after="120"/>
        <w:jc w:val="both"/>
        <w:rPr>
          <w:rFonts w:ascii="Arial" w:eastAsia="Times New Roman" w:hAnsi="Arial" w:cs="Arial"/>
          <w:spacing w:val="-2"/>
          <w:sz w:val="18"/>
          <w:szCs w:val="18"/>
          <w:lang w:eastAsia="pt-BR"/>
        </w:rPr>
      </w:pPr>
      <w:r w:rsidRPr="00F85E46">
        <w:rPr>
          <w:rFonts w:ascii="Arial" w:eastAsia="Times New Roman" w:hAnsi="Arial" w:cs="Arial"/>
          <w:spacing w:val="-2"/>
          <w:sz w:val="18"/>
          <w:szCs w:val="18"/>
          <w:lang w:eastAsia="pt-BR"/>
        </w:rPr>
        <w:t>Em 3</w:t>
      </w:r>
      <w:r w:rsidR="00B54739">
        <w:rPr>
          <w:rFonts w:ascii="Arial" w:eastAsia="Times New Roman" w:hAnsi="Arial" w:cs="Arial"/>
          <w:spacing w:val="-2"/>
          <w:sz w:val="18"/>
          <w:szCs w:val="18"/>
          <w:lang w:eastAsia="pt-BR"/>
        </w:rPr>
        <w:t>1</w:t>
      </w:r>
      <w:r w:rsidRPr="00F85E46">
        <w:rPr>
          <w:rFonts w:ascii="Arial" w:eastAsia="Times New Roman" w:hAnsi="Arial" w:cs="Arial"/>
          <w:spacing w:val="-2"/>
          <w:sz w:val="18"/>
          <w:szCs w:val="18"/>
          <w:lang w:eastAsia="pt-BR"/>
        </w:rPr>
        <w:t xml:space="preserve"> de </w:t>
      </w:r>
      <w:r w:rsidR="00B54739">
        <w:rPr>
          <w:rFonts w:ascii="Arial" w:eastAsia="Times New Roman" w:hAnsi="Arial" w:cs="Arial"/>
          <w:spacing w:val="-2"/>
          <w:sz w:val="18"/>
          <w:szCs w:val="18"/>
          <w:lang w:eastAsia="pt-BR"/>
        </w:rPr>
        <w:t>d</w:t>
      </w:r>
      <w:r w:rsidRPr="00F85E46">
        <w:rPr>
          <w:rFonts w:ascii="Arial" w:eastAsia="Times New Roman" w:hAnsi="Arial" w:cs="Arial"/>
          <w:spacing w:val="-2"/>
          <w:sz w:val="18"/>
          <w:szCs w:val="18"/>
          <w:lang w:eastAsia="pt-BR"/>
        </w:rPr>
        <w:t>e</w:t>
      </w:r>
      <w:r w:rsidR="00B54739">
        <w:rPr>
          <w:rFonts w:ascii="Arial" w:eastAsia="Times New Roman" w:hAnsi="Arial" w:cs="Arial"/>
          <w:spacing w:val="-2"/>
          <w:sz w:val="18"/>
          <w:szCs w:val="18"/>
          <w:lang w:eastAsia="pt-BR"/>
        </w:rPr>
        <w:t>z</w:t>
      </w:r>
      <w:r w:rsidRPr="00F85E46">
        <w:rPr>
          <w:rFonts w:ascii="Arial" w:eastAsia="Times New Roman" w:hAnsi="Arial" w:cs="Arial"/>
          <w:spacing w:val="-2"/>
          <w:sz w:val="18"/>
          <w:szCs w:val="18"/>
          <w:lang w:eastAsia="pt-BR"/>
        </w:rPr>
        <w:t xml:space="preserve">embro de 2024, </w:t>
      </w:r>
      <w:r>
        <w:rPr>
          <w:rFonts w:ascii="Arial" w:eastAsia="Times New Roman" w:hAnsi="Arial" w:cs="Arial"/>
          <w:spacing w:val="-2"/>
          <w:sz w:val="18"/>
          <w:szCs w:val="18"/>
          <w:lang w:eastAsia="pt-BR"/>
        </w:rPr>
        <w:t>havia n</w:t>
      </w:r>
      <w:r w:rsidRPr="00F85E46">
        <w:rPr>
          <w:rFonts w:ascii="Arial" w:eastAsia="Times New Roman" w:hAnsi="Arial" w:cs="Arial"/>
          <w:spacing w:val="-2"/>
          <w:sz w:val="18"/>
          <w:szCs w:val="18"/>
          <w:lang w:eastAsia="pt-BR"/>
        </w:rPr>
        <w:t xml:space="preserve">a </w:t>
      </w:r>
      <w:bookmarkStart w:id="113" w:name="_Hlk148530258"/>
      <w:r w:rsidRPr="00F85E46">
        <w:rPr>
          <w:rFonts w:ascii="Arial" w:eastAsia="Times New Roman" w:hAnsi="Arial" w:cs="Arial"/>
          <w:spacing w:val="-2"/>
          <w:sz w:val="18"/>
          <w:szCs w:val="18"/>
          <w:lang w:eastAsia="pt-BR"/>
        </w:rPr>
        <w:t>BB Corretora</w:t>
      </w:r>
      <w:bookmarkEnd w:id="113"/>
      <w:r w:rsidRPr="00F85E46">
        <w:rPr>
          <w:rFonts w:ascii="Arial" w:eastAsia="Times New Roman" w:hAnsi="Arial" w:cs="Arial"/>
          <w:spacing w:val="-2"/>
          <w:sz w:val="18"/>
          <w:szCs w:val="18"/>
          <w:lang w:eastAsia="pt-BR"/>
        </w:rPr>
        <w:t xml:space="preserve"> um total de </w:t>
      </w:r>
      <w:r w:rsidRPr="0054126E">
        <w:rPr>
          <w:rFonts w:ascii="Arial" w:eastAsia="Times New Roman" w:hAnsi="Arial" w:cs="Arial"/>
          <w:spacing w:val="-2"/>
          <w:sz w:val="18"/>
          <w:szCs w:val="18"/>
          <w:lang w:eastAsia="pt-BR"/>
        </w:rPr>
        <w:t>3</w:t>
      </w:r>
      <w:r w:rsidR="0054126E">
        <w:rPr>
          <w:rFonts w:ascii="Arial" w:eastAsia="Times New Roman" w:hAnsi="Arial" w:cs="Arial"/>
          <w:spacing w:val="-2"/>
          <w:sz w:val="18"/>
          <w:szCs w:val="18"/>
          <w:lang w:eastAsia="pt-BR"/>
        </w:rPr>
        <w:t>7</w:t>
      </w:r>
      <w:r w:rsidRPr="008A3694">
        <w:rPr>
          <w:rFonts w:ascii="Arial" w:eastAsia="Times New Roman" w:hAnsi="Arial" w:cs="Arial"/>
          <w:spacing w:val="-2"/>
          <w:sz w:val="18"/>
          <w:szCs w:val="18"/>
          <w:lang w:eastAsia="pt-BR"/>
        </w:rPr>
        <w:t xml:space="preserve"> </w:t>
      </w:r>
      <w:r w:rsidRPr="00F85E46">
        <w:rPr>
          <w:rFonts w:ascii="Arial" w:eastAsia="Times New Roman" w:hAnsi="Arial" w:cs="Arial"/>
          <w:spacing w:val="-2"/>
          <w:sz w:val="18"/>
          <w:szCs w:val="18"/>
          <w:lang w:eastAsia="pt-BR"/>
        </w:rPr>
        <w:t>ações fiscais ativas</w:t>
      </w:r>
      <w:r>
        <w:rPr>
          <w:rFonts w:ascii="Arial" w:eastAsia="Times New Roman" w:hAnsi="Arial" w:cs="Arial"/>
          <w:spacing w:val="-2"/>
          <w:sz w:val="18"/>
          <w:szCs w:val="18"/>
          <w:lang w:eastAsia="pt-BR"/>
        </w:rPr>
        <w:t xml:space="preserve">, sendo, </w:t>
      </w:r>
      <w:r w:rsidRPr="00F85E46">
        <w:rPr>
          <w:rFonts w:ascii="Arial" w:eastAsia="Times New Roman" w:hAnsi="Arial" w:cs="Arial"/>
          <w:spacing w:val="-2"/>
          <w:sz w:val="18"/>
          <w:szCs w:val="18"/>
          <w:lang w:eastAsia="pt-BR"/>
        </w:rPr>
        <w:t xml:space="preserve">no que se refere ao âmbito de tramitação: </w:t>
      </w:r>
      <w:r w:rsidRPr="001A7B3B">
        <w:rPr>
          <w:rFonts w:ascii="Arial" w:eastAsia="Times New Roman" w:hAnsi="Arial" w:cs="Arial"/>
          <w:spacing w:val="-2"/>
          <w:sz w:val="18"/>
          <w:szCs w:val="18"/>
          <w:lang w:eastAsia="pt-BR"/>
        </w:rPr>
        <w:t>2</w:t>
      </w:r>
      <w:r>
        <w:rPr>
          <w:rFonts w:ascii="Arial" w:eastAsia="Times New Roman" w:hAnsi="Arial" w:cs="Arial"/>
          <w:spacing w:val="-2"/>
          <w:sz w:val="18"/>
          <w:szCs w:val="18"/>
          <w:lang w:eastAsia="pt-BR"/>
        </w:rPr>
        <w:t>5</w:t>
      </w:r>
      <w:r w:rsidRPr="008A3694">
        <w:rPr>
          <w:rFonts w:ascii="Arial" w:eastAsia="Times New Roman" w:hAnsi="Arial" w:cs="Arial"/>
          <w:spacing w:val="-2"/>
          <w:sz w:val="18"/>
          <w:szCs w:val="18"/>
          <w:lang w:eastAsia="pt-BR"/>
        </w:rPr>
        <w:t xml:space="preserve"> </w:t>
      </w:r>
      <w:r>
        <w:rPr>
          <w:rFonts w:ascii="Arial" w:eastAsia="Times New Roman" w:hAnsi="Arial" w:cs="Arial"/>
          <w:spacing w:val="-2"/>
          <w:sz w:val="18"/>
          <w:szCs w:val="18"/>
          <w:lang w:eastAsia="pt-BR"/>
        </w:rPr>
        <w:t xml:space="preserve">delas </w:t>
      </w:r>
      <w:r w:rsidRPr="00F85E46">
        <w:rPr>
          <w:rFonts w:ascii="Arial" w:eastAsia="Times New Roman" w:hAnsi="Arial" w:cs="Arial"/>
          <w:spacing w:val="-2"/>
          <w:sz w:val="18"/>
          <w:szCs w:val="18"/>
          <w:lang w:eastAsia="pt-BR"/>
        </w:rPr>
        <w:t xml:space="preserve">na esfera administrativa, exclusivamente, junto à Delegacia da Receita Federal do Brasil/DF (DRF/DF); e </w:t>
      </w:r>
      <w:r w:rsidRPr="0049013A">
        <w:rPr>
          <w:rFonts w:ascii="Arial" w:eastAsia="Times New Roman" w:hAnsi="Arial" w:cs="Arial"/>
          <w:spacing w:val="-2"/>
          <w:sz w:val="18"/>
          <w:szCs w:val="18"/>
          <w:lang w:eastAsia="pt-BR"/>
        </w:rPr>
        <w:t>1</w:t>
      </w:r>
      <w:r w:rsidR="00EE257D">
        <w:rPr>
          <w:rFonts w:ascii="Arial" w:eastAsia="Times New Roman" w:hAnsi="Arial" w:cs="Arial"/>
          <w:spacing w:val="-2"/>
          <w:sz w:val="18"/>
          <w:szCs w:val="18"/>
          <w:lang w:eastAsia="pt-BR"/>
        </w:rPr>
        <w:t>2</w:t>
      </w:r>
      <w:r w:rsidRPr="008A3694">
        <w:rPr>
          <w:rFonts w:ascii="Arial" w:eastAsia="Times New Roman" w:hAnsi="Arial" w:cs="Arial"/>
          <w:spacing w:val="-2"/>
          <w:sz w:val="18"/>
          <w:szCs w:val="18"/>
          <w:lang w:eastAsia="pt-BR"/>
        </w:rPr>
        <w:t xml:space="preserve"> </w:t>
      </w:r>
      <w:r>
        <w:rPr>
          <w:rFonts w:ascii="Arial" w:eastAsia="Times New Roman" w:hAnsi="Arial" w:cs="Arial"/>
          <w:spacing w:val="-2"/>
          <w:sz w:val="18"/>
          <w:szCs w:val="18"/>
          <w:lang w:eastAsia="pt-BR"/>
        </w:rPr>
        <w:t xml:space="preserve">delas </w:t>
      </w:r>
      <w:r w:rsidRPr="00F85E46">
        <w:rPr>
          <w:rFonts w:ascii="Arial" w:eastAsia="Times New Roman" w:hAnsi="Arial" w:cs="Arial"/>
          <w:spacing w:val="-2"/>
          <w:sz w:val="18"/>
          <w:szCs w:val="18"/>
          <w:lang w:eastAsia="pt-BR"/>
        </w:rPr>
        <w:t xml:space="preserve">ajuizadas no judiciário brasileiro, </w:t>
      </w:r>
      <w:r>
        <w:rPr>
          <w:rFonts w:ascii="Arial" w:eastAsia="Times New Roman" w:hAnsi="Arial" w:cs="Arial"/>
          <w:spacing w:val="-2"/>
          <w:sz w:val="18"/>
          <w:szCs w:val="18"/>
          <w:lang w:eastAsia="pt-BR"/>
        </w:rPr>
        <w:t>das quais</w:t>
      </w:r>
      <w:r w:rsidR="00E106D6">
        <w:rPr>
          <w:rFonts w:ascii="Arial" w:eastAsia="Times New Roman" w:hAnsi="Arial" w:cs="Arial"/>
          <w:spacing w:val="-2"/>
          <w:sz w:val="18"/>
          <w:szCs w:val="18"/>
          <w:lang w:eastAsia="pt-BR"/>
        </w:rPr>
        <w:t xml:space="preserve"> 8 </w:t>
      </w:r>
      <w:r>
        <w:rPr>
          <w:rFonts w:ascii="Arial" w:eastAsia="Times New Roman" w:hAnsi="Arial" w:cs="Arial"/>
          <w:spacing w:val="-2"/>
          <w:sz w:val="18"/>
          <w:szCs w:val="18"/>
          <w:lang w:eastAsia="pt-BR"/>
        </w:rPr>
        <w:t>no âmbito d</w:t>
      </w:r>
      <w:r w:rsidRPr="00F85E46">
        <w:rPr>
          <w:rFonts w:ascii="Arial" w:eastAsia="Times New Roman" w:hAnsi="Arial" w:cs="Arial"/>
          <w:spacing w:val="-2"/>
          <w:sz w:val="18"/>
          <w:szCs w:val="18"/>
          <w:lang w:eastAsia="pt-BR"/>
        </w:rPr>
        <w:t xml:space="preserve">a justiça Estadual (em tribunais de justiça estaduais) e </w:t>
      </w:r>
      <w:r w:rsidRPr="00540BBD">
        <w:rPr>
          <w:rFonts w:ascii="Arial" w:eastAsia="Times New Roman" w:hAnsi="Arial" w:cs="Arial"/>
          <w:spacing w:val="-2"/>
          <w:sz w:val="18"/>
          <w:szCs w:val="18"/>
          <w:lang w:eastAsia="pt-BR"/>
        </w:rPr>
        <w:t>4</w:t>
      </w:r>
      <w:r w:rsidRPr="00F85E46">
        <w:rPr>
          <w:rFonts w:ascii="Arial" w:eastAsia="Times New Roman" w:hAnsi="Arial" w:cs="Arial"/>
          <w:spacing w:val="-2"/>
          <w:sz w:val="18"/>
          <w:szCs w:val="18"/>
          <w:lang w:eastAsia="pt-BR"/>
        </w:rPr>
        <w:t xml:space="preserve"> na justiça Federal (em tribunais regionais federais).</w:t>
      </w:r>
    </w:p>
    <w:p w14:paraId="06646D02" w14:textId="2998C081" w:rsidR="00990285" w:rsidRPr="008F5465" w:rsidRDefault="00990285" w:rsidP="00905150">
      <w:pPr>
        <w:spacing w:before="120" w:after="120"/>
        <w:jc w:val="both"/>
        <w:rPr>
          <w:rFonts w:ascii="Arial" w:hAnsi="Arial" w:cs="Arial"/>
          <w:sz w:val="18"/>
          <w:szCs w:val="18"/>
          <w:lang w:eastAsia="pt-BR"/>
        </w:rPr>
      </w:pPr>
      <w:r w:rsidRPr="00F85E46">
        <w:rPr>
          <w:rFonts w:ascii="Arial" w:eastAsia="Times New Roman" w:hAnsi="Arial" w:cs="Arial"/>
          <w:spacing w:val="-2"/>
          <w:sz w:val="18"/>
          <w:szCs w:val="18"/>
          <w:lang w:eastAsia="pt-BR"/>
        </w:rPr>
        <w:t xml:space="preserve">No processo judicial de maior relevância movido contra a BB Corretora, </w:t>
      </w:r>
      <w:bookmarkStart w:id="114" w:name="_Hlk125991363"/>
      <w:r w:rsidRPr="00F85E46">
        <w:rPr>
          <w:rFonts w:ascii="Arial" w:eastAsia="Times New Roman" w:hAnsi="Arial" w:cs="Arial"/>
          <w:spacing w:val="-2"/>
          <w:sz w:val="18"/>
          <w:szCs w:val="18"/>
          <w:lang w:eastAsia="pt-BR"/>
        </w:rPr>
        <w:t xml:space="preserve">a causa de pedir está relacionada ao recolhimento de ISSQN, em trâmite junto ao TJ/MG, </w:t>
      </w:r>
      <w:r>
        <w:rPr>
          <w:rFonts w:ascii="Arial" w:eastAsia="Times New Roman" w:hAnsi="Arial" w:cs="Arial"/>
          <w:spacing w:val="-2"/>
          <w:sz w:val="18"/>
          <w:szCs w:val="18"/>
          <w:lang w:eastAsia="pt-BR"/>
        </w:rPr>
        <w:t xml:space="preserve">em que </w:t>
      </w:r>
      <w:r w:rsidRPr="00F85E46">
        <w:rPr>
          <w:rFonts w:ascii="Arial" w:eastAsia="Times New Roman" w:hAnsi="Arial" w:cs="Arial"/>
          <w:spacing w:val="-2"/>
          <w:sz w:val="18"/>
          <w:szCs w:val="18"/>
          <w:lang w:eastAsia="pt-BR"/>
        </w:rPr>
        <w:t xml:space="preserve">foi atribuído o valor da causa inicial de R$ 8,3 milhões, ajuizado em 29/06/1998. Referida ação foi julgada pelo juízo competente, o qual reconheceu o direito do Município pleiteante em receber </w:t>
      </w:r>
      <w:r w:rsidR="00BE0D62" w:rsidRPr="00F86B75">
        <w:rPr>
          <w:rFonts w:ascii="Arial" w:eastAsia="Times New Roman" w:hAnsi="Arial" w:cs="Arial"/>
          <w:spacing w:val="-2"/>
          <w:sz w:val="18"/>
          <w:szCs w:val="18"/>
          <w:lang w:eastAsia="pt-BR"/>
        </w:rPr>
        <w:t xml:space="preserve">apenas parte do </w:t>
      </w:r>
      <w:r w:rsidRPr="00F85E46">
        <w:rPr>
          <w:rFonts w:ascii="Arial" w:eastAsia="Times New Roman" w:hAnsi="Arial" w:cs="Arial"/>
          <w:spacing w:val="-2"/>
          <w:sz w:val="18"/>
          <w:szCs w:val="18"/>
          <w:lang w:eastAsia="pt-BR"/>
        </w:rPr>
        <w:t xml:space="preserve">ISSQN requerido. </w:t>
      </w:r>
      <w:bookmarkEnd w:id="114"/>
      <w:r w:rsidR="00BE0D62" w:rsidRPr="00F86B75">
        <w:rPr>
          <w:rFonts w:ascii="Arial" w:eastAsia="Times New Roman" w:hAnsi="Arial" w:cs="Arial"/>
          <w:spacing w:val="-2"/>
          <w:sz w:val="18"/>
          <w:szCs w:val="18"/>
          <w:lang w:eastAsia="pt-BR"/>
        </w:rPr>
        <w:t>Na decisão, favorável à parte autora em sede de liquidação da sentença, o juízo determinou o pagamento de R$ 528 mil, em 16/08/2021, relativo ao incontroverso</w:t>
      </w:r>
      <w:r w:rsidRPr="008F5465">
        <w:rPr>
          <w:rFonts w:ascii="Arial" w:hAnsi="Arial" w:cs="Arial"/>
          <w:sz w:val="18"/>
          <w:szCs w:val="18"/>
          <w:lang w:eastAsia="pt-BR"/>
        </w:rPr>
        <w:t>.</w:t>
      </w:r>
    </w:p>
    <w:p w14:paraId="55B6972E" w14:textId="77777777" w:rsidR="00990285" w:rsidRPr="00F85E46" w:rsidRDefault="00990285" w:rsidP="00905150">
      <w:pPr>
        <w:spacing w:before="120" w:after="120"/>
        <w:jc w:val="both"/>
        <w:rPr>
          <w:rFonts w:ascii="Arial" w:eastAsia="Times New Roman" w:hAnsi="Arial" w:cs="Arial"/>
          <w:b/>
          <w:spacing w:val="-2"/>
          <w:sz w:val="18"/>
          <w:szCs w:val="18"/>
          <w:lang w:eastAsia="pt-BR"/>
        </w:rPr>
      </w:pPr>
      <w:r w:rsidRPr="00F85E46">
        <w:rPr>
          <w:rFonts w:ascii="Arial" w:hAnsi="Arial" w:cs="Arial"/>
          <w:spacing w:val="-2"/>
          <w:sz w:val="18"/>
          <w:szCs w:val="18"/>
          <w:lang w:eastAsia="pt-BR"/>
        </w:rPr>
        <w:t>A BB Seguridade e a BB Seguros não possuem ações fiscais com valores significativos</w:t>
      </w:r>
      <w:r w:rsidRPr="00F85E46">
        <w:rPr>
          <w:rFonts w:ascii="Arial" w:eastAsia="Times New Roman" w:hAnsi="Arial" w:cs="Arial"/>
          <w:spacing w:val="-2"/>
          <w:sz w:val="18"/>
          <w:szCs w:val="18"/>
          <w:lang w:eastAsia="pt-BR"/>
        </w:rPr>
        <w:t>.</w:t>
      </w:r>
    </w:p>
    <w:p w14:paraId="58D2950E" w14:textId="77777777" w:rsidR="00990285" w:rsidRPr="000801AF" w:rsidRDefault="00990285" w:rsidP="00990285">
      <w:pPr>
        <w:keepNext/>
        <w:spacing w:before="120" w:after="120"/>
        <w:jc w:val="both"/>
        <w:rPr>
          <w:rFonts w:ascii="Arial" w:eastAsia="Times New Roman" w:hAnsi="Arial" w:cs="Arial"/>
          <w:b/>
          <w:color w:val="1F3864" w:themeColor="accent1" w:themeShade="80"/>
          <w:spacing w:val="-2"/>
          <w:sz w:val="18"/>
          <w:szCs w:val="18"/>
          <w:lang w:eastAsia="pt-BR"/>
        </w:rPr>
      </w:pPr>
      <w:r>
        <w:rPr>
          <w:rFonts w:ascii="Arial" w:eastAsia="Times New Roman" w:hAnsi="Arial" w:cs="Arial"/>
          <w:b/>
          <w:color w:val="1F3864" w:themeColor="accent1" w:themeShade="80"/>
          <w:spacing w:val="-2"/>
          <w:sz w:val="18"/>
          <w:szCs w:val="18"/>
          <w:lang w:eastAsia="pt-BR"/>
        </w:rPr>
        <w:t xml:space="preserve">b) </w:t>
      </w:r>
      <w:r w:rsidRPr="000801AF">
        <w:rPr>
          <w:rFonts w:ascii="Arial" w:eastAsia="Times New Roman" w:hAnsi="Arial" w:cs="Arial"/>
          <w:b/>
          <w:color w:val="1F3864" w:themeColor="accent1" w:themeShade="80"/>
          <w:spacing w:val="-2"/>
          <w:sz w:val="18"/>
          <w:szCs w:val="18"/>
          <w:lang w:eastAsia="pt-BR"/>
        </w:rPr>
        <w:t>Fluxos estimados de saída de benefícios econômicos</w:t>
      </w:r>
    </w:p>
    <w:p w14:paraId="21AD0FA8" w14:textId="77777777" w:rsidR="00990285" w:rsidRPr="00F85E46" w:rsidRDefault="00990285" w:rsidP="00990285">
      <w:pPr>
        <w:spacing w:after="0" w:line="240" w:lineRule="auto"/>
        <w:jc w:val="right"/>
        <w:rPr>
          <w:rFonts w:ascii="Arial" w:eastAsia="Times New Roman" w:hAnsi="Arial" w:cs="Arial"/>
          <w:b/>
          <w:spacing w:val="-2"/>
          <w:sz w:val="14"/>
          <w:szCs w:val="14"/>
          <w:lang w:eastAsia="pt-BR"/>
        </w:rPr>
      </w:pPr>
      <w:r w:rsidRPr="00F85E46">
        <w:rPr>
          <w:rFonts w:ascii="Arial" w:eastAsia="Times New Roman" w:hAnsi="Arial" w:cs="Arial"/>
          <w:b/>
          <w:spacing w:val="-2"/>
          <w:sz w:val="14"/>
          <w:szCs w:val="14"/>
          <w:lang w:eastAsia="pt-BR"/>
        </w:rPr>
        <w:t>R$ mil</w:t>
      </w:r>
    </w:p>
    <w:tbl>
      <w:tblPr>
        <w:tblW w:w="9639" w:type="dxa"/>
        <w:jc w:val="center"/>
        <w:tblBorders>
          <w:top w:val="single" w:sz="2" w:space="0" w:color="1F4E79"/>
          <w:bottom w:val="single" w:sz="2" w:space="0" w:color="1F4E79"/>
          <w:insideH w:val="single" w:sz="2" w:space="0" w:color="1F4E79"/>
        </w:tblBorders>
        <w:tblLook w:val="04A0" w:firstRow="1" w:lastRow="0" w:firstColumn="1" w:lastColumn="0" w:noHBand="0" w:noVBand="1"/>
      </w:tblPr>
      <w:tblGrid>
        <w:gridCol w:w="3046"/>
        <w:gridCol w:w="596"/>
        <w:gridCol w:w="1403"/>
        <w:gridCol w:w="1397"/>
        <w:gridCol w:w="282"/>
        <w:gridCol w:w="1073"/>
        <w:gridCol w:w="1842"/>
      </w:tblGrid>
      <w:tr w:rsidR="00990285" w:rsidRPr="00F85E46" w14:paraId="0BC257B2" w14:textId="77777777">
        <w:trPr>
          <w:trHeight w:hRule="exact" w:val="238"/>
          <w:jc w:val="center"/>
        </w:trPr>
        <w:tc>
          <w:tcPr>
            <w:tcW w:w="3046" w:type="dxa"/>
            <w:tcBorders>
              <w:top w:val="single" w:sz="2" w:space="0" w:color="1F4E79"/>
              <w:left w:val="nil"/>
              <w:bottom w:val="single" w:sz="2" w:space="0" w:color="1F4E79"/>
              <w:right w:val="nil"/>
            </w:tcBorders>
          </w:tcPr>
          <w:p w14:paraId="073E6425" w14:textId="77777777" w:rsidR="00990285" w:rsidRPr="00F85E46" w:rsidRDefault="00990285">
            <w:pPr>
              <w:keepNext/>
              <w:keepLines/>
              <w:spacing w:before="40" w:after="40" w:line="240" w:lineRule="auto"/>
              <w:rPr>
                <w:rFonts w:ascii="Arial" w:hAnsi="Arial" w:cs="Arial"/>
                <w:b/>
                <w:spacing w:val="-2"/>
                <w:sz w:val="14"/>
                <w:szCs w:val="14"/>
              </w:rPr>
            </w:pPr>
          </w:p>
        </w:tc>
        <w:tc>
          <w:tcPr>
            <w:tcW w:w="596" w:type="dxa"/>
            <w:tcBorders>
              <w:top w:val="single" w:sz="2" w:space="0" w:color="1F4E79"/>
              <w:left w:val="nil"/>
              <w:bottom w:val="single" w:sz="2" w:space="0" w:color="1F4E79"/>
              <w:right w:val="nil"/>
            </w:tcBorders>
          </w:tcPr>
          <w:p w14:paraId="7F94972F" w14:textId="77777777" w:rsidR="00990285" w:rsidRPr="00F85E46" w:rsidRDefault="00990285">
            <w:pPr>
              <w:keepNext/>
              <w:keepLines/>
              <w:spacing w:before="40" w:after="40" w:line="240" w:lineRule="auto"/>
              <w:rPr>
                <w:rFonts w:ascii="Arial" w:hAnsi="Arial" w:cs="Arial"/>
                <w:b/>
                <w:spacing w:val="-2"/>
                <w:sz w:val="14"/>
                <w:szCs w:val="14"/>
              </w:rPr>
            </w:pPr>
          </w:p>
        </w:tc>
        <w:tc>
          <w:tcPr>
            <w:tcW w:w="1403" w:type="dxa"/>
            <w:tcBorders>
              <w:top w:val="single" w:sz="2" w:space="0" w:color="1F4E79"/>
              <w:left w:val="nil"/>
              <w:bottom w:val="single" w:sz="2" w:space="0" w:color="1F4E79"/>
              <w:right w:val="nil"/>
            </w:tcBorders>
            <w:hideMark/>
          </w:tcPr>
          <w:p w14:paraId="0278EBAD" w14:textId="77777777" w:rsidR="00990285" w:rsidRPr="00F85E46" w:rsidRDefault="00990285">
            <w:pPr>
              <w:keepNext/>
              <w:keepLines/>
              <w:spacing w:before="40" w:after="40" w:line="240" w:lineRule="auto"/>
              <w:jc w:val="right"/>
              <w:rPr>
                <w:rFonts w:ascii="Arial" w:hAnsi="Arial" w:cs="Arial"/>
                <w:b/>
                <w:spacing w:val="-2"/>
                <w:sz w:val="14"/>
                <w:szCs w:val="14"/>
              </w:rPr>
            </w:pPr>
            <w:r w:rsidRPr="00F85E46">
              <w:rPr>
                <w:rFonts w:ascii="Arial" w:hAnsi="Arial" w:cs="Arial"/>
                <w:b/>
                <w:spacing w:val="-2"/>
                <w:sz w:val="14"/>
                <w:szCs w:val="14"/>
              </w:rPr>
              <w:t>Trabalhistas</w:t>
            </w:r>
          </w:p>
        </w:tc>
        <w:tc>
          <w:tcPr>
            <w:tcW w:w="1397" w:type="dxa"/>
            <w:tcBorders>
              <w:top w:val="single" w:sz="2" w:space="0" w:color="1F4E79"/>
              <w:left w:val="nil"/>
              <w:bottom w:val="single" w:sz="2" w:space="0" w:color="1F4E79"/>
              <w:right w:val="nil"/>
            </w:tcBorders>
            <w:hideMark/>
          </w:tcPr>
          <w:p w14:paraId="73F5FA3A" w14:textId="77777777" w:rsidR="00990285" w:rsidRPr="00F85E46" w:rsidRDefault="00990285">
            <w:pPr>
              <w:keepNext/>
              <w:keepLines/>
              <w:spacing w:before="40" w:after="40" w:line="240" w:lineRule="auto"/>
              <w:jc w:val="right"/>
              <w:rPr>
                <w:rFonts w:ascii="Arial" w:hAnsi="Arial" w:cs="Arial"/>
                <w:b/>
                <w:spacing w:val="-2"/>
                <w:sz w:val="14"/>
                <w:szCs w:val="14"/>
              </w:rPr>
            </w:pPr>
            <w:r w:rsidRPr="00F85E46">
              <w:rPr>
                <w:rFonts w:ascii="Arial" w:hAnsi="Arial" w:cs="Arial"/>
                <w:b/>
                <w:spacing w:val="-2"/>
                <w:sz w:val="14"/>
                <w:szCs w:val="14"/>
              </w:rPr>
              <w:t>Fiscais</w:t>
            </w:r>
          </w:p>
        </w:tc>
        <w:tc>
          <w:tcPr>
            <w:tcW w:w="282" w:type="dxa"/>
            <w:tcBorders>
              <w:top w:val="single" w:sz="2" w:space="0" w:color="1F4E79"/>
              <w:left w:val="nil"/>
              <w:bottom w:val="single" w:sz="2" w:space="0" w:color="1F4E79"/>
              <w:right w:val="nil"/>
            </w:tcBorders>
          </w:tcPr>
          <w:p w14:paraId="3E8D6D9F" w14:textId="77777777" w:rsidR="00990285" w:rsidRPr="00F85E46" w:rsidRDefault="00990285">
            <w:pPr>
              <w:keepNext/>
              <w:keepLines/>
              <w:spacing w:before="40" w:after="40" w:line="240" w:lineRule="auto"/>
              <w:jc w:val="right"/>
              <w:rPr>
                <w:rFonts w:ascii="Arial" w:hAnsi="Arial" w:cs="Arial"/>
                <w:b/>
                <w:spacing w:val="-2"/>
                <w:sz w:val="14"/>
                <w:szCs w:val="14"/>
              </w:rPr>
            </w:pPr>
          </w:p>
        </w:tc>
        <w:tc>
          <w:tcPr>
            <w:tcW w:w="1073" w:type="dxa"/>
            <w:tcBorders>
              <w:top w:val="single" w:sz="2" w:space="0" w:color="1F4E79"/>
              <w:left w:val="nil"/>
              <w:bottom w:val="single" w:sz="2" w:space="0" w:color="1F4E79"/>
              <w:right w:val="nil"/>
            </w:tcBorders>
            <w:hideMark/>
          </w:tcPr>
          <w:p w14:paraId="52B3428E" w14:textId="77777777" w:rsidR="00990285" w:rsidRPr="00F85E46" w:rsidRDefault="00990285">
            <w:pPr>
              <w:keepNext/>
              <w:keepLines/>
              <w:spacing w:before="40" w:after="40" w:line="240" w:lineRule="auto"/>
              <w:jc w:val="right"/>
              <w:rPr>
                <w:rFonts w:ascii="Arial" w:hAnsi="Arial" w:cs="Arial"/>
                <w:b/>
                <w:spacing w:val="-2"/>
                <w:sz w:val="14"/>
                <w:szCs w:val="14"/>
              </w:rPr>
            </w:pPr>
            <w:r w:rsidRPr="00F85E46">
              <w:rPr>
                <w:rFonts w:ascii="Arial" w:hAnsi="Arial" w:cs="Arial"/>
                <w:b/>
                <w:spacing w:val="-2"/>
                <w:sz w:val="14"/>
                <w:szCs w:val="14"/>
              </w:rPr>
              <w:t>Cíveis</w:t>
            </w:r>
          </w:p>
        </w:tc>
        <w:tc>
          <w:tcPr>
            <w:tcW w:w="1842" w:type="dxa"/>
            <w:tcBorders>
              <w:top w:val="single" w:sz="2" w:space="0" w:color="1F4E79"/>
              <w:left w:val="nil"/>
              <w:bottom w:val="single" w:sz="2" w:space="0" w:color="1F4E79"/>
              <w:right w:val="nil"/>
            </w:tcBorders>
            <w:hideMark/>
          </w:tcPr>
          <w:p w14:paraId="420D1A9A" w14:textId="77777777" w:rsidR="00990285" w:rsidRPr="00F85E46" w:rsidRDefault="00990285">
            <w:pPr>
              <w:keepNext/>
              <w:keepLines/>
              <w:spacing w:before="40" w:after="40" w:line="240" w:lineRule="auto"/>
              <w:jc w:val="right"/>
              <w:rPr>
                <w:rFonts w:ascii="Arial" w:hAnsi="Arial" w:cs="Arial"/>
                <w:b/>
                <w:spacing w:val="-2"/>
                <w:sz w:val="14"/>
                <w:szCs w:val="14"/>
              </w:rPr>
            </w:pPr>
            <w:r w:rsidRPr="00F85E46">
              <w:rPr>
                <w:rFonts w:ascii="Arial" w:hAnsi="Arial" w:cs="Arial"/>
                <w:b/>
                <w:spacing w:val="-2"/>
                <w:sz w:val="14"/>
                <w:szCs w:val="14"/>
              </w:rPr>
              <w:t>Total</w:t>
            </w:r>
          </w:p>
        </w:tc>
      </w:tr>
      <w:tr w:rsidR="00BC400E" w:rsidRPr="00F85E46" w14:paraId="30CAA7AC" w14:textId="77777777">
        <w:trPr>
          <w:trHeight w:hRule="exact" w:val="238"/>
          <w:jc w:val="center"/>
        </w:trPr>
        <w:tc>
          <w:tcPr>
            <w:tcW w:w="3046" w:type="dxa"/>
            <w:tcBorders>
              <w:top w:val="single" w:sz="2" w:space="0" w:color="1F4E79"/>
              <w:left w:val="nil"/>
              <w:bottom w:val="nil"/>
              <w:right w:val="nil"/>
            </w:tcBorders>
            <w:hideMark/>
          </w:tcPr>
          <w:p w14:paraId="39AB01A9" w14:textId="77777777" w:rsidR="00BC400E" w:rsidRPr="00F85E46" w:rsidRDefault="00BC400E" w:rsidP="00BC400E">
            <w:pPr>
              <w:keepNext/>
              <w:keepLines/>
              <w:spacing w:before="40" w:after="40" w:line="256" w:lineRule="auto"/>
              <w:rPr>
                <w:rFonts w:ascii="Arial" w:eastAsia="Times New Roman" w:hAnsi="Arial" w:cs="Arial"/>
                <w:b/>
                <w:spacing w:val="-2"/>
                <w:sz w:val="14"/>
                <w:szCs w:val="14"/>
              </w:rPr>
            </w:pPr>
            <w:r w:rsidRPr="00F85E46">
              <w:rPr>
                <w:rFonts w:ascii="Arial" w:eastAsia="Times New Roman" w:hAnsi="Arial" w:cs="Arial"/>
                <w:spacing w:val="-2"/>
                <w:sz w:val="14"/>
                <w:szCs w:val="14"/>
              </w:rPr>
              <w:t>Até 5 anos</w:t>
            </w:r>
          </w:p>
        </w:tc>
        <w:tc>
          <w:tcPr>
            <w:tcW w:w="596" w:type="dxa"/>
            <w:tcBorders>
              <w:top w:val="single" w:sz="2" w:space="0" w:color="1F4E79"/>
              <w:left w:val="nil"/>
              <w:bottom w:val="nil"/>
              <w:right w:val="nil"/>
            </w:tcBorders>
          </w:tcPr>
          <w:p w14:paraId="706B7A7F" w14:textId="77777777" w:rsidR="00BC400E" w:rsidRPr="00F85E46" w:rsidRDefault="00BC400E" w:rsidP="00BC400E">
            <w:pPr>
              <w:keepNext/>
              <w:keepLines/>
              <w:spacing w:before="40" w:after="40" w:line="256" w:lineRule="auto"/>
              <w:jc w:val="right"/>
              <w:rPr>
                <w:rFonts w:ascii="Arial" w:eastAsia="Times New Roman" w:hAnsi="Arial" w:cs="Arial"/>
                <w:spacing w:val="-2"/>
                <w:sz w:val="14"/>
                <w:szCs w:val="14"/>
              </w:rPr>
            </w:pPr>
          </w:p>
        </w:tc>
        <w:tc>
          <w:tcPr>
            <w:tcW w:w="1403" w:type="dxa"/>
            <w:tcBorders>
              <w:top w:val="single" w:sz="2" w:space="0" w:color="1F4E79"/>
              <w:left w:val="nil"/>
              <w:bottom w:val="nil"/>
              <w:right w:val="nil"/>
            </w:tcBorders>
            <w:hideMark/>
          </w:tcPr>
          <w:p w14:paraId="66474CA0" w14:textId="5058910E" w:rsidR="00BC400E" w:rsidRPr="00311F13" w:rsidRDefault="00BC400E" w:rsidP="00BC400E">
            <w:pPr>
              <w:keepNext/>
              <w:keepLines/>
              <w:spacing w:before="40" w:after="40" w:line="256" w:lineRule="auto"/>
              <w:jc w:val="right"/>
              <w:rPr>
                <w:rFonts w:ascii="Arial" w:eastAsia="Times New Roman" w:hAnsi="Arial" w:cs="Times New Roman"/>
                <w:spacing w:val="-2"/>
                <w:sz w:val="14"/>
                <w:szCs w:val="18"/>
              </w:rPr>
            </w:pPr>
            <w:r w:rsidRPr="00311F13">
              <w:rPr>
                <w:rFonts w:ascii="Arial" w:eastAsia="Times New Roman" w:hAnsi="Arial" w:cs="Times New Roman"/>
                <w:spacing w:val="-2"/>
                <w:sz w:val="14"/>
                <w:szCs w:val="18"/>
              </w:rPr>
              <w:t xml:space="preserve"> 449 </w:t>
            </w:r>
          </w:p>
        </w:tc>
        <w:tc>
          <w:tcPr>
            <w:tcW w:w="1397" w:type="dxa"/>
            <w:tcBorders>
              <w:top w:val="single" w:sz="2" w:space="0" w:color="1F4E79"/>
              <w:left w:val="nil"/>
              <w:bottom w:val="nil"/>
              <w:right w:val="nil"/>
            </w:tcBorders>
            <w:hideMark/>
          </w:tcPr>
          <w:p w14:paraId="585384F1" w14:textId="2C8AFE73" w:rsidR="00BC400E" w:rsidRPr="00311F13" w:rsidRDefault="00BC400E" w:rsidP="00BC400E">
            <w:pPr>
              <w:keepNext/>
              <w:keepLines/>
              <w:spacing w:before="40" w:after="40" w:line="256" w:lineRule="auto"/>
              <w:jc w:val="right"/>
              <w:rPr>
                <w:rFonts w:ascii="Arial" w:eastAsia="Times New Roman" w:hAnsi="Arial" w:cs="Times New Roman"/>
                <w:spacing w:val="-2"/>
                <w:sz w:val="14"/>
                <w:szCs w:val="18"/>
              </w:rPr>
            </w:pPr>
            <w:r w:rsidRPr="00311F13">
              <w:rPr>
                <w:rFonts w:ascii="Arial" w:eastAsia="Times New Roman" w:hAnsi="Arial" w:cs="Times New Roman"/>
                <w:spacing w:val="-2"/>
                <w:sz w:val="14"/>
                <w:szCs w:val="18"/>
              </w:rPr>
              <w:t xml:space="preserve"> 54 </w:t>
            </w:r>
          </w:p>
        </w:tc>
        <w:tc>
          <w:tcPr>
            <w:tcW w:w="282" w:type="dxa"/>
            <w:tcBorders>
              <w:top w:val="single" w:sz="2" w:space="0" w:color="1F4E79"/>
              <w:left w:val="nil"/>
              <w:bottom w:val="nil"/>
              <w:right w:val="nil"/>
            </w:tcBorders>
            <w:vAlign w:val="center"/>
          </w:tcPr>
          <w:p w14:paraId="17200432" w14:textId="77777777" w:rsidR="00BC400E" w:rsidRPr="00F85E46" w:rsidRDefault="00BC400E" w:rsidP="00BC400E">
            <w:pPr>
              <w:keepNext/>
              <w:keepLines/>
              <w:spacing w:before="40" w:after="40" w:line="256" w:lineRule="auto"/>
              <w:jc w:val="right"/>
              <w:rPr>
                <w:rFonts w:ascii="Arial" w:eastAsia="Times New Roman" w:hAnsi="Arial" w:cs="Arial"/>
                <w:spacing w:val="-2"/>
                <w:sz w:val="14"/>
                <w:szCs w:val="14"/>
              </w:rPr>
            </w:pPr>
          </w:p>
        </w:tc>
        <w:tc>
          <w:tcPr>
            <w:tcW w:w="1073" w:type="dxa"/>
            <w:tcBorders>
              <w:top w:val="single" w:sz="2" w:space="0" w:color="1F4E79"/>
              <w:left w:val="nil"/>
              <w:bottom w:val="nil"/>
              <w:right w:val="nil"/>
            </w:tcBorders>
            <w:hideMark/>
          </w:tcPr>
          <w:p w14:paraId="424DA231" w14:textId="2FE0E8DC" w:rsidR="00BC400E" w:rsidRPr="00BC400E" w:rsidRDefault="00BC400E" w:rsidP="00BC400E">
            <w:pPr>
              <w:keepNext/>
              <w:keepLines/>
              <w:spacing w:before="40" w:after="40" w:line="256" w:lineRule="auto"/>
              <w:jc w:val="right"/>
              <w:rPr>
                <w:rFonts w:ascii="Arial" w:eastAsia="Times New Roman" w:hAnsi="Arial" w:cs="Times New Roman"/>
                <w:spacing w:val="-2"/>
                <w:sz w:val="14"/>
                <w:szCs w:val="18"/>
              </w:rPr>
            </w:pPr>
            <w:r w:rsidRPr="00BC400E">
              <w:rPr>
                <w:rFonts w:ascii="Arial" w:eastAsia="Times New Roman" w:hAnsi="Arial" w:cs="Times New Roman"/>
                <w:spacing w:val="-2"/>
                <w:sz w:val="14"/>
                <w:szCs w:val="18"/>
              </w:rPr>
              <w:t xml:space="preserve"> 46.806 </w:t>
            </w:r>
          </w:p>
        </w:tc>
        <w:tc>
          <w:tcPr>
            <w:tcW w:w="1842" w:type="dxa"/>
            <w:tcBorders>
              <w:top w:val="single" w:sz="2" w:space="0" w:color="1F4E79"/>
              <w:left w:val="nil"/>
              <w:bottom w:val="nil"/>
              <w:right w:val="nil"/>
            </w:tcBorders>
            <w:hideMark/>
          </w:tcPr>
          <w:p w14:paraId="37541C33" w14:textId="72CFC234" w:rsidR="00BC400E" w:rsidRPr="00BC400E" w:rsidRDefault="00BC400E" w:rsidP="00BC400E">
            <w:pPr>
              <w:keepNext/>
              <w:keepLines/>
              <w:spacing w:before="40" w:after="40" w:line="256" w:lineRule="auto"/>
              <w:jc w:val="right"/>
              <w:rPr>
                <w:rFonts w:ascii="Arial" w:eastAsia="Times New Roman" w:hAnsi="Arial" w:cs="Times New Roman"/>
                <w:spacing w:val="-2"/>
                <w:sz w:val="14"/>
                <w:szCs w:val="18"/>
              </w:rPr>
            </w:pPr>
            <w:r w:rsidRPr="00BC400E">
              <w:rPr>
                <w:rFonts w:ascii="Arial" w:eastAsia="Times New Roman" w:hAnsi="Arial" w:cs="Times New Roman"/>
                <w:spacing w:val="-2"/>
                <w:sz w:val="14"/>
                <w:szCs w:val="18"/>
              </w:rPr>
              <w:t xml:space="preserve"> 47.309 </w:t>
            </w:r>
          </w:p>
        </w:tc>
      </w:tr>
      <w:tr w:rsidR="00BC400E" w:rsidRPr="00F85E46" w14:paraId="50293906" w14:textId="77777777">
        <w:trPr>
          <w:trHeight w:hRule="exact" w:val="238"/>
          <w:jc w:val="center"/>
        </w:trPr>
        <w:tc>
          <w:tcPr>
            <w:tcW w:w="3046" w:type="dxa"/>
            <w:tcBorders>
              <w:top w:val="nil"/>
              <w:left w:val="nil"/>
              <w:bottom w:val="nil"/>
              <w:right w:val="nil"/>
            </w:tcBorders>
            <w:hideMark/>
          </w:tcPr>
          <w:p w14:paraId="698F2E79" w14:textId="77777777" w:rsidR="00BC400E" w:rsidRPr="00F85E46" w:rsidRDefault="00BC400E" w:rsidP="00BC400E">
            <w:pPr>
              <w:keepNext/>
              <w:keepLines/>
              <w:spacing w:before="40" w:after="40" w:line="256" w:lineRule="auto"/>
              <w:rPr>
                <w:rFonts w:ascii="Arial" w:eastAsia="Times New Roman" w:hAnsi="Arial" w:cs="Arial"/>
                <w:b/>
                <w:spacing w:val="-2"/>
                <w:sz w:val="14"/>
                <w:szCs w:val="14"/>
              </w:rPr>
            </w:pPr>
            <w:r w:rsidRPr="00F85E46">
              <w:rPr>
                <w:rFonts w:ascii="Arial" w:eastAsia="Times New Roman" w:hAnsi="Arial" w:cs="Arial"/>
                <w:spacing w:val="-2"/>
                <w:sz w:val="14"/>
                <w:szCs w:val="14"/>
              </w:rPr>
              <w:t>Acima de 5 anos</w:t>
            </w:r>
          </w:p>
        </w:tc>
        <w:tc>
          <w:tcPr>
            <w:tcW w:w="596" w:type="dxa"/>
            <w:tcBorders>
              <w:top w:val="nil"/>
              <w:left w:val="nil"/>
              <w:bottom w:val="nil"/>
              <w:right w:val="nil"/>
            </w:tcBorders>
          </w:tcPr>
          <w:p w14:paraId="34F6D29E" w14:textId="77777777" w:rsidR="00BC400E" w:rsidRPr="00F85E46" w:rsidRDefault="00BC400E" w:rsidP="00BC400E">
            <w:pPr>
              <w:keepNext/>
              <w:keepLines/>
              <w:spacing w:before="40" w:after="40" w:line="256" w:lineRule="auto"/>
              <w:jc w:val="right"/>
              <w:rPr>
                <w:rFonts w:ascii="Arial" w:eastAsia="Times New Roman" w:hAnsi="Arial" w:cs="Arial"/>
                <w:spacing w:val="-2"/>
                <w:sz w:val="14"/>
                <w:szCs w:val="14"/>
              </w:rPr>
            </w:pPr>
          </w:p>
        </w:tc>
        <w:tc>
          <w:tcPr>
            <w:tcW w:w="1403" w:type="dxa"/>
            <w:tcBorders>
              <w:top w:val="nil"/>
              <w:left w:val="nil"/>
              <w:bottom w:val="nil"/>
              <w:right w:val="nil"/>
            </w:tcBorders>
            <w:hideMark/>
          </w:tcPr>
          <w:p w14:paraId="7BFAB822" w14:textId="5101232C" w:rsidR="00BC400E" w:rsidRPr="00311F13" w:rsidRDefault="00BC400E" w:rsidP="00BC400E">
            <w:pPr>
              <w:keepNext/>
              <w:keepLines/>
              <w:spacing w:before="40" w:after="40" w:line="256" w:lineRule="auto"/>
              <w:jc w:val="right"/>
              <w:rPr>
                <w:rFonts w:ascii="Arial" w:eastAsia="Times New Roman" w:hAnsi="Arial" w:cs="Times New Roman"/>
                <w:spacing w:val="-2"/>
                <w:sz w:val="14"/>
                <w:szCs w:val="18"/>
              </w:rPr>
            </w:pPr>
            <w:r w:rsidRPr="00311F13">
              <w:rPr>
                <w:rFonts w:ascii="Arial" w:eastAsia="Times New Roman" w:hAnsi="Arial" w:cs="Times New Roman"/>
                <w:spacing w:val="-2"/>
                <w:sz w:val="14"/>
                <w:szCs w:val="18"/>
              </w:rPr>
              <w:t xml:space="preserve"> 5 </w:t>
            </w:r>
          </w:p>
        </w:tc>
        <w:tc>
          <w:tcPr>
            <w:tcW w:w="1397" w:type="dxa"/>
            <w:tcBorders>
              <w:top w:val="nil"/>
              <w:left w:val="nil"/>
              <w:bottom w:val="nil"/>
              <w:right w:val="nil"/>
            </w:tcBorders>
            <w:hideMark/>
          </w:tcPr>
          <w:p w14:paraId="5C76EE28" w14:textId="0014C4E9" w:rsidR="00BC400E" w:rsidRPr="00311F13" w:rsidRDefault="00BC400E" w:rsidP="00BC400E">
            <w:pPr>
              <w:keepNext/>
              <w:keepLines/>
              <w:spacing w:before="40" w:after="40" w:line="256" w:lineRule="auto"/>
              <w:jc w:val="right"/>
              <w:rPr>
                <w:rFonts w:ascii="Arial" w:eastAsia="Times New Roman" w:hAnsi="Arial" w:cs="Times New Roman"/>
                <w:spacing w:val="-2"/>
                <w:sz w:val="14"/>
                <w:szCs w:val="18"/>
              </w:rPr>
            </w:pPr>
            <w:r w:rsidRPr="00311F13">
              <w:rPr>
                <w:rFonts w:ascii="Arial" w:eastAsia="Times New Roman" w:hAnsi="Arial" w:cs="Times New Roman"/>
                <w:spacing w:val="-2"/>
                <w:sz w:val="14"/>
                <w:szCs w:val="18"/>
              </w:rPr>
              <w:t xml:space="preserve"> 14 </w:t>
            </w:r>
          </w:p>
        </w:tc>
        <w:tc>
          <w:tcPr>
            <w:tcW w:w="282" w:type="dxa"/>
            <w:tcBorders>
              <w:top w:val="nil"/>
              <w:left w:val="nil"/>
              <w:bottom w:val="nil"/>
              <w:right w:val="nil"/>
            </w:tcBorders>
            <w:vAlign w:val="center"/>
          </w:tcPr>
          <w:p w14:paraId="599B4D78" w14:textId="77777777" w:rsidR="00BC400E" w:rsidRPr="00F85E46" w:rsidRDefault="00BC400E" w:rsidP="00BC400E">
            <w:pPr>
              <w:keepNext/>
              <w:keepLines/>
              <w:spacing w:before="40" w:after="40" w:line="256" w:lineRule="auto"/>
              <w:jc w:val="right"/>
              <w:rPr>
                <w:rFonts w:ascii="Arial" w:eastAsia="Times New Roman" w:hAnsi="Arial" w:cs="Arial"/>
                <w:spacing w:val="-2"/>
                <w:sz w:val="14"/>
                <w:szCs w:val="14"/>
              </w:rPr>
            </w:pPr>
          </w:p>
        </w:tc>
        <w:tc>
          <w:tcPr>
            <w:tcW w:w="1073" w:type="dxa"/>
            <w:tcBorders>
              <w:top w:val="nil"/>
              <w:left w:val="nil"/>
              <w:bottom w:val="nil"/>
              <w:right w:val="nil"/>
            </w:tcBorders>
            <w:hideMark/>
          </w:tcPr>
          <w:p w14:paraId="35F7E5BD" w14:textId="015FEEC7" w:rsidR="00BC400E" w:rsidRPr="00BC400E" w:rsidRDefault="00BC400E" w:rsidP="00BC400E">
            <w:pPr>
              <w:keepNext/>
              <w:keepLines/>
              <w:spacing w:before="40" w:after="40" w:line="256" w:lineRule="auto"/>
              <w:jc w:val="right"/>
              <w:rPr>
                <w:rFonts w:ascii="Arial" w:eastAsia="Times New Roman" w:hAnsi="Arial" w:cs="Times New Roman"/>
                <w:spacing w:val="-2"/>
                <w:sz w:val="14"/>
                <w:szCs w:val="18"/>
              </w:rPr>
            </w:pPr>
            <w:r w:rsidRPr="00BC400E">
              <w:rPr>
                <w:rFonts w:ascii="Arial" w:eastAsia="Times New Roman" w:hAnsi="Arial" w:cs="Times New Roman"/>
                <w:spacing w:val="-2"/>
                <w:sz w:val="14"/>
                <w:szCs w:val="18"/>
              </w:rPr>
              <w:t xml:space="preserve"> 3.101 </w:t>
            </w:r>
          </w:p>
        </w:tc>
        <w:tc>
          <w:tcPr>
            <w:tcW w:w="1842" w:type="dxa"/>
            <w:tcBorders>
              <w:top w:val="nil"/>
              <w:left w:val="nil"/>
              <w:bottom w:val="nil"/>
              <w:right w:val="nil"/>
            </w:tcBorders>
            <w:hideMark/>
          </w:tcPr>
          <w:p w14:paraId="023541C8" w14:textId="4E21EF91" w:rsidR="00BC400E" w:rsidRPr="00BC400E" w:rsidRDefault="00BC400E" w:rsidP="00BC400E">
            <w:pPr>
              <w:keepNext/>
              <w:keepLines/>
              <w:spacing w:before="40" w:after="40" w:line="256" w:lineRule="auto"/>
              <w:jc w:val="right"/>
              <w:rPr>
                <w:rFonts w:ascii="Arial" w:eastAsia="Times New Roman" w:hAnsi="Arial" w:cs="Times New Roman"/>
                <w:spacing w:val="-2"/>
                <w:sz w:val="14"/>
                <w:szCs w:val="18"/>
              </w:rPr>
            </w:pPr>
            <w:r w:rsidRPr="00BC400E">
              <w:rPr>
                <w:rFonts w:ascii="Arial" w:eastAsia="Times New Roman" w:hAnsi="Arial" w:cs="Times New Roman"/>
                <w:spacing w:val="-2"/>
                <w:sz w:val="14"/>
                <w:szCs w:val="18"/>
              </w:rPr>
              <w:t xml:space="preserve"> 3.120 </w:t>
            </w:r>
          </w:p>
        </w:tc>
      </w:tr>
      <w:tr w:rsidR="00BC400E" w:rsidRPr="00F85E46" w14:paraId="5C65E3B1" w14:textId="77777777">
        <w:trPr>
          <w:trHeight w:hRule="exact" w:val="238"/>
          <w:jc w:val="center"/>
        </w:trPr>
        <w:tc>
          <w:tcPr>
            <w:tcW w:w="3046" w:type="dxa"/>
            <w:tcBorders>
              <w:top w:val="nil"/>
              <w:left w:val="nil"/>
              <w:bottom w:val="single" w:sz="2" w:space="0" w:color="1F4E79"/>
              <w:right w:val="nil"/>
            </w:tcBorders>
            <w:hideMark/>
          </w:tcPr>
          <w:p w14:paraId="587D6AD4" w14:textId="77777777" w:rsidR="00BC400E" w:rsidRPr="00F85E46" w:rsidRDefault="00BC400E" w:rsidP="00BC400E">
            <w:pPr>
              <w:keepNext/>
              <w:keepLines/>
              <w:spacing w:before="40" w:after="40" w:line="240" w:lineRule="auto"/>
              <w:rPr>
                <w:rFonts w:ascii="Arial" w:hAnsi="Arial" w:cs="Arial"/>
                <w:b/>
                <w:bCs/>
                <w:spacing w:val="-2"/>
                <w:sz w:val="14"/>
                <w:szCs w:val="14"/>
              </w:rPr>
            </w:pPr>
            <w:r w:rsidRPr="00F85E46">
              <w:rPr>
                <w:rFonts w:ascii="Arial" w:hAnsi="Arial" w:cs="Arial"/>
                <w:b/>
                <w:spacing w:val="-2"/>
                <w:sz w:val="14"/>
                <w:szCs w:val="14"/>
              </w:rPr>
              <w:t>Total</w:t>
            </w:r>
          </w:p>
        </w:tc>
        <w:tc>
          <w:tcPr>
            <w:tcW w:w="596" w:type="dxa"/>
            <w:tcBorders>
              <w:top w:val="nil"/>
              <w:left w:val="nil"/>
              <w:bottom w:val="single" w:sz="2" w:space="0" w:color="1F4E79"/>
              <w:right w:val="nil"/>
            </w:tcBorders>
          </w:tcPr>
          <w:p w14:paraId="5E783B14" w14:textId="77777777" w:rsidR="00BC400E" w:rsidRPr="00F85E46" w:rsidRDefault="00BC400E" w:rsidP="00BC400E">
            <w:pPr>
              <w:keepNext/>
              <w:keepLines/>
              <w:spacing w:before="40" w:after="40" w:line="256" w:lineRule="auto"/>
              <w:jc w:val="right"/>
              <w:rPr>
                <w:rFonts w:ascii="Arial" w:eastAsia="Times New Roman" w:hAnsi="Arial" w:cs="Arial"/>
                <w:b/>
                <w:spacing w:val="-2"/>
                <w:sz w:val="14"/>
                <w:szCs w:val="14"/>
              </w:rPr>
            </w:pPr>
          </w:p>
        </w:tc>
        <w:tc>
          <w:tcPr>
            <w:tcW w:w="1403" w:type="dxa"/>
            <w:tcBorders>
              <w:top w:val="nil"/>
              <w:left w:val="nil"/>
              <w:bottom w:val="single" w:sz="2" w:space="0" w:color="1F4E79"/>
              <w:right w:val="nil"/>
            </w:tcBorders>
            <w:hideMark/>
          </w:tcPr>
          <w:p w14:paraId="457F55F7" w14:textId="6208B4F6" w:rsidR="00BC400E" w:rsidRPr="00BC400E" w:rsidRDefault="00BC400E" w:rsidP="00BC400E">
            <w:pPr>
              <w:keepNext/>
              <w:keepLines/>
              <w:spacing w:before="40" w:after="40" w:line="256" w:lineRule="auto"/>
              <w:jc w:val="right"/>
              <w:rPr>
                <w:rFonts w:ascii="Arial" w:eastAsia="Times New Roman" w:hAnsi="Arial" w:cs="Times New Roman"/>
                <w:b/>
                <w:bCs/>
                <w:spacing w:val="-2"/>
                <w:sz w:val="14"/>
                <w:szCs w:val="18"/>
              </w:rPr>
            </w:pPr>
            <w:r w:rsidRPr="00BC400E">
              <w:rPr>
                <w:rFonts w:ascii="Arial" w:eastAsia="Times New Roman" w:hAnsi="Arial" w:cs="Times New Roman"/>
                <w:b/>
                <w:bCs/>
                <w:spacing w:val="-2"/>
                <w:sz w:val="14"/>
                <w:szCs w:val="18"/>
              </w:rPr>
              <w:t xml:space="preserve"> 454 </w:t>
            </w:r>
          </w:p>
        </w:tc>
        <w:tc>
          <w:tcPr>
            <w:tcW w:w="1397" w:type="dxa"/>
            <w:tcBorders>
              <w:top w:val="nil"/>
              <w:left w:val="nil"/>
              <w:bottom w:val="single" w:sz="2" w:space="0" w:color="1F4E79"/>
              <w:right w:val="nil"/>
            </w:tcBorders>
            <w:hideMark/>
          </w:tcPr>
          <w:p w14:paraId="4111CD8E" w14:textId="2B2D5F75" w:rsidR="00BC400E" w:rsidRPr="00BC400E" w:rsidRDefault="00BC400E" w:rsidP="00BC400E">
            <w:pPr>
              <w:keepNext/>
              <w:keepLines/>
              <w:spacing w:before="40" w:after="40" w:line="256" w:lineRule="auto"/>
              <w:jc w:val="right"/>
              <w:rPr>
                <w:rFonts w:ascii="Arial" w:eastAsia="Times New Roman" w:hAnsi="Arial" w:cs="Times New Roman"/>
                <w:b/>
                <w:bCs/>
                <w:spacing w:val="-2"/>
                <w:sz w:val="14"/>
                <w:szCs w:val="18"/>
              </w:rPr>
            </w:pPr>
            <w:r w:rsidRPr="00BC400E">
              <w:rPr>
                <w:rFonts w:ascii="Arial" w:eastAsia="Times New Roman" w:hAnsi="Arial" w:cs="Times New Roman"/>
                <w:b/>
                <w:bCs/>
                <w:spacing w:val="-2"/>
                <w:sz w:val="14"/>
                <w:szCs w:val="18"/>
              </w:rPr>
              <w:t xml:space="preserve"> 68 </w:t>
            </w:r>
          </w:p>
        </w:tc>
        <w:tc>
          <w:tcPr>
            <w:tcW w:w="282" w:type="dxa"/>
            <w:tcBorders>
              <w:top w:val="nil"/>
              <w:left w:val="nil"/>
              <w:bottom w:val="single" w:sz="2" w:space="0" w:color="1F4E79"/>
              <w:right w:val="nil"/>
            </w:tcBorders>
            <w:vAlign w:val="center"/>
          </w:tcPr>
          <w:p w14:paraId="63079ED8" w14:textId="77777777" w:rsidR="00BC400E" w:rsidRPr="00BC400E" w:rsidRDefault="00BC400E" w:rsidP="00BC400E">
            <w:pPr>
              <w:keepNext/>
              <w:keepLines/>
              <w:spacing w:before="40" w:after="40" w:line="256" w:lineRule="auto"/>
              <w:jc w:val="right"/>
              <w:rPr>
                <w:rFonts w:ascii="Arial" w:eastAsia="Times New Roman" w:hAnsi="Arial" w:cs="Arial"/>
                <w:b/>
                <w:bCs/>
                <w:spacing w:val="-2"/>
                <w:sz w:val="14"/>
                <w:szCs w:val="14"/>
              </w:rPr>
            </w:pPr>
          </w:p>
        </w:tc>
        <w:tc>
          <w:tcPr>
            <w:tcW w:w="1073" w:type="dxa"/>
            <w:tcBorders>
              <w:top w:val="nil"/>
              <w:left w:val="nil"/>
              <w:bottom w:val="single" w:sz="2" w:space="0" w:color="1F4E79"/>
              <w:right w:val="nil"/>
            </w:tcBorders>
            <w:hideMark/>
          </w:tcPr>
          <w:p w14:paraId="3665B1A4" w14:textId="40741C7C" w:rsidR="00BC400E" w:rsidRPr="00BC400E" w:rsidRDefault="00BC400E" w:rsidP="00BC400E">
            <w:pPr>
              <w:keepNext/>
              <w:keepLines/>
              <w:spacing w:before="40" w:after="40" w:line="256" w:lineRule="auto"/>
              <w:jc w:val="right"/>
              <w:rPr>
                <w:rFonts w:ascii="Arial" w:eastAsia="Times New Roman" w:hAnsi="Arial" w:cs="Times New Roman"/>
                <w:b/>
                <w:bCs/>
                <w:spacing w:val="-2"/>
                <w:sz w:val="14"/>
                <w:szCs w:val="18"/>
              </w:rPr>
            </w:pPr>
            <w:r w:rsidRPr="00BC400E">
              <w:rPr>
                <w:rFonts w:ascii="Arial" w:eastAsia="Times New Roman" w:hAnsi="Arial" w:cs="Times New Roman"/>
                <w:b/>
                <w:bCs/>
                <w:spacing w:val="-2"/>
                <w:sz w:val="14"/>
                <w:szCs w:val="18"/>
              </w:rPr>
              <w:t xml:space="preserve"> 49.907 </w:t>
            </w:r>
          </w:p>
        </w:tc>
        <w:tc>
          <w:tcPr>
            <w:tcW w:w="1842" w:type="dxa"/>
            <w:tcBorders>
              <w:top w:val="nil"/>
              <w:left w:val="nil"/>
              <w:bottom w:val="single" w:sz="2" w:space="0" w:color="1F4E79"/>
              <w:right w:val="nil"/>
            </w:tcBorders>
            <w:hideMark/>
          </w:tcPr>
          <w:p w14:paraId="765CAD01" w14:textId="5166919D" w:rsidR="00BC400E" w:rsidRPr="00BC400E" w:rsidRDefault="00BC400E" w:rsidP="00BC400E">
            <w:pPr>
              <w:keepNext/>
              <w:keepLines/>
              <w:spacing w:before="40" w:after="40" w:line="256" w:lineRule="auto"/>
              <w:jc w:val="right"/>
              <w:rPr>
                <w:rFonts w:ascii="Arial" w:eastAsia="Times New Roman" w:hAnsi="Arial" w:cs="Times New Roman"/>
                <w:b/>
                <w:bCs/>
                <w:spacing w:val="-2"/>
                <w:sz w:val="14"/>
                <w:szCs w:val="18"/>
              </w:rPr>
            </w:pPr>
            <w:r w:rsidRPr="00BC400E">
              <w:rPr>
                <w:rFonts w:ascii="Arial" w:eastAsia="Times New Roman" w:hAnsi="Arial" w:cs="Times New Roman"/>
                <w:b/>
                <w:bCs/>
                <w:spacing w:val="-2"/>
                <w:sz w:val="14"/>
                <w:szCs w:val="18"/>
              </w:rPr>
              <w:t xml:space="preserve"> 50.429 </w:t>
            </w:r>
          </w:p>
        </w:tc>
      </w:tr>
    </w:tbl>
    <w:p w14:paraId="4BDCDF88" w14:textId="77777777" w:rsidR="00990285" w:rsidRPr="00F85E46" w:rsidRDefault="00990285" w:rsidP="00990285">
      <w:pPr>
        <w:spacing w:before="120" w:after="120"/>
        <w:jc w:val="both"/>
        <w:rPr>
          <w:rFonts w:ascii="Arial" w:eastAsia="Times New Roman" w:hAnsi="Arial" w:cs="Arial"/>
          <w:spacing w:val="-2"/>
          <w:sz w:val="18"/>
          <w:szCs w:val="18"/>
          <w:lang w:eastAsia="pt-BR"/>
        </w:rPr>
      </w:pPr>
      <w:r w:rsidRPr="00F85E46">
        <w:rPr>
          <w:rFonts w:ascii="Arial" w:eastAsia="Times New Roman" w:hAnsi="Arial" w:cs="Arial"/>
          <w:spacing w:val="-2"/>
          <w:sz w:val="18"/>
          <w:szCs w:val="18"/>
          <w:lang w:eastAsia="pt-BR"/>
        </w:rPr>
        <w:t>O cenário de imprevisibilidade do tempo de duração dos processos e a possibilidade de alterações na jurisprudência dos tribunais tornam incertos os valores e o cronograma esperado de saída.</w:t>
      </w:r>
    </w:p>
    <w:p w14:paraId="73784343" w14:textId="77777777" w:rsidR="00990285" w:rsidRPr="000801AF" w:rsidRDefault="00990285" w:rsidP="00990285">
      <w:pPr>
        <w:spacing w:before="120" w:after="120"/>
        <w:jc w:val="both"/>
        <w:rPr>
          <w:rFonts w:ascii="Arial" w:eastAsia="Times New Roman" w:hAnsi="Arial" w:cs="Arial"/>
          <w:b/>
          <w:color w:val="1F3864" w:themeColor="accent1" w:themeShade="80"/>
          <w:spacing w:val="-2"/>
          <w:sz w:val="18"/>
          <w:szCs w:val="18"/>
          <w:lang w:eastAsia="pt-BR"/>
        </w:rPr>
      </w:pPr>
      <w:r>
        <w:rPr>
          <w:rFonts w:ascii="Arial" w:eastAsia="Times New Roman" w:hAnsi="Arial" w:cs="Arial"/>
          <w:b/>
          <w:color w:val="1F3864" w:themeColor="accent1" w:themeShade="80"/>
          <w:spacing w:val="-2"/>
          <w:sz w:val="18"/>
          <w:szCs w:val="18"/>
          <w:lang w:eastAsia="pt-BR"/>
        </w:rPr>
        <w:t>c</w:t>
      </w:r>
      <w:r w:rsidRPr="000801AF">
        <w:rPr>
          <w:rFonts w:ascii="Arial" w:eastAsia="Times New Roman" w:hAnsi="Arial" w:cs="Arial"/>
          <w:b/>
          <w:color w:val="1F3864" w:themeColor="accent1" w:themeShade="80"/>
          <w:spacing w:val="-2"/>
          <w:sz w:val="18"/>
          <w:szCs w:val="18"/>
          <w:lang w:eastAsia="pt-BR"/>
        </w:rPr>
        <w:t xml:space="preserve">) Passivos </w:t>
      </w:r>
      <w:r>
        <w:rPr>
          <w:rFonts w:ascii="Arial" w:eastAsia="Times New Roman" w:hAnsi="Arial" w:cs="Arial"/>
          <w:b/>
          <w:color w:val="1F3864" w:themeColor="accent1" w:themeShade="80"/>
          <w:spacing w:val="-2"/>
          <w:sz w:val="18"/>
          <w:szCs w:val="18"/>
          <w:lang w:eastAsia="pt-BR"/>
        </w:rPr>
        <w:t>c</w:t>
      </w:r>
      <w:r w:rsidRPr="000801AF">
        <w:rPr>
          <w:rFonts w:ascii="Arial" w:eastAsia="Times New Roman" w:hAnsi="Arial" w:cs="Arial"/>
          <w:b/>
          <w:color w:val="1F3864" w:themeColor="accent1" w:themeShade="80"/>
          <w:spacing w:val="-2"/>
          <w:sz w:val="18"/>
          <w:szCs w:val="18"/>
          <w:lang w:eastAsia="pt-BR"/>
        </w:rPr>
        <w:t xml:space="preserve">ontingentes </w:t>
      </w:r>
      <w:r>
        <w:rPr>
          <w:rFonts w:ascii="Arial" w:eastAsia="Times New Roman" w:hAnsi="Arial" w:cs="Arial"/>
          <w:b/>
          <w:color w:val="1F3864" w:themeColor="accent1" w:themeShade="80"/>
          <w:spacing w:val="-2"/>
          <w:sz w:val="18"/>
          <w:szCs w:val="18"/>
          <w:lang w:eastAsia="pt-BR"/>
        </w:rPr>
        <w:t>-</w:t>
      </w:r>
      <w:r w:rsidRPr="000801AF">
        <w:rPr>
          <w:rFonts w:ascii="Arial" w:eastAsia="Times New Roman" w:hAnsi="Arial" w:cs="Arial"/>
          <w:b/>
          <w:color w:val="1F3864" w:themeColor="accent1" w:themeShade="80"/>
          <w:spacing w:val="-2"/>
          <w:sz w:val="18"/>
          <w:szCs w:val="18"/>
          <w:lang w:eastAsia="pt-BR"/>
        </w:rPr>
        <w:t xml:space="preserve"> </w:t>
      </w:r>
      <w:r>
        <w:rPr>
          <w:rFonts w:ascii="Arial" w:eastAsia="Times New Roman" w:hAnsi="Arial" w:cs="Arial"/>
          <w:b/>
          <w:color w:val="1F3864" w:themeColor="accent1" w:themeShade="80"/>
          <w:spacing w:val="-2"/>
          <w:sz w:val="18"/>
          <w:szCs w:val="18"/>
          <w:lang w:eastAsia="pt-BR"/>
        </w:rPr>
        <w:t>perdas p</w:t>
      </w:r>
      <w:r w:rsidRPr="000801AF">
        <w:rPr>
          <w:rFonts w:ascii="Arial" w:eastAsia="Times New Roman" w:hAnsi="Arial" w:cs="Arial"/>
          <w:b/>
          <w:color w:val="1F3864" w:themeColor="accent1" w:themeShade="80"/>
          <w:spacing w:val="-2"/>
          <w:sz w:val="18"/>
          <w:szCs w:val="18"/>
          <w:lang w:eastAsia="pt-BR"/>
        </w:rPr>
        <w:t>ossíveis</w:t>
      </w:r>
    </w:p>
    <w:p w14:paraId="67B95FE4" w14:textId="77777777" w:rsidR="00990285" w:rsidRDefault="00990285" w:rsidP="00990285">
      <w:pPr>
        <w:spacing w:before="120" w:after="120"/>
        <w:jc w:val="both"/>
        <w:rPr>
          <w:rFonts w:ascii="Arial" w:eastAsia="Times New Roman" w:hAnsi="Arial" w:cs="Arial"/>
          <w:spacing w:val="-2"/>
          <w:sz w:val="18"/>
          <w:szCs w:val="18"/>
          <w:lang w:eastAsia="pt-BR"/>
        </w:rPr>
      </w:pPr>
      <w:r w:rsidRPr="00F85E46">
        <w:rPr>
          <w:rFonts w:ascii="Arial" w:eastAsia="Times New Roman" w:hAnsi="Arial" w:cs="Arial"/>
          <w:spacing w:val="-2"/>
          <w:sz w:val="18"/>
          <w:szCs w:val="18"/>
          <w:lang w:eastAsia="pt-BR"/>
        </w:rPr>
        <w:t xml:space="preserve">As demandas fiscais e cíveis classificadas com risco </w:t>
      </w:r>
      <w:r>
        <w:rPr>
          <w:rFonts w:ascii="Arial" w:eastAsia="Times New Roman" w:hAnsi="Arial" w:cs="Arial"/>
          <w:spacing w:val="-2"/>
          <w:sz w:val="18"/>
          <w:szCs w:val="18"/>
          <w:lang w:eastAsia="pt-BR"/>
        </w:rPr>
        <w:t xml:space="preserve">de perdas </w:t>
      </w:r>
      <w:r w:rsidRPr="00F85E46">
        <w:rPr>
          <w:rFonts w:ascii="Arial" w:eastAsia="Times New Roman" w:hAnsi="Arial" w:cs="Arial"/>
          <w:spacing w:val="-2"/>
          <w:sz w:val="18"/>
          <w:szCs w:val="18"/>
          <w:lang w:eastAsia="pt-BR"/>
        </w:rPr>
        <w:t>possível</w:t>
      </w:r>
      <w:r>
        <w:rPr>
          <w:rFonts w:ascii="Arial" w:eastAsia="Times New Roman" w:hAnsi="Arial" w:cs="Arial"/>
          <w:spacing w:val="-2"/>
          <w:sz w:val="18"/>
          <w:szCs w:val="18"/>
          <w:lang w:eastAsia="pt-BR"/>
        </w:rPr>
        <w:t xml:space="preserve"> </w:t>
      </w:r>
      <w:r w:rsidRPr="00F85E46">
        <w:rPr>
          <w:rFonts w:ascii="Arial" w:eastAsia="Times New Roman" w:hAnsi="Arial" w:cs="Arial"/>
          <w:spacing w:val="-2"/>
          <w:sz w:val="18"/>
          <w:szCs w:val="18"/>
          <w:lang w:eastAsia="pt-BR"/>
        </w:rPr>
        <w:t>são dispensadas de constituição de provisão, em conformidade com o CPC 25 [IAS 37].</w:t>
      </w:r>
    </w:p>
    <w:p w14:paraId="4DA0A616" w14:textId="77777777" w:rsidR="00990285" w:rsidRPr="00F85E46" w:rsidRDefault="00990285" w:rsidP="00990285">
      <w:pPr>
        <w:spacing w:after="0" w:line="240" w:lineRule="auto"/>
        <w:jc w:val="right"/>
        <w:rPr>
          <w:rFonts w:ascii="Arial" w:eastAsia="Times New Roman" w:hAnsi="Arial" w:cs="Arial"/>
          <w:b/>
          <w:spacing w:val="-2"/>
          <w:sz w:val="14"/>
          <w:szCs w:val="14"/>
          <w:lang w:eastAsia="pt-BR"/>
        </w:rPr>
      </w:pPr>
      <w:r w:rsidRPr="00F85E46">
        <w:rPr>
          <w:rFonts w:ascii="Arial" w:eastAsia="Times New Roman" w:hAnsi="Arial" w:cs="Arial"/>
          <w:b/>
          <w:spacing w:val="-2"/>
          <w:sz w:val="14"/>
          <w:szCs w:val="14"/>
          <w:lang w:eastAsia="pt-BR"/>
        </w:rPr>
        <w:t>R$ mil</w:t>
      </w:r>
    </w:p>
    <w:tbl>
      <w:tblPr>
        <w:tblW w:w="9627" w:type="dxa"/>
        <w:jc w:val="center"/>
        <w:tblBorders>
          <w:top w:val="single" w:sz="2" w:space="0" w:color="1F4E79"/>
          <w:bottom w:val="single" w:sz="2" w:space="0" w:color="1F4E79"/>
          <w:insideH w:val="single" w:sz="2" w:space="0" w:color="1F4E79"/>
        </w:tblBorders>
        <w:tblLook w:val="04A0" w:firstRow="1" w:lastRow="0" w:firstColumn="1" w:lastColumn="0" w:noHBand="0" w:noVBand="1"/>
      </w:tblPr>
      <w:tblGrid>
        <w:gridCol w:w="850"/>
        <w:gridCol w:w="2244"/>
        <w:gridCol w:w="308"/>
        <w:gridCol w:w="1411"/>
        <w:gridCol w:w="1412"/>
        <w:gridCol w:w="283"/>
        <w:gridCol w:w="284"/>
        <w:gridCol w:w="1417"/>
        <w:gridCol w:w="1418"/>
      </w:tblGrid>
      <w:tr w:rsidR="00990285" w:rsidRPr="00F85E46" w14:paraId="05555238" w14:textId="77777777">
        <w:trPr>
          <w:trHeight w:hRule="exact" w:val="238"/>
          <w:jc w:val="center"/>
        </w:trPr>
        <w:tc>
          <w:tcPr>
            <w:tcW w:w="850" w:type="dxa"/>
            <w:tcBorders>
              <w:top w:val="single" w:sz="2" w:space="0" w:color="1F4E79"/>
              <w:left w:val="nil"/>
              <w:bottom w:val="single" w:sz="2" w:space="0" w:color="1F4E79"/>
              <w:right w:val="nil"/>
            </w:tcBorders>
          </w:tcPr>
          <w:p w14:paraId="2710884A" w14:textId="77777777" w:rsidR="00990285" w:rsidRPr="00F85E46" w:rsidRDefault="00990285">
            <w:pPr>
              <w:keepNext/>
              <w:keepLines/>
              <w:spacing w:before="40" w:after="40" w:line="240" w:lineRule="auto"/>
              <w:jc w:val="center"/>
              <w:rPr>
                <w:rFonts w:ascii="Arial" w:hAnsi="Arial" w:cs="Arial"/>
                <w:bCs/>
                <w:spacing w:val="-2"/>
                <w:sz w:val="14"/>
                <w:szCs w:val="14"/>
              </w:rPr>
            </w:pPr>
          </w:p>
        </w:tc>
        <w:tc>
          <w:tcPr>
            <w:tcW w:w="2552" w:type="dxa"/>
            <w:gridSpan w:val="2"/>
            <w:tcBorders>
              <w:top w:val="single" w:sz="2" w:space="0" w:color="1F4E79"/>
              <w:left w:val="nil"/>
              <w:bottom w:val="single" w:sz="2" w:space="0" w:color="1F4E79"/>
              <w:right w:val="nil"/>
            </w:tcBorders>
          </w:tcPr>
          <w:p w14:paraId="404940BF" w14:textId="77777777" w:rsidR="00990285" w:rsidRPr="00F85E46" w:rsidRDefault="00990285">
            <w:pPr>
              <w:keepNext/>
              <w:keepLines/>
              <w:spacing w:before="40" w:after="40" w:line="240" w:lineRule="auto"/>
              <w:jc w:val="center"/>
              <w:rPr>
                <w:rFonts w:ascii="Arial" w:hAnsi="Arial" w:cs="Arial"/>
                <w:b/>
                <w:spacing w:val="-2"/>
                <w:sz w:val="14"/>
                <w:szCs w:val="14"/>
              </w:rPr>
            </w:pPr>
          </w:p>
        </w:tc>
        <w:tc>
          <w:tcPr>
            <w:tcW w:w="2823" w:type="dxa"/>
            <w:gridSpan w:val="2"/>
            <w:tcBorders>
              <w:top w:val="single" w:sz="2" w:space="0" w:color="1F4E79"/>
              <w:left w:val="nil"/>
              <w:bottom w:val="single" w:sz="2" w:space="0" w:color="1F4E79"/>
              <w:right w:val="nil"/>
            </w:tcBorders>
            <w:hideMark/>
          </w:tcPr>
          <w:p w14:paraId="5545AC43" w14:textId="77777777" w:rsidR="00990285" w:rsidRPr="00F85E46" w:rsidRDefault="00990285">
            <w:pPr>
              <w:keepNext/>
              <w:keepLines/>
              <w:spacing w:before="40" w:after="40" w:line="240" w:lineRule="auto"/>
              <w:jc w:val="center"/>
              <w:rPr>
                <w:rFonts w:ascii="Arial" w:hAnsi="Arial" w:cs="Arial"/>
                <w:b/>
                <w:spacing w:val="-2"/>
                <w:sz w:val="14"/>
                <w:szCs w:val="14"/>
                <w:vertAlign w:val="superscript"/>
              </w:rPr>
            </w:pPr>
            <w:r w:rsidRPr="00F85E46">
              <w:rPr>
                <w:rFonts w:ascii="Arial" w:hAnsi="Arial" w:cs="Arial"/>
                <w:b/>
                <w:spacing w:val="-2"/>
                <w:sz w:val="14"/>
                <w:szCs w:val="14"/>
              </w:rPr>
              <w:t>Controlador</w:t>
            </w:r>
          </w:p>
        </w:tc>
        <w:tc>
          <w:tcPr>
            <w:tcW w:w="283" w:type="dxa"/>
            <w:tcBorders>
              <w:top w:val="single" w:sz="2" w:space="0" w:color="1F4E79"/>
              <w:left w:val="nil"/>
              <w:bottom w:val="single" w:sz="2" w:space="0" w:color="1F4E79"/>
              <w:right w:val="nil"/>
            </w:tcBorders>
          </w:tcPr>
          <w:p w14:paraId="6CEE6E1D" w14:textId="77777777" w:rsidR="00990285" w:rsidRPr="00F85E46" w:rsidRDefault="00990285">
            <w:pPr>
              <w:keepNext/>
              <w:keepLines/>
              <w:spacing w:before="40" w:after="40" w:line="240" w:lineRule="auto"/>
              <w:jc w:val="center"/>
              <w:rPr>
                <w:rFonts w:ascii="Arial" w:hAnsi="Arial" w:cs="Arial"/>
                <w:b/>
                <w:bCs/>
                <w:spacing w:val="-2"/>
                <w:sz w:val="14"/>
                <w:szCs w:val="14"/>
              </w:rPr>
            </w:pPr>
          </w:p>
        </w:tc>
        <w:tc>
          <w:tcPr>
            <w:tcW w:w="284" w:type="dxa"/>
            <w:tcBorders>
              <w:top w:val="single" w:sz="2" w:space="0" w:color="1F4E79"/>
              <w:left w:val="nil"/>
              <w:bottom w:val="single" w:sz="2" w:space="0" w:color="1F4E79"/>
              <w:right w:val="nil"/>
            </w:tcBorders>
          </w:tcPr>
          <w:p w14:paraId="12033E55" w14:textId="77777777" w:rsidR="00990285" w:rsidRPr="00F85E46" w:rsidRDefault="00990285">
            <w:pPr>
              <w:keepNext/>
              <w:keepLines/>
              <w:spacing w:before="40" w:after="40" w:line="240" w:lineRule="auto"/>
              <w:jc w:val="center"/>
              <w:rPr>
                <w:rFonts w:ascii="Arial" w:hAnsi="Arial" w:cs="Arial"/>
                <w:b/>
                <w:spacing w:val="-2"/>
                <w:sz w:val="14"/>
                <w:szCs w:val="14"/>
              </w:rPr>
            </w:pPr>
          </w:p>
        </w:tc>
        <w:tc>
          <w:tcPr>
            <w:tcW w:w="2835" w:type="dxa"/>
            <w:gridSpan w:val="2"/>
            <w:tcBorders>
              <w:top w:val="single" w:sz="2" w:space="0" w:color="1F4E79"/>
              <w:left w:val="nil"/>
              <w:bottom w:val="single" w:sz="2" w:space="0" w:color="1F4E79"/>
              <w:right w:val="nil"/>
            </w:tcBorders>
            <w:hideMark/>
          </w:tcPr>
          <w:p w14:paraId="217AF6A8" w14:textId="77777777" w:rsidR="00990285" w:rsidRPr="00F85E46" w:rsidRDefault="00990285">
            <w:pPr>
              <w:keepNext/>
              <w:keepLines/>
              <w:spacing w:before="40" w:after="40" w:line="240" w:lineRule="auto"/>
              <w:jc w:val="center"/>
              <w:rPr>
                <w:rFonts w:ascii="Arial" w:hAnsi="Arial" w:cs="Arial"/>
                <w:b/>
                <w:spacing w:val="-2"/>
                <w:sz w:val="14"/>
                <w:szCs w:val="14"/>
                <w:vertAlign w:val="superscript"/>
              </w:rPr>
            </w:pPr>
            <w:r w:rsidRPr="00F85E46">
              <w:rPr>
                <w:rFonts w:ascii="Arial" w:hAnsi="Arial" w:cs="Arial"/>
                <w:b/>
                <w:spacing w:val="-2"/>
                <w:sz w:val="14"/>
                <w:szCs w:val="14"/>
              </w:rPr>
              <w:t>Consolidado</w:t>
            </w:r>
          </w:p>
        </w:tc>
      </w:tr>
      <w:tr w:rsidR="00EC5B05" w:rsidRPr="00F85E46" w14:paraId="08265E18" w14:textId="77777777">
        <w:trPr>
          <w:trHeight w:hRule="exact" w:val="238"/>
          <w:jc w:val="center"/>
        </w:trPr>
        <w:tc>
          <w:tcPr>
            <w:tcW w:w="3094" w:type="dxa"/>
            <w:gridSpan w:val="2"/>
            <w:tcBorders>
              <w:top w:val="single" w:sz="2" w:space="0" w:color="1F4E79"/>
              <w:left w:val="nil"/>
              <w:bottom w:val="single" w:sz="2" w:space="0" w:color="1F4E79"/>
              <w:right w:val="nil"/>
            </w:tcBorders>
          </w:tcPr>
          <w:p w14:paraId="353FD0E3" w14:textId="77777777" w:rsidR="00EC5B05" w:rsidRPr="00F85E46" w:rsidRDefault="00EC5B05" w:rsidP="00EC5B05">
            <w:pPr>
              <w:keepNext/>
              <w:keepLines/>
              <w:spacing w:before="40" w:after="40" w:line="240" w:lineRule="auto"/>
              <w:rPr>
                <w:rFonts w:ascii="Arial" w:hAnsi="Arial" w:cs="Arial"/>
                <w:spacing w:val="-2"/>
                <w:sz w:val="14"/>
                <w:szCs w:val="14"/>
              </w:rPr>
            </w:pPr>
          </w:p>
        </w:tc>
        <w:tc>
          <w:tcPr>
            <w:tcW w:w="308" w:type="dxa"/>
            <w:tcBorders>
              <w:top w:val="single" w:sz="2" w:space="0" w:color="1F4E79"/>
              <w:left w:val="nil"/>
              <w:bottom w:val="single" w:sz="2" w:space="0" w:color="1F4E79"/>
              <w:right w:val="nil"/>
            </w:tcBorders>
          </w:tcPr>
          <w:p w14:paraId="6C3D6430" w14:textId="77777777" w:rsidR="00EC5B05" w:rsidRPr="00F85E46" w:rsidRDefault="00EC5B05" w:rsidP="00EC5B05">
            <w:pPr>
              <w:keepNext/>
              <w:keepLines/>
              <w:spacing w:before="40" w:after="40" w:line="240" w:lineRule="auto"/>
              <w:rPr>
                <w:rFonts w:ascii="Arial" w:hAnsi="Arial" w:cs="Arial"/>
                <w:b/>
                <w:spacing w:val="-2"/>
                <w:sz w:val="14"/>
                <w:szCs w:val="14"/>
              </w:rPr>
            </w:pPr>
          </w:p>
        </w:tc>
        <w:tc>
          <w:tcPr>
            <w:tcW w:w="1411" w:type="dxa"/>
            <w:tcBorders>
              <w:top w:val="single" w:sz="2" w:space="0" w:color="1F4E79"/>
              <w:left w:val="nil"/>
              <w:bottom w:val="single" w:sz="2" w:space="0" w:color="1F4E79"/>
              <w:right w:val="nil"/>
            </w:tcBorders>
            <w:vAlign w:val="center"/>
            <w:hideMark/>
          </w:tcPr>
          <w:p w14:paraId="0A396978" w14:textId="34AC13C4" w:rsidR="00EC5B05" w:rsidRPr="00F85E46" w:rsidRDefault="00EC5B05" w:rsidP="00EC5B05">
            <w:pPr>
              <w:keepNext/>
              <w:keepLines/>
              <w:spacing w:before="40" w:after="40" w:line="240" w:lineRule="auto"/>
              <w:jc w:val="right"/>
              <w:rPr>
                <w:rFonts w:ascii="Arial" w:hAnsi="Arial" w:cs="Arial"/>
                <w:b/>
                <w:spacing w:val="-2"/>
                <w:sz w:val="14"/>
                <w:szCs w:val="14"/>
              </w:rPr>
            </w:pPr>
            <w:r w:rsidRPr="00F85E46">
              <w:rPr>
                <w:rFonts w:ascii="Arial" w:hAnsi="Arial" w:cs="Arial"/>
                <w:b/>
                <w:spacing w:val="-2"/>
                <w:sz w:val="14"/>
                <w:szCs w:val="14"/>
              </w:rPr>
              <w:t>31.12.202</w:t>
            </w:r>
            <w:r>
              <w:rPr>
                <w:rFonts w:ascii="Arial" w:hAnsi="Arial" w:cs="Arial"/>
                <w:b/>
                <w:spacing w:val="-2"/>
                <w:sz w:val="14"/>
                <w:szCs w:val="14"/>
              </w:rPr>
              <w:t>4</w:t>
            </w:r>
          </w:p>
        </w:tc>
        <w:tc>
          <w:tcPr>
            <w:tcW w:w="1412" w:type="dxa"/>
            <w:tcBorders>
              <w:top w:val="single" w:sz="2" w:space="0" w:color="1F4E79"/>
              <w:left w:val="nil"/>
              <w:bottom w:val="single" w:sz="2" w:space="0" w:color="1F4E79"/>
              <w:right w:val="nil"/>
            </w:tcBorders>
            <w:hideMark/>
          </w:tcPr>
          <w:p w14:paraId="578FE6F3" w14:textId="77777777" w:rsidR="00EC5B05" w:rsidRPr="00F85E46" w:rsidRDefault="00EC5B05" w:rsidP="00EC5B05">
            <w:pPr>
              <w:keepNext/>
              <w:keepLines/>
              <w:spacing w:before="40" w:after="40" w:line="240" w:lineRule="auto"/>
              <w:jc w:val="right"/>
              <w:rPr>
                <w:rFonts w:ascii="Arial" w:hAnsi="Arial" w:cs="Arial"/>
                <w:b/>
                <w:spacing w:val="-2"/>
                <w:sz w:val="14"/>
                <w:szCs w:val="14"/>
              </w:rPr>
            </w:pPr>
            <w:r w:rsidRPr="00F85E46">
              <w:rPr>
                <w:rFonts w:ascii="Arial" w:hAnsi="Arial" w:cs="Arial"/>
                <w:b/>
                <w:spacing w:val="-2"/>
                <w:sz w:val="14"/>
                <w:szCs w:val="14"/>
              </w:rPr>
              <w:t>31.12.2023</w:t>
            </w:r>
          </w:p>
        </w:tc>
        <w:tc>
          <w:tcPr>
            <w:tcW w:w="283" w:type="dxa"/>
            <w:tcBorders>
              <w:top w:val="single" w:sz="2" w:space="0" w:color="1F4E79"/>
              <w:left w:val="nil"/>
              <w:bottom w:val="single" w:sz="2" w:space="0" w:color="1F4E79"/>
              <w:right w:val="nil"/>
            </w:tcBorders>
          </w:tcPr>
          <w:p w14:paraId="469BE79F" w14:textId="77777777" w:rsidR="00EC5B05" w:rsidRPr="00F85E46" w:rsidRDefault="00EC5B05" w:rsidP="00EC5B05">
            <w:pPr>
              <w:keepNext/>
              <w:keepLines/>
              <w:spacing w:before="40" w:after="40" w:line="240" w:lineRule="auto"/>
              <w:jc w:val="right"/>
              <w:rPr>
                <w:rFonts w:ascii="Arial" w:hAnsi="Arial" w:cs="Arial"/>
                <w:b/>
                <w:spacing w:val="-2"/>
                <w:sz w:val="14"/>
                <w:szCs w:val="14"/>
              </w:rPr>
            </w:pPr>
          </w:p>
        </w:tc>
        <w:tc>
          <w:tcPr>
            <w:tcW w:w="284" w:type="dxa"/>
            <w:tcBorders>
              <w:top w:val="single" w:sz="2" w:space="0" w:color="1F4E79"/>
              <w:left w:val="nil"/>
              <w:bottom w:val="single" w:sz="2" w:space="0" w:color="1F4E79"/>
              <w:right w:val="nil"/>
            </w:tcBorders>
          </w:tcPr>
          <w:p w14:paraId="66119574" w14:textId="77777777" w:rsidR="00EC5B05" w:rsidRPr="00F85E46" w:rsidRDefault="00EC5B05" w:rsidP="00EC5B05">
            <w:pPr>
              <w:keepNext/>
              <w:keepLines/>
              <w:spacing w:before="40" w:after="40" w:line="240" w:lineRule="auto"/>
              <w:jc w:val="right"/>
              <w:rPr>
                <w:rFonts w:ascii="Arial" w:hAnsi="Arial" w:cs="Arial"/>
                <w:b/>
                <w:spacing w:val="-2"/>
                <w:sz w:val="14"/>
                <w:szCs w:val="14"/>
              </w:rPr>
            </w:pPr>
          </w:p>
        </w:tc>
        <w:tc>
          <w:tcPr>
            <w:tcW w:w="1417" w:type="dxa"/>
            <w:tcBorders>
              <w:top w:val="single" w:sz="2" w:space="0" w:color="1F4E79"/>
              <w:left w:val="nil"/>
              <w:bottom w:val="single" w:sz="2" w:space="0" w:color="1F4E79"/>
              <w:right w:val="nil"/>
            </w:tcBorders>
            <w:vAlign w:val="center"/>
            <w:hideMark/>
          </w:tcPr>
          <w:p w14:paraId="4B9F630C" w14:textId="36A134E0" w:rsidR="00EC5B05" w:rsidRPr="00F85E46" w:rsidRDefault="00EC5B05" w:rsidP="00EC5B05">
            <w:pPr>
              <w:keepNext/>
              <w:keepLines/>
              <w:spacing w:before="40" w:after="40" w:line="240" w:lineRule="auto"/>
              <w:jc w:val="right"/>
              <w:rPr>
                <w:rFonts w:ascii="Arial" w:hAnsi="Arial" w:cs="Arial"/>
                <w:b/>
                <w:spacing w:val="-2"/>
                <w:sz w:val="14"/>
                <w:szCs w:val="14"/>
              </w:rPr>
            </w:pPr>
            <w:r w:rsidRPr="00F85E46">
              <w:rPr>
                <w:rFonts w:ascii="Arial" w:hAnsi="Arial" w:cs="Arial"/>
                <w:b/>
                <w:spacing w:val="-2"/>
                <w:sz w:val="14"/>
                <w:szCs w:val="14"/>
              </w:rPr>
              <w:t>31.12.202</w:t>
            </w:r>
            <w:r>
              <w:rPr>
                <w:rFonts w:ascii="Arial" w:hAnsi="Arial" w:cs="Arial"/>
                <w:b/>
                <w:spacing w:val="-2"/>
                <w:sz w:val="14"/>
                <w:szCs w:val="14"/>
              </w:rPr>
              <w:t>4</w:t>
            </w:r>
          </w:p>
        </w:tc>
        <w:tc>
          <w:tcPr>
            <w:tcW w:w="1418" w:type="dxa"/>
            <w:tcBorders>
              <w:top w:val="single" w:sz="2" w:space="0" w:color="1F4E79"/>
              <w:left w:val="nil"/>
              <w:bottom w:val="single" w:sz="2" w:space="0" w:color="1F4E79"/>
              <w:right w:val="nil"/>
            </w:tcBorders>
            <w:hideMark/>
          </w:tcPr>
          <w:p w14:paraId="3CA7B061" w14:textId="77777777" w:rsidR="00EC5B05" w:rsidRPr="00F85E46" w:rsidRDefault="00EC5B05" w:rsidP="00EC5B05">
            <w:pPr>
              <w:keepNext/>
              <w:keepLines/>
              <w:spacing w:before="40" w:after="40" w:line="240" w:lineRule="auto"/>
              <w:jc w:val="right"/>
              <w:rPr>
                <w:rFonts w:ascii="Arial" w:hAnsi="Arial" w:cs="Arial"/>
                <w:b/>
                <w:spacing w:val="-2"/>
                <w:sz w:val="14"/>
                <w:szCs w:val="14"/>
              </w:rPr>
            </w:pPr>
            <w:r w:rsidRPr="00F85E46">
              <w:rPr>
                <w:rFonts w:ascii="Arial" w:hAnsi="Arial" w:cs="Arial"/>
                <w:b/>
                <w:spacing w:val="-2"/>
                <w:sz w:val="14"/>
                <w:szCs w:val="14"/>
              </w:rPr>
              <w:t>31.12.2023</w:t>
            </w:r>
          </w:p>
        </w:tc>
      </w:tr>
      <w:tr w:rsidR="00013A69" w:rsidRPr="00F85E46" w14:paraId="563B2F53" w14:textId="77777777">
        <w:trPr>
          <w:trHeight w:hRule="exact" w:val="238"/>
          <w:jc w:val="center"/>
        </w:trPr>
        <w:tc>
          <w:tcPr>
            <w:tcW w:w="3094" w:type="dxa"/>
            <w:gridSpan w:val="2"/>
            <w:tcBorders>
              <w:top w:val="single" w:sz="2" w:space="0" w:color="1F4E79"/>
              <w:left w:val="nil"/>
              <w:bottom w:val="nil"/>
              <w:right w:val="nil"/>
            </w:tcBorders>
            <w:vAlign w:val="center"/>
            <w:hideMark/>
          </w:tcPr>
          <w:p w14:paraId="42F484ED" w14:textId="77777777" w:rsidR="00013A69" w:rsidRPr="00F85E46" w:rsidRDefault="00013A69" w:rsidP="00013A69">
            <w:pPr>
              <w:keepNext/>
              <w:keepLines/>
              <w:spacing w:before="40" w:after="40" w:line="256" w:lineRule="auto"/>
              <w:rPr>
                <w:rFonts w:ascii="Arial" w:eastAsia="Times New Roman" w:hAnsi="Arial" w:cs="Arial"/>
                <w:b/>
                <w:spacing w:val="-2"/>
                <w:sz w:val="14"/>
                <w:szCs w:val="14"/>
                <w:vertAlign w:val="superscript"/>
              </w:rPr>
            </w:pPr>
            <w:r>
              <w:rPr>
                <w:rFonts w:ascii="Arial" w:eastAsia="Times New Roman" w:hAnsi="Arial" w:cs="Arial"/>
                <w:spacing w:val="-2"/>
                <w:sz w:val="14"/>
                <w:szCs w:val="14"/>
              </w:rPr>
              <w:t>F</w:t>
            </w:r>
            <w:r w:rsidRPr="00F85E46">
              <w:rPr>
                <w:rFonts w:ascii="Arial" w:eastAsia="Times New Roman" w:hAnsi="Arial" w:cs="Arial"/>
                <w:spacing w:val="-2"/>
                <w:sz w:val="14"/>
                <w:szCs w:val="14"/>
              </w:rPr>
              <w:t xml:space="preserve">iscais </w:t>
            </w:r>
            <w:r w:rsidRPr="00F85E46">
              <w:rPr>
                <w:rFonts w:ascii="Arial" w:eastAsia="Times New Roman" w:hAnsi="Arial" w:cs="Arial"/>
                <w:spacing w:val="-2"/>
                <w:sz w:val="14"/>
                <w:szCs w:val="14"/>
                <w:vertAlign w:val="superscript"/>
              </w:rPr>
              <w:t>(1)</w:t>
            </w:r>
          </w:p>
        </w:tc>
        <w:tc>
          <w:tcPr>
            <w:tcW w:w="308" w:type="dxa"/>
            <w:tcBorders>
              <w:top w:val="single" w:sz="2" w:space="0" w:color="1F4E79"/>
              <w:left w:val="nil"/>
              <w:bottom w:val="nil"/>
              <w:right w:val="nil"/>
            </w:tcBorders>
          </w:tcPr>
          <w:p w14:paraId="399C5981" w14:textId="77777777" w:rsidR="00013A69" w:rsidRPr="00F85E46" w:rsidRDefault="00013A69" w:rsidP="00013A69">
            <w:pPr>
              <w:keepNext/>
              <w:keepLines/>
              <w:spacing w:before="40" w:after="40" w:line="256" w:lineRule="auto"/>
              <w:jc w:val="right"/>
              <w:rPr>
                <w:rFonts w:ascii="Arial" w:eastAsia="Times New Roman" w:hAnsi="Arial" w:cs="Arial"/>
                <w:spacing w:val="-2"/>
                <w:sz w:val="14"/>
                <w:szCs w:val="14"/>
              </w:rPr>
            </w:pPr>
          </w:p>
        </w:tc>
        <w:tc>
          <w:tcPr>
            <w:tcW w:w="1411" w:type="dxa"/>
            <w:tcBorders>
              <w:top w:val="single" w:sz="2" w:space="0" w:color="1F4E79"/>
              <w:left w:val="nil"/>
              <w:bottom w:val="nil"/>
              <w:right w:val="nil"/>
            </w:tcBorders>
            <w:vAlign w:val="center"/>
            <w:hideMark/>
          </w:tcPr>
          <w:p w14:paraId="3E2288CC" w14:textId="77777777" w:rsidR="00013A69" w:rsidRPr="00F85E46" w:rsidRDefault="00013A69" w:rsidP="00013A69">
            <w:pPr>
              <w:keepNext/>
              <w:keepLines/>
              <w:spacing w:before="40" w:after="40" w:line="256" w:lineRule="auto"/>
              <w:jc w:val="right"/>
              <w:rPr>
                <w:rFonts w:ascii="Arial" w:eastAsia="Times New Roman" w:hAnsi="Arial" w:cs="Arial"/>
                <w:spacing w:val="-2"/>
                <w:sz w:val="14"/>
                <w:szCs w:val="14"/>
              </w:rPr>
            </w:pPr>
            <w:r w:rsidRPr="00F85E46">
              <w:rPr>
                <w:rFonts w:ascii="Arial" w:eastAsia="Times New Roman" w:hAnsi="Arial" w:cs="Arial"/>
                <w:spacing w:val="-2"/>
                <w:sz w:val="14"/>
                <w:szCs w:val="14"/>
              </w:rPr>
              <w:t>--</w:t>
            </w:r>
          </w:p>
        </w:tc>
        <w:tc>
          <w:tcPr>
            <w:tcW w:w="1412" w:type="dxa"/>
            <w:tcBorders>
              <w:top w:val="single" w:sz="2" w:space="0" w:color="1F4E79"/>
              <w:left w:val="nil"/>
              <w:bottom w:val="nil"/>
              <w:right w:val="nil"/>
            </w:tcBorders>
            <w:vAlign w:val="center"/>
            <w:hideMark/>
          </w:tcPr>
          <w:p w14:paraId="4DE6D945" w14:textId="77777777" w:rsidR="00013A69" w:rsidRPr="00F85E46" w:rsidRDefault="00013A69" w:rsidP="00013A69">
            <w:pPr>
              <w:keepNext/>
              <w:keepLines/>
              <w:spacing w:before="40" w:after="40" w:line="256" w:lineRule="auto"/>
              <w:jc w:val="right"/>
              <w:rPr>
                <w:rFonts w:ascii="Arial" w:eastAsia="Times New Roman" w:hAnsi="Arial" w:cs="Arial"/>
                <w:spacing w:val="-2"/>
                <w:sz w:val="14"/>
                <w:szCs w:val="14"/>
              </w:rPr>
            </w:pPr>
            <w:r w:rsidRPr="00F85E46">
              <w:rPr>
                <w:rFonts w:ascii="Arial" w:eastAsia="Times New Roman" w:hAnsi="Arial" w:cs="Arial"/>
                <w:spacing w:val="-2"/>
                <w:sz w:val="14"/>
                <w:szCs w:val="14"/>
              </w:rPr>
              <w:t>--</w:t>
            </w:r>
          </w:p>
        </w:tc>
        <w:tc>
          <w:tcPr>
            <w:tcW w:w="283" w:type="dxa"/>
            <w:tcBorders>
              <w:top w:val="single" w:sz="2" w:space="0" w:color="1F4E79"/>
              <w:left w:val="nil"/>
              <w:bottom w:val="nil"/>
              <w:right w:val="nil"/>
            </w:tcBorders>
            <w:vAlign w:val="center"/>
          </w:tcPr>
          <w:p w14:paraId="2C29F9C5" w14:textId="77777777" w:rsidR="00013A69" w:rsidRPr="00F85E46" w:rsidRDefault="00013A69" w:rsidP="00013A69">
            <w:pPr>
              <w:keepNext/>
              <w:keepLines/>
              <w:spacing w:before="40" w:after="40" w:line="256" w:lineRule="auto"/>
              <w:jc w:val="right"/>
              <w:rPr>
                <w:rFonts w:ascii="Arial" w:eastAsia="Times New Roman" w:hAnsi="Arial" w:cs="Arial"/>
                <w:spacing w:val="-2"/>
                <w:sz w:val="14"/>
                <w:szCs w:val="14"/>
              </w:rPr>
            </w:pPr>
          </w:p>
        </w:tc>
        <w:tc>
          <w:tcPr>
            <w:tcW w:w="284" w:type="dxa"/>
            <w:tcBorders>
              <w:top w:val="single" w:sz="2" w:space="0" w:color="1F4E79"/>
              <w:left w:val="nil"/>
              <w:bottom w:val="nil"/>
              <w:right w:val="nil"/>
            </w:tcBorders>
            <w:vAlign w:val="center"/>
          </w:tcPr>
          <w:p w14:paraId="615FBBE7" w14:textId="77777777" w:rsidR="00013A69" w:rsidRPr="00F85E46" w:rsidRDefault="00013A69" w:rsidP="00013A69">
            <w:pPr>
              <w:keepNext/>
              <w:keepLines/>
              <w:spacing w:before="40" w:after="40" w:line="256" w:lineRule="auto"/>
              <w:jc w:val="right"/>
              <w:rPr>
                <w:rFonts w:ascii="Arial" w:eastAsia="Times New Roman" w:hAnsi="Arial" w:cs="Arial"/>
                <w:spacing w:val="-2"/>
                <w:sz w:val="14"/>
                <w:szCs w:val="14"/>
              </w:rPr>
            </w:pPr>
          </w:p>
        </w:tc>
        <w:tc>
          <w:tcPr>
            <w:tcW w:w="1417" w:type="dxa"/>
            <w:tcBorders>
              <w:top w:val="nil"/>
              <w:left w:val="nil"/>
              <w:bottom w:val="nil"/>
              <w:right w:val="nil"/>
            </w:tcBorders>
            <w:hideMark/>
          </w:tcPr>
          <w:p w14:paraId="30B875BE" w14:textId="241A7C1B" w:rsidR="00013A69" w:rsidRPr="00044E70" w:rsidRDefault="00013A69" w:rsidP="00013A69">
            <w:pPr>
              <w:keepNext/>
              <w:keepLines/>
              <w:spacing w:before="40" w:after="40" w:line="256" w:lineRule="auto"/>
              <w:jc w:val="right"/>
              <w:rPr>
                <w:rFonts w:ascii="Arial" w:eastAsia="Times New Roman" w:hAnsi="Arial" w:cs="Arial"/>
                <w:spacing w:val="-2"/>
                <w:sz w:val="14"/>
                <w:szCs w:val="18"/>
              </w:rPr>
            </w:pPr>
            <w:r w:rsidRPr="00044E70">
              <w:rPr>
                <w:rFonts w:ascii="Arial" w:eastAsia="Times New Roman" w:hAnsi="Arial" w:cs="Arial"/>
                <w:spacing w:val="-2"/>
                <w:sz w:val="14"/>
                <w:szCs w:val="18"/>
              </w:rPr>
              <w:t xml:space="preserve"> 338.628 </w:t>
            </w:r>
          </w:p>
        </w:tc>
        <w:tc>
          <w:tcPr>
            <w:tcW w:w="1418" w:type="dxa"/>
            <w:tcBorders>
              <w:top w:val="single" w:sz="2" w:space="0" w:color="1F4E79"/>
              <w:left w:val="nil"/>
              <w:bottom w:val="nil"/>
              <w:right w:val="nil"/>
            </w:tcBorders>
            <w:vAlign w:val="center"/>
            <w:hideMark/>
          </w:tcPr>
          <w:p w14:paraId="2F89D849" w14:textId="77777777" w:rsidR="00013A69" w:rsidRPr="00F85E46" w:rsidRDefault="00013A69" w:rsidP="00013A69">
            <w:pPr>
              <w:keepNext/>
              <w:keepLines/>
              <w:spacing w:before="40" w:after="40" w:line="256" w:lineRule="auto"/>
              <w:jc w:val="right"/>
              <w:rPr>
                <w:rFonts w:ascii="Arial" w:eastAsia="Times New Roman" w:hAnsi="Arial" w:cs="Arial"/>
                <w:spacing w:val="-2"/>
                <w:sz w:val="14"/>
                <w:szCs w:val="14"/>
              </w:rPr>
            </w:pPr>
            <w:r w:rsidRPr="00F85E46">
              <w:rPr>
                <w:rFonts w:ascii="Arial" w:eastAsia="Times New Roman" w:hAnsi="Arial" w:cs="Arial"/>
                <w:spacing w:val="-2"/>
                <w:sz w:val="14"/>
                <w:szCs w:val="18"/>
              </w:rPr>
              <w:t>305.562</w:t>
            </w:r>
          </w:p>
        </w:tc>
      </w:tr>
      <w:tr w:rsidR="00013A69" w:rsidRPr="00F85E46" w14:paraId="7F537AD7" w14:textId="77777777">
        <w:trPr>
          <w:trHeight w:hRule="exact" w:val="238"/>
          <w:jc w:val="center"/>
        </w:trPr>
        <w:tc>
          <w:tcPr>
            <w:tcW w:w="3094" w:type="dxa"/>
            <w:gridSpan w:val="2"/>
            <w:tcBorders>
              <w:top w:val="nil"/>
              <w:left w:val="nil"/>
              <w:bottom w:val="nil"/>
              <w:right w:val="nil"/>
            </w:tcBorders>
            <w:vAlign w:val="center"/>
            <w:hideMark/>
          </w:tcPr>
          <w:p w14:paraId="379375F1" w14:textId="77777777" w:rsidR="00013A69" w:rsidRPr="00F85E46" w:rsidRDefault="00013A69" w:rsidP="00013A69">
            <w:pPr>
              <w:keepNext/>
              <w:keepLines/>
              <w:spacing w:before="40" w:after="40" w:line="256" w:lineRule="auto"/>
              <w:rPr>
                <w:rFonts w:ascii="Arial" w:eastAsia="Times New Roman" w:hAnsi="Arial" w:cs="Arial"/>
                <w:b/>
                <w:spacing w:val="-2"/>
                <w:sz w:val="14"/>
                <w:szCs w:val="14"/>
              </w:rPr>
            </w:pPr>
            <w:r>
              <w:rPr>
                <w:rFonts w:ascii="Arial" w:eastAsia="Times New Roman" w:hAnsi="Arial" w:cs="Arial"/>
                <w:spacing w:val="-2"/>
                <w:sz w:val="14"/>
                <w:szCs w:val="14"/>
              </w:rPr>
              <w:t>C</w:t>
            </w:r>
            <w:r w:rsidRPr="00F85E46">
              <w:rPr>
                <w:rFonts w:ascii="Arial" w:eastAsia="Times New Roman" w:hAnsi="Arial" w:cs="Arial"/>
                <w:spacing w:val="-2"/>
                <w:sz w:val="14"/>
                <w:szCs w:val="14"/>
              </w:rPr>
              <w:t>íveis</w:t>
            </w:r>
          </w:p>
        </w:tc>
        <w:tc>
          <w:tcPr>
            <w:tcW w:w="308" w:type="dxa"/>
            <w:tcBorders>
              <w:top w:val="nil"/>
              <w:left w:val="nil"/>
              <w:bottom w:val="nil"/>
              <w:right w:val="nil"/>
            </w:tcBorders>
          </w:tcPr>
          <w:p w14:paraId="2F2082E2" w14:textId="77777777" w:rsidR="00013A69" w:rsidRPr="00F85E46" w:rsidRDefault="00013A69" w:rsidP="00013A69">
            <w:pPr>
              <w:keepNext/>
              <w:keepLines/>
              <w:spacing w:before="40" w:after="40" w:line="256" w:lineRule="auto"/>
              <w:jc w:val="right"/>
              <w:rPr>
                <w:rFonts w:ascii="Arial" w:eastAsia="Times New Roman" w:hAnsi="Arial" w:cs="Arial"/>
                <w:spacing w:val="-2"/>
                <w:sz w:val="14"/>
                <w:szCs w:val="14"/>
              </w:rPr>
            </w:pPr>
          </w:p>
        </w:tc>
        <w:tc>
          <w:tcPr>
            <w:tcW w:w="1411" w:type="dxa"/>
            <w:tcBorders>
              <w:top w:val="nil"/>
              <w:left w:val="nil"/>
              <w:bottom w:val="nil"/>
              <w:right w:val="nil"/>
            </w:tcBorders>
            <w:vAlign w:val="center"/>
            <w:hideMark/>
          </w:tcPr>
          <w:p w14:paraId="0D49D3E6" w14:textId="3DD4041C" w:rsidR="00013A69" w:rsidRPr="00F85E46" w:rsidRDefault="003345AE" w:rsidP="00013A69">
            <w:pPr>
              <w:keepNext/>
              <w:keepLines/>
              <w:spacing w:before="40" w:after="40" w:line="256" w:lineRule="auto"/>
              <w:jc w:val="right"/>
              <w:rPr>
                <w:rFonts w:ascii="Arial" w:eastAsia="Times New Roman" w:hAnsi="Arial" w:cs="Arial"/>
                <w:spacing w:val="-2"/>
                <w:sz w:val="14"/>
                <w:szCs w:val="14"/>
              </w:rPr>
            </w:pPr>
            <w:r w:rsidRPr="003345AE">
              <w:rPr>
                <w:rFonts w:ascii="Arial" w:eastAsia="Times New Roman" w:hAnsi="Arial" w:cs="Arial"/>
                <w:spacing w:val="-2"/>
                <w:sz w:val="14"/>
                <w:szCs w:val="14"/>
              </w:rPr>
              <w:t>652</w:t>
            </w:r>
          </w:p>
        </w:tc>
        <w:tc>
          <w:tcPr>
            <w:tcW w:w="1412" w:type="dxa"/>
            <w:tcBorders>
              <w:top w:val="nil"/>
              <w:left w:val="nil"/>
              <w:bottom w:val="nil"/>
              <w:right w:val="nil"/>
            </w:tcBorders>
            <w:vAlign w:val="center"/>
            <w:hideMark/>
          </w:tcPr>
          <w:p w14:paraId="6452D015" w14:textId="77777777" w:rsidR="00013A69" w:rsidRPr="00F85E46" w:rsidRDefault="00013A69" w:rsidP="00013A69">
            <w:pPr>
              <w:keepNext/>
              <w:keepLines/>
              <w:spacing w:before="40" w:after="40" w:line="256" w:lineRule="auto"/>
              <w:jc w:val="right"/>
              <w:rPr>
                <w:rFonts w:ascii="Arial" w:eastAsia="Times New Roman" w:hAnsi="Arial" w:cs="Arial"/>
                <w:spacing w:val="-2"/>
                <w:sz w:val="14"/>
                <w:szCs w:val="14"/>
              </w:rPr>
            </w:pPr>
            <w:r w:rsidRPr="00F85E46">
              <w:rPr>
                <w:rFonts w:ascii="Arial" w:eastAsia="Times New Roman" w:hAnsi="Arial" w:cs="Arial"/>
                <w:spacing w:val="-2"/>
                <w:sz w:val="14"/>
                <w:szCs w:val="14"/>
              </w:rPr>
              <w:t>15</w:t>
            </w:r>
          </w:p>
        </w:tc>
        <w:tc>
          <w:tcPr>
            <w:tcW w:w="283" w:type="dxa"/>
            <w:tcBorders>
              <w:top w:val="nil"/>
              <w:left w:val="nil"/>
              <w:bottom w:val="nil"/>
              <w:right w:val="nil"/>
            </w:tcBorders>
            <w:vAlign w:val="center"/>
          </w:tcPr>
          <w:p w14:paraId="580591F0" w14:textId="77777777" w:rsidR="00013A69" w:rsidRPr="00F85E46" w:rsidRDefault="00013A69" w:rsidP="00013A69">
            <w:pPr>
              <w:keepNext/>
              <w:keepLines/>
              <w:spacing w:before="40" w:after="40" w:line="256" w:lineRule="auto"/>
              <w:jc w:val="right"/>
              <w:rPr>
                <w:rFonts w:ascii="Arial" w:eastAsia="Times New Roman" w:hAnsi="Arial" w:cs="Arial"/>
                <w:spacing w:val="-2"/>
                <w:sz w:val="14"/>
                <w:szCs w:val="14"/>
              </w:rPr>
            </w:pPr>
          </w:p>
        </w:tc>
        <w:tc>
          <w:tcPr>
            <w:tcW w:w="284" w:type="dxa"/>
            <w:tcBorders>
              <w:top w:val="nil"/>
              <w:left w:val="nil"/>
              <w:bottom w:val="nil"/>
              <w:right w:val="nil"/>
            </w:tcBorders>
            <w:vAlign w:val="center"/>
          </w:tcPr>
          <w:p w14:paraId="68BC9BFF" w14:textId="77777777" w:rsidR="00013A69" w:rsidRPr="00F85E46" w:rsidRDefault="00013A69" w:rsidP="00013A69">
            <w:pPr>
              <w:keepNext/>
              <w:keepLines/>
              <w:spacing w:before="40" w:after="40" w:line="256" w:lineRule="auto"/>
              <w:jc w:val="right"/>
              <w:rPr>
                <w:rFonts w:ascii="Arial" w:eastAsia="Times New Roman" w:hAnsi="Arial" w:cs="Arial"/>
                <w:spacing w:val="-2"/>
                <w:sz w:val="14"/>
                <w:szCs w:val="14"/>
              </w:rPr>
            </w:pPr>
          </w:p>
        </w:tc>
        <w:tc>
          <w:tcPr>
            <w:tcW w:w="1417" w:type="dxa"/>
            <w:tcBorders>
              <w:top w:val="nil"/>
              <w:left w:val="nil"/>
              <w:bottom w:val="nil"/>
              <w:right w:val="nil"/>
            </w:tcBorders>
            <w:hideMark/>
          </w:tcPr>
          <w:p w14:paraId="26B9707D" w14:textId="57F554A5" w:rsidR="00013A69" w:rsidRPr="00044E70" w:rsidRDefault="00013A69" w:rsidP="00013A69">
            <w:pPr>
              <w:keepNext/>
              <w:keepLines/>
              <w:spacing w:before="40" w:after="40" w:line="256" w:lineRule="auto"/>
              <w:jc w:val="right"/>
              <w:rPr>
                <w:rFonts w:ascii="Arial" w:eastAsia="Times New Roman" w:hAnsi="Arial" w:cs="Arial"/>
                <w:spacing w:val="-2"/>
                <w:sz w:val="14"/>
                <w:szCs w:val="18"/>
              </w:rPr>
            </w:pPr>
            <w:r w:rsidRPr="00044E70">
              <w:rPr>
                <w:rFonts w:ascii="Arial" w:eastAsia="Times New Roman" w:hAnsi="Arial" w:cs="Arial"/>
                <w:spacing w:val="-2"/>
                <w:sz w:val="14"/>
                <w:szCs w:val="18"/>
              </w:rPr>
              <w:t xml:space="preserve"> 6.842 </w:t>
            </w:r>
          </w:p>
        </w:tc>
        <w:tc>
          <w:tcPr>
            <w:tcW w:w="1418" w:type="dxa"/>
            <w:tcBorders>
              <w:top w:val="nil"/>
              <w:left w:val="nil"/>
              <w:bottom w:val="nil"/>
              <w:right w:val="nil"/>
            </w:tcBorders>
            <w:vAlign w:val="center"/>
            <w:hideMark/>
          </w:tcPr>
          <w:p w14:paraId="331D1FA3" w14:textId="77777777" w:rsidR="00013A69" w:rsidRPr="00F85E46" w:rsidRDefault="00013A69" w:rsidP="00013A69">
            <w:pPr>
              <w:keepNext/>
              <w:keepLines/>
              <w:spacing w:before="40" w:after="40" w:line="256" w:lineRule="auto"/>
              <w:jc w:val="right"/>
              <w:rPr>
                <w:rFonts w:ascii="Arial" w:eastAsia="Times New Roman" w:hAnsi="Arial" w:cs="Arial"/>
                <w:spacing w:val="-2"/>
                <w:sz w:val="14"/>
                <w:szCs w:val="14"/>
              </w:rPr>
            </w:pPr>
            <w:r w:rsidRPr="00F85E46">
              <w:rPr>
                <w:rFonts w:ascii="Arial" w:eastAsia="Times New Roman" w:hAnsi="Arial" w:cs="Arial"/>
                <w:spacing w:val="-2"/>
                <w:sz w:val="14"/>
                <w:szCs w:val="18"/>
              </w:rPr>
              <w:t>2.629</w:t>
            </w:r>
          </w:p>
        </w:tc>
      </w:tr>
      <w:tr w:rsidR="00990285" w:rsidRPr="00F85E46" w14:paraId="66BF95ED" w14:textId="77777777">
        <w:trPr>
          <w:trHeight w:hRule="exact" w:val="238"/>
          <w:jc w:val="center"/>
        </w:trPr>
        <w:tc>
          <w:tcPr>
            <w:tcW w:w="3094" w:type="dxa"/>
            <w:gridSpan w:val="2"/>
            <w:tcBorders>
              <w:top w:val="nil"/>
              <w:left w:val="nil"/>
              <w:bottom w:val="single" w:sz="2" w:space="0" w:color="1F4E79"/>
              <w:right w:val="nil"/>
            </w:tcBorders>
            <w:vAlign w:val="center"/>
            <w:hideMark/>
          </w:tcPr>
          <w:p w14:paraId="409C8703" w14:textId="77777777" w:rsidR="00990285" w:rsidRPr="00F85E46" w:rsidRDefault="00990285">
            <w:pPr>
              <w:keepNext/>
              <w:keepLines/>
              <w:spacing w:before="40" w:after="40" w:line="240" w:lineRule="auto"/>
              <w:rPr>
                <w:rFonts w:ascii="Arial" w:hAnsi="Arial" w:cs="Arial"/>
                <w:b/>
                <w:bCs/>
                <w:spacing w:val="-2"/>
                <w:sz w:val="14"/>
                <w:szCs w:val="14"/>
              </w:rPr>
            </w:pPr>
            <w:r w:rsidRPr="00F85E46">
              <w:rPr>
                <w:rFonts w:ascii="Arial" w:hAnsi="Arial" w:cs="Arial"/>
                <w:b/>
                <w:spacing w:val="-2"/>
                <w:sz w:val="14"/>
                <w:szCs w:val="14"/>
              </w:rPr>
              <w:t>Total</w:t>
            </w:r>
          </w:p>
        </w:tc>
        <w:tc>
          <w:tcPr>
            <w:tcW w:w="308" w:type="dxa"/>
            <w:tcBorders>
              <w:top w:val="nil"/>
              <w:left w:val="nil"/>
              <w:bottom w:val="single" w:sz="2" w:space="0" w:color="1F4E79"/>
              <w:right w:val="nil"/>
            </w:tcBorders>
          </w:tcPr>
          <w:p w14:paraId="4FF45023" w14:textId="77777777" w:rsidR="00990285" w:rsidRPr="00F85E46" w:rsidRDefault="00990285">
            <w:pPr>
              <w:keepNext/>
              <w:keepLines/>
              <w:spacing w:before="40" w:after="40" w:line="256" w:lineRule="auto"/>
              <w:jc w:val="right"/>
              <w:rPr>
                <w:rFonts w:ascii="Arial" w:eastAsia="Times New Roman" w:hAnsi="Arial" w:cs="Arial"/>
                <w:b/>
                <w:spacing w:val="-2"/>
                <w:sz w:val="14"/>
                <w:szCs w:val="14"/>
              </w:rPr>
            </w:pPr>
          </w:p>
        </w:tc>
        <w:tc>
          <w:tcPr>
            <w:tcW w:w="1411" w:type="dxa"/>
            <w:tcBorders>
              <w:top w:val="nil"/>
              <w:left w:val="nil"/>
              <w:bottom w:val="single" w:sz="2" w:space="0" w:color="1F4E79"/>
              <w:right w:val="nil"/>
            </w:tcBorders>
            <w:vAlign w:val="center"/>
            <w:hideMark/>
          </w:tcPr>
          <w:p w14:paraId="6AB32495" w14:textId="6511D3B7" w:rsidR="00990285" w:rsidRPr="00F85E46" w:rsidRDefault="003345AE">
            <w:pPr>
              <w:keepNext/>
              <w:keepLines/>
              <w:spacing w:before="40" w:after="40" w:line="256" w:lineRule="auto"/>
              <w:jc w:val="right"/>
              <w:rPr>
                <w:rFonts w:ascii="Arial" w:eastAsia="Times New Roman" w:hAnsi="Arial" w:cs="Arial"/>
                <w:b/>
                <w:spacing w:val="-2"/>
                <w:sz w:val="14"/>
                <w:szCs w:val="14"/>
              </w:rPr>
            </w:pPr>
            <w:r w:rsidRPr="003345AE">
              <w:rPr>
                <w:rFonts w:ascii="Arial" w:eastAsia="Times New Roman" w:hAnsi="Arial" w:cs="Arial"/>
                <w:b/>
                <w:spacing w:val="-2"/>
                <w:sz w:val="14"/>
                <w:szCs w:val="14"/>
              </w:rPr>
              <w:t>652</w:t>
            </w:r>
          </w:p>
        </w:tc>
        <w:tc>
          <w:tcPr>
            <w:tcW w:w="1412" w:type="dxa"/>
            <w:tcBorders>
              <w:top w:val="nil"/>
              <w:left w:val="nil"/>
              <w:bottom w:val="single" w:sz="2" w:space="0" w:color="1F4E79"/>
              <w:right w:val="nil"/>
            </w:tcBorders>
            <w:vAlign w:val="center"/>
            <w:hideMark/>
          </w:tcPr>
          <w:p w14:paraId="758F481C" w14:textId="77777777" w:rsidR="00990285" w:rsidRPr="00F85E46" w:rsidRDefault="00990285">
            <w:pPr>
              <w:keepNext/>
              <w:keepLines/>
              <w:spacing w:before="40" w:after="40" w:line="256" w:lineRule="auto"/>
              <w:jc w:val="right"/>
              <w:rPr>
                <w:rFonts w:ascii="Arial" w:eastAsia="Times New Roman" w:hAnsi="Arial" w:cs="Arial"/>
                <w:b/>
                <w:spacing w:val="-2"/>
                <w:sz w:val="14"/>
                <w:szCs w:val="14"/>
              </w:rPr>
            </w:pPr>
            <w:r w:rsidRPr="00F85E46">
              <w:rPr>
                <w:rFonts w:ascii="Arial" w:eastAsia="Times New Roman" w:hAnsi="Arial" w:cs="Arial"/>
                <w:b/>
                <w:spacing w:val="-2"/>
                <w:sz w:val="14"/>
                <w:szCs w:val="14"/>
              </w:rPr>
              <w:t>15</w:t>
            </w:r>
          </w:p>
        </w:tc>
        <w:tc>
          <w:tcPr>
            <w:tcW w:w="283" w:type="dxa"/>
            <w:tcBorders>
              <w:top w:val="nil"/>
              <w:left w:val="nil"/>
              <w:bottom w:val="single" w:sz="2" w:space="0" w:color="1F4E79"/>
              <w:right w:val="nil"/>
            </w:tcBorders>
            <w:vAlign w:val="center"/>
          </w:tcPr>
          <w:p w14:paraId="14CE4E2A" w14:textId="77777777" w:rsidR="00990285" w:rsidRPr="00F85E46" w:rsidRDefault="00990285">
            <w:pPr>
              <w:keepNext/>
              <w:keepLines/>
              <w:spacing w:before="40" w:after="40" w:line="256" w:lineRule="auto"/>
              <w:jc w:val="right"/>
              <w:rPr>
                <w:rFonts w:ascii="Arial" w:eastAsia="Times New Roman" w:hAnsi="Arial" w:cs="Arial"/>
                <w:b/>
                <w:spacing w:val="-2"/>
                <w:sz w:val="14"/>
                <w:szCs w:val="14"/>
              </w:rPr>
            </w:pPr>
          </w:p>
        </w:tc>
        <w:tc>
          <w:tcPr>
            <w:tcW w:w="284" w:type="dxa"/>
            <w:tcBorders>
              <w:top w:val="nil"/>
              <w:left w:val="nil"/>
              <w:bottom w:val="single" w:sz="2" w:space="0" w:color="1F4E79"/>
              <w:right w:val="nil"/>
            </w:tcBorders>
            <w:vAlign w:val="center"/>
          </w:tcPr>
          <w:p w14:paraId="49995BA0" w14:textId="77777777" w:rsidR="00990285" w:rsidRPr="00F85E46" w:rsidRDefault="00990285">
            <w:pPr>
              <w:keepNext/>
              <w:keepLines/>
              <w:spacing w:before="40" w:after="40" w:line="256" w:lineRule="auto"/>
              <w:jc w:val="right"/>
              <w:rPr>
                <w:rFonts w:ascii="Arial" w:eastAsia="Times New Roman" w:hAnsi="Arial" w:cs="Arial"/>
                <w:b/>
                <w:spacing w:val="-2"/>
                <w:sz w:val="14"/>
                <w:szCs w:val="14"/>
              </w:rPr>
            </w:pPr>
          </w:p>
        </w:tc>
        <w:tc>
          <w:tcPr>
            <w:tcW w:w="1417" w:type="dxa"/>
            <w:tcBorders>
              <w:top w:val="nil"/>
              <w:left w:val="nil"/>
              <w:bottom w:val="single" w:sz="2" w:space="0" w:color="1F4E79"/>
              <w:right w:val="nil"/>
            </w:tcBorders>
            <w:vAlign w:val="center"/>
            <w:hideMark/>
          </w:tcPr>
          <w:p w14:paraId="1B5CF613" w14:textId="48D6833D" w:rsidR="00990285" w:rsidRPr="00F85E46" w:rsidRDefault="00044E70">
            <w:pPr>
              <w:keepNext/>
              <w:keepLines/>
              <w:spacing w:before="40" w:after="40" w:line="256" w:lineRule="auto"/>
              <w:jc w:val="right"/>
              <w:rPr>
                <w:rFonts w:ascii="Arial" w:eastAsia="Times New Roman" w:hAnsi="Arial" w:cs="Arial"/>
                <w:b/>
                <w:spacing w:val="-2"/>
                <w:sz w:val="14"/>
                <w:szCs w:val="14"/>
              </w:rPr>
            </w:pPr>
            <w:r w:rsidRPr="00044E70">
              <w:rPr>
                <w:rFonts w:ascii="Arial" w:eastAsia="Times New Roman" w:hAnsi="Arial" w:cs="Arial"/>
                <w:b/>
                <w:spacing w:val="-2"/>
                <w:sz w:val="14"/>
                <w:szCs w:val="14"/>
              </w:rPr>
              <w:t>345.470</w:t>
            </w:r>
          </w:p>
        </w:tc>
        <w:tc>
          <w:tcPr>
            <w:tcW w:w="1418" w:type="dxa"/>
            <w:tcBorders>
              <w:top w:val="nil"/>
              <w:left w:val="nil"/>
              <w:bottom w:val="single" w:sz="2" w:space="0" w:color="1F4E79"/>
              <w:right w:val="nil"/>
            </w:tcBorders>
            <w:vAlign w:val="center"/>
            <w:hideMark/>
          </w:tcPr>
          <w:p w14:paraId="5858EE6C" w14:textId="77777777" w:rsidR="00990285" w:rsidRPr="00F85E46" w:rsidRDefault="00990285">
            <w:pPr>
              <w:keepNext/>
              <w:keepLines/>
              <w:spacing w:before="40" w:after="40" w:line="256" w:lineRule="auto"/>
              <w:jc w:val="right"/>
              <w:rPr>
                <w:rFonts w:ascii="Arial" w:eastAsia="Times New Roman" w:hAnsi="Arial" w:cs="Arial"/>
                <w:b/>
                <w:spacing w:val="-2"/>
                <w:sz w:val="14"/>
                <w:szCs w:val="14"/>
              </w:rPr>
            </w:pPr>
            <w:r w:rsidRPr="00F85E46">
              <w:rPr>
                <w:rFonts w:ascii="Arial" w:eastAsia="Times New Roman" w:hAnsi="Arial" w:cs="Arial"/>
                <w:b/>
                <w:spacing w:val="-2"/>
                <w:sz w:val="14"/>
                <w:szCs w:val="14"/>
              </w:rPr>
              <w:t>308.191</w:t>
            </w:r>
          </w:p>
        </w:tc>
      </w:tr>
    </w:tbl>
    <w:p w14:paraId="5EE78621" w14:textId="7CCEC8C1" w:rsidR="00990285" w:rsidRPr="00F85E46" w:rsidRDefault="00990285" w:rsidP="00990285">
      <w:pPr>
        <w:pStyle w:val="07-Legenda"/>
        <w:rPr>
          <w:color w:val="00000A"/>
        </w:rPr>
      </w:pPr>
      <w:r w:rsidRPr="00F85E46">
        <w:t>(1)</w:t>
      </w:r>
      <w:r w:rsidRPr="00F85E46">
        <w:tab/>
        <w:t>Refere-se a diferentes demandas de natureza fiscal, sendo preponderante a ação</w:t>
      </w:r>
      <w:r w:rsidR="00AF7819">
        <w:t>,</w:t>
      </w:r>
      <w:r w:rsidRPr="00F85E46">
        <w:t xml:space="preserve"> e</w:t>
      </w:r>
      <w:r w:rsidR="007349E2">
        <w:t>m</w:t>
      </w:r>
      <w:r w:rsidRPr="00F85E46">
        <w:t xml:space="preserve"> </w:t>
      </w:r>
      <w:r w:rsidR="007349E2">
        <w:t>f</w:t>
      </w:r>
      <w:r w:rsidRPr="00F85E46">
        <w:t>a</w:t>
      </w:r>
      <w:r w:rsidR="007349E2">
        <w:t>ce</w:t>
      </w:r>
      <w:r w:rsidRPr="00F85E46">
        <w:t xml:space="preserve"> da BB Corretora</w:t>
      </w:r>
      <w:r w:rsidR="006D2480">
        <w:t>,</w:t>
      </w:r>
      <w:r w:rsidRPr="00F85E46">
        <w:t xml:space="preserve"> </w:t>
      </w:r>
      <w:r w:rsidR="00C37A9C">
        <w:t xml:space="preserve">que tem </w:t>
      </w:r>
      <w:r w:rsidRPr="00F85E46">
        <w:t xml:space="preserve">como objetivo anular decisão administrativa que não homologou declarações de compensação de saldos negativos de IRPJ com diversos tributos próprios. </w:t>
      </w:r>
      <w:r>
        <w:t xml:space="preserve">Para a mencionada ação, há </w:t>
      </w:r>
      <w:r w:rsidRPr="00F85E46">
        <w:t>d</w:t>
      </w:r>
      <w:r w:rsidRPr="00F85E46">
        <w:rPr>
          <w:color w:val="00000A"/>
        </w:rPr>
        <w:t>epósito recursal em garantia</w:t>
      </w:r>
      <w:r>
        <w:rPr>
          <w:color w:val="00000A"/>
        </w:rPr>
        <w:t xml:space="preserve">, </w:t>
      </w:r>
      <w:r w:rsidRPr="00F85E46">
        <w:rPr>
          <w:color w:val="00000A"/>
        </w:rPr>
        <w:t xml:space="preserve">conforme demonstrado no item </w:t>
      </w:r>
      <w:r>
        <w:rPr>
          <w:color w:val="00000A"/>
        </w:rPr>
        <w:t xml:space="preserve">“d) </w:t>
      </w:r>
      <w:r w:rsidRPr="00F85E46">
        <w:rPr>
          <w:color w:val="00000A"/>
        </w:rPr>
        <w:t xml:space="preserve">Depósitos em </w:t>
      </w:r>
      <w:r w:rsidR="00B50810">
        <w:rPr>
          <w:color w:val="00000A"/>
        </w:rPr>
        <w:t>g</w:t>
      </w:r>
      <w:r w:rsidRPr="00F85E46">
        <w:rPr>
          <w:color w:val="00000A"/>
        </w:rPr>
        <w:t xml:space="preserve">arantia de </w:t>
      </w:r>
      <w:r w:rsidR="00876B71">
        <w:rPr>
          <w:color w:val="00000A"/>
        </w:rPr>
        <w:t>r</w:t>
      </w:r>
      <w:r w:rsidRPr="00F85E46">
        <w:rPr>
          <w:color w:val="00000A"/>
        </w:rPr>
        <w:t>ecursos</w:t>
      </w:r>
      <w:r>
        <w:rPr>
          <w:color w:val="00000A"/>
        </w:rPr>
        <w:t>” a seguir</w:t>
      </w:r>
      <w:r w:rsidRPr="00F85E46">
        <w:rPr>
          <w:color w:val="00000A"/>
        </w:rPr>
        <w:t>.</w:t>
      </w:r>
    </w:p>
    <w:p w14:paraId="73118271" w14:textId="498B9B72" w:rsidR="00990285" w:rsidRPr="00F85E46" w:rsidRDefault="00990285" w:rsidP="00990285">
      <w:pPr>
        <w:spacing w:before="120" w:after="120"/>
        <w:jc w:val="both"/>
        <w:rPr>
          <w:rFonts w:ascii="Arial" w:eastAsia="Times New Roman" w:hAnsi="Arial" w:cs="Arial"/>
          <w:color w:val="000000"/>
          <w:spacing w:val="-2"/>
          <w:sz w:val="18"/>
          <w:szCs w:val="18"/>
          <w:lang w:eastAsia="pt-BR"/>
        </w:rPr>
      </w:pPr>
      <w:r w:rsidRPr="00F85E46">
        <w:rPr>
          <w:rFonts w:ascii="Arial" w:eastAsia="Times New Roman" w:hAnsi="Arial" w:cs="Arial"/>
          <w:color w:val="000000"/>
          <w:spacing w:val="-2"/>
          <w:sz w:val="18"/>
          <w:szCs w:val="18"/>
          <w:lang w:eastAsia="pt-BR"/>
        </w:rPr>
        <w:t>A BB Seguridade não possui passivos contingentes de suas investidas compartilhados com outros acionistas das investidas e não é responsável solidariamente por todo ou parte dos passivos de suas investidas.</w:t>
      </w:r>
    </w:p>
    <w:p w14:paraId="01C61CD2" w14:textId="77777777" w:rsidR="00990285" w:rsidRPr="000801AF" w:rsidRDefault="00990285" w:rsidP="00D5649F">
      <w:pPr>
        <w:pageBreakBefore/>
        <w:spacing w:before="120" w:after="120"/>
        <w:jc w:val="both"/>
        <w:rPr>
          <w:rFonts w:ascii="Arial" w:eastAsia="Times New Roman" w:hAnsi="Arial" w:cs="Arial"/>
          <w:b/>
          <w:color w:val="1F3864" w:themeColor="accent1" w:themeShade="80"/>
          <w:spacing w:val="-2"/>
          <w:sz w:val="18"/>
          <w:szCs w:val="18"/>
          <w:lang w:eastAsia="pt-BR"/>
        </w:rPr>
      </w:pPr>
      <w:r>
        <w:rPr>
          <w:rFonts w:ascii="Arial" w:eastAsia="Times New Roman" w:hAnsi="Arial" w:cs="Arial"/>
          <w:b/>
          <w:color w:val="1F3864" w:themeColor="accent1" w:themeShade="80"/>
          <w:spacing w:val="-2"/>
          <w:sz w:val="18"/>
          <w:szCs w:val="18"/>
          <w:lang w:eastAsia="pt-BR"/>
        </w:rPr>
        <w:lastRenderedPageBreak/>
        <w:t>c</w:t>
      </w:r>
      <w:r w:rsidRPr="000801AF">
        <w:rPr>
          <w:rFonts w:ascii="Arial" w:eastAsia="Times New Roman" w:hAnsi="Arial" w:cs="Arial"/>
          <w:b/>
          <w:color w:val="1F3864" w:themeColor="accent1" w:themeShade="80"/>
          <w:spacing w:val="-2"/>
          <w:sz w:val="18"/>
          <w:szCs w:val="18"/>
          <w:lang w:eastAsia="pt-BR"/>
        </w:rPr>
        <w:t>.1) Ações Fiscais</w:t>
      </w:r>
    </w:p>
    <w:p w14:paraId="284C49D4" w14:textId="77777777" w:rsidR="00990285" w:rsidRPr="00F85E46" w:rsidRDefault="00990285" w:rsidP="00990285">
      <w:pPr>
        <w:spacing w:before="120" w:after="120"/>
        <w:jc w:val="both"/>
        <w:rPr>
          <w:rFonts w:ascii="Arial" w:eastAsia="Times New Roman" w:hAnsi="Arial" w:cs="Arial"/>
          <w:spacing w:val="-2"/>
          <w:sz w:val="18"/>
          <w:szCs w:val="18"/>
          <w:lang w:eastAsia="pt-BR"/>
        </w:rPr>
      </w:pPr>
      <w:r w:rsidRPr="00F85E46">
        <w:rPr>
          <w:rFonts w:ascii="Arial" w:eastAsia="Times New Roman" w:hAnsi="Arial" w:cs="Arial"/>
          <w:spacing w:val="-2"/>
          <w:sz w:val="18"/>
          <w:szCs w:val="18"/>
          <w:lang w:eastAsia="pt-BR"/>
        </w:rPr>
        <w:t xml:space="preserve">A BB Corretora contesta a não homologação de pedidos de compensação de IRPJ, CSLL, PIS e </w:t>
      </w:r>
      <w:proofErr w:type="spellStart"/>
      <w:r w:rsidRPr="00F85E46">
        <w:rPr>
          <w:rFonts w:ascii="Arial" w:eastAsia="Times New Roman" w:hAnsi="Arial" w:cs="Arial"/>
          <w:spacing w:val="-2"/>
          <w:sz w:val="18"/>
          <w:szCs w:val="18"/>
          <w:lang w:eastAsia="pt-BR"/>
        </w:rPr>
        <w:t>C</w:t>
      </w:r>
      <w:r>
        <w:rPr>
          <w:rFonts w:ascii="Arial" w:eastAsia="Times New Roman" w:hAnsi="Arial" w:cs="Arial"/>
          <w:spacing w:val="-2"/>
          <w:sz w:val="18"/>
          <w:szCs w:val="18"/>
          <w:lang w:eastAsia="pt-BR"/>
        </w:rPr>
        <w:t>ofins</w:t>
      </w:r>
      <w:proofErr w:type="spellEnd"/>
      <w:r w:rsidRPr="00F85E46">
        <w:rPr>
          <w:rFonts w:ascii="Arial" w:eastAsia="Times New Roman" w:hAnsi="Arial" w:cs="Arial"/>
          <w:spacing w:val="-2"/>
          <w:sz w:val="18"/>
          <w:szCs w:val="18"/>
          <w:lang w:eastAsia="pt-BR"/>
        </w:rPr>
        <w:t xml:space="preserve"> efetuad</w:t>
      </w:r>
      <w:r>
        <w:rPr>
          <w:rFonts w:ascii="Arial" w:eastAsia="Times New Roman" w:hAnsi="Arial" w:cs="Arial"/>
          <w:spacing w:val="-2"/>
          <w:sz w:val="18"/>
          <w:szCs w:val="18"/>
          <w:lang w:eastAsia="pt-BR"/>
        </w:rPr>
        <w:t>o</w:t>
      </w:r>
      <w:r w:rsidRPr="00F85E46">
        <w:rPr>
          <w:rFonts w:ascii="Arial" w:eastAsia="Times New Roman" w:hAnsi="Arial" w:cs="Arial"/>
          <w:spacing w:val="-2"/>
          <w:sz w:val="18"/>
          <w:szCs w:val="18"/>
          <w:lang w:eastAsia="pt-BR"/>
        </w:rPr>
        <w:t xml:space="preserve">s entre os anos de 1999 e 2003, em virtude do não </w:t>
      </w:r>
      <w:r w:rsidRPr="00780234">
        <w:rPr>
          <w:rFonts w:ascii="Arial" w:eastAsia="Times New Roman" w:hAnsi="Arial" w:cs="Arial"/>
          <w:spacing w:val="-2"/>
          <w:sz w:val="18"/>
          <w:szCs w:val="18"/>
          <w:lang w:eastAsia="pt-BR"/>
        </w:rPr>
        <w:t>reconhecimento dos saldos negativos dos anos de 1995 e 1997, e da dedução de valores de CSLL da base de cálculo do IRPJ, concedida em decisão de Mandado de Segurança.</w:t>
      </w:r>
    </w:p>
    <w:p w14:paraId="11B923EF" w14:textId="0FD06B09" w:rsidR="00990285" w:rsidRPr="00F85E46" w:rsidRDefault="00990285" w:rsidP="00990285">
      <w:pPr>
        <w:spacing w:before="120" w:after="120"/>
        <w:jc w:val="both"/>
        <w:rPr>
          <w:rFonts w:ascii="Arial" w:eastAsia="Times New Roman" w:hAnsi="Arial" w:cs="Arial"/>
          <w:spacing w:val="-2"/>
          <w:sz w:val="18"/>
          <w:szCs w:val="18"/>
          <w:lang w:eastAsia="pt-BR"/>
        </w:rPr>
      </w:pPr>
      <w:r>
        <w:rPr>
          <w:rFonts w:ascii="Arial" w:eastAsia="Times New Roman" w:hAnsi="Arial" w:cs="Arial"/>
          <w:spacing w:val="-2"/>
          <w:sz w:val="18"/>
          <w:szCs w:val="18"/>
          <w:lang w:eastAsia="pt-BR"/>
        </w:rPr>
        <w:t>N</w:t>
      </w:r>
      <w:r w:rsidRPr="00F85E46">
        <w:rPr>
          <w:rFonts w:ascii="Arial" w:eastAsia="Times New Roman" w:hAnsi="Arial" w:cs="Arial"/>
          <w:spacing w:val="-2"/>
          <w:sz w:val="18"/>
          <w:szCs w:val="18"/>
          <w:lang w:eastAsia="pt-BR"/>
        </w:rPr>
        <w:t xml:space="preserve">o principal processo judicializado em face da Companhia, </w:t>
      </w:r>
      <w:bookmarkStart w:id="115" w:name="_Hlk93497549"/>
      <w:r w:rsidRPr="00F85E46">
        <w:rPr>
          <w:rFonts w:ascii="Arial" w:eastAsia="Times New Roman" w:hAnsi="Arial" w:cs="Arial"/>
          <w:spacing w:val="-2"/>
          <w:sz w:val="18"/>
          <w:szCs w:val="18"/>
          <w:lang w:eastAsia="pt-BR"/>
        </w:rPr>
        <w:t>a BB Corretora possui disputa relacionada a “DCOMP Saldo Negativo IRPJ”, junto ao TRF1 / Vara de Brasília/DF, ajuizada em 18/04/2011</w:t>
      </w:r>
      <w:r>
        <w:rPr>
          <w:rFonts w:ascii="Arial" w:eastAsia="Times New Roman" w:hAnsi="Arial" w:cs="Arial"/>
          <w:spacing w:val="-2"/>
          <w:sz w:val="18"/>
          <w:szCs w:val="18"/>
          <w:lang w:eastAsia="pt-BR"/>
        </w:rPr>
        <w:t xml:space="preserve">, </w:t>
      </w:r>
      <w:r w:rsidRPr="00F85E46">
        <w:rPr>
          <w:rFonts w:ascii="Arial" w:eastAsia="Times New Roman" w:hAnsi="Arial" w:cs="Arial"/>
          <w:spacing w:val="-2"/>
          <w:sz w:val="18"/>
          <w:szCs w:val="18"/>
          <w:lang w:eastAsia="pt-BR"/>
        </w:rPr>
        <w:t>cujo valor inicial da causa era de R$</w:t>
      </w:r>
      <w:r>
        <w:rPr>
          <w:rFonts w:ascii="Arial" w:eastAsia="Times New Roman" w:hAnsi="Arial" w:cs="Arial"/>
          <w:spacing w:val="-2"/>
          <w:sz w:val="18"/>
          <w:szCs w:val="18"/>
          <w:lang w:eastAsia="pt-BR"/>
        </w:rPr>
        <w:t> </w:t>
      </w:r>
      <w:r w:rsidRPr="00F85E46">
        <w:rPr>
          <w:rFonts w:ascii="Arial" w:eastAsia="Times New Roman" w:hAnsi="Arial" w:cs="Arial"/>
          <w:spacing w:val="-2"/>
          <w:sz w:val="18"/>
          <w:szCs w:val="18"/>
          <w:lang w:eastAsia="pt-BR"/>
        </w:rPr>
        <w:t>82</w:t>
      </w:r>
      <w:r>
        <w:rPr>
          <w:rFonts w:ascii="Arial" w:eastAsia="Times New Roman" w:hAnsi="Arial" w:cs="Arial"/>
          <w:spacing w:val="-2"/>
          <w:sz w:val="18"/>
          <w:szCs w:val="18"/>
          <w:lang w:eastAsia="pt-BR"/>
        </w:rPr>
        <w:t> </w:t>
      </w:r>
      <w:r w:rsidRPr="00F85E46">
        <w:rPr>
          <w:rFonts w:ascii="Arial" w:eastAsia="Times New Roman" w:hAnsi="Arial" w:cs="Arial"/>
          <w:spacing w:val="-2"/>
          <w:sz w:val="18"/>
          <w:szCs w:val="18"/>
          <w:lang w:eastAsia="pt-BR"/>
        </w:rPr>
        <w:t>milhões. O processo encontra</w:t>
      </w:r>
      <w:r>
        <w:rPr>
          <w:rFonts w:ascii="Arial" w:eastAsia="Times New Roman" w:hAnsi="Arial" w:cs="Arial"/>
          <w:spacing w:val="-2"/>
          <w:sz w:val="18"/>
          <w:szCs w:val="18"/>
          <w:lang w:eastAsia="pt-BR"/>
        </w:rPr>
        <w:t>-se</w:t>
      </w:r>
      <w:r w:rsidRPr="00F85E46">
        <w:rPr>
          <w:rFonts w:ascii="Arial" w:eastAsia="Times New Roman" w:hAnsi="Arial" w:cs="Arial"/>
          <w:spacing w:val="-2"/>
          <w:sz w:val="18"/>
          <w:szCs w:val="18"/>
          <w:lang w:eastAsia="pt-BR"/>
        </w:rPr>
        <w:t xml:space="preserve"> na fase inicial de conhecimento (ainda não há sentença proferida). </w:t>
      </w:r>
      <w:r>
        <w:rPr>
          <w:rFonts w:ascii="Arial" w:eastAsia="Times New Roman" w:hAnsi="Arial" w:cs="Arial"/>
          <w:spacing w:val="-2"/>
          <w:sz w:val="18"/>
          <w:szCs w:val="18"/>
          <w:lang w:eastAsia="pt-BR"/>
        </w:rPr>
        <w:t>E</w:t>
      </w:r>
      <w:r w:rsidRPr="00F85E46">
        <w:rPr>
          <w:rFonts w:ascii="Arial" w:eastAsia="Times New Roman" w:hAnsi="Arial" w:cs="Arial"/>
          <w:spacing w:val="-2"/>
          <w:sz w:val="18"/>
          <w:szCs w:val="18"/>
          <w:lang w:eastAsia="pt-BR"/>
        </w:rPr>
        <w:t>sse processo possui depósito judicial (egresso da fase administrativa da discussão)</w:t>
      </w:r>
      <w:r>
        <w:rPr>
          <w:rFonts w:ascii="Arial" w:eastAsia="Times New Roman" w:hAnsi="Arial" w:cs="Arial"/>
          <w:spacing w:val="-2"/>
          <w:sz w:val="18"/>
          <w:szCs w:val="18"/>
          <w:lang w:eastAsia="pt-BR"/>
        </w:rPr>
        <w:t xml:space="preserve">, </w:t>
      </w:r>
      <w:r w:rsidRPr="00F85E46">
        <w:rPr>
          <w:rFonts w:ascii="Arial" w:eastAsia="Times New Roman" w:hAnsi="Arial" w:cs="Arial"/>
          <w:spacing w:val="-2"/>
          <w:sz w:val="18"/>
          <w:szCs w:val="18"/>
          <w:lang w:eastAsia="pt-BR"/>
        </w:rPr>
        <w:t>no valor aproximad</w:t>
      </w:r>
      <w:r>
        <w:rPr>
          <w:rFonts w:ascii="Arial" w:eastAsia="Times New Roman" w:hAnsi="Arial" w:cs="Arial"/>
          <w:spacing w:val="-2"/>
          <w:sz w:val="18"/>
          <w:szCs w:val="18"/>
          <w:lang w:eastAsia="pt-BR"/>
        </w:rPr>
        <w:t>o de</w:t>
      </w:r>
      <w:r w:rsidRPr="00F85E46">
        <w:rPr>
          <w:rFonts w:ascii="Arial" w:eastAsia="Times New Roman" w:hAnsi="Arial" w:cs="Arial"/>
          <w:spacing w:val="-2"/>
          <w:sz w:val="18"/>
          <w:szCs w:val="18"/>
          <w:lang w:eastAsia="pt-BR"/>
        </w:rPr>
        <w:t xml:space="preserve"> R$ </w:t>
      </w:r>
      <w:r w:rsidRPr="00E537F5">
        <w:rPr>
          <w:rFonts w:ascii="Arial" w:eastAsia="Times New Roman" w:hAnsi="Arial" w:cs="Arial"/>
          <w:spacing w:val="-2"/>
          <w:sz w:val="18"/>
          <w:szCs w:val="18"/>
          <w:lang w:eastAsia="pt-BR"/>
        </w:rPr>
        <w:t>18</w:t>
      </w:r>
      <w:r w:rsidR="003D2551" w:rsidRPr="00E537F5">
        <w:rPr>
          <w:rFonts w:ascii="Arial" w:eastAsia="Times New Roman" w:hAnsi="Arial" w:cs="Arial"/>
          <w:spacing w:val="-2"/>
          <w:sz w:val="18"/>
          <w:szCs w:val="18"/>
          <w:lang w:eastAsia="pt-BR"/>
        </w:rPr>
        <w:t>4</w:t>
      </w:r>
      <w:r w:rsidRPr="00F85E46">
        <w:rPr>
          <w:rFonts w:ascii="Arial" w:eastAsia="Times New Roman" w:hAnsi="Arial" w:cs="Arial"/>
          <w:spacing w:val="-2"/>
          <w:sz w:val="18"/>
          <w:szCs w:val="18"/>
          <w:lang w:eastAsia="pt-BR"/>
        </w:rPr>
        <w:t xml:space="preserve"> milhões (</w:t>
      </w:r>
      <w:r>
        <w:rPr>
          <w:rFonts w:ascii="Arial" w:eastAsia="Times New Roman" w:hAnsi="Arial" w:cs="Arial"/>
          <w:spacing w:val="-2"/>
          <w:sz w:val="18"/>
          <w:szCs w:val="18"/>
          <w:lang w:eastAsia="pt-BR"/>
        </w:rPr>
        <w:t xml:space="preserve">em </w:t>
      </w:r>
      <w:r w:rsidRPr="00F85E46">
        <w:rPr>
          <w:rFonts w:ascii="Arial" w:eastAsia="Times New Roman" w:hAnsi="Arial" w:cs="Arial"/>
          <w:spacing w:val="-2"/>
          <w:sz w:val="18"/>
          <w:szCs w:val="18"/>
          <w:lang w:eastAsia="pt-BR"/>
        </w:rPr>
        <w:t>3</w:t>
      </w:r>
      <w:r w:rsidR="00891373">
        <w:rPr>
          <w:rFonts w:ascii="Arial" w:eastAsia="Times New Roman" w:hAnsi="Arial" w:cs="Arial"/>
          <w:spacing w:val="-2"/>
          <w:sz w:val="18"/>
          <w:szCs w:val="18"/>
          <w:lang w:eastAsia="pt-BR"/>
        </w:rPr>
        <w:t>1</w:t>
      </w:r>
      <w:r w:rsidRPr="00F85E46">
        <w:rPr>
          <w:rFonts w:ascii="Arial" w:eastAsia="Times New Roman" w:hAnsi="Arial" w:cs="Arial"/>
          <w:spacing w:val="-2"/>
          <w:sz w:val="18"/>
          <w:szCs w:val="18"/>
          <w:lang w:eastAsia="pt-BR"/>
        </w:rPr>
        <w:t>/</w:t>
      </w:r>
      <w:r w:rsidR="00891373">
        <w:rPr>
          <w:rFonts w:ascii="Arial" w:eastAsia="Times New Roman" w:hAnsi="Arial" w:cs="Arial"/>
          <w:spacing w:val="-2"/>
          <w:sz w:val="18"/>
          <w:szCs w:val="18"/>
          <w:lang w:eastAsia="pt-BR"/>
        </w:rPr>
        <w:t>12</w:t>
      </w:r>
      <w:r w:rsidRPr="00F85E46">
        <w:rPr>
          <w:rFonts w:ascii="Arial" w:eastAsia="Times New Roman" w:hAnsi="Arial" w:cs="Arial"/>
          <w:spacing w:val="-2"/>
          <w:sz w:val="18"/>
          <w:szCs w:val="18"/>
          <w:lang w:eastAsia="pt-BR"/>
        </w:rPr>
        <w:t>/2024)</w:t>
      </w:r>
      <w:r>
        <w:rPr>
          <w:rFonts w:ascii="Arial" w:eastAsia="Times New Roman" w:hAnsi="Arial" w:cs="Arial"/>
          <w:spacing w:val="-2"/>
          <w:sz w:val="18"/>
          <w:szCs w:val="18"/>
          <w:lang w:eastAsia="pt-BR"/>
        </w:rPr>
        <w:t xml:space="preserve">, </w:t>
      </w:r>
      <w:r w:rsidRPr="00F85E46">
        <w:rPr>
          <w:rFonts w:ascii="Arial" w:eastAsia="Times New Roman" w:hAnsi="Arial" w:cs="Arial"/>
          <w:spacing w:val="-2"/>
          <w:sz w:val="18"/>
          <w:szCs w:val="18"/>
          <w:lang w:eastAsia="pt-BR"/>
        </w:rPr>
        <w:t>depositado em conta judicial na Caixa Econômica Federal</w:t>
      </w:r>
      <w:bookmarkEnd w:id="115"/>
      <w:r w:rsidRPr="00F85E46">
        <w:rPr>
          <w:rFonts w:ascii="Arial" w:eastAsia="Times New Roman" w:hAnsi="Arial" w:cs="Arial"/>
          <w:spacing w:val="-2"/>
          <w:sz w:val="18"/>
          <w:szCs w:val="18"/>
          <w:lang w:eastAsia="pt-BR"/>
        </w:rPr>
        <w:t>.</w:t>
      </w:r>
    </w:p>
    <w:p w14:paraId="06A4511C" w14:textId="77777777" w:rsidR="00990285" w:rsidRPr="00F85E46" w:rsidRDefault="00990285" w:rsidP="00990285">
      <w:pPr>
        <w:spacing w:before="120" w:after="120"/>
        <w:jc w:val="both"/>
        <w:rPr>
          <w:rFonts w:ascii="Arial" w:eastAsia="Times New Roman" w:hAnsi="Arial" w:cs="Arial"/>
          <w:spacing w:val="-2"/>
          <w:sz w:val="18"/>
          <w:szCs w:val="18"/>
          <w:lang w:eastAsia="pt-BR"/>
        </w:rPr>
      </w:pPr>
      <w:r w:rsidRPr="00F85E46">
        <w:rPr>
          <w:rFonts w:ascii="Arial" w:eastAsia="Times New Roman" w:hAnsi="Arial" w:cs="Arial"/>
          <w:spacing w:val="-2"/>
          <w:sz w:val="18"/>
          <w:szCs w:val="18"/>
          <w:lang w:eastAsia="pt-BR"/>
        </w:rPr>
        <w:t>A BB Seguridade e a BB Seguros não possuem ações fiscais com valores significativos.</w:t>
      </w:r>
    </w:p>
    <w:p w14:paraId="68C84502" w14:textId="77777777" w:rsidR="00990285" w:rsidRPr="000801AF" w:rsidRDefault="00990285" w:rsidP="00990285">
      <w:pPr>
        <w:keepNext/>
        <w:spacing w:before="120" w:after="120"/>
        <w:jc w:val="both"/>
        <w:rPr>
          <w:rFonts w:ascii="Arial" w:eastAsia="Times New Roman" w:hAnsi="Arial" w:cs="Arial"/>
          <w:b/>
          <w:color w:val="1F3864" w:themeColor="accent1" w:themeShade="80"/>
          <w:spacing w:val="-2"/>
          <w:sz w:val="18"/>
          <w:szCs w:val="18"/>
          <w:lang w:eastAsia="pt-BR"/>
        </w:rPr>
      </w:pPr>
      <w:r>
        <w:rPr>
          <w:rFonts w:ascii="Arial" w:eastAsia="Times New Roman" w:hAnsi="Arial" w:cs="Arial"/>
          <w:b/>
          <w:color w:val="1F3864" w:themeColor="accent1" w:themeShade="80"/>
          <w:spacing w:val="-2"/>
          <w:sz w:val="18"/>
          <w:szCs w:val="18"/>
          <w:lang w:eastAsia="pt-BR"/>
        </w:rPr>
        <w:t>c</w:t>
      </w:r>
      <w:r w:rsidRPr="000801AF">
        <w:rPr>
          <w:rFonts w:ascii="Arial" w:eastAsia="Times New Roman" w:hAnsi="Arial" w:cs="Arial"/>
          <w:b/>
          <w:color w:val="1F3864" w:themeColor="accent1" w:themeShade="80"/>
          <w:spacing w:val="-2"/>
          <w:sz w:val="18"/>
          <w:szCs w:val="18"/>
          <w:lang w:eastAsia="pt-BR"/>
        </w:rPr>
        <w:t>.2) Ações Cíveis</w:t>
      </w:r>
    </w:p>
    <w:p w14:paraId="660C5383" w14:textId="77777777" w:rsidR="00990285" w:rsidRPr="00F85E46" w:rsidRDefault="00990285" w:rsidP="00990285">
      <w:pPr>
        <w:spacing w:before="120" w:after="120"/>
        <w:jc w:val="both"/>
        <w:rPr>
          <w:rFonts w:ascii="Arial" w:eastAsia="Times New Roman" w:hAnsi="Arial" w:cs="Arial"/>
          <w:spacing w:val="-2"/>
          <w:sz w:val="18"/>
          <w:szCs w:val="18"/>
          <w:lang w:eastAsia="pt-BR"/>
        </w:rPr>
      </w:pPr>
      <w:r w:rsidRPr="00F85E46">
        <w:rPr>
          <w:rFonts w:ascii="Arial" w:eastAsia="Times New Roman" w:hAnsi="Arial" w:cs="Arial"/>
          <w:spacing w:val="-2"/>
          <w:sz w:val="18"/>
          <w:szCs w:val="18"/>
          <w:lang w:eastAsia="pt-BR"/>
        </w:rPr>
        <w:t>Nas ações cíveis envolvendo a BB Seguridade, a BB Seguros e a BB Corretora, sobressaem os pedidos de indenizações diversas (dano material e dano moral, por exemplo), notadamente, decorrentes das relações consumeristas envolvendo os produtos de seguridade e afins (seguros de pessoas e patrimoniais, previdência complementar aberta, capitalização e planos odontológicos).</w:t>
      </w:r>
    </w:p>
    <w:p w14:paraId="01ECB71D" w14:textId="77777777" w:rsidR="00990285" w:rsidRPr="000801AF" w:rsidRDefault="00990285" w:rsidP="00990285">
      <w:pPr>
        <w:spacing w:before="120" w:after="120"/>
        <w:jc w:val="both"/>
        <w:rPr>
          <w:rFonts w:ascii="Arial" w:eastAsia="Times New Roman" w:hAnsi="Arial" w:cs="Arial"/>
          <w:b/>
          <w:color w:val="1F3864" w:themeColor="accent1" w:themeShade="80"/>
          <w:spacing w:val="-2"/>
          <w:sz w:val="18"/>
          <w:szCs w:val="18"/>
          <w:lang w:eastAsia="pt-BR"/>
        </w:rPr>
      </w:pPr>
      <w:r>
        <w:rPr>
          <w:rFonts w:ascii="Arial" w:eastAsia="Times New Roman" w:hAnsi="Arial" w:cs="Arial"/>
          <w:b/>
          <w:color w:val="1F3864" w:themeColor="accent1" w:themeShade="80"/>
          <w:spacing w:val="-2"/>
          <w:sz w:val="18"/>
          <w:szCs w:val="18"/>
          <w:lang w:eastAsia="pt-BR"/>
        </w:rPr>
        <w:t>d</w:t>
      </w:r>
      <w:r w:rsidRPr="000801AF">
        <w:rPr>
          <w:rFonts w:ascii="Arial" w:eastAsia="Times New Roman" w:hAnsi="Arial" w:cs="Arial"/>
          <w:b/>
          <w:color w:val="1F3864" w:themeColor="accent1" w:themeShade="80"/>
          <w:spacing w:val="-2"/>
          <w:sz w:val="18"/>
          <w:szCs w:val="18"/>
          <w:lang w:eastAsia="pt-BR"/>
        </w:rPr>
        <w:t xml:space="preserve">) Depósitos em </w:t>
      </w:r>
      <w:r>
        <w:rPr>
          <w:rFonts w:ascii="Arial" w:eastAsia="Times New Roman" w:hAnsi="Arial" w:cs="Arial"/>
          <w:b/>
          <w:color w:val="1F3864" w:themeColor="accent1" w:themeShade="80"/>
          <w:spacing w:val="-2"/>
          <w:sz w:val="18"/>
          <w:szCs w:val="18"/>
          <w:lang w:eastAsia="pt-BR"/>
        </w:rPr>
        <w:t>g</w:t>
      </w:r>
      <w:r w:rsidRPr="000801AF">
        <w:rPr>
          <w:rFonts w:ascii="Arial" w:eastAsia="Times New Roman" w:hAnsi="Arial" w:cs="Arial"/>
          <w:b/>
          <w:color w:val="1F3864" w:themeColor="accent1" w:themeShade="80"/>
          <w:spacing w:val="-2"/>
          <w:sz w:val="18"/>
          <w:szCs w:val="18"/>
          <w:lang w:eastAsia="pt-BR"/>
        </w:rPr>
        <w:t xml:space="preserve">arantia de </w:t>
      </w:r>
      <w:r>
        <w:rPr>
          <w:rFonts w:ascii="Arial" w:eastAsia="Times New Roman" w:hAnsi="Arial" w:cs="Arial"/>
          <w:b/>
          <w:color w:val="1F3864" w:themeColor="accent1" w:themeShade="80"/>
          <w:spacing w:val="-2"/>
          <w:sz w:val="18"/>
          <w:szCs w:val="18"/>
          <w:lang w:eastAsia="pt-BR"/>
        </w:rPr>
        <w:t>r</w:t>
      </w:r>
      <w:r w:rsidRPr="000801AF">
        <w:rPr>
          <w:rFonts w:ascii="Arial" w:eastAsia="Times New Roman" w:hAnsi="Arial" w:cs="Arial"/>
          <w:b/>
          <w:color w:val="1F3864" w:themeColor="accent1" w:themeShade="80"/>
          <w:spacing w:val="-2"/>
          <w:sz w:val="18"/>
          <w:szCs w:val="18"/>
          <w:lang w:eastAsia="pt-BR"/>
        </w:rPr>
        <w:t>ecursos</w:t>
      </w:r>
    </w:p>
    <w:p w14:paraId="713983F0" w14:textId="77777777" w:rsidR="00990285" w:rsidRPr="00F85E46" w:rsidRDefault="00990285" w:rsidP="00990285">
      <w:pPr>
        <w:spacing w:before="120" w:after="120"/>
        <w:jc w:val="both"/>
        <w:rPr>
          <w:rFonts w:ascii="Arial" w:eastAsia="Times New Roman" w:hAnsi="Arial" w:cs="Arial"/>
          <w:spacing w:val="-2"/>
          <w:sz w:val="18"/>
          <w:szCs w:val="18"/>
          <w:lang w:eastAsia="pt-BR"/>
        </w:rPr>
      </w:pPr>
      <w:r w:rsidRPr="00F85E46">
        <w:rPr>
          <w:rFonts w:ascii="Arial" w:eastAsia="Times New Roman" w:hAnsi="Arial" w:cs="Arial"/>
          <w:spacing w:val="-2"/>
          <w:sz w:val="18"/>
          <w:szCs w:val="18"/>
          <w:lang w:eastAsia="pt-BR"/>
        </w:rPr>
        <w:t>Os depósitos judiciais são efetuados no Banco do Brasil ou em outra instituição financeira oficial, como meio de pagamento ou como meio de garantir o pagamento de condenações, indenizações, acordos e demais despesas decorrentes de processos judiciais. Os valores estão apresentados no balanço patrimonial em Outros Ativos.</w:t>
      </w:r>
    </w:p>
    <w:p w14:paraId="46877511" w14:textId="77777777" w:rsidR="00990285" w:rsidRPr="00F85E46" w:rsidRDefault="00990285" w:rsidP="00990285">
      <w:pPr>
        <w:spacing w:after="0" w:line="240" w:lineRule="auto"/>
        <w:jc w:val="right"/>
        <w:rPr>
          <w:rFonts w:ascii="Arial" w:eastAsia="Times New Roman" w:hAnsi="Arial" w:cs="Arial"/>
          <w:b/>
          <w:spacing w:val="-2"/>
          <w:sz w:val="14"/>
          <w:szCs w:val="14"/>
          <w:lang w:eastAsia="pt-BR"/>
        </w:rPr>
      </w:pPr>
      <w:r w:rsidRPr="00F85E46">
        <w:rPr>
          <w:rFonts w:ascii="Arial" w:eastAsia="Times New Roman" w:hAnsi="Arial" w:cs="Arial"/>
          <w:b/>
          <w:spacing w:val="-2"/>
          <w:sz w:val="14"/>
          <w:szCs w:val="14"/>
          <w:lang w:eastAsia="pt-BR"/>
        </w:rPr>
        <w:t>R$ mil</w:t>
      </w:r>
    </w:p>
    <w:tbl>
      <w:tblPr>
        <w:tblW w:w="9639" w:type="dxa"/>
        <w:tblBorders>
          <w:top w:val="single" w:sz="2" w:space="0" w:color="1F4E79"/>
          <w:bottom w:val="single" w:sz="2" w:space="0" w:color="1F4E79"/>
          <w:insideH w:val="single" w:sz="2" w:space="0" w:color="1F4E79"/>
        </w:tblBorders>
        <w:tblLook w:val="04A0" w:firstRow="1" w:lastRow="0" w:firstColumn="1" w:lastColumn="0" w:noHBand="0" w:noVBand="1"/>
      </w:tblPr>
      <w:tblGrid>
        <w:gridCol w:w="850"/>
        <w:gridCol w:w="2244"/>
        <w:gridCol w:w="604"/>
        <w:gridCol w:w="1411"/>
        <w:gridCol w:w="1412"/>
        <w:gridCol w:w="283"/>
        <w:gridCol w:w="1417"/>
        <w:gridCol w:w="1418"/>
      </w:tblGrid>
      <w:tr w:rsidR="00990285" w:rsidRPr="00F85E46" w14:paraId="2DF1B815" w14:textId="77777777">
        <w:trPr>
          <w:trHeight w:hRule="exact" w:val="238"/>
        </w:trPr>
        <w:tc>
          <w:tcPr>
            <w:tcW w:w="850" w:type="dxa"/>
            <w:tcBorders>
              <w:top w:val="single" w:sz="2" w:space="0" w:color="1F4E79"/>
              <w:left w:val="nil"/>
              <w:bottom w:val="nil"/>
              <w:right w:val="nil"/>
            </w:tcBorders>
          </w:tcPr>
          <w:p w14:paraId="55A2E6B7" w14:textId="77777777" w:rsidR="00990285" w:rsidRPr="00F85E46" w:rsidRDefault="00990285">
            <w:pPr>
              <w:keepNext/>
              <w:keepLines/>
              <w:spacing w:before="40" w:after="40" w:line="240" w:lineRule="auto"/>
              <w:jc w:val="center"/>
              <w:rPr>
                <w:rFonts w:ascii="Arial" w:hAnsi="Arial" w:cs="Arial"/>
                <w:bCs/>
                <w:spacing w:val="-2"/>
                <w:sz w:val="14"/>
                <w:szCs w:val="14"/>
              </w:rPr>
            </w:pPr>
          </w:p>
        </w:tc>
        <w:tc>
          <w:tcPr>
            <w:tcW w:w="2848" w:type="dxa"/>
            <w:gridSpan w:val="2"/>
            <w:tcBorders>
              <w:top w:val="single" w:sz="2" w:space="0" w:color="1F4E79"/>
              <w:left w:val="nil"/>
              <w:bottom w:val="nil"/>
              <w:right w:val="nil"/>
            </w:tcBorders>
          </w:tcPr>
          <w:p w14:paraId="6579D6A4" w14:textId="77777777" w:rsidR="00990285" w:rsidRPr="00F85E46" w:rsidRDefault="00990285">
            <w:pPr>
              <w:keepNext/>
              <w:keepLines/>
              <w:spacing w:before="40" w:after="40" w:line="240" w:lineRule="auto"/>
              <w:jc w:val="center"/>
              <w:rPr>
                <w:rFonts w:ascii="Arial" w:hAnsi="Arial" w:cs="Arial"/>
                <w:b/>
                <w:spacing w:val="-2"/>
                <w:sz w:val="14"/>
                <w:szCs w:val="14"/>
              </w:rPr>
            </w:pPr>
          </w:p>
        </w:tc>
        <w:tc>
          <w:tcPr>
            <w:tcW w:w="2823" w:type="dxa"/>
            <w:gridSpan w:val="2"/>
            <w:tcBorders>
              <w:top w:val="single" w:sz="2" w:space="0" w:color="1F4E79"/>
              <w:left w:val="nil"/>
              <w:bottom w:val="single" w:sz="2" w:space="0" w:color="1F4E79"/>
              <w:right w:val="nil"/>
            </w:tcBorders>
            <w:hideMark/>
          </w:tcPr>
          <w:p w14:paraId="0E2C3B75" w14:textId="77777777" w:rsidR="00990285" w:rsidRPr="00F85E46" w:rsidRDefault="00990285">
            <w:pPr>
              <w:keepNext/>
              <w:keepLines/>
              <w:spacing w:before="40" w:after="40" w:line="240" w:lineRule="auto"/>
              <w:jc w:val="center"/>
              <w:rPr>
                <w:rFonts w:ascii="Arial" w:hAnsi="Arial" w:cs="Arial"/>
                <w:b/>
                <w:spacing w:val="-2"/>
                <w:sz w:val="14"/>
                <w:szCs w:val="14"/>
                <w:vertAlign w:val="superscript"/>
              </w:rPr>
            </w:pPr>
            <w:r w:rsidRPr="00F85E46">
              <w:rPr>
                <w:rFonts w:ascii="Arial" w:hAnsi="Arial" w:cs="Arial"/>
                <w:b/>
                <w:spacing w:val="-2"/>
                <w:sz w:val="14"/>
                <w:szCs w:val="14"/>
              </w:rPr>
              <w:t>Controlador</w:t>
            </w:r>
          </w:p>
        </w:tc>
        <w:tc>
          <w:tcPr>
            <w:tcW w:w="283" w:type="dxa"/>
            <w:tcBorders>
              <w:top w:val="single" w:sz="2" w:space="0" w:color="1F4E79"/>
              <w:left w:val="nil"/>
              <w:bottom w:val="single" w:sz="2" w:space="0" w:color="1F4E79"/>
              <w:right w:val="nil"/>
            </w:tcBorders>
          </w:tcPr>
          <w:p w14:paraId="51F19DDE" w14:textId="77777777" w:rsidR="00990285" w:rsidRPr="00F85E46" w:rsidRDefault="00990285">
            <w:pPr>
              <w:keepNext/>
              <w:keepLines/>
              <w:spacing w:before="40" w:after="40" w:line="240" w:lineRule="auto"/>
              <w:jc w:val="center"/>
              <w:rPr>
                <w:rFonts w:ascii="Arial" w:hAnsi="Arial" w:cs="Arial"/>
                <w:b/>
                <w:bCs/>
                <w:spacing w:val="-2"/>
                <w:sz w:val="14"/>
                <w:szCs w:val="14"/>
              </w:rPr>
            </w:pPr>
          </w:p>
        </w:tc>
        <w:tc>
          <w:tcPr>
            <w:tcW w:w="2835" w:type="dxa"/>
            <w:gridSpan w:val="2"/>
            <w:tcBorders>
              <w:top w:val="single" w:sz="2" w:space="0" w:color="1F4E79"/>
              <w:left w:val="nil"/>
              <w:bottom w:val="single" w:sz="2" w:space="0" w:color="1F4E79"/>
              <w:right w:val="nil"/>
            </w:tcBorders>
            <w:hideMark/>
          </w:tcPr>
          <w:p w14:paraId="3D42277D" w14:textId="77777777" w:rsidR="00990285" w:rsidRPr="00F85E46" w:rsidRDefault="00990285">
            <w:pPr>
              <w:keepNext/>
              <w:keepLines/>
              <w:spacing w:before="40" w:after="40" w:line="240" w:lineRule="auto"/>
              <w:jc w:val="center"/>
              <w:rPr>
                <w:rFonts w:ascii="Arial" w:hAnsi="Arial" w:cs="Arial"/>
                <w:b/>
                <w:spacing w:val="-2"/>
                <w:sz w:val="14"/>
                <w:szCs w:val="14"/>
                <w:vertAlign w:val="superscript"/>
              </w:rPr>
            </w:pPr>
            <w:r w:rsidRPr="00F85E46">
              <w:rPr>
                <w:rFonts w:ascii="Arial" w:hAnsi="Arial" w:cs="Arial"/>
                <w:b/>
                <w:spacing w:val="-2"/>
                <w:sz w:val="14"/>
                <w:szCs w:val="14"/>
              </w:rPr>
              <w:t>Consolidado</w:t>
            </w:r>
          </w:p>
        </w:tc>
      </w:tr>
      <w:tr w:rsidR="00CF49AB" w:rsidRPr="00F85E46" w14:paraId="03FCD4B7" w14:textId="77777777">
        <w:trPr>
          <w:trHeight w:hRule="exact" w:val="238"/>
        </w:trPr>
        <w:tc>
          <w:tcPr>
            <w:tcW w:w="3094" w:type="dxa"/>
            <w:gridSpan w:val="2"/>
            <w:tcBorders>
              <w:top w:val="nil"/>
              <w:left w:val="nil"/>
              <w:bottom w:val="single" w:sz="2" w:space="0" w:color="1F4E79"/>
              <w:right w:val="nil"/>
            </w:tcBorders>
          </w:tcPr>
          <w:p w14:paraId="2D2FD705" w14:textId="77777777" w:rsidR="00CF49AB" w:rsidRPr="00F85E46" w:rsidRDefault="00CF49AB" w:rsidP="00CF49AB">
            <w:pPr>
              <w:keepNext/>
              <w:keepLines/>
              <w:spacing w:before="40" w:after="40" w:line="240" w:lineRule="auto"/>
              <w:rPr>
                <w:rFonts w:ascii="Arial" w:hAnsi="Arial" w:cs="Arial"/>
                <w:spacing w:val="-2"/>
                <w:sz w:val="14"/>
                <w:szCs w:val="14"/>
              </w:rPr>
            </w:pPr>
          </w:p>
        </w:tc>
        <w:tc>
          <w:tcPr>
            <w:tcW w:w="604" w:type="dxa"/>
            <w:tcBorders>
              <w:top w:val="nil"/>
              <w:left w:val="nil"/>
              <w:bottom w:val="single" w:sz="2" w:space="0" w:color="1F4E79"/>
              <w:right w:val="nil"/>
            </w:tcBorders>
          </w:tcPr>
          <w:p w14:paraId="1F58A90B" w14:textId="77777777" w:rsidR="00CF49AB" w:rsidRPr="00F85E46" w:rsidRDefault="00CF49AB" w:rsidP="00CF49AB">
            <w:pPr>
              <w:keepNext/>
              <w:keepLines/>
              <w:spacing w:before="40" w:after="40" w:line="240" w:lineRule="auto"/>
              <w:rPr>
                <w:rFonts w:ascii="Arial" w:hAnsi="Arial" w:cs="Arial"/>
                <w:b/>
                <w:spacing w:val="-2"/>
                <w:sz w:val="14"/>
                <w:szCs w:val="14"/>
              </w:rPr>
            </w:pPr>
          </w:p>
        </w:tc>
        <w:tc>
          <w:tcPr>
            <w:tcW w:w="1411" w:type="dxa"/>
            <w:tcBorders>
              <w:top w:val="single" w:sz="2" w:space="0" w:color="1F4E79"/>
              <w:left w:val="nil"/>
              <w:bottom w:val="single" w:sz="2" w:space="0" w:color="1F4E79"/>
              <w:right w:val="nil"/>
            </w:tcBorders>
            <w:hideMark/>
          </w:tcPr>
          <w:p w14:paraId="2759D6C0" w14:textId="1D716205" w:rsidR="00CF49AB" w:rsidRPr="00F85E46" w:rsidRDefault="00CF49AB" w:rsidP="00CF49AB">
            <w:pPr>
              <w:keepNext/>
              <w:keepLines/>
              <w:spacing w:before="40" w:after="40" w:line="240" w:lineRule="auto"/>
              <w:jc w:val="right"/>
              <w:rPr>
                <w:rFonts w:ascii="Arial" w:hAnsi="Arial" w:cs="Arial"/>
                <w:b/>
                <w:spacing w:val="-2"/>
                <w:sz w:val="14"/>
                <w:szCs w:val="14"/>
              </w:rPr>
            </w:pPr>
            <w:r w:rsidRPr="00F85E46">
              <w:rPr>
                <w:rFonts w:ascii="Arial" w:hAnsi="Arial" w:cs="Arial"/>
                <w:b/>
                <w:spacing w:val="-2"/>
                <w:sz w:val="14"/>
                <w:szCs w:val="14"/>
              </w:rPr>
              <w:t>31.12.202</w:t>
            </w:r>
            <w:r>
              <w:rPr>
                <w:rFonts w:ascii="Arial" w:hAnsi="Arial" w:cs="Arial"/>
                <w:b/>
                <w:spacing w:val="-2"/>
                <w:sz w:val="14"/>
                <w:szCs w:val="14"/>
              </w:rPr>
              <w:t>4</w:t>
            </w:r>
          </w:p>
        </w:tc>
        <w:tc>
          <w:tcPr>
            <w:tcW w:w="1412" w:type="dxa"/>
            <w:tcBorders>
              <w:top w:val="single" w:sz="2" w:space="0" w:color="1F4E79"/>
              <w:left w:val="nil"/>
              <w:bottom w:val="single" w:sz="2" w:space="0" w:color="1F4E79"/>
              <w:right w:val="nil"/>
            </w:tcBorders>
            <w:hideMark/>
          </w:tcPr>
          <w:p w14:paraId="3C904FBA" w14:textId="77777777" w:rsidR="00CF49AB" w:rsidRPr="00F85E46" w:rsidRDefault="00CF49AB" w:rsidP="00CF49AB">
            <w:pPr>
              <w:keepNext/>
              <w:keepLines/>
              <w:spacing w:before="40" w:after="40" w:line="240" w:lineRule="auto"/>
              <w:jc w:val="right"/>
              <w:rPr>
                <w:rFonts w:ascii="Arial" w:hAnsi="Arial" w:cs="Arial"/>
                <w:b/>
                <w:spacing w:val="-2"/>
                <w:sz w:val="14"/>
                <w:szCs w:val="14"/>
              </w:rPr>
            </w:pPr>
            <w:r w:rsidRPr="00F85E46">
              <w:rPr>
                <w:rFonts w:ascii="Arial" w:hAnsi="Arial" w:cs="Arial"/>
                <w:b/>
                <w:spacing w:val="-2"/>
                <w:sz w:val="14"/>
                <w:szCs w:val="14"/>
              </w:rPr>
              <w:t>31.12.2023</w:t>
            </w:r>
          </w:p>
        </w:tc>
        <w:tc>
          <w:tcPr>
            <w:tcW w:w="283" w:type="dxa"/>
            <w:tcBorders>
              <w:top w:val="single" w:sz="2" w:space="0" w:color="1F4E79"/>
              <w:left w:val="nil"/>
              <w:bottom w:val="single" w:sz="2" w:space="0" w:color="1F4E79"/>
              <w:right w:val="nil"/>
            </w:tcBorders>
          </w:tcPr>
          <w:p w14:paraId="074F7375" w14:textId="77777777" w:rsidR="00CF49AB" w:rsidRPr="00F85E46" w:rsidRDefault="00CF49AB" w:rsidP="00CF49AB">
            <w:pPr>
              <w:keepNext/>
              <w:keepLines/>
              <w:spacing w:before="40" w:after="40" w:line="240" w:lineRule="auto"/>
              <w:jc w:val="right"/>
              <w:rPr>
                <w:rFonts w:ascii="Arial" w:hAnsi="Arial" w:cs="Arial"/>
                <w:b/>
                <w:spacing w:val="-2"/>
                <w:sz w:val="14"/>
                <w:szCs w:val="14"/>
              </w:rPr>
            </w:pPr>
          </w:p>
        </w:tc>
        <w:tc>
          <w:tcPr>
            <w:tcW w:w="1417" w:type="dxa"/>
            <w:tcBorders>
              <w:top w:val="single" w:sz="2" w:space="0" w:color="1F4E79"/>
              <w:left w:val="nil"/>
              <w:bottom w:val="single" w:sz="2" w:space="0" w:color="1F4E79"/>
              <w:right w:val="nil"/>
            </w:tcBorders>
            <w:hideMark/>
          </w:tcPr>
          <w:p w14:paraId="0E0CFDAA" w14:textId="4CF1F04C" w:rsidR="00CF49AB" w:rsidRPr="00F85E46" w:rsidRDefault="00CF49AB" w:rsidP="00CF49AB">
            <w:pPr>
              <w:keepNext/>
              <w:keepLines/>
              <w:spacing w:before="40" w:after="40" w:line="240" w:lineRule="auto"/>
              <w:jc w:val="right"/>
              <w:rPr>
                <w:rFonts w:ascii="Arial" w:hAnsi="Arial" w:cs="Arial"/>
                <w:b/>
                <w:spacing w:val="-2"/>
                <w:sz w:val="14"/>
                <w:szCs w:val="14"/>
              </w:rPr>
            </w:pPr>
            <w:r w:rsidRPr="00F85E46">
              <w:rPr>
                <w:rFonts w:ascii="Arial" w:hAnsi="Arial" w:cs="Arial"/>
                <w:b/>
                <w:spacing w:val="-2"/>
                <w:sz w:val="14"/>
                <w:szCs w:val="14"/>
              </w:rPr>
              <w:t>31.12.202</w:t>
            </w:r>
            <w:r>
              <w:rPr>
                <w:rFonts w:ascii="Arial" w:hAnsi="Arial" w:cs="Arial"/>
                <w:b/>
                <w:spacing w:val="-2"/>
                <w:sz w:val="14"/>
                <w:szCs w:val="14"/>
              </w:rPr>
              <w:t>4</w:t>
            </w:r>
          </w:p>
        </w:tc>
        <w:tc>
          <w:tcPr>
            <w:tcW w:w="1418" w:type="dxa"/>
            <w:tcBorders>
              <w:top w:val="single" w:sz="2" w:space="0" w:color="1F4E79"/>
              <w:left w:val="nil"/>
              <w:bottom w:val="single" w:sz="2" w:space="0" w:color="1F4E79"/>
              <w:right w:val="nil"/>
            </w:tcBorders>
            <w:hideMark/>
          </w:tcPr>
          <w:p w14:paraId="236C120A" w14:textId="77777777" w:rsidR="00CF49AB" w:rsidRPr="00F85E46" w:rsidRDefault="00CF49AB" w:rsidP="00CF49AB">
            <w:pPr>
              <w:keepNext/>
              <w:keepLines/>
              <w:spacing w:before="40" w:after="40" w:line="240" w:lineRule="auto"/>
              <w:jc w:val="right"/>
              <w:rPr>
                <w:rFonts w:ascii="Arial" w:hAnsi="Arial" w:cs="Arial"/>
                <w:b/>
                <w:spacing w:val="-2"/>
                <w:sz w:val="14"/>
                <w:szCs w:val="14"/>
              </w:rPr>
            </w:pPr>
            <w:r w:rsidRPr="00F85E46">
              <w:rPr>
                <w:rFonts w:ascii="Arial" w:hAnsi="Arial" w:cs="Arial"/>
                <w:b/>
                <w:spacing w:val="-2"/>
                <w:sz w:val="14"/>
                <w:szCs w:val="14"/>
              </w:rPr>
              <w:t>31.12.2023</w:t>
            </w:r>
          </w:p>
        </w:tc>
      </w:tr>
      <w:tr w:rsidR="004660FE" w:rsidRPr="00F85E46" w14:paraId="4C98156D" w14:textId="77777777">
        <w:trPr>
          <w:trHeight w:hRule="exact" w:val="238"/>
        </w:trPr>
        <w:tc>
          <w:tcPr>
            <w:tcW w:w="3094" w:type="dxa"/>
            <w:gridSpan w:val="2"/>
            <w:tcBorders>
              <w:top w:val="nil"/>
              <w:left w:val="nil"/>
              <w:bottom w:val="nil"/>
              <w:right w:val="nil"/>
            </w:tcBorders>
            <w:vAlign w:val="center"/>
            <w:hideMark/>
          </w:tcPr>
          <w:p w14:paraId="1579241C" w14:textId="77777777" w:rsidR="004660FE" w:rsidRPr="00F85E46" w:rsidRDefault="004660FE" w:rsidP="004660FE">
            <w:pPr>
              <w:keepNext/>
              <w:keepLines/>
              <w:spacing w:before="40" w:after="40" w:line="256" w:lineRule="auto"/>
              <w:rPr>
                <w:rFonts w:ascii="Arial" w:eastAsia="Times New Roman" w:hAnsi="Arial" w:cs="Arial"/>
                <w:b/>
                <w:spacing w:val="-2"/>
                <w:sz w:val="14"/>
                <w:szCs w:val="14"/>
                <w:vertAlign w:val="superscript"/>
              </w:rPr>
            </w:pPr>
            <w:r>
              <w:rPr>
                <w:rFonts w:ascii="Arial" w:eastAsia="Times New Roman" w:hAnsi="Arial" w:cs="Arial"/>
                <w:spacing w:val="-2"/>
                <w:sz w:val="14"/>
                <w:szCs w:val="14"/>
              </w:rPr>
              <w:t>Fi</w:t>
            </w:r>
            <w:r w:rsidRPr="00F85E46">
              <w:rPr>
                <w:rFonts w:ascii="Arial" w:eastAsia="Times New Roman" w:hAnsi="Arial" w:cs="Arial"/>
                <w:spacing w:val="-2"/>
                <w:sz w:val="14"/>
                <w:szCs w:val="14"/>
              </w:rPr>
              <w:t xml:space="preserve">scais </w:t>
            </w:r>
            <w:r w:rsidRPr="00F85E46">
              <w:rPr>
                <w:rFonts w:ascii="Arial" w:eastAsia="Times New Roman" w:hAnsi="Arial" w:cs="Arial"/>
                <w:spacing w:val="-2"/>
                <w:sz w:val="14"/>
                <w:szCs w:val="14"/>
                <w:vertAlign w:val="superscript"/>
              </w:rPr>
              <w:t>(1)</w:t>
            </w:r>
          </w:p>
        </w:tc>
        <w:tc>
          <w:tcPr>
            <w:tcW w:w="604" w:type="dxa"/>
            <w:tcBorders>
              <w:top w:val="nil"/>
              <w:left w:val="nil"/>
              <w:bottom w:val="nil"/>
              <w:right w:val="nil"/>
            </w:tcBorders>
          </w:tcPr>
          <w:p w14:paraId="636AFF6A" w14:textId="77777777" w:rsidR="004660FE" w:rsidRPr="00F85E46" w:rsidRDefault="004660FE" w:rsidP="004660FE">
            <w:pPr>
              <w:keepNext/>
              <w:keepLines/>
              <w:spacing w:before="40" w:after="40" w:line="256" w:lineRule="auto"/>
              <w:jc w:val="right"/>
              <w:rPr>
                <w:rFonts w:ascii="Arial" w:eastAsia="Times New Roman" w:hAnsi="Arial" w:cs="Arial"/>
                <w:spacing w:val="-2"/>
                <w:sz w:val="14"/>
                <w:szCs w:val="14"/>
              </w:rPr>
            </w:pPr>
          </w:p>
        </w:tc>
        <w:tc>
          <w:tcPr>
            <w:tcW w:w="1411" w:type="dxa"/>
            <w:tcBorders>
              <w:top w:val="nil"/>
              <w:left w:val="nil"/>
              <w:bottom w:val="nil"/>
              <w:right w:val="nil"/>
            </w:tcBorders>
            <w:vAlign w:val="center"/>
            <w:hideMark/>
          </w:tcPr>
          <w:p w14:paraId="1AD57D05" w14:textId="77777777" w:rsidR="004660FE" w:rsidRPr="00290829" w:rsidRDefault="004660FE" w:rsidP="004660FE">
            <w:pPr>
              <w:keepNext/>
              <w:keepLines/>
              <w:spacing w:before="40" w:after="40" w:line="256" w:lineRule="auto"/>
              <w:jc w:val="right"/>
              <w:rPr>
                <w:rFonts w:ascii="Arial" w:eastAsia="Times New Roman" w:hAnsi="Arial" w:cs="Arial"/>
                <w:spacing w:val="-2"/>
                <w:sz w:val="14"/>
                <w:szCs w:val="18"/>
              </w:rPr>
            </w:pPr>
            <w:r w:rsidRPr="00290829">
              <w:rPr>
                <w:rFonts w:ascii="Arial" w:eastAsia="Times New Roman" w:hAnsi="Arial" w:cs="Arial"/>
                <w:spacing w:val="-2"/>
                <w:sz w:val="14"/>
                <w:szCs w:val="18"/>
              </w:rPr>
              <w:t>--</w:t>
            </w:r>
          </w:p>
        </w:tc>
        <w:tc>
          <w:tcPr>
            <w:tcW w:w="1412" w:type="dxa"/>
            <w:tcBorders>
              <w:top w:val="nil"/>
              <w:left w:val="nil"/>
              <w:bottom w:val="nil"/>
              <w:right w:val="nil"/>
            </w:tcBorders>
            <w:vAlign w:val="center"/>
            <w:hideMark/>
          </w:tcPr>
          <w:p w14:paraId="0B29F7CB" w14:textId="77777777" w:rsidR="004660FE" w:rsidRPr="00F85E46" w:rsidRDefault="004660FE" w:rsidP="004660FE">
            <w:pPr>
              <w:keepNext/>
              <w:keepLines/>
              <w:spacing w:before="40" w:after="40" w:line="256" w:lineRule="auto"/>
              <w:jc w:val="right"/>
              <w:rPr>
                <w:rFonts w:ascii="Arial" w:eastAsia="Times New Roman" w:hAnsi="Arial" w:cs="Arial"/>
                <w:spacing w:val="-2"/>
                <w:sz w:val="14"/>
                <w:szCs w:val="14"/>
              </w:rPr>
            </w:pPr>
            <w:r w:rsidRPr="00F85E46">
              <w:rPr>
                <w:rFonts w:ascii="Arial" w:eastAsia="Times New Roman" w:hAnsi="Arial" w:cs="Arial"/>
                <w:spacing w:val="-2"/>
                <w:sz w:val="14"/>
                <w:szCs w:val="14"/>
              </w:rPr>
              <w:t>--</w:t>
            </w:r>
          </w:p>
        </w:tc>
        <w:tc>
          <w:tcPr>
            <w:tcW w:w="283" w:type="dxa"/>
            <w:tcBorders>
              <w:top w:val="nil"/>
              <w:left w:val="nil"/>
              <w:bottom w:val="nil"/>
              <w:right w:val="nil"/>
            </w:tcBorders>
            <w:vAlign w:val="center"/>
          </w:tcPr>
          <w:p w14:paraId="6413EB74" w14:textId="77777777" w:rsidR="004660FE" w:rsidRPr="00F85E46" w:rsidRDefault="004660FE" w:rsidP="004660FE">
            <w:pPr>
              <w:keepNext/>
              <w:keepLines/>
              <w:spacing w:before="40" w:after="40" w:line="256" w:lineRule="auto"/>
              <w:jc w:val="right"/>
              <w:rPr>
                <w:rFonts w:ascii="Arial" w:eastAsia="Times New Roman" w:hAnsi="Arial" w:cs="Arial"/>
                <w:spacing w:val="-2"/>
                <w:sz w:val="14"/>
                <w:szCs w:val="14"/>
              </w:rPr>
            </w:pPr>
          </w:p>
        </w:tc>
        <w:tc>
          <w:tcPr>
            <w:tcW w:w="1417" w:type="dxa"/>
            <w:tcBorders>
              <w:top w:val="nil"/>
              <w:left w:val="nil"/>
              <w:bottom w:val="nil"/>
              <w:right w:val="nil"/>
            </w:tcBorders>
            <w:vAlign w:val="bottom"/>
            <w:hideMark/>
          </w:tcPr>
          <w:p w14:paraId="6B3CB0A2" w14:textId="19CD9D65" w:rsidR="004660FE" w:rsidRPr="00F85E46" w:rsidRDefault="004660FE" w:rsidP="004660FE">
            <w:pPr>
              <w:keepNext/>
              <w:keepLines/>
              <w:spacing w:before="40" w:after="40" w:line="256" w:lineRule="auto"/>
              <w:jc w:val="right"/>
              <w:rPr>
                <w:rFonts w:ascii="Arial" w:eastAsia="Times New Roman" w:hAnsi="Arial" w:cs="Arial"/>
                <w:spacing w:val="-2"/>
                <w:sz w:val="14"/>
                <w:szCs w:val="18"/>
              </w:rPr>
            </w:pPr>
            <w:r w:rsidRPr="00290829">
              <w:rPr>
                <w:rFonts w:ascii="Arial" w:eastAsia="Times New Roman" w:hAnsi="Arial" w:cs="Arial"/>
                <w:spacing w:val="-2"/>
                <w:sz w:val="14"/>
                <w:szCs w:val="18"/>
              </w:rPr>
              <w:t xml:space="preserve">         243.40</w:t>
            </w:r>
            <w:r w:rsidR="000432FB">
              <w:rPr>
                <w:rFonts w:ascii="Arial" w:eastAsia="Times New Roman" w:hAnsi="Arial" w:cs="Arial"/>
                <w:spacing w:val="-2"/>
                <w:sz w:val="14"/>
                <w:szCs w:val="18"/>
              </w:rPr>
              <w:t>0</w:t>
            </w:r>
            <w:r w:rsidRPr="00290829">
              <w:rPr>
                <w:rFonts w:ascii="Arial" w:eastAsia="Times New Roman" w:hAnsi="Arial" w:cs="Arial"/>
                <w:spacing w:val="-2"/>
                <w:sz w:val="14"/>
                <w:szCs w:val="18"/>
              </w:rPr>
              <w:t xml:space="preserve"> </w:t>
            </w:r>
          </w:p>
        </w:tc>
        <w:tc>
          <w:tcPr>
            <w:tcW w:w="1418" w:type="dxa"/>
            <w:tcBorders>
              <w:top w:val="nil"/>
              <w:left w:val="nil"/>
              <w:bottom w:val="nil"/>
              <w:right w:val="nil"/>
            </w:tcBorders>
            <w:vAlign w:val="center"/>
            <w:hideMark/>
          </w:tcPr>
          <w:p w14:paraId="12511B7C" w14:textId="77777777" w:rsidR="004660FE" w:rsidRPr="00F85E46" w:rsidRDefault="004660FE" w:rsidP="004660FE">
            <w:pPr>
              <w:keepNext/>
              <w:keepLines/>
              <w:spacing w:before="40" w:after="40" w:line="256" w:lineRule="auto"/>
              <w:jc w:val="right"/>
              <w:rPr>
                <w:rFonts w:ascii="Arial" w:eastAsia="Times New Roman" w:hAnsi="Arial" w:cs="Arial"/>
                <w:spacing w:val="-2"/>
                <w:sz w:val="14"/>
                <w:szCs w:val="14"/>
              </w:rPr>
            </w:pPr>
            <w:r w:rsidRPr="00F85E46">
              <w:rPr>
                <w:rFonts w:ascii="Arial" w:eastAsia="Times New Roman" w:hAnsi="Arial" w:cs="Arial"/>
                <w:spacing w:val="-2"/>
                <w:sz w:val="14"/>
                <w:szCs w:val="18"/>
              </w:rPr>
              <w:t>232.156</w:t>
            </w:r>
          </w:p>
        </w:tc>
      </w:tr>
      <w:tr w:rsidR="004660FE" w:rsidRPr="00F85E46" w14:paraId="211834D1" w14:textId="77777777">
        <w:trPr>
          <w:trHeight w:hRule="exact" w:val="238"/>
        </w:trPr>
        <w:tc>
          <w:tcPr>
            <w:tcW w:w="3094" w:type="dxa"/>
            <w:gridSpan w:val="2"/>
            <w:tcBorders>
              <w:top w:val="nil"/>
              <w:left w:val="nil"/>
              <w:bottom w:val="nil"/>
              <w:right w:val="nil"/>
            </w:tcBorders>
            <w:vAlign w:val="center"/>
            <w:hideMark/>
          </w:tcPr>
          <w:p w14:paraId="017AC4FA" w14:textId="77777777" w:rsidR="004660FE" w:rsidRPr="00F85E46" w:rsidRDefault="004660FE" w:rsidP="004660FE">
            <w:pPr>
              <w:keepNext/>
              <w:keepLines/>
              <w:spacing w:before="40" w:after="40" w:line="256" w:lineRule="auto"/>
              <w:rPr>
                <w:rFonts w:ascii="Arial" w:eastAsia="Times New Roman" w:hAnsi="Arial" w:cs="Arial"/>
                <w:b/>
                <w:spacing w:val="-2"/>
                <w:sz w:val="14"/>
                <w:szCs w:val="14"/>
              </w:rPr>
            </w:pPr>
            <w:r>
              <w:rPr>
                <w:rFonts w:ascii="Arial" w:eastAsia="Times New Roman" w:hAnsi="Arial" w:cs="Arial"/>
                <w:spacing w:val="-2"/>
                <w:sz w:val="14"/>
                <w:szCs w:val="14"/>
              </w:rPr>
              <w:t>C</w:t>
            </w:r>
            <w:r w:rsidRPr="00F85E46">
              <w:rPr>
                <w:rFonts w:ascii="Arial" w:eastAsia="Times New Roman" w:hAnsi="Arial" w:cs="Arial"/>
                <w:spacing w:val="-2"/>
                <w:sz w:val="14"/>
                <w:szCs w:val="14"/>
              </w:rPr>
              <w:t>íveis</w:t>
            </w:r>
          </w:p>
        </w:tc>
        <w:tc>
          <w:tcPr>
            <w:tcW w:w="604" w:type="dxa"/>
            <w:tcBorders>
              <w:top w:val="nil"/>
              <w:left w:val="nil"/>
              <w:bottom w:val="nil"/>
              <w:right w:val="nil"/>
            </w:tcBorders>
          </w:tcPr>
          <w:p w14:paraId="5DE35E25" w14:textId="77777777" w:rsidR="004660FE" w:rsidRPr="00F85E46" w:rsidRDefault="004660FE" w:rsidP="004660FE">
            <w:pPr>
              <w:keepNext/>
              <w:keepLines/>
              <w:spacing w:before="40" w:after="40" w:line="256" w:lineRule="auto"/>
              <w:jc w:val="right"/>
              <w:rPr>
                <w:rFonts w:ascii="Arial" w:eastAsia="Times New Roman" w:hAnsi="Arial" w:cs="Arial"/>
                <w:spacing w:val="-2"/>
                <w:sz w:val="14"/>
                <w:szCs w:val="14"/>
              </w:rPr>
            </w:pPr>
          </w:p>
        </w:tc>
        <w:tc>
          <w:tcPr>
            <w:tcW w:w="1411" w:type="dxa"/>
            <w:tcBorders>
              <w:top w:val="nil"/>
              <w:left w:val="nil"/>
              <w:bottom w:val="nil"/>
              <w:right w:val="nil"/>
            </w:tcBorders>
            <w:vAlign w:val="center"/>
            <w:hideMark/>
          </w:tcPr>
          <w:p w14:paraId="769F9B8A" w14:textId="77777777" w:rsidR="004660FE" w:rsidRPr="00290829" w:rsidRDefault="004660FE" w:rsidP="004660FE">
            <w:pPr>
              <w:keepNext/>
              <w:keepLines/>
              <w:spacing w:before="40" w:after="40" w:line="256" w:lineRule="auto"/>
              <w:jc w:val="right"/>
              <w:rPr>
                <w:rFonts w:ascii="Arial" w:eastAsia="Times New Roman" w:hAnsi="Arial" w:cs="Arial"/>
                <w:spacing w:val="-2"/>
                <w:sz w:val="14"/>
                <w:szCs w:val="18"/>
              </w:rPr>
            </w:pPr>
            <w:r w:rsidRPr="00290829">
              <w:rPr>
                <w:rFonts w:ascii="Arial" w:eastAsia="Times New Roman" w:hAnsi="Arial" w:cs="Arial"/>
                <w:spacing w:val="-2"/>
                <w:sz w:val="14"/>
                <w:szCs w:val="18"/>
              </w:rPr>
              <w:t>30</w:t>
            </w:r>
          </w:p>
        </w:tc>
        <w:tc>
          <w:tcPr>
            <w:tcW w:w="1412" w:type="dxa"/>
            <w:tcBorders>
              <w:top w:val="nil"/>
              <w:left w:val="nil"/>
              <w:bottom w:val="nil"/>
              <w:right w:val="nil"/>
            </w:tcBorders>
            <w:vAlign w:val="center"/>
            <w:hideMark/>
          </w:tcPr>
          <w:p w14:paraId="641EEA3A" w14:textId="77777777" w:rsidR="004660FE" w:rsidRPr="00F85E46" w:rsidRDefault="004660FE" w:rsidP="004660FE">
            <w:pPr>
              <w:keepNext/>
              <w:keepLines/>
              <w:spacing w:before="40" w:after="40" w:line="256" w:lineRule="auto"/>
              <w:jc w:val="right"/>
              <w:rPr>
                <w:rFonts w:ascii="Arial" w:eastAsia="Times New Roman" w:hAnsi="Arial" w:cs="Arial"/>
                <w:spacing w:val="-2"/>
                <w:sz w:val="14"/>
                <w:szCs w:val="14"/>
              </w:rPr>
            </w:pPr>
            <w:r w:rsidRPr="00F85E46">
              <w:rPr>
                <w:rFonts w:ascii="Arial" w:eastAsia="Times New Roman" w:hAnsi="Arial" w:cs="Arial"/>
                <w:spacing w:val="-2"/>
                <w:sz w:val="14"/>
                <w:szCs w:val="14"/>
              </w:rPr>
              <w:t>11</w:t>
            </w:r>
          </w:p>
        </w:tc>
        <w:tc>
          <w:tcPr>
            <w:tcW w:w="283" w:type="dxa"/>
            <w:tcBorders>
              <w:top w:val="nil"/>
              <w:left w:val="nil"/>
              <w:bottom w:val="nil"/>
              <w:right w:val="nil"/>
            </w:tcBorders>
            <w:vAlign w:val="center"/>
          </w:tcPr>
          <w:p w14:paraId="110C9EE5" w14:textId="77777777" w:rsidR="004660FE" w:rsidRPr="00F85E46" w:rsidRDefault="004660FE" w:rsidP="004660FE">
            <w:pPr>
              <w:keepNext/>
              <w:keepLines/>
              <w:spacing w:before="40" w:after="40" w:line="256" w:lineRule="auto"/>
              <w:jc w:val="right"/>
              <w:rPr>
                <w:rFonts w:ascii="Arial" w:eastAsia="Times New Roman" w:hAnsi="Arial" w:cs="Arial"/>
                <w:spacing w:val="-2"/>
                <w:sz w:val="14"/>
                <w:szCs w:val="14"/>
              </w:rPr>
            </w:pPr>
          </w:p>
        </w:tc>
        <w:tc>
          <w:tcPr>
            <w:tcW w:w="1417" w:type="dxa"/>
            <w:tcBorders>
              <w:top w:val="nil"/>
              <w:left w:val="nil"/>
              <w:bottom w:val="nil"/>
              <w:right w:val="nil"/>
            </w:tcBorders>
            <w:vAlign w:val="bottom"/>
            <w:hideMark/>
          </w:tcPr>
          <w:p w14:paraId="2C387948" w14:textId="5E2AFF01" w:rsidR="004660FE" w:rsidRPr="00F85E46" w:rsidRDefault="004660FE" w:rsidP="004660FE">
            <w:pPr>
              <w:keepNext/>
              <w:keepLines/>
              <w:spacing w:before="40" w:after="40" w:line="256" w:lineRule="auto"/>
              <w:jc w:val="right"/>
              <w:rPr>
                <w:rFonts w:ascii="Arial" w:eastAsia="Times New Roman" w:hAnsi="Arial" w:cs="Arial"/>
                <w:spacing w:val="-2"/>
                <w:sz w:val="14"/>
                <w:szCs w:val="18"/>
              </w:rPr>
            </w:pPr>
            <w:r w:rsidRPr="00290829">
              <w:rPr>
                <w:rFonts w:ascii="Arial" w:eastAsia="Times New Roman" w:hAnsi="Arial" w:cs="Arial"/>
                <w:spacing w:val="-2"/>
                <w:sz w:val="14"/>
                <w:szCs w:val="18"/>
              </w:rPr>
              <w:t xml:space="preserve">              7.787 </w:t>
            </w:r>
          </w:p>
        </w:tc>
        <w:tc>
          <w:tcPr>
            <w:tcW w:w="1418" w:type="dxa"/>
            <w:tcBorders>
              <w:top w:val="nil"/>
              <w:left w:val="nil"/>
              <w:bottom w:val="nil"/>
              <w:right w:val="nil"/>
            </w:tcBorders>
            <w:vAlign w:val="center"/>
            <w:hideMark/>
          </w:tcPr>
          <w:p w14:paraId="0D917A94" w14:textId="77777777" w:rsidR="004660FE" w:rsidRPr="00F85E46" w:rsidRDefault="004660FE" w:rsidP="004660FE">
            <w:pPr>
              <w:keepNext/>
              <w:keepLines/>
              <w:spacing w:before="40" w:after="40" w:line="256" w:lineRule="auto"/>
              <w:jc w:val="right"/>
              <w:rPr>
                <w:rFonts w:ascii="Arial" w:eastAsia="Times New Roman" w:hAnsi="Arial" w:cs="Arial"/>
                <w:spacing w:val="-2"/>
                <w:sz w:val="14"/>
                <w:szCs w:val="14"/>
              </w:rPr>
            </w:pPr>
            <w:r w:rsidRPr="00F85E46">
              <w:rPr>
                <w:rFonts w:ascii="Arial" w:eastAsia="Times New Roman" w:hAnsi="Arial" w:cs="Arial"/>
                <w:spacing w:val="-2"/>
                <w:sz w:val="14"/>
                <w:szCs w:val="18"/>
              </w:rPr>
              <w:t>2.632</w:t>
            </w:r>
          </w:p>
        </w:tc>
      </w:tr>
      <w:tr w:rsidR="00290829" w:rsidRPr="00F85E46" w14:paraId="7BAC282B" w14:textId="77777777">
        <w:trPr>
          <w:trHeight w:hRule="exact" w:val="238"/>
        </w:trPr>
        <w:tc>
          <w:tcPr>
            <w:tcW w:w="3094" w:type="dxa"/>
            <w:gridSpan w:val="2"/>
            <w:tcBorders>
              <w:top w:val="nil"/>
              <w:left w:val="nil"/>
              <w:bottom w:val="nil"/>
              <w:right w:val="nil"/>
            </w:tcBorders>
            <w:vAlign w:val="center"/>
            <w:hideMark/>
          </w:tcPr>
          <w:p w14:paraId="38AF007B" w14:textId="77777777" w:rsidR="00290829" w:rsidRPr="00F85E46" w:rsidRDefault="00290829" w:rsidP="00290829">
            <w:pPr>
              <w:keepNext/>
              <w:keepLines/>
              <w:spacing w:before="40" w:after="40" w:line="256" w:lineRule="auto"/>
              <w:rPr>
                <w:rFonts w:ascii="Arial" w:eastAsia="Times New Roman" w:hAnsi="Arial" w:cs="Arial"/>
                <w:spacing w:val="-2"/>
                <w:sz w:val="14"/>
                <w:szCs w:val="14"/>
              </w:rPr>
            </w:pPr>
            <w:r>
              <w:rPr>
                <w:rFonts w:ascii="Arial" w:eastAsia="Times New Roman" w:hAnsi="Arial" w:cs="Arial"/>
                <w:spacing w:val="-2"/>
                <w:sz w:val="14"/>
                <w:szCs w:val="14"/>
              </w:rPr>
              <w:t>T</w:t>
            </w:r>
            <w:r w:rsidRPr="00F85E46">
              <w:rPr>
                <w:rFonts w:ascii="Arial" w:eastAsia="Times New Roman" w:hAnsi="Arial" w:cs="Arial"/>
                <w:spacing w:val="-2"/>
                <w:sz w:val="14"/>
                <w:szCs w:val="14"/>
              </w:rPr>
              <w:t>rabalhistas</w:t>
            </w:r>
          </w:p>
        </w:tc>
        <w:tc>
          <w:tcPr>
            <w:tcW w:w="604" w:type="dxa"/>
            <w:tcBorders>
              <w:top w:val="nil"/>
              <w:left w:val="nil"/>
              <w:bottom w:val="nil"/>
              <w:right w:val="nil"/>
            </w:tcBorders>
          </w:tcPr>
          <w:p w14:paraId="2CB23E42" w14:textId="77777777" w:rsidR="00290829" w:rsidRPr="00F85E46" w:rsidRDefault="00290829" w:rsidP="00290829">
            <w:pPr>
              <w:keepNext/>
              <w:keepLines/>
              <w:spacing w:before="40" w:after="40" w:line="256" w:lineRule="auto"/>
              <w:jc w:val="right"/>
              <w:rPr>
                <w:rFonts w:ascii="Arial" w:eastAsia="Times New Roman" w:hAnsi="Arial" w:cs="Arial"/>
                <w:spacing w:val="-2"/>
                <w:sz w:val="14"/>
                <w:szCs w:val="14"/>
              </w:rPr>
            </w:pPr>
          </w:p>
        </w:tc>
        <w:tc>
          <w:tcPr>
            <w:tcW w:w="1411" w:type="dxa"/>
            <w:tcBorders>
              <w:top w:val="nil"/>
              <w:left w:val="nil"/>
              <w:bottom w:val="nil"/>
              <w:right w:val="nil"/>
            </w:tcBorders>
            <w:hideMark/>
          </w:tcPr>
          <w:p w14:paraId="4D0B4012" w14:textId="502C80F0" w:rsidR="00290829" w:rsidRPr="00290829" w:rsidRDefault="00290829" w:rsidP="00290829">
            <w:pPr>
              <w:keepNext/>
              <w:keepLines/>
              <w:spacing w:before="40" w:after="40" w:line="256" w:lineRule="auto"/>
              <w:jc w:val="right"/>
              <w:rPr>
                <w:rFonts w:ascii="Arial" w:eastAsia="Times New Roman" w:hAnsi="Arial" w:cs="Arial"/>
                <w:spacing w:val="-2"/>
                <w:sz w:val="14"/>
                <w:szCs w:val="18"/>
              </w:rPr>
            </w:pPr>
            <w:r w:rsidRPr="00290829">
              <w:rPr>
                <w:rFonts w:ascii="Arial" w:eastAsia="Times New Roman" w:hAnsi="Arial" w:cs="Arial"/>
                <w:spacing w:val="-2"/>
                <w:sz w:val="14"/>
                <w:szCs w:val="18"/>
              </w:rPr>
              <w:t xml:space="preserve"> 1</w:t>
            </w:r>
            <w:r w:rsidR="005D1C7F">
              <w:rPr>
                <w:rFonts w:ascii="Arial" w:eastAsia="Times New Roman" w:hAnsi="Arial" w:cs="Arial"/>
                <w:spacing w:val="-2"/>
                <w:sz w:val="14"/>
                <w:szCs w:val="18"/>
              </w:rPr>
              <w:t>4</w:t>
            </w:r>
            <w:r w:rsidRPr="00290829">
              <w:rPr>
                <w:rFonts w:ascii="Arial" w:eastAsia="Times New Roman" w:hAnsi="Arial" w:cs="Arial"/>
                <w:spacing w:val="-2"/>
                <w:sz w:val="14"/>
                <w:szCs w:val="18"/>
              </w:rPr>
              <w:t xml:space="preserve"> </w:t>
            </w:r>
          </w:p>
        </w:tc>
        <w:tc>
          <w:tcPr>
            <w:tcW w:w="1412" w:type="dxa"/>
            <w:tcBorders>
              <w:top w:val="nil"/>
              <w:left w:val="nil"/>
              <w:bottom w:val="nil"/>
              <w:right w:val="nil"/>
            </w:tcBorders>
            <w:vAlign w:val="center"/>
            <w:hideMark/>
          </w:tcPr>
          <w:p w14:paraId="43A5C110" w14:textId="77777777" w:rsidR="00290829" w:rsidRPr="00F85E46" w:rsidRDefault="00290829" w:rsidP="00290829">
            <w:pPr>
              <w:keepNext/>
              <w:keepLines/>
              <w:spacing w:before="40" w:after="40" w:line="256" w:lineRule="auto"/>
              <w:jc w:val="right"/>
              <w:rPr>
                <w:rFonts w:ascii="Arial" w:eastAsia="Times New Roman" w:hAnsi="Arial" w:cs="Arial"/>
                <w:spacing w:val="-2"/>
                <w:sz w:val="14"/>
                <w:szCs w:val="14"/>
              </w:rPr>
            </w:pPr>
            <w:r w:rsidRPr="00F85E46">
              <w:rPr>
                <w:rFonts w:ascii="Arial" w:eastAsia="Times New Roman" w:hAnsi="Arial" w:cs="Arial"/>
                <w:spacing w:val="-2"/>
                <w:sz w:val="14"/>
                <w:szCs w:val="14"/>
              </w:rPr>
              <w:t>12</w:t>
            </w:r>
          </w:p>
        </w:tc>
        <w:tc>
          <w:tcPr>
            <w:tcW w:w="283" w:type="dxa"/>
            <w:tcBorders>
              <w:top w:val="nil"/>
              <w:left w:val="nil"/>
              <w:bottom w:val="nil"/>
              <w:right w:val="nil"/>
            </w:tcBorders>
            <w:vAlign w:val="center"/>
          </w:tcPr>
          <w:p w14:paraId="48EC6A70" w14:textId="77777777" w:rsidR="00290829" w:rsidRPr="00F85E46" w:rsidRDefault="00290829" w:rsidP="00290829">
            <w:pPr>
              <w:keepNext/>
              <w:keepLines/>
              <w:spacing w:before="40" w:after="40" w:line="256" w:lineRule="auto"/>
              <w:jc w:val="right"/>
              <w:rPr>
                <w:rFonts w:ascii="Arial" w:eastAsia="Times New Roman" w:hAnsi="Arial" w:cs="Arial"/>
                <w:spacing w:val="-2"/>
                <w:sz w:val="14"/>
                <w:szCs w:val="14"/>
              </w:rPr>
            </w:pPr>
          </w:p>
        </w:tc>
        <w:tc>
          <w:tcPr>
            <w:tcW w:w="1417" w:type="dxa"/>
            <w:tcBorders>
              <w:top w:val="nil"/>
              <w:left w:val="nil"/>
              <w:bottom w:val="nil"/>
              <w:right w:val="nil"/>
            </w:tcBorders>
            <w:vAlign w:val="bottom"/>
            <w:hideMark/>
          </w:tcPr>
          <w:p w14:paraId="30BC2C8C" w14:textId="38B25445" w:rsidR="00290829" w:rsidRPr="00F85E46" w:rsidRDefault="00290829" w:rsidP="00290829">
            <w:pPr>
              <w:keepNext/>
              <w:keepLines/>
              <w:spacing w:before="40" w:after="40" w:line="256" w:lineRule="auto"/>
              <w:jc w:val="right"/>
              <w:rPr>
                <w:rFonts w:ascii="Arial" w:eastAsia="Times New Roman" w:hAnsi="Arial" w:cs="Arial"/>
                <w:spacing w:val="-2"/>
                <w:sz w:val="14"/>
                <w:szCs w:val="18"/>
              </w:rPr>
            </w:pPr>
            <w:r w:rsidRPr="00290829">
              <w:rPr>
                <w:rFonts w:ascii="Arial" w:eastAsia="Times New Roman" w:hAnsi="Arial" w:cs="Arial"/>
                <w:spacing w:val="-2"/>
                <w:sz w:val="14"/>
                <w:szCs w:val="18"/>
              </w:rPr>
              <w:t xml:space="preserve">                   1</w:t>
            </w:r>
            <w:r w:rsidR="00B8411E">
              <w:rPr>
                <w:rFonts w:ascii="Arial" w:eastAsia="Times New Roman" w:hAnsi="Arial" w:cs="Arial"/>
                <w:spacing w:val="-2"/>
                <w:sz w:val="14"/>
                <w:szCs w:val="18"/>
              </w:rPr>
              <w:t>5</w:t>
            </w:r>
            <w:r w:rsidRPr="00290829">
              <w:rPr>
                <w:rFonts w:ascii="Arial" w:eastAsia="Times New Roman" w:hAnsi="Arial" w:cs="Arial"/>
                <w:spacing w:val="-2"/>
                <w:sz w:val="14"/>
                <w:szCs w:val="18"/>
              </w:rPr>
              <w:t xml:space="preserve"> </w:t>
            </w:r>
          </w:p>
        </w:tc>
        <w:tc>
          <w:tcPr>
            <w:tcW w:w="1418" w:type="dxa"/>
            <w:tcBorders>
              <w:top w:val="nil"/>
              <w:left w:val="nil"/>
              <w:bottom w:val="nil"/>
              <w:right w:val="nil"/>
            </w:tcBorders>
            <w:vAlign w:val="center"/>
            <w:hideMark/>
          </w:tcPr>
          <w:p w14:paraId="3E05B2E1" w14:textId="77777777" w:rsidR="00290829" w:rsidRPr="00F85E46" w:rsidRDefault="00290829" w:rsidP="00290829">
            <w:pPr>
              <w:keepNext/>
              <w:keepLines/>
              <w:spacing w:before="40" w:after="40" w:line="256" w:lineRule="auto"/>
              <w:jc w:val="right"/>
              <w:rPr>
                <w:rFonts w:ascii="Arial" w:eastAsia="Times New Roman" w:hAnsi="Arial" w:cs="Arial"/>
                <w:spacing w:val="-2"/>
                <w:sz w:val="14"/>
                <w:szCs w:val="14"/>
              </w:rPr>
            </w:pPr>
            <w:r w:rsidRPr="00F85E46">
              <w:rPr>
                <w:rFonts w:ascii="Arial" w:eastAsia="Times New Roman" w:hAnsi="Arial" w:cs="Arial"/>
                <w:spacing w:val="-2"/>
                <w:sz w:val="14"/>
                <w:szCs w:val="18"/>
              </w:rPr>
              <w:t>61</w:t>
            </w:r>
          </w:p>
        </w:tc>
      </w:tr>
      <w:tr w:rsidR="00290829" w:rsidRPr="00290829" w14:paraId="7F2D5F04" w14:textId="77777777">
        <w:trPr>
          <w:trHeight w:hRule="exact" w:val="238"/>
        </w:trPr>
        <w:tc>
          <w:tcPr>
            <w:tcW w:w="3094" w:type="dxa"/>
            <w:gridSpan w:val="2"/>
            <w:tcBorders>
              <w:top w:val="nil"/>
              <w:left w:val="nil"/>
              <w:bottom w:val="single" w:sz="2" w:space="0" w:color="1F4E79"/>
              <w:right w:val="nil"/>
            </w:tcBorders>
            <w:vAlign w:val="center"/>
            <w:hideMark/>
          </w:tcPr>
          <w:p w14:paraId="168DEFF0" w14:textId="77777777" w:rsidR="00290829" w:rsidRPr="00290829" w:rsidRDefault="00290829" w:rsidP="00290829">
            <w:pPr>
              <w:keepNext/>
              <w:keepLines/>
              <w:spacing w:before="40" w:after="40" w:line="240" w:lineRule="auto"/>
              <w:rPr>
                <w:rFonts w:ascii="Arial" w:hAnsi="Arial" w:cs="Arial"/>
                <w:b/>
                <w:spacing w:val="-2"/>
                <w:sz w:val="14"/>
                <w:szCs w:val="14"/>
              </w:rPr>
            </w:pPr>
            <w:r w:rsidRPr="00290829">
              <w:rPr>
                <w:rFonts w:ascii="Arial" w:hAnsi="Arial" w:cs="Arial"/>
                <w:b/>
                <w:spacing w:val="-2"/>
                <w:sz w:val="14"/>
                <w:szCs w:val="14"/>
              </w:rPr>
              <w:t>Total</w:t>
            </w:r>
          </w:p>
        </w:tc>
        <w:tc>
          <w:tcPr>
            <w:tcW w:w="604" w:type="dxa"/>
            <w:tcBorders>
              <w:top w:val="nil"/>
              <w:left w:val="nil"/>
              <w:bottom w:val="single" w:sz="2" w:space="0" w:color="1F4E79"/>
              <w:right w:val="nil"/>
            </w:tcBorders>
          </w:tcPr>
          <w:p w14:paraId="5E3A7678" w14:textId="77777777" w:rsidR="00290829" w:rsidRPr="00290829" w:rsidRDefault="00290829" w:rsidP="00290829">
            <w:pPr>
              <w:keepNext/>
              <w:keepLines/>
              <w:spacing w:before="40" w:after="40" w:line="256" w:lineRule="auto"/>
              <w:jc w:val="right"/>
              <w:rPr>
                <w:rFonts w:ascii="Arial" w:eastAsia="Times New Roman" w:hAnsi="Arial" w:cs="Arial"/>
                <w:b/>
                <w:spacing w:val="-2"/>
                <w:sz w:val="14"/>
                <w:szCs w:val="14"/>
              </w:rPr>
            </w:pPr>
          </w:p>
        </w:tc>
        <w:tc>
          <w:tcPr>
            <w:tcW w:w="1411" w:type="dxa"/>
            <w:tcBorders>
              <w:top w:val="nil"/>
              <w:left w:val="nil"/>
              <w:bottom w:val="single" w:sz="2" w:space="0" w:color="1F4E79"/>
              <w:right w:val="nil"/>
            </w:tcBorders>
            <w:hideMark/>
          </w:tcPr>
          <w:p w14:paraId="03DFC0D9" w14:textId="0A907094" w:rsidR="00290829" w:rsidRPr="00290829" w:rsidRDefault="00290829" w:rsidP="00290829">
            <w:pPr>
              <w:keepNext/>
              <w:keepLines/>
              <w:spacing w:before="40" w:after="40" w:line="256" w:lineRule="auto"/>
              <w:jc w:val="right"/>
              <w:rPr>
                <w:rFonts w:ascii="Arial" w:eastAsia="Times New Roman" w:hAnsi="Arial" w:cs="Arial"/>
                <w:b/>
                <w:spacing w:val="-2"/>
                <w:sz w:val="14"/>
                <w:szCs w:val="18"/>
              </w:rPr>
            </w:pPr>
            <w:r w:rsidRPr="00290829">
              <w:rPr>
                <w:rFonts w:ascii="Arial" w:eastAsia="Times New Roman" w:hAnsi="Arial" w:cs="Arial"/>
                <w:b/>
                <w:spacing w:val="-2"/>
                <w:sz w:val="14"/>
                <w:szCs w:val="18"/>
              </w:rPr>
              <w:t xml:space="preserve"> 4</w:t>
            </w:r>
            <w:r w:rsidR="005D1C7F">
              <w:rPr>
                <w:rFonts w:ascii="Arial" w:eastAsia="Times New Roman" w:hAnsi="Arial" w:cs="Arial"/>
                <w:b/>
                <w:spacing w:val="-2"/>
                <w:sz w:val="14"/>
                <w:szCs w:val="18"/>
              </w:rPr>
              <w:t>4</w:t>
            </w:r>
            <w:r w:rsidRPr="00290829">
              <w:rPr>
                <w:rFonts w:ascii="Arial" w:eastAsia="Times New Roman" w:hAnsi="Arial" w:cs="Arial"/>
                <w:b/>
                <w:spacing w:val="-2"/>
                <w:sz w:val="14"/>
                <w:szCs w:val="18"/>
              </w:rPr>
              <w:t xml:space="preserve"> </w:t>
            </w:r>
          </w:p>
        </w:tc>
        <w:tc>
          <w:tcPr>
            <w:tcW w:w="1412" w:type="dxa"/>
            <w:tcBorders>
              <w:top w:val="nil"/>
              <w:left w:val="nil"/>
              <w:bottom w:val="single" w:sz="2" w:space="0" w:color="1F4E79"/>
              <w:right w:val="nil"/>
            </w:tcBorders>
            <w:vAlign w:val="center"/>
            <w:hideMark/>
          </w:tcPr>
          <w:p w14:paraId="39F603D9" w14:textId="77777777" w:rsidR="00290829" w:rsidRPr="00290829" w:rsidRDefault="00290829" w:rsidP="00290829">
            <w:pPr>
              <w:keepNext/>
              <w:keepLines/>
              <w:spacing w:before="40" w:after="40" w:line="256" w:lineRule="auto"/>
              <w:jc w:val="right"/>
              <w:rPr>
                <w:rFonts w:ascii="Arial" w:eastAsia="Times New Roman" w:hAnsi="Arial" w:cs="Arial"/>
                <w:b/>
                <w:spacing w:val="-2"/>
                <w:sz w:val="14"/>
                <w:szCs w:val="14"/>
              </w:rPr>
            </w:pPr>
            <w:r w:rsidRPr="00290829">
              <w:rPr>
                <w:rFonts w:ascii="Arial" w:eastAsia="Times New Roman" w:hAnsi="Arial" w:cs="Arial"/>
                <w:b/>
                <w:spacing w:val="-2"/>
                <w:sz w:val="14"/>
                <w:szCs w:val="14"/>
              </w:rPr>
              <w:t>23</w:t>
            </w:r>
          </w:p>
        </w:tc>
        <w:tc>
          <w:tcPr>
            <w:tcW w:w="283" w:type="dxa"/>
            <w:tcBorders>
              <w:top w:val="nil"/>
              <w:left w:val="nil"/>
              <w:bottom w:val="single" w:sz="2" w:space="0" w:color="1F4E79"/>
              <w:right w:val="nil"/>
            </w:tcBorders>
            <w:vAlign w:val="center"/>
          </w:tcPr>
          <w:p w14:paraId="2DFE6C75" w14:textId="77777777" w:rsidR="00290829" w:rsidRPr="00290829" w:rsidRDefault="00290829" w:rsidP="00290829">
            <w:pPr>
              <w:keepNext/>
              <w:keepLines/>
              <w:spacing w:before="40" w:after="40" w:line="256" w:lineRule="auto"/>
              <w:jc w:val="right"/>
              <w:rPr>
                <w:rFonts w:ascii="Arial" w:eastAsia="Times New Roman" w:hAnsi="Arial" w:cs="Arial"/>
                <w:b/>
                <w:spacing w:val="-2"/>
                <w:sz w:val="14"/>
                <w:szCs w:val="14"/>
              </w:rPr>
            </w:pPr>
          </w:p>
        </w:tc>
        <w:tc>
          <w:tcPr>
            <w:tcW w:w="1417" w:type="dxa"/>
            <w:tcBorders>
              <w:top w:val="nil"/>
              <w:left w:val="nil"/>
              <w:bottom w:val="single" w:sz="2" w:space="0" w:color="1F4E79"/>
              <w:right w:val="nil"/>
            </w:tcBorders>
            <w:vAlign w:val="bottom"/>
            <w:hideMark/>
          </w:tcPr>
          <w:p w14:paraId="14938911" w14:textId="65DF59C6" w:rsidR="00290829" w:rsidRPr="00290829" w:rsidRDefault="00290829" w:rsidP="00290829">
            <w:pPr>
              <w:keepNext/>
              <w:keepLines/>
              <w:spacing w:before="40" w:after="40" w:line="256" w:lineRule="auto"/>
              <w:jc w:val="right"/>
              <w:rPr>
                <w:rFonts w:ascii="Arial" w:eastAsia="Times New Roman" w:hAnsi="Arial" w:cs="Arial"/>
                <w:b/>
                <w:spacing w:val="-2"/>
                <w:sz w:val="14"/>
                <w:szCs w:val="18"/>
              </w:rPr>
            </w:pPr>
            <w:r w:rsidRPr="00290829">
              <w:rPr>
                <w:rFonts w:ascii="Arial" w:eastAsia="Times New Roman" w:hAnsi="Arial" w:cs="Arial"/>
                <w:b/>
                <w:spacing w:val="-2"/>
                <w:sz w:val="14"/>
                <w:szCs w:val="18"/>
              </w:rPr>
              <w:t xml:space="preserve">         251.20</w:t>
            </w:r>
            <w:r w:rsidR="005A4420">
              <w:rPr>
                <w:rFonts w:ascii="Arial" w:eastAsia="Times New Roman" w:hAnsi="Arial" w:cs="Arial"/>
                <w:b/>
                <w:spacing w:val="-2"/>
                <w:sz w:val="14"/>
                <w:szCs w:val="18"/>
              </w:rPr>
              <w:t>2</w:t>
            </w:r>
            <w:r w:rsidRPr="00290829">
              <w:rPr>
                <w:rFonts w:ascii="Arial" w:eastAsia="Times New Roman" w:hAnsi="Arial" w:cs="Arial"/>
                <w:b/>
                <w:spacing w:val="-2"/>
                <w:sz w:val="14"/>
                <w:szCs w:val="18"/>
              </w:rPr>
              <w:t xml:space="preserve"> </w:t>
            </w:r>
          </w:p>
        </w:tc>
        <w:tc>
          <w:tcPr>
            <w:tcW w:w="1418" w:type="dxa"/>
            <w:tcBorders>
              <w:top w:val="nil"/>
              <w:left w:val="nil"/>
              <w:bottom w:val="single" w:sz="2" w:space="0" w:color="1F4E79"/>
              <w:right w:val="nil"/>
            </w:tcBorders>
            <w:vAlign w:val="center"/>
            <w:hideMark/>
          </w:tcPr>
          <w:p w14:paraId="7AFE0C5E" w14:textId="77777777" w:rsidR="00290829" w:rsidRPr="00290829" w:rsidRDefault="00290829" w:rsidP="00290829">
            <w:pPr>
              <w:keepNext/>
              <w:keepLines/>
              <w:spacing w:before="40" w:after="40" w:line="256" w:lineRule="auto"/>
              <w:jc w:val="right"/>
              <w:rPr>
                <w:rFonts w:ascii="Arial" w:eastAsia="Times New Roman" w:hAnsi="Arial" w:cs="Arial"/>
                <w:b/>
                <w:spacing w:val="-2"/>
                <w:sz w:val="14"/>
                <w:szCs w:val="14"/>
              </w:rPr>
            </w:pPr>
            <w:r w:rsidRPr="00290829">
              <w:rPr>
                <w:rFonts w:ascii="Arial" w:eastAsia="Times New Roman" w:hAnsi="Arial" w:cs="Arial"/>
                <w:b/>
                <w:spacing w:val="-2"/>
                <w:sz w:val="14"/>
                <w:szCs w:val="18"/>
              </w:rPr>
              <w:t>234.849</w:t>
            </w:r>
          </w:p>
        </w:tc>
      </w:tr>
    </w:tbl>
    <w:p w14:paraId="518F2055" w14:textId="75969947" w:rsidR="001F0256" w:rsidRPr="000B432C" w:rsidRDefault="000B432C" w:rsidP="000B432C">
      <w:pPr>
        <w:pStyle w:val="07-Legenda"/>
      </w:pPr>
      <w:r>
        <w:t>(1)</w:t>
      </w:r>
      <w:r>
        <w:tab/>
      </w:r>
      <w:r w:rsidR="00990285" w:rsidRPr="00F85E46">
        <w:t>Refere-se a diferentes demandas de natureza fiscal, sendo preponderante a ação</w:t>
      </w:r>
      <w:r w:rsidR="00013BB4">
        <w:t>,</w:t>
      </w:r>
      <w:r w:rsidR="00990285" w:rsidRPr="00F85E46">
        <w:t xml:space="preserve"> e</w:t>
      </w:r>
      <w:r w:rsidR="00013BB4">
        <w:t>m</w:t>
      </w:r>
      <w:r w:rsidR="00990285" w:rsidRPr="00F85E46">
        <w:t xml:space="preserve"> </w:t>
      </w:r>
      <w:r w:rsidR="00013BB4">
        <w:t>f</w:t>
      </w:r>
      <w:r w:rsidR="00990285" w:rsidRPr="00F85E46">
        <w:t>a</w:t>
      </w:r>
      <w:r w:rsidR="00013BB4">
        <w:t>ce</w:t>
      </w:r>
      <w:r w:rsidR="00990285" w:rsidRPr="00F85E46">
        <w:t xml:space="preserve"> da BB Corretora</w:t>
      </w:r>
      <w:r w:rsidR="00013BB4">
        <w:t>,</w:t>
      </w:r>
      <w:r w:rsidR="00990285" w:rsidRPr="00F85E46">
        <w:t xml:space="preserve"> </w:t>
      </w:r>
      <w:r w:rsidR="00681383">
        <w:t xml:space="preserve">que tem </w:t>
      </w:r>
      <w:r w:rsidR="00990285" w:rsidRPr="00F85E46">
        <w:t>como objetivo anular decisão administrativa que não homologou declarações de compensação de saldos negativos de IRPJ com diversos tributos próprios</w:t>
      </w:r>
      <w:r w:rsidR="00990285" w:rsidRPr="000B432C">
        <w:t xml:space="preserve">. O valor atualizado do referido depósito judicial é de R$ </w:t>
      </w:r>
      <w:r w:rsidR="00A81FF2">
        <w:rPr>
          <w:rFonts w:cs="Arial"/>
        </w:rPr>
        <w:t>184.132</w:t>
      </w:r>
      <w:r w:rsidR="00990285" w:rsidRPr="000B432C">
        <w:t xml:space="preserve"> mil (R$ 175.555 mil em 31.12.2023), sendo sua atualização pela taxa Selic (em regime de capitalização simples).</w:t>
      </w:r>
    </w:p>
    <w:p w14:paraId="56394E2B" w14:textId="5C7A0E9A" w:rsidR="005C6C41" w:rsidRPr="00BF2AAF" w:rsidRDefault="005C6C41" w:rsidP="00D5649F">
      <w:pPr>
        <w:pStyle w:val="Ttulo1"/>
        <w:tabs>
          <w:tab w:val="left" w:pos="3790"/>
        </w:tabs>
        <w:rPr>
          <w:rFonts w:ascii="Arial" w:hAnsi="Arial" w:cs="Arial"/>
          <w:b/>
          <w:color w:val="1F3864" w:themeColor="accent1" w:themeShade="80"/>
          <w:sz w:val="20"/>
          <w:szCs w:val="20"/>
        </w:rPr>
      </w:pPr>
      <w:bookmarkStart w:id="116" w:name="_Toc189757089"/>
      <w:r w:rsidRPr="00BF2AAF">
        <w:rPr>
          <w:rFonts w:ascii="Arial" w:hAnsi="Arial" w:cs="Arial"/>
          <w:b/>
          <w:color w:val="1F3864" w:themeColor="accent1" w:themeShade="80"/>
          <w:sz w:val="20"/>
          <w:szCs w:val="20"/>
        </w:rPr>
        <w:t>23 – COMISSÕES A APROPRIAR</w:t>
      </w:r>
      <w:bookmarkEnd w:id="116"/>
    </w:p>
    <w:p w14:paraId="0C009733" w14:textId="77777777" w:rsidR="00770B54" w:rsidRPr="0004323A" w:rsidRDefault="00770B54" w:rsidP="00770B54">
      <w:pPr>
        <w:pStyle w:val="01-TtulodeNota"/>
        <w:spacing w:before="0" w:after="0"/>
        <w:jc w:val="right"/>
        <w:rPr>
          <w:sz w:val="12"/>
          <w:szCs w:val="12"/>
        </w:rPr>
      </w:pPr>
      <w:r w:rsidRPr="00C06423">
        <w:rPr>
          <w:sz w:val="14"/>
          <w:szCs w:val="12"/>
        </w:rPr>
        <w:t>R$ mil</w:t>
      </w:r>
    </w:p>
    <w:tbl>
      <w:tblPr>
        <w:tblW w:w="9658"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4384"/>
        <w:gridCol w:w="856"/>
        <w:gridCol w:w="401"/>
        <w:gridCol w:w="2008"/>
        <w:gridCol w:w="2009"/>
      </w:tblGrid>
      <w:tr w:rsidR="00770B54" w:rsidRPr="00994B01" w14:paraId="15D464C6" w14:textId="77777777">
        <w:trPr>
          <w:trHeight w:val="238"/>
        </w:trPr>
        <w:tc>
          <w:tcPr>
            <w:tcW w:w="5641" w:type="dxa"/>
            <w:gridSpan w:val="3"/>
            <w:vMerge w:val="restart"/>
            <w:tcBorders>
              <w:top w:val="single" w:sz="2" w:space="0" w:color="1F3864" w:themeColor="accent1" w:themeShade="80"/>
              <w:bottom w:val="nil"/>
            </w:tcBorders>
            <w:shd w:val="clear" w:color="auto" w:fill="auto"/>
          </w:tcPr>
          <w:p w14:paraId="0DB537BA" w14:textId="77777777" w:rsidR="00770B54" w:rsidRPr="00994B01" w:rsidRDefault="00770B54">
            <w:pPr>
              <w:keepNext/>
              <w:keepLines/>
              <w:spacing w:before="40" w:after="40"/>
              <w:jc w:val="center"/>
              <w:rPr>
                <w:rFonts w:cs="Arial"/>
                <w:b/>
                <w:bCs/>
                <w:spacing w:val="-2"/>
                <w:sz w:val="14"/>
                <w:szCs w:val="18"/>
              </w:rPr>
            </w:pPr>
          </w:p>
        </w:tc>
        <w:tc>
          <w:tcPr>
            <w:tcW w:w="4017" w:type="dxa"/>
            <w:gridSpan w:val="2"/>
            <w:tcBorders>
              <w:top w:val="single" w:sz="2" w:space="0" w:color="1F3864" w:themeColor="accent1" w:themeShade="80"/>
              <w:bottom w:val="single" w:sz="2" w:space="0" w:color="1F3864" w:themeColor="accent1" w:themeShade="80"/>
            </w:tcBorders>
            <w:shd w:val="clear" w:color="auto" w:fill="auto"/>
            <w:vAlign w:val="center"/>
          </w:tcPr>
          <w:p w14:paraId="7C2796E2" w14:textId="77777777" w:rsidR="00770B54" w:rsidRPr="00994B01" w:rsidRDefault="00770B54">
            <w:pPr>
              <w:pStyle w:val="08-Tabelageral"/>
              <w:jc w:val="center"/>
              <w:rPr>
                <w:b/>
              </w:rPr>
            </w:pPr>
            <w:r w:rsidRPr="00994B01">
              <w:rPr>
                <w:b/>
              </w:rPr>
              <w:t>Consolidado</w:t>
            </w:r>
          </w:p>
        </w:tc>
      </w:tr>
      <w:tr w:rsidR="00770B54" w:rsidRPr="00994B01" w14:paraId="51961D13" w14:textId="77777777">
        <w:trPr>
          <w:trHeight w:val="238"/>
        </w:trPr>
        <w:tc>
          <w:tcPr>
            <w:tcW w:w="5641" w:type="dxa"/>
            <w:gridSpan w:val="3"/>
            <w:vMerge/>
            <w:tcBorders>
              <w:top w:val="nil"/>
              <w:bottom w:val="single" w:sz="2" w:space="0" w:color="1F3864" w:themeColor="accent1" w:themeShade="80"/>
            </w:tcBorders>
            <w:shd w:val="clear" w:color="auto" w:fill="auto"/>
          </w:tcPr>
          <w:p w14:paraId="102ABF66" w14:textId="77777777" w:rsidR="00770B54" w:rsidRPr="00994B01" w:rsidRDefault="00770B54">
            <w:pPr>
              <w:keepNext/>
              <w:keepLines/>
              <w:spacing w:before="40" w:after="40"/>
              <w:jc w:val="right"/>
              <w:rPr>
                <w:rFonts w:cs="Arial"/>
                <w:b/>
                <w:spacing w:val="-2"/>
                <w:sz w:val="14"/>
                <w:szCs w:val="18"/>
              </w:rPr>
            </w:pPr>
          </w:p>
        </w:tc>
        <w:tc>
          <w:tcPr>
            <w:tcW w:w="2008" w:type="dxa"/>
            <w:tcBorders>
              <w:top w:val="single" w:sz="2" w:space="0" w:color="1F3864" w:themeColor="accent1" w:themeShade="80"/>
              <w:bottom w:val="single" w:sz="2" w:space="0" w:color="1F3864" w:themeColor="accent1" w:themeShade="80"/>
            </w:tcBorders>
            <w:shd w:val="clear" w:color="auto" w:fill="auto"/>
            <w:vAlign w:val="center"/>
          </w:tcPr>
          <w:p w14:paraId="52FD59C3" w14:textId="77777777" w:rsidR="00770B54" w:rsidRPr="00994B01" w:rsidRDefault="00770B54">
            <w:pPr>
              <w:pStyle w:val="08-Tabelageral"/>
              <w:rPr>
                <w:b/>
              </w:rPr>
            </w:pPr>
            <w:r w:rsidRPr="00994B01">
              <w:rPr>
                <w:b/>
              </w:rPr>
              <w:t>3</w:t>
            </w:r>
            <w:r>
              <w:rPr>
                <w:b/>
              </w:rPr>
              <w:t>1</w:t>
            </w:r>
            <w:r w:rsidRPr="00994B01">
              <w:rPr>
                <w:b/>
              </w:rPr>
              <w:t>.</w:t>
            </w:r>
            <w:r>
              <w:rPr>
                <w:b/>
              </w:rPr>
              <w:t>12</w:t>
            </w:r>
            <w:r w:rsidRPr="00994B01">
              <w:rPr>
                <w:b/>
              </w:rPr>
              <w:t>.202</w:t>
            </w:r>
            <w:r>
              <w:rPr>
                <w:b/>
              </w:rPr>
              <w:t>4</w:t>
            </w:r>
          </w:p>
        </w:tc>
        <w:tc>
          <w:tcPr>
            <w:tcW w:w="2009" w:type="dxa"/>
            <w:tcBorders>
              <w:top w:val="single" w:sz="2" w:space="0" w:color="1F3864" w:themeColor="accent1" w:themeShade="80"/>
              <w:bottom w:val="single" w:sz="2" w:space="0" w:color="1F3864" w:themeColor="accent1" w:themeShade="80"/>
            </w:tcBorders>
            <w:shd w:val="clear" w:color="auto" w:fill="auto"/>
            <w:vAlign w:val="center"/>
          </w:tcPr>
          <w:p w14:paraId="5C696009" w14:textId="77777777" w:rsidR="00770B54" w:rsidRPr="00994B01" w:rsidRDefault="00770B54">
            <w:pPr>
              <w:pStyle w:val="08-Tabelageral"/>
              <w:rPr>
                <w:b/>
              </w:rPr>
            </w:pPr>
            <w:r w:rsidRPr="00994B01">
              <w:rPr>
                <w:b/>
              </w:rPr>
              <w:t>31.12.202</w:t>
            </w:r>
            <w:r>
              <w:rPr>
                <w:b/>
              </w:rPr>
              <w:t>3</w:t>
            </w:r>
          </w:p>
        </w:tc>
      </w:tr>
      <w:tr w:rsidR="00770B54" w:rsidRPr="00994B01" w14:paraId="42557A86" w14:textId="77777777">
        <w:trPr>
          <w:trHeight w:val="238"/>
        </w:trPr>
        <w:tc>
          <w:tcPr>
            <w:tcW w:w="4384" w:type="dxa"/>
            <w:tcBorders>
              <w:top w:val="single" w:sz="2" w:space="0" w:color="1F3864" w:themeColor="accent1" w:themeShade="80"/>
              <w:bottom w:val="nil"/>
            </w:tcBorders>
            <w:shd w:val="clear" w:color="auto" w:fill="auto"/>
          </w:tcPr>
          <w:p w14:paraId="06E639A6" w14:textId="77777777" w:rsidR="00770B54" w:rsidRPr="00994B01" w:rsidRDefault="00770B54">
            <w:pPr>
              <w:pStyle w:val="08-Tabelageral"/>
              <w:jc w:val="left"/>
              <w:rPr>
                <w:rFonts w:cs="Arial"/>
                <w:b/>
                <w:lang w:val="en-US"/>
              </w:rPr>
            </w:pPr>
            <w:proofErr w:type="spellStart"/>
            <w:r w:rsidRPr="00994B01">
              <w:rPr>
                <w:rFonts w:cs="Arial"/>
                <w:b/>
                <w:lang w:val="en-US"/>
              </w:rPr>
              <w:t>Passivo</w:t>
            </w:r>
            <w:proofErr w:type="spellEnd"/>
            <w:r w:rsidRPr="00994B01">
              <w:rPr>
                <w:rFonts w:cs="Arial"/>
                <w:b/>
                <w:lang w:val="en-US"/>
              </w:rPr>
              <w:t xml:space="preserve"> </w:t>
            </w:r>
            <w:proofErr w:type="spellStart"/>
            <w:r w:rsidRPr="00994B01">
              <w:rPr>
                <w:rFonts w:cs="Arial"/>
                <w:b/>
                <w:lang w:val="en-US"/>
              </w:rPr>
              <w:t>Circulante</w:t>
            </w:r>
            <w:proofErr w:type="spellEnd"/>
          </w:p>
        </w:tc>
        <w:tc>
          <w:tcPr>
            <w:tcW w:w="856" w:type="dxa"/>
            <w:tcBorders>
              <w:top w:val="single" w:sz="2" w:space="0" w:color="1F3864" w:themeColor="accent1" w:themeShade="80"/>
              <w:bottom w:val="nil"/>
            </w:tcBorders>
            <w:shd w:val="clear" w:color="auto" w:fill="auto"/>
          </w:tcPr>
          <w:p w14:paraId="493E3D51" w14:textId="77777777" w:rsidR="00770B54" w:rsidRPr="00994B01" w:rsidRDefault="00770B54">
            <w:pPr>
              <w:pStyle w:val="08-Tabelageral"/>
              <w:rPr>
                <w:b/>
              </w:rPr>
            </w:pPr>
          </w:p>
        </w:tc>
        <w:tc>
          <w:tcPr>
            <w:tcW w:w="401" w:type="dxa"/>
            <w:tcBorders>
              <w:top w:val="single" w:sz="2" w:space="0" w:color="1F3864" w:themeColor="accent1" w:themeShade="80"/>
              <w:bottom w:val="nil"/>
            </w:tcBorders>
            <w:shd w:val="clear" w:color="auto" w:fill="auto"/>
          </w:tcPr>
          <w:p w14:paraId="73C3261D" w14:textId="77777777" w:rsidR="00770B54" w:rsidRPr="00994B01" w:rsidRDefault="00770B54">
            <w:pPr>
              <w:pStyle w:val="08-Tabelageral"/>
              <w:rPr>
                <w:b/>
              </w:rPr>
            </w:pPr>
          </w:p>
        </w:tc>
        <w:tc>
          <w:tcPr>
            <w:tcW w:w="2008" w:type="dxa"/>
            <w:tcBorders>
              <w:top w:val="single" w:sz="2" w:space="0" w:color="1F3864" w:themeColor="accent1" w:themeShade="80"/>
            </w:tcBorders>
            <w:shd w:val="clear" w:color="auto" w:fill="auto"/>
          </w:tcPr>
          <w:p w14:paraId="209A10A3" w14:textId="77777777" w:rsidR="00770B54" w:rsidRPr="00CE4414" w:rsidRDefault="00770B54">
            <w:pPr>
              <w:pStyle w:val="08-Tabelageral"/>
              <w:rPr>
                <w:b/>
                <w:bCs/>
              </w:rPr>
            </w:pPr>
            <w:r>
              <w:rPr>
                <w:b/>
                <w:bCs/>
              </w:rPr>
              <w:t>2.627.914</w:t>
            </w:r>
          </w:p>
        </w:tc>
        <w:tc>
          <w:tcPr>
            <w:tcW w:w="2009" w:type="dxa"/>
            <w:tcBorders>
              <w:top w:val="single" w:sz="2" w:space="0" w:color="1F3864" w:themeColor="accent1" w:themeShade="80"/>
            </w:tcBorders>
            <w:shd w:val="clear" w:color="auto" w:fill="auto"/>
          </w:tcPr>
          <w:p w14:paraId="517CF87B" w14:textId="77777777" w:rsidR="00770B54" w:rsidRPr="00994B01" w:rsidRDefault="00770B54">
            <w:pPr>
              <w:pStyle w:val="08-Tabelageral"/>
              <w:rPr>
                <w:b/>
              </w:rPr>
            </w:pPr>
            <w:r>
              <w:rPr>
                <w:b/>
              </w:rPr>
              <w:t>1.952.798</w:t>
            </w:r>
          </w:p>
        </w:tc>
      </w:tr>
      <w:tr w:rsidR="00770B54" w:rsidRPr="00994B01" w14:paraId="4754CAEE" w14:textId="77777777">
        <w:trPr>
          <w:trHeight w:val="238"/>
        </w:trPr>
        <w:tc>
          <w:tcPr>
            <w:tcW w:w="4384" w:type="dxa"/>
            <w:tcBorders>
              <w:top w:val="nil"/>
            </w:tcBorders>
            <w:shd w:val="clear" w:color="auto" w:fill="auto"/>
          </w:tcPr>
          <w:p w14:paraId="644A3979" w14:textId="77777777" w:rsidR="00770B54" w:rsidRPr="00994B01" w:rsidRDefault="00770B54">
            <w:pPr>
              <w:pStyle w:val="08-Tabelageral"/>
              <w:ind w:left="113"/>
              <w:jc w:val="left"/>
              <w:rPr>
                <w:rFonts w:cs="Arial"/>
                <w:lang w:val="en-US"/>
              </w:rPr>
            </w:pPr>
            <w:proofErr w:type="spellStart"/>
            <w:r w:rsidRPr="00994B01">
              <w:rPr>
                <w:rFonts w:cs="Arial"/>
                <w:lang w:val="en-US"/>
              </w:rPr>
              <w:t>B</w:t>
            </w:r>
            <w:r>
              <w:rPr>
                <w:rFonts w:cs="Arial"/>
                <w:lang w:val="en-US"/>
              </w:rPr>
              <w:t>rasilseg</w:t>
            </w:r>
            <w:proofErr w:type="spellEnd"/>
            <w:r>
              <w:rPr>
                <w:rFonts w:cs="Arial"/>
                <w:lang w:val="en-US"/>
              </w:rPr>
              <w:t>/ABS</w:t>
            </w:r>
          </w:p>
        </w:tc>
        <w:tc>
          <w:tcPr>
            <w:tcW w:w="856" w:type="dxa"/>
            <w:tcBorders>
              <w:top w:val="nil"/>
            </w:tcBorders>
            <w:shd w:val="clear" w:color="auto" w:fill="auto"/>
          </w:tcPr>
          <w:p w14:paraId="0E8BCC26" w14:textId="77777777" w:rsidR="00770B54" w:rsidRPr="00994B01" w:rsidRDefault="00770B54">
            <w:pPr>
              <w:pStyle w:val="08-Tabelageral"/>
            </w:pPr>
          </w:p>
        </w:tc>
        <w:tc>
          <w:tcPr>
            <w:tcW w:w="401" w:type="dxa"/>
            <w:tcBorders>
              <w:top w:val="nil"/>
            </w:tcBorders>
            <w:shd w:val="clear" w:color="auto" w:fill="auto"/>
          </w:tcPr>
          <w:p w14:paraId="24238494" w14:textId="77777777" w:rsidR="00770B54" w:rsidRPr="00994B01" w:rsidRDefault="00770B54">
            <w:pPr>
              <w:pStyle w:val="08-Tabelageral"/>
            </w:pPr>
          </w:p>
        </w:tc>
        <w:tc>
          <w:tcPr>
            <w:tcW w:w="2008" w:type="dxa"/>
            <w:shd w:val="clear" w:color="auto" w:fill="auto"/>
          </w:tcPr>
          <w:p w14:paraId="01A1F324" w14:textId="77777777" w:rsidR="00770B54" w:rsidRPr="00994B01" w:rsidRDefault="00770B54">
            <w:pPr>
              <w:pStyle w:val="08-Tabelageral"/>
            </w:pPr>
            <w:r>
              <w:t>2.525.041</w:t>
            </w:r>
          </w:p>
        </w:tc>
        <w:tc>
          <w:tcPr>
            <w:tcW w:w="2009" w:type="dxa"/>
            <w:shd w:val="clear" w:color="auto" w:fill="auto"/>
          </w:tcPr>
          <w:p w14:paraId="3CF96998" w14:textId="77777777" w:rsidR="00770B54" w:rsidRPr="00994B01" w:rsidRDefault="00770B54">
            <w:pPr>
              <w:pStyle w:val="08-Tabelageral"/>
            </w:pPr>
            <w:r>
              <w:t>1.865.674</w:t>
            </w:r>
          </w:p>
        </w:tc>
      </w:tr>
      <w:tr w:rsidR="00770B54" w:rsidRPr="00994B01" w14:paraId="3FC12A38" w14:textId="77777777">
        <w:trPr>
          <w:trHeight w:val="238"/>
        </w:trPr>
        <w:tc>
          <w:tcPr>
            <w:tcW w:w="4384" w:type="dxa"/>
            <w:shd w:val="clear" w:color="auto" w:fill="auto"/>
          </w:tcPr>
          <w:p w14:paraId="1AF9E22E" w14:textId="77777777" w:rsidR="00770B54" w:rsidRPr="00994B01" w:rsidRDefault="00770B54">
            <w:pPr>
              <w:pStyle w:val="08-Tabelageral"/>
              <w:ind w:left="113"/>
              <w:jc w:val="left"/>
              <w:rPr>
                <w:rFonts w:cs="Arial"/>
                <w:vertAlign w:val="superscript"/>
                <w:lang w:val="en-US"/>
              </w:rPr>
            </w:pPr>
            <w:r w:rsidRPr="00994B01">
              <w:rPr>
                <w:rFonts w:cs="Arial"/>
                <w:lang w:val="en-US"/>
              </w:rPr>
              <w:t>M</w:t>
            </w:r>
            <w:r>
              <w:rPr>
                <w:rFonts w:cs="Arial"/>
                <w:lang w:val="en-US"/>
              </w:rPr>
              <w:t>APFRE</w:t>
            </w:r>
            <w:r w:rsidRPr="00994B01">
              <w:rPr>
                <w:rFonts w:cs="Arial"/>
                <w:lang w:val="en-US"/>
              </w:rPr>
              <w:t xml:space="preserve"> </w:t>
            </w:r>
            <w:proofErr w:type="spellStart"/>
            <w:r w:rsidRPr="00994B01">
              <w:rPr>
                <w:rFonts w:cs="Arial"/>
                <w:lang w:val="en-US"/>
              </w:rPr>
              <w:t>Seguros</w:t>
            </w:r>
            <w:proofErr w:type="spellEnd"/>
            <w:r w:rsidRPr="00994B01">
              <w:rPr>
                <w:rFonts w:cs="Arial"/>
                <w:lang w:val="en-US"/>
              </w:rPr>
              <w:t xml:space="preserve"> Gerais</w:t>
            </w:r>
          </w:p>
        </w:tc>
        <w:tc>
          <w:tcPr>
            <w:tcW w:w="856" w:type="dxa"/>
            <w:shd w:val="clear" w:color="auto" w:fill="auto"/>
          </w:tcPr>
          <w:p w14:paraId="7F66D0C1" w14:textId="77777777" w:rsidR="00770B54" w:rsidRPr="00994B01" w:rsidRDefault="00770B54">
            <w:pPr>
              <w:pStyle w:val="08-Tabelageral"/>
            </w:pPr>
          </w:p>
        </w:tc>
        <w:tc>
          <w:tcPr>
            <w:tcW w:w="401" w:type="dxa"/>
            <w:shd w:val="clear" w:color="auto" w:fill="auto"/>
          </w:tcPr>
          <w:p w14:paraId="26637859" w14:textId="77777777" w:rsidR="00770B54" w:rsidRPr="00994B01" w:rsidRDefault="00770B54">
            <w:pPr>
              <w:pStyle w:val="08-Tabelageral"/>
            </w:pPr>
          </w:p>
        </w:tc>
        <w:tc>
          <w:tcPr>
            <w:tcW w:w="2008" w:type="dxa"/>
            <w:shd w:val="clear" w:color="auto" w:fill="auto"/>
          </w:tcPr>
          <w:p w14:paraId="510CA81A" w14:textId="77777777" w:rsidR="00770B54" w:rsidRPr="00994B01" w:rsidRDefault="00770B54">
            <w:pPr>
              <w:pStyle w:val="08-Tabelageral"/>
            </w:pPr>
            <w:r>
              <w:t>102.663</w:t>
            </w:r>
          </w:p>
        </w:tc>
        <w:tc>
          <w:tcPr>
            <w:tcW w:w="2009" w:type="dxa"/>
            <w:shd w:val="clear" w:color="auto" w:fill="auto"/>
          </w:tcPr>
          <w:p w14:paraId="6D99C901" w14:textId="77777777" w:rsidR="00770B54" w:rsidRPr="00994B01" w:rsidRDefault="00770B54">
            <w:pPr>
              <w:pStyle w:val="08-Tabelageral"/>
            </w:pPr>
            <w:r>
              <w:t>86.936</w:t>
            </w:r>
          </w:p>
        </w:tc>
      </w:tr>
      <w:tr w:rsidR="00770B54" w:rsidRPr="00994B01" w14:paraId="285BD989" w14:textId="77777777">
        <w:trPr>
          <w:trHeight w:val="238"/>
        </w:trPr>
        <w:tc>
          <w:tcPr>
            <w:tcW w:w="4384" w:type="dxa"/>
            <w:shd w:val="clear" w:color="auto" w:fill="auto"/>
          </w:tcPr>
          <w:p w14:paraId="707D6DBF" w14:textId="77777777" w:rsidR="00770B54" w:rsidRPr="00994B01" w:rsidRDefault="00770B54">
            <w:pPr>
              <w:pStyle w:val="08-Tabelageral"/>
              <w:ind w:left="113"/>
              <w:jc w:val="left"/>
              <w:rPr>
                <w:rFonts w:cs="Arial"/>
                <w:szCs w:val="14"/>
                <w:lang w:val="en-US"/>
              </w:rPr>
            </w:pPr>
            <w:proofErr w:type="spellStart"/>
            <w:r w:rsidRPr="00994B01">
              <w:rPr>
                <w:rFonts w:cs="Arial"/>
                <w:szCs w:val="14"/>
                <w:lang w:val="en-US"/>
              </w:rPr>
              <w:t>Outras</w:t>
            </w:r>
            <w:proofErr w:type="spellEnd"/>
          </w:p>
        </w:tc>
        <w:tc>
          <w:tcPr>
            <w:tcW w:w="856" w:type="dxa"/>
            <w:shd w:val="clear" w:color="auto" w:fill="auto"/>
          </w:tcPr>
          <w:p w14:paraId="16E83C90" w14:textId="77777777" w:rsidR="00770B54" w:rsidRPr="00994B01" w:rsidRDefault="00770B54">
            <w:pPr>
              <w:pStyle w:val="08-Tabelageral"/>
            </w:pPr>
          </w:p>
        </w:tc>
        <w:tc>
          <w:tcPr>
            <w:tcW w:w="401" w:type="dxa"/>
            <w:shd w:val="clear" w:color="auto" w:fill="auto"/>
          </w:tcPr>
          <w:p w14:paraId="666823AC" w14:textId="77777777" w:rsidR="00770B54" w:rsidRPr="00994B01" w:rsidRDefault="00770B54">
            <w:pPr>
              <w:pStyle w:val="08-Tabelageral"/>
            </w:pPr>
          </w:p>
        </w:tc>
        <w:tc>
          <w:tcPr>
            <w:tcW w:w="2008" w:type="dxa"/>
            <w:shd w:val="clear" w:color="auto" w:fill="auto"/>
          </w:tcPr>
          <w:p w14:paraId="442D62A3" w14:textId="77777777" w:rsidR="00770B54" w:rsidRPr="00994B01" w:rsidRDefault="00770B54">
            <w:pPr>
              <w:pStyle w:val="08-Tabelageral"/>
            </w:pPr>
            <w:r>
              <w:t>210</w:t>
            </w:r>
          </w:p>
        </w:tc>
        <w:tc>
          <w:tcPr>
            <w:tcW w:w="2009" w:type="dxa"/>
            <w:shd w:val="clear" w:color="auto" w:fill="auto"/>
          </w:tcPr>
          <w:p w14:paraId="1C2DE94C" w14:textId="77777777" w:rsidR="00770B54" w:rsidRPr="00994B01" w:rsidRDefault="00770B54">
            <w:pPr>
              <w:pStyle w:val="08-Tabelageral"/>
            </w:pPr>
            <w:r>
              <w:t>188</w:t>
            </w:r>
          </w:p>
        </w:tc>
      </w:tr>
      <w:tr w:rsidR="00770B54" w:rsidRPr="00994B01" w14:paraId="57E34318" w14:textId="77777777">
        <w:trPr>
          <w:trHeight w:val="238"/>
        </w:trPr>
        <w:tc>
          <w:tcPr>
            <w:tcW w:w="4384" w:type="dxa"/>
            <w:shd w:val="clear" w:color="auto" w:fill="auto"/>
          </w:tcPr>
          <w:p w14:paraId="66B516D6" w14:textId="77777777" w:rsidR="00770B54" w:rsidRPr="00F3351D" w:rsidRDefault="00770B54">
            <w:pPr>
              <w:pStyle w:val="08-Tabelageral"/>
              <w:jc w:val="left"/>
              <w:rPr>
                <w:rFonts w:cs="Arial"/>
                <w:b/>
                <w:vertAlign w:val="superscript"/>
                <w:lang w:val="en-US"/>
              </w:rPr>
            </w:pPr>
            <w:proofErr w:type="spellStart"/>
            <w:r w:rsidRPr="00994B01">
              <w:rPr>
                <w:rFonts w:cs="Arial"/>
                <w:b/>
                <w:lang w:val="en-US"/>
              </w:rPr>
              <w:t>Passivo</w:t>
            </w:r>
            <w:proofErr w:type="spellEnd"/>
            <w:r w:rsidRPr="00994B01">
              <w:rPr>
                <w:rFonts w:cs="Arial"/>
                <w:b/>
                <w:lang w:val="en-US"/>
              </w:rPr>
              <w:t xml:space="preserve"> </w:t>
            </w:r>
            <w:proofErr w:type="spellStart"/>
            <w:r w:rsidRPr="00994B01">
              <w:rPr>
                <w:rFonts w:cs="Arial"/>
                <w:b/>
                <w:lang w:val="en-US"/>
              </w:rPr>
              <w:t>Não</w:t>
            </w:r>
            <w:proofErr w:type="spellEnd"/>
            <w:r w:rsidRPr="00994B01">
              <w:rPr>
                <w:rFonts w:cs="Arial"/>
                <w:b/>
                <w:lang w:val="en-US"/>
              </w:rPr>
              <w:t xml:space="preserve"> </w:t>
            </w:r>
            <w:proofErr w:type="spellStart"/>
            <w:r w:rsidRPr="00994B01">
              <w:rPr>
                <w:rFonts w:cs="Arial"/>
                <w:b/>
                <w:lang w:val="en-US"/>
              </w:rPr>
              <w:t>Circulante</w:t>
            </w:r>
            <w:proofErr w:type="spellEnd"/>
          </w:p>
        </w:tc>
        <w:tc>
          <w:tcPr>
            <w:tcW w:w="856" w:type="dxa"/>
            <w:shd w:val="clear" w:color="auto" w:fill="auto"/>
          </w:tcPr>
          <w:p w14:paraId="4C3A072D" w14:textId="77777777" w:rsidR="00770B54" w:rsidRPr="00994B01" w:rsidRDefault="00770B54">
            <w:pPr>
              <w:pStyle w:val="08-Tabelageral"/>
              <w:rPr>
                <w:b/>
              </w:rPr>
            </w:pPr>
          </w:p>
        </w:tc>
        <w:tc>
          <w:tcPr>
            <w:tcW w:w="401" w:type="dxa"/>
            <w:shd w:val="clear" w:color="auto" w:fill="auto"/>
          </w:tcPr>
          <w:p w14:paraId="693237B7" w14:textId="77777777" w:rsidR="00770B54" w:rsidRPr="00994B01" w:rsidRDefault="00770B54">
            <w:pPr>
              <w:pStyle w:val="08-Tabelageral"/>
              <w:rPr>
                <w:b/>
              </w:rPr>
            </w:pPr>
          </w:p>
        </w:tc>
        <w:tc>
          <w:tcPr>
            <w:tcW w:w="2008" w:type="dxa"/>
            <w:shd w:val="clear" w:color="auto" w:fill="auto"/>
          </w:tcPr>
          <w:p w14:paraId="469056AD" w14:textId="77777777" w:rsidR="00770B54" w:rsidRPr="00CE4414" w:rsidRDefault="00770B54">
            <w:pPr>
              <w:pStyle w:val="08-Tabelageral"/>
              <w:rPr>
                <w:b/>
                <w:bCs/>
              </w:rPr>
            </w:pPr>
            <w:r>
              <w:rPr>
                <w:b/>
                <w:bCs/>
              </w:rPr>
              <w:t>3.391.326</w:t>
            </w:r>
          </w:p>
        </w:tc>
        <w:tc>
          <w:tcPr>
            <w:tcW w:w="2009" w:type="dxa"/>
            <w:shd w:val="clear" w:color="auto" w:fill="auto"/>
          </w:tcPr>
          <w:p w14:paraId="2A59F39B" w14:textId="77777777" w:rsidR="00770B54" w:rsidRPr="00994B01" w:rsidRDefault="00770B54">
            <w:pPr>
              <w:pStyle w:val="08-Tabelageral"/>
              <w:rPr>
                <w:b/>
              </w:rPr>
            </w:pPr>
            <w:r>
              <w:rPr>
                <w:b/>
              </w:rPr>
              <w:t>2.735.359</w:t>
            </w:r>
          </w:p>
        </w:tc>
      </w:tr>
      <w:tr w:rsidR="00770B54" w:rsidRPr="00994B01" w14:paraId="48D49D1E" w14:textId="77777777">
        <w:trPr>
          <w:trHeight w:val="238"/>
        </w:trPr>
        <w:tc>
          <w:tcPr>
            <w:tcW w:w="4384" w:type="dxa"/>
            <w:shd w:val="clear" w:color="auto" w:fill="auto"/>
          </w:tcPr>
          <w:p w14:paraId="4491DBFD" w14:textId="77777777" w:rsidR="00770B54" w:rsidRPr="00994B01" w:rsidRDefault="00770B54">
            <w:pPr>
              <w:pStyle w:val="08-Tabelageral"/>
              <w:ind w:left="113"/>
              <w:jc w:val="left"/>
              <w:rPr>
                <w:rFonts w:cs="Arial"/>
                <w:lang w:val="en-US"/>
              </w:rPr>
            </w:pPr>
            <w:proofErr w:type="spellStart"/>
            <w:r w:rsidRPr="00994B01">
              <w:rPr>
                <w:rFonts w:cs="Arial"/>
                <w:lang w:val="en-US"/>
              </w:rPr>
              <w:t>B</w:t>
            </w:r>
            <w:r>
              <w:rPr>
                <w:rFonts w:cs="Arial"/>
                <w:lang w:val="en-US"/>
              </w:rPr>
              <w:t>rasilseg</w:t>
            </w:r>
            <w:proofErr w:type="spellEnd"/>
            <w:r>
              <w:rPr>
                <w:rFonts w:cs="Arial"/>
                <w:lang w:val="en-US"/>
              </w:rPr>
              <w:t xml:space="preserve">/ABS </w:t>
            </w:r>
          </w:p>
        </w:tc>
        <w:tc>
          <w:tcPr>
            <w:tcW w:w="856" w:type="dxa"/>
            <w:shd w:val="clear" w:color="auto" w:fill="auto"/>
          </w:tcPr>
          <w:p w14:paraId="2AB164CF" w14:textId="77777777" w:rsidR="00770B54" w:rsidRPr="00994B01" w:rsidRDefault="00770B54">
            <w:pPr>
              <w:pStyle w:val="08-Tabelageral"/>
            </w:pPr>
          </w:p>
        </w:tc>
        <w:tc>
          <w:tcPr>
            <w:tcW w:w="401" w:type="dxa"/>
            <w:shd w:val="clear" w:color="auto" w:fill="auto"/>
          </w:tcPr>
          <w:p w14:paraId="72752240" w14:textId="77777777" w:rsidR="00770B54" w:rsidRPr="00994B01" w:rsidRDefault="00770B54">
            <w:pPr>
              <w:pStyle w:val="08-Tabelageral"/>
            </w:pPr>
          </w:p>
        </w:tc>
        <w:tc>
          <w:tcPr>
            <w:tcW w:w="2008" w:type="dxa"/>
            <w:shd w:val="clear" w:color="auto" w:fill="auto"/>
          </w:tcPr>
          <w:p w14:paraId="12AFF547" w14:textId="77777777" w:rsidR="00770B54" w:rsidRPr="00994B01" w:rsidRDefault="00770B54">
            <w:pPr>
              <w:pStyle w:val="08-Tabelageral"/>
            </w:pPr>
            <w:r>
              <w:t>3.372.309</w:t>
            </w:r>
          </w:p>
        </w:tc>
        <w:tc>
          <w:tcPr>
            <w:tcW w:w="2009" w:type="dxa"/>
            <w:shd w:val="clear" w:color="auto" w:fill="auto"/>
          </w:tcPr>
          <w:p w14:paraId="03615A5F" w14:textId="77777777" w:rsidR="00770B54" w:rsidRPr="00994B01" w:rsidRDefault="00770B54">
            <w:pPr>
              <w:pStyle w:val="08-Tabelageral"/>
            </w:pPr>
            <w:r>
              <w:t>2.705.710</w:t>
            </w:r>
          </w:p>
        </w:tc>
      </w:tr>
      <w:tr w:rsidR="00770B54" w:rsidRPr="00994B01" w14:paraId="10609FEB" w14:textId="77777777">
        <w:trPr>
          <w:trHeight w:val="238"/>
        </w:trPr>
        <w:tc>
          <w:tcPr>
            <w:tcW w:w="4384" w:type="dxa"/>
            <w:shd w:val="clear" w:color="auto" w:fill="auto"/>
          </w:tcPr>
          <w:p w14:paraId="1F9C60FE" w14:textId="77777777" w:rsidR="00770B54" w:rsidRPr="00994B01" w:rsidRDefault="00770B54">
            <w:pPr>
              <w:pStyle w:val="08-Tabelageral"/>
              <w:ind w:left="113"/>
              <w:jc w:val="left"/>
              <w:rPr>
                <w:rFonts w:cs="Arial"/>
                <w:vertAlign w:val="superscript"/>
                <w:lang w:val="en-US"/>
              </w:rPr>
            </w:pPr>
            <w:r w:rsidRPr="00994B01">
              <w:rPr>
                <w:rFonts w:cs="Arial"/>
                <w:lang w:val="en-US"/>
              </w:rPr>
              <w:t>M</w:t>
            </w:r>
            <w:r>
              <w:rPr>
                <w:rFonts w:cs="Arial"/>
                <w:lang w:val="en-US"/>
              </w:rPr>
              <w:t>APFRE</w:t>
            </w:r>
            <w:r w:rsidRPr="00994B01">
              <w:rPr>
                <w:rFonts w:cs="Arial"/>
                <w:lang w:val="en-US"/>
              </w:rPr>
              <w:t xml:space="preserve"> </w:t>
            </w:r>
            <w:proofErr w:type="spellStart"/>
            <w:r w:rsidRPr="00994B01">
              <w:rPr>
                <w:rFonts w:cs="Arial"/>
                <w:lang w:val="en-US"/>
              </w:rPr>
              <w:t>Seguros</w:t>
            </w:r>
            <w:proofErr w:type="spellEnd"/>
            <w:r w:rsidRPr="00994B01">
              <w:rPr>
                <w:rFonts w:cs="Arial"/>
                <w:lang w:val="en-US"/>
              </w:rPr>
              <w:t xml:space="preserve"> Gerais</w:t>
            </w:r>
          </w:p>
        </w:tc>
        <w:tc>
          <w:tcPr>
            <w:tcW w:w="856" w:type="dxa"/>
            <w:shd w:val="clear" w:color="auto" w:fill="auto"/>
          </w:tcPr>
          <w:p w14:paraId="4D41A2A0" w14:textId="77777777" w:rsidR="00770B54" w:rsidRPr="00994B01" w:rsidRDefault="00770B54">
            <w:pPr>
              <w:pStyle w:val="08-Tabelageral"/>
            </w:pPr>
          </w:p>
        </w:tc>
        <w:tc>
          <w:tcPr>
            <w:tcW w:w="401" w:type="dxa"/>
            <w:shd w:val="clear" w:color="auto" w:fill="auto"/>
          </w:tcPr>
          <w:p w14:paraId="6A08B05C" w14:textId="77777777" w:rsidR="00770B54" w:rsidRPr="00994B01" w:rsidRDefault="00770B54">
            <w:pPr>
              <w:pStyle w:val="08-Tabelageral"/>
            </w:pPr>
          </w:p>
        </w:tc>
        <w:tc>
          <w:tcPr>
            <w:tcW w:w="2008" w:type="dxa"/>
            <w:shd w:val="clear" w:color="auto" w:fill="auto"/>
          </w:tcPr>
          <w:p w14:paraId="6A62AA43" w14:textId="77777777" w:rsidR="00770B54" w:rsidRPr="00994B01" w:rsidRDefault="00770B54">
            <w:pPr>
              <w:pStyle w:val="08-Tabelageral"/>
            </w:pPr>
            <w:r>
              <w:t>19.015</w:t>
            </w:r>
          </w:p>
        </w:tc>
        <w:tc>
          <w:tcPr>
            <w:tcW w:w="2009" w:type="dxa"/>
            <w:shd w:val="clear" w:color="auto" w:fill="auto"/>
          </w:tcPr>
          <w:p w14:paraId="662ABB4E" w14:textId="77777777" w:rsidR="00770B54" w:rsidRPr="00994B01" w:rsidRDefault="00770B54">
            <w:pPr>
              <w:pStyle w:val="08-Tabelageral"/>
            </w:pPr>
            <w:r>
              <w:t>29.649</w:t>
            </w:r>
          </w:p>
        </w:tc>
      </w:tr>
      <w:tr w:rsidR="00770B54" w:rsidRPr="00994B01" w14:paraId="08FC7D80" w14:textId="77777777">
        <w:trPr>
          <w:trHeight w:val="238"/>
        </w:trPr>
        <w:tc>
          <w:tcPr>
            <w:tcW w:w="4384" w:type="dxa"/>
            <w:shd w:val="clear" w:color="auto" w:fill="auto"/>
          </w:tcPr>
          <w:p w14:paraId="65E3A228" w14:textId="77777777" w:rsidR="00770B54" w:rsidRPr="00994B01" w:rsidRDefault="00770B54">
            <w:pPr>
              <w:pStyle w:val="08-Tabelageral"/>
              <w:ind w:left="113"/>
              <w:jc w:val="left"/>
              <w:rPr>
                <w:rFonts w:cs="Arial"/>
                <w:lang w:val="en-US"/>
              </w:rPr>
            </w:pPr>
            <w:proofErr w:type="spellStart"/>
            <w:r>
              <w:rPr>
                <w:rFonts w:cs="Arial"/>
                <w:lang w:val="en-US"/>
              </w:rPr>
              <w:t>Outras</w:t>
            </w:r>
            <w:proofErr w:type="spellEnd"/>
          </w:p>
        </w:tc>
        <w:tc>
          <w:tcPr>
            <w:tcW w:w="856" w:type="dxa"/>
            <w:shd w:val="clear" w:color="auto" w:fill="auto"/>
          </w:tcPr>
          <w:p w14:paraId="68D0C3AD" w14:textId="77777777" w:rsidR="00770B54" w:rsidRPr="00994B01" w:rsidRDefault="00770B54">
            <w:pPr>
              <w:pStyle w:val="08-Tabelageral"/>
            </w:pPr>
          </w:p>
        </w:tc>
        <w:tc>
          <w:tcPr>
            <w:tcW w:w="401" w:type="dxa"/>
            <w:shd w:val="clear" w:color="auto" w:fill="auto"/>
          </w:tcPr>
          <w:p w14:paraId="2BEFBA50" w14:textId="77777777" w:rsidR="00770B54" w:rsidRPr="00994B01" w:rsidRDefault="00770B54">
            <w:pPr>
              <w:pStyle w:val="08-Tabelageral"/>
            </w:pPr>
          </w:p>
        </w:tc>
        <w:tc>
          <w:tcPr>
            <w:tcW w:w="2008" w:type="dxa"/>
            <w:shd w:val="clear" w:color="auto" w:fill="auto"/>
          </w:tcPr>
          <w:p w14:paraId="26CB4935" w14:textId="77777777" w:rsidR="00770B54" w:rsidRDefault="00770B54">
            <w:pPr>
              <w:pStyle w:val="08-Tabelageral"/>
            </w:pPr>
            <w:r>
              <w:t>2</w:t>
            </w:r>
          </w:p>
        </w:tc>
        <w:tc>
          <w:tcPr>
            <w:tcW w:w="2009" w:type="dxa"/>
            <w:shd w:val="clear" w:color="auto" w:fill="auto"/>
          </w:tcPr>
          <w:p w14:paraId="5FC44E4B" w14:textId="77777777" w:rsidR="00770B54" w:rsidRDefault="00770B54">
            <w:pPr>
              <w:pStyle w:val="08-Tabelageral"/>
            </w:pPr>
            <w:r>
              <w:t>--</w:t>
            </w:r>
          </w:p>
        </w:tc>
      </w:tr>
      <w:tr w:rsidR="00770B54" w:rsidRPr="00D838AA" w14:paraId="244FB10A" w14:textId="77777777">
        <w:trPr>
          <w:trHeight w:val="238"/>
        </w:trPr>
        <w:tc>
          <w:tcPr>
            <w:tcW w:w="4384" w:type="dxa"/>
            <w:tcBorders>
              <w:bottom w:val="single" w:sz="2" w:space="0" w:color="1F3864" w:themeColor="accent1" w:themeShade="80"/>
            </w:tcBorders>
            <w:shd w:val="clear" w:color="auto" w:fill="auto"/>
          </w:tcPr>
          <w:p w14:paraId="59673A57" w14:textId="77777777" w:rsidR="00770B54" w:rsidRPr="00994B01" w:rsidRDefault="00770B54">
            <w:pPr>
              <w:pStyle w:val="08-Tabelageral"/>
              <w:jc w:val="left"/>
              <w:rPr>
                <w:rFonts w:cs="Arial"/>
                <w:b/>
                <w:bCs/>
                <w:szCs w:val="14"/>
                <w:lang w:val="en-US"/>
              </w:rPr>
            </w:pPr>
            <w:r w:rsidRPr="00994B01">
              <w:rPr>
                <w:rFonts w:cs="Arial"/>
                <w:b/>
                <w:lang w:val="en-US"/>
              </w:rPr>
              <w:t>Total</w:t>
            </w:r>
          </w:p>
        </w:tc>
        <w:tc>
          <w:tcPr>
            <w:tcW w:w="856" w:type="dxa"/>
            <w:tcBorders>
              <w:bottom w:val="single" w:sz="2" w:space="0" w:color="1F3864" w:themeColor="accent1" w:themeShade="80"/>
            </w:tcBorders>
            <w:shd w:val="clear" w:color="auto" w:fill="auto"/>
          </w:tcPr>
          <w:p w14:paraId="68360733" w14:textId="77777777" w:rsidR="00770B54" w:rsidRPr="00994B01" w:rsidRDefault="00770B54">
            <w:pPr>
              <w:pStyle w:val="08-Tabelageral"/>
              <w:rPr>
                <w:b/>
                <w:szCs w:val="14"/>
              </w:rPr>
            </w:pPr>
          </w:p>
        </w:tc>
        <w:tc>
          <w:tcPr>
            <w:tcW w:w="401" w:type="dxa"/>
            <w:tcBorders>
              <w:bottom w:val="single" w:sz="2" w:space="0" w:color="1F3864" w:themeColor="accent1" w:themeShade="80"/>
            </w:tcBorders>
            <w:shd w:val="clear" w:color="auto" w:fill="auto"/>
          </w:tcPr>
          <w:p w14:paraId="7BBF296F" w14:textId="77777777" w:rsidR="00770B54" w:rsidRPr="00994B01" w:rsidRDefault="00770B54">
            <w:pPr>
              <w:pStyle w:val="08-Tabelageral"/>
              <w:rPr>
                <w:b/>
                <w:szCs w:val="14"/>
              </w:rPr>
            </w:pPr>
          </w:p>
        </w:tc>
        <w:tc>
          <w:tcPr>
            <w:tcW w:w="2008" w:type="dxa"/>
            <w:tcBorders>
              <w:bottom w:val="single" w:sz="2" w:space="0" w:color="1F3864" w:themeColor="accent1" w:themeShade="80"/>
            </w:tcBorders>
            <w:shd w:val="clear" w:color="auto" w:fill="auto"/>
          </w:tcPr>
          <w:p w14:paraId="6FA57577" w14:textId="77777777" w:rsidR="00770B54" w:rsidRPr="00CE4414" w:rsidRDefault="00770B54">
            <w:pPr>
              <w:pStyle w:val="08-Tabelageral"/>
              <w:rPr>
                <w:b/>
                <w:bCs/>
              </w:rPr>
            </w:pPr>
            <w:r>
              <w:rPr>
                <w:b/>
              </w:rPr>
              <w:t>6.019.240</w:t>
            </w:r>
          </w:p>
        </w:tc>
        <w:tc>
          <w:tcPr>
            <w:tcW w:w="2009" w:type="dxa"/>
            <w:tcBorders>
              <w:bottom w:val="single" w:sz="2" w:space="0" w:color="1F3864" w:themeColor="accent1" w:themeShade="80"/>
            </w:tcBorders>
            <w:shd w:val="clear" w:color="auto" w:fill="auto"/>
          </w:tcPr>
          <w:p w14:paraId="39985708" w14:textId="77777777" w:rsidR="00770B54" w:rsidRPr="00D838AA" w:rsidRDefault="00770B54">
            <w:pPr>
              <w:pStyle w:val="08-Tabelageral"/>
              <w:rPr>
                <w:b/>
              </w:rPr>
            </w:pPr>
            <w:r>
              <w:rPr>
                <w:b/>
              </w:rPr>
              <w:t>4.688.157</w:t>
            </w:r>
          </w:p>
        </w:tc>
      </w:tr>
    </w:tbl>
    <w:p w14:paraId="634721D7" w14:textId="0FB322F4" w:rsidR="00EE4484" w:rsidRPr="00770B54" w:rsidRDefault="00770B54" w:rsidP="00770B54">
      <w:pPr>
        <w:keepLines/>
        <w:tabs>
          <w:tab w:val="left" w:pos="284"/>
        </w:tabs>
        <w:spacing w:before="120" w:after="120"/>
        <w:jc w:val="both"/>
        <w:rPr>
          <w:rFonts w:ascii="Arial" w:eastAsia="Times New Roman" w:hAnsi="Arial" w:cs="Arial"/>
          <w:spacing w:val="-2"/>
          <w:sz w:val="18"/>
          <w:szCs w:val="14"/>
        </w:rPr>
      </w:pPr>
      <w:bookmarkStart w:id="117" w:name="_Hlk156999904"/>
      <w:r w:rsidRPr="006E1D9B">
        <w:rPr>
          <w:rFonts w:ascii="Arial" w:eastAsia="Times New Roman" w:hAnsi="Arial" w:cs="Arial"/>
          <w:spacing w:val="-2"/>
          <w:sz w:val="18"/>
          <w:szCs w:val="14"/>
        </w:rPr>
        <w:t>Não há saldo de comissões a apropriar no controlador.</w:t>
      </w:r>
      <w:bookmarkEnd w:id="117"/>
    </w:p>
    <w:p w14:paraId="4F0DA556" w14:textId="77777777" w:rsidR="00730D57" w:rsidRDefault="00730D57" w:rsidP="00730D57">
      <w:pPr>
        <w:pStyle w:val="02-TtulodeNota"/>
      </w:pPr>
    </w:p>
    <w:p w14:paraId="1E58C48A" w14:textId="78C2678E" w:rsidR="007D4AB0" w:rsidRPr="00404B22" w:rsidRDefault="005C6C41" w:rsidP="00D5649F">
      <w:pPr>
        <w:pStyle w:val="02-TtulodeNota"/>
        <w:pageBreakBefore/>
        <w:rPr>
          <w:rFonts w:cs="Arial"/>
        </w:rPr>
      </w:pPr>
      <w:bookmarkStart w:id="118" w:name="_Toc189757090"/>
      <w:r w:rsidRPr="00662D2A">
        <w:lastRenderedPageBreak/>
        <w:t>2</w:t>
      </w:r>
      <w:r w:rsidR="00AB09B4" w:rsidRPr="00404B22">
        <w:rPr>
          <w:rFonts w:cs="Arial"/>
        </w:rPr>
        <w:t>4</w:t>
      </w:r>
      <w:r w:rsidR="007D4AB0" w:rsidRPr="00404B22">
        <w:rPr>
          <w:rFonts w:cs="Arial"/>
        </w:rPr>
        <w:t xml:space="preserve"> – OUTROS PASSIVOS</w:t>
      </w:r>
      <w:bookmarkEnd w:id="118"/>
    </w:p>
    <w:p w14:paraId="4D96A5B6" w14:textId="77777777" w:rsidR="00D56C1A" w:rsidRPr="00FF3D4B" w:rsidRDefault="00D56C1A" w:rsidP="00D56C1A">
      <w:pPr>
        <w:spacing w:after="0" w:line="240" w:lineRule="auto"/>
        <w:jc w:val="right"/>
        <w:rPr>
          <w:rFonts w:ascii="Arial" w:hAnsi="Arial" w:cs="Arial"/>
          <w:b/>
          <w:sz w:val="14"/>
          <w:lang w:eastAsia="pt-BR"/>
        </w:rPr>
      </w:pPr>
      <w:r w:rsidRPr="00FF3D4B">
        <w:rPr>
          <w:rFonts w:ascii="Arial" w:hAnsi="Arial" w:cs="Arial"/>
          <w:b/>
          <w:sz w:val="14"/>
          <w:lang w:eastAsia="pt-BR"/>
        </w:rPr>
        <w:t>R$ mil</w:t>
      </w: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687"/>
        <w:gridCol w:w="283"/>
        <w:gridCol w:w="1560"/>
        <w:gridCol w:w="1134"/>
        <w:gridCol w:w="425"/>
        <w:gridCol w:w="1276"/>
        <w:gridCol w:w="1274"/>
      </w:tblGrid>
      <w:tr w:rsidR="00D56C1A" w:rsidRPr="001A1E07" w14:paraId="1EC181CD" w14:textId="77777777">
        <w:trPr>
          <w:trHeight w:hRule="exact" w:val="283"/>
          <w:jc w:val="center"/>
        </w:trPr>
        <w:tc>
          <w:tcPr>
            <w:tcW w:w="3687" w:type="dxa"/>
            <w:tcBorders>
              <w:top w:val="single" w:sz="2" w:space="0" w:color="1F3864" w:themeColor="accent1" w:themeShade="80"/>
              <w:bottom w:val="nil"/>
            </w:tcBorders>
            <w:shd w:val="clear" w:color="auto" w:fill="auto"/>
          </w:tcPr>
          <w:p w14:paraId="276020FE" w14:textId="77777777" w:rsidR="00D56C1A" w:rsidRPr="001A1E07" w:rsidRDefault="00D56C1A">
            <w:pPr>
              <w:spacing w:after="0"/>
              <w:jc w:val="center"/>
              <w:rPr>
                <w:rFonts w:ascii="Arial" w:hAnsi="Arial" w:cs="Arial"/>
                <w:b/>
                <w:sz w:val="18"/>
                <w:szCs w:val="18"/>
              </w:rPr>
            </w:pPr>
          </w:p>
        </w:tc>
        <w:tc>
          <w:tcPr>
            <w:tcW w:w="283" w:type="dxa"/>
            <w:tcBorders>
              <w:top w:val="single" w:sz="2" w:space="0" w:color="1F3864" w:themeColor="accent1" w:themeShade="80"/>
              <w:bottom w:val="nil"/>
            </w:tcBorders>
            <w:shd w:val="clear" w:color="auto" w:fill="auto"/>
          </w:tcPr>
          <w:p w14:paraId="2DDE7D00" w14:textId="77777777" w:rsidR="00D56C1A" w:rsidRPr="001A1E07" w:rsidRDefault="00D56C1A">
            <w:pPr>
              <w:spacing w:after="0"/>
              <w:jc w:val="center"/>
              <w:rPr>
                <w:rFonts w:ascii="Arial" w:hAnsi="Arial" w:cs="Arial"/>
                <w:b/>
                <w:sz w:val="18"/>
                <w:szCs w:val="18"/>
              </w:rPr>
            </w:pPr>
          </w:p>
        </w:tc>
        <w:tc>
          <w:tcPr>
            <w:tcW w:w="2694" w:type="dxa"/>
            <w:gridSpan w:val="2"/>
            <w:tcBorders>
              <w:top w:val="single" w:sz="2" w:space="0" w:color="1F3864" w:themeColor="accent1" w:themeShade="80"/>
              <w:bottom w:val="single" w:sz="2" w:space="0" w:color="1F3864" w:themeColor="accent1" w:themeShade="80"/>
            </w:tcBorders>
            <w:shd w:val="clear" w:color="auto" w:fill="auto"/>
            <w:vAlign w:val="center"/>
          </w:tcPr>
          <w:p w14:paraId="4B6E42D7" w14:textId="77777777" w:rsidR="00D56C1A" w:rsidRPr="001A1E07" w:rsidRDefault="00D56C1A">
            <w:pPr>
              <w:spacing w:after="0"/>
              <w:jc w:val="center"/>
              <w:rPr>
                <w:rFonts w:ascii="Arial" w:hAnsi="Arial" w:cs="Arial"/>
                <w:b/>
                <w:sz w:val="14"/>
                <w:szCs w:val="18"/>
              </w:rPr>
            </w:pPr>
            <w:r w:rsidRPr="001A1E07">
              <w:rPr>
                <w:rFonts w:ascii="Arial" w:hAnsi="Arial" w:cs="Arial"/>
                <w:b/>
                <w:sz w:val="14"/>
                <w:szCs w:val="18"/>
              </w:rPr>
              <w:t>Controlador</w:t>
            </w:r>
          </w:p>
        </w:tc>
        <w:tc>
          <w:tcPr>
            <w:tcW w:w="425" w:type="dxa"/>
            <w:tcBorders>
              <w:top w:val="single" w:sz="2" w:space="0" w:color="1F3864" w:themeColor="accent1" w:themeShade="80"/>
              <w:bottom w:val="nil"/>
            </w:tcBorders>
            <w:shd w:val="clear" w:color="auto" w:fill="auto"/>
            <w:vAlign w:val="center"/>
          </w:tcPr>
          <w:p w14:paraId="600703C7" w14:textId="77777777" w:rsidR="00D56C1A" w:rsidRPr="001A1E07" w:rsidRDefault="00D56C1A">
            <w:pPr>
              <w:spacing w:after="0"/>
              <w:jc w:val="center"/>
              <w:rPr>
                <w:rFonts w:ascii="Arial" w:hAnsi="Arial" w:cs="Arial"/>
                <w:b/>
                <w:sz w:val="18"/>
                <w:szCs w:val="18"/>
              </w:rPr>
            </w:pPr>
          </w:p>
        </w:tc>
        <w:tc>
          <w:tcPr>
            <w:tcW w:w="2550" w:type="dxa"/>
            <w:gridSpan w:val="2"/>
            <w:tcBorders>
              <w:top w:val="single" w:sz="2" w:space="0" w:color="1F3864" w:themeColor="accent1" w:themeShade="80"/>
              <w:bottom w:val="single" w:sz="2" w:space="0" w:color="1F3864" w:themeColor="accent1" w:themeShade="80"/>
            </w:tcBorders>
            <w:shd w:val="clear" w:color="auto" w:fill="auto"/>
            <w:vAlign w:val="center"/>
          </w:tcPr>
          <w:p w14:paraId="0828C2B0" w14:textId="77777777" w:rsidR="00D56C1A" w:rsidRPr="001A1E07" w:rsidRDefault="00D56C1A">
            <w:pPr>
              <w:spacing w:after="0"/>
              <w:jc w:val="center"/>
              <w:rPr>
                <w:rFonts w:ascii="Arial" w:hAnsi="Arial" w:cs="Arial"/>
                <w:b/>
                <w:sz w:val="18"/>
                <w:szCs w:val="18"/>
              </w:rPr>
            </w:pPr>
            <w:r w:rsidRPr="001A1E07">
              <w:rPr>
                <w:rFonts w:ascii="Arial" w:hAnsi="Arial" w:cs="Arial"/>
                <w:b/>
                <w:sz w:val="14"/>
                <w:szCs w:val="18"/>
              </w:rPr>
              <w:t>Consolidado</w:t>
            </w:r>
          </w:p>
        </w:tc>
      </w:tr>
      <w:tr w:rsidR="00D56C1A" w:rsidRPr="001A1E07" w14:paraId="738BC366" w14:textId="77777777">
        <w:trPr>
          <w:trHeight w:hRule="exact" w:val="238"/>
          <w:jc w:val="center"/>
        </w:trPr>
        <w:tc>
          <w:tcPr>
            <w:tcW w:w="3687" w:type="dxa"/>
            <w:tcBorders>
              <w:top w:val="nil"/>
              <w:bottom w:val="single" w:sz="2" w:space="0" w:color="1F3864" w:themeColor="accent1" w:themeShade="80"/>
            </w:tcBorders>
            <w:shd w:val="clear" w:color="auto" w:fill="auto"/>
          </w:tcPr>
          <w:p w14:paraId="009D613B" w14:textId="77777777" w:rsidR="00D56C1A" w:rsidRPr="001A1E07" w:rsidRDefault="00D56C1A">
            <w:pPr>
              <w:pStyle w:val="08-Tabelageral"/>
              <w:rPr>
                <w:rFonts w:cs="Arial"/>
                <w:b/>
              </w:rPr>
            </w:pPr>
          </w:p>
        </w:tc>
        <w:tc>
          <w:tcPr>
            <w:tcW w:w="283" w:type="dxa"/>
            <w:tcBorders>
              <w:top w:val="nil"/>
              <w:bottom w:val="single" w:sz="2" w:space="0" w:color="1F3864" w:themeColor="accent1" w:themeShade="80"/>
            </w:tcBorders>
            <w:shd w:val="clear" w:color="auto" w:fill="auto"/>
          </w:tcPr>
          <w:p w14:paraId="30A7BA0D" w14:textId="77777777" w:rsidR="00D56C1A" w:rsidRPr="001A1E07" w:rsidRDefault="00D56C1A">
            <w:pPr>
              <w:pStyle w:val="08-Tabelageral"/>
              <w:rPr>
                <w:rFonts w:cs="Arial"/>
                <w:b/>
              </w:rPr>
            </w:pPr>
          </w:p>
        </w:tc>
        <w:tc>
          <w:tcPr>
            <w:tcW w:w="1560" w:type="dxa"/>
            <w:tcBorders>
              <w:top w:val="single" w:sz="2" w:space="0" w:color="1F3864" w:themeColor="accent1" w:themeShade="80"/>
              <w:bottom w:val="single" w:sz="2" w:space="0" w:color="1F3864" w:themeColor="accent1" w:themeShade="80"/>
            </w:tcBorders>
            <w:shd w:val="clear" w:color="auto" w:fill="auto"/>
            <w:vAlign w:val="center"/>
          </w:tcPr>
          <w:p w14:paraId="2D993F3F" w14:textId="77777777" w:rsidR="00D56C1A" w:rsidRPr="001A1E07" w:rsidRDefault="00D56C1A">
            <w:pPr>
              <w:pStyle w:val="08-Tabelageral"/>
              <w:rPr>
                <w:rFonts w:cs="Arial"/>
                <w:b/>
              </w:rPr>
            </w:pPr>
            <w:r w:rsidRPr="001A1E07">
              <w:rPr>
                <w:rFonts w:cs="Arial"/>
                <w:b/>
              </w:rPr>
              <w:t>3</w:t>
            </w:r>
            <w:r>
              <w:rPr>
                <w:rFonts w:cs="Arial"/>
                <w:b/>
              </w:rPr>
              <w:t>1</w:t>
            </w:r>
            <w:r w:rsidRPr="001A1E07">
              <w:rPr>
                <w:rFonts w:cs="Arial"/>
                <w:b/>
              </w:rPr>
              <w:t>.</w:t>
            </w:r>
            <w:r>
              <w:rPr>
                <w:rFonts w:cs="Arial"/>
                <w:b/>
              </w:rPr>
              <w:t>12</w:t>
            </w:r>
            <w:r w:rsidRPr="001A1E07">
              <w:rPr>
                <w:rFonts w:cs="Arial"/>
                <w:b/>
              </w:rPr>
              <w:t>.202</w:t>
            </w:r>
            <w:r>
              <w:rPr>
                <w:rFonts w:cs="Arial"/>
                <w:b/>
              </w:rPr>
              <w:t>4</w:t>
            </w:r>
          </w:p>
        </w:tc>
        <w:tc>
          <w:tcPr>
            <w:tcW w:w="1134" w:type="dxa"/>
            <w:tcBorders>
              <w:top w:val="single" w:sz="2" w:space="0" w:color="1F3864" w:themeColor="accent1" w:themeShade="80"/>
              <w:bottom w:val="single" w:sz="2" w:space="0" w:color="1F3864" w:themeColor="accent1" w:themeShade="80"/>
            </w:tcBorders>
            <w:shd w:val="clear" w:color="auto" w:fill="auto"/>
            <w:vAlign w:val="center"/>
          </w:tcPr>
          <w:p w14:paraId="6B1C0D8B" w14:textId="77777777" w:rsidR="00D56C1A" w:rsidRPr="001A1E07" w:rsidRDefault="00D56C1A">
            <w:pPr>
              <w:pStyle w:val="08-Tabelageral"/>
              <w:rPr>
                <w:rFonts w:cs="Arial"/>
                <w:b/>
              </w:rPr>
            </w:pPr>
            <w:r w:rsidRPr="001A1E07">
              <w:rPr>
                <w:rFonts w:cs="Arial"/>
                <w:b/>
              </w:rPr>
              <w:t>3</w:t>
            </w:r>
            <w:r>
              <w:rPr>
                <w:rFonts w:cs="Arial"/>
                <w:b/>
              </w:rPr>
              <w:t>1</w:t>
            </w:r>
            <w:r w:rsidRPr="001A1E07">
              <w:rPr>
                <w:rFonts w:cs="Arial"/>
                <w:b/>
              </w:rPr>
              <w:t>.</w:t>
            </w:r>
            <w:r>
              <w:rPr>
                <w:rFonts w:cs="Arial"/>
                <w:b/>
              </w:rPr>
              <w:t>12</w:t>
            </w:r>
            <w:r w:rsidRPr="001A1E07">
              <w:rPr>
                <w:rFonts w:cs="Arial"/>
                <w:b/>
              </w:rPr>
              <w:t>.202</w:t>
            </w:r>
            <w:r>
              <w:rPr>
                <w:rFonts w:cs="Arial"/>
                <w:b/>
              </w:rPr>
              <w:t>3</w:t>
            </w:r>
          </w:p>
        </w:tc>
        <w:tc>
          <w:tcPr>
            <w:tcW w:w="425" w:type="dxa"/>
            <w:tcBorders>
              <w:top w:val="nil"/>
              <w:bottom w:val="single" w:sz="2" w:space="0" w:color="1F3864" w:themeColor="accent1" w:themeShade="80"/>
            </w:tcBorders>
            <w:shd w:val="clear" w:color="auto" w:fill="auto"/>
            <w:vAlign w:val="center"/>
          </w:tcPr>
          <w:p w14:paraId="2E4071CA" w14:textId="77777777" w:rsidR="00D56C1A" w:rsidRPr="001A1E07" w:rsidRDefault="00D56C1A">
            <w:pPr>
              <w:pStyle w:val="08-Tabelageral"/>
              <w:rPr>
                <w:rFonts w:cs="Arial"/>
                <w:b/>
              </w:rPr>
            </w:pPr>
          </w:p>
        </w:tc>
        <w:tc>
          <w:tcPr>
            <w:tcW w:w="1276" w:type="dxa"/>
            <w:tcBorders>
              <w:top w:val="single" w:sz="2" w:space="0" w:color="1F3864" w:themeColor="accent1" w:themeShade="80"/>
              <w:bottom w:val="single" w:sz="2" w:space="0" w:color="1F3864" w:themeColor="accent1" w:themeShade="80"/>
            </w:tcBorders>
            <w:shd w:val="clear" w:color="auto" w:fill="auto"/>
            <w:vAlign w:val="center"/>
          </w:tcPr>
          <w:p w14:paraId="795A1DFB" w14:textId="77777777" w:rsidR="00D56C1A" w:rsidRPr="001A1E07" w:rsidRDefault="00D56C1A">
            <w:pPr>
              <w:pStyle w:val="08-Tabelageral"/>
              <w:rPr>
                <w:rFonts w:cs="Arial"/>
                <w:b/>
              </w:rPr>
            </w:pPr>
            <w:r w:rsidRPr="001A1E07">
              <w:rPr>
                <w:rFonts w:cs="Arial"/>
                <w:b/>
              </w:rPr>
              <w:t>3</w:t>
            </w:r>
            <w:r>
              <w:rPr>
                <w:rFonts w:cs="Arial"/>
                <w:b/>
              </w:rPr>
              <w:t>1</w:t>
            </w:r>
            <w:r w:rsidRPr="001A1E07">
              <w:rPr>
                <w:rFonts w:cs="Arial"/>
                <w:b/>
              </w:rPr>
              <w:t>.</w:t>
            </w:r>
            <w:r>
              <w:rPr>
                <w:rFonts w:cs="Arial"/>
                <w:b/>
              </w:rPr>
              <w:t>12</w:t>
            </w:r>
            <w:r w:rsidRPr="001A1E07">
              <w:rPr>
                <w:rFonts w:cs="Arial"/>
                <w:b/>
              </w:rPr>
              <w:t>.202</w:t>
            </w:r>
            <w:r>
              <w:rPr>
                <w:rFonts w:cs="Arial"/>
                <w:b/>
              </w:rPr>
              <w:t>4</w:t>
            </w:r>
          </w:p>
        </w:tc>
        <w:tc>
          <w:tcPr>
            <w:tcW w:w="1274" w:type="dxa"/>
            <w:tcBorders>
              <w:top w:val="single" w:sz="2" w:space="0" w:color="1F3864" w:themeColor="accent1" w:themeShade="80"/>
              <w:bottom w:val="single" w:sz="2" w:space="0" w:color="1F3864" w:themeColor="accent1" w:themeShade="80"/>
            </w:tcBorders>
            <w:shd w:val="clear" w:color="auto" w:fill="auto"/>
            <w:vAlign w:val="center"/>
          </w:tcPr>
          <w:p w14:paraId="113D30F4" w14:textId="77777777" w:rsidR="00D56C1A" w:rsidRPr="001A1E07" w:rsidRDefault="00D56C1A">
            <w:pPr>
              <w:pStyle w:val="08-Tabelageral"/>
              <w:rPr>
                <w:rFonts w:cs="Arial"/>
                <w:b/>
              </w:rPr>
            </w:pPr>
            <w:r w:rsidRPr="001A1E07">
              <w:rPr>
                <w:rFonts w:cs="Arial"/>
                <w:b/>
              </w:rPr>
              <w:t>3</w:t>
            </w:r>
            <w:r>
              <w:rPr>
                <w:rFonts w:cs="Arial"/>
                <w:b/>
              </w:rPr>
              <w:t>1</w:t>
            </w:r>
            <w:r w:rsidRPr="001A1E07">
              <w:rPr>
                <w:rFonts w:cs="Arial"/>
                <w:b/>
              </w:rPr>
              <w:t>.</w:t>
            </w:r>
            <w:r>
              <w:rPr>
                <w:rFonts w:cs="Arial"/>
                <w:b/>
              </w:rPr>
              <w:t>12</w:t>
            </w:r>
            <w:r w:rsidRPr="001A1E07">
              <w:rPr>
                <w:rFonts w:cs="Arial"/>
                <w:b/>
              </w:rPr>
              <w:t>.202</w:t>
            </w:r>
            <w:r>
              <w:rPr>
                <w:rFonts w:cs="Arial"/>
                <w:b/>
              </w:rPr>
              <w:t>3</w:t>
            </w:r>
          </w:p>
        </w:tc>
      </w:tr>
      <w:tr w:rsidR="00D56C1A" w:rsidRPr="001A1E07" w14:paraId="197EFA5C" w14:textId="77777777">
        <w:trPr>
          <w:trHeight w:val="238"/>
          <w:jc w:val="center"/>
        </w:trPr>
        <w:tc>
          <w:tcPr>
            <w:tcW w:w="3687" w:type="dxa"/>
            <w:tcBorders>
              <w:top w:val="single" w:sz="2" w:space="0" w:color="1F3864" w:themeColor="accent1" w:themeShade="80"/>
            </w:tcBorders>
            <w:shd w:val="clear" w:color="auto" w:fill="auto"/>
          </w:tcPr>
          <w:p w14:paraId="53D41A30" w14:textId="77777777" w:rsidR="00D56C1A" w:rsidRPr="001A1E07" w:rsidRDefault="00D56C1A">
            <w:pPr>
              <w:pStyle w:val="08-Tabelageral"/>
              <w:jc w:val="left"/>
              <w:rPr>
                <w:rFonts w:cs="Arial"/>
                <w:b/>
                <w:bCs/>
                <w:szCs w:val="14"/>
              </w:rPr>
            </w:pPr>
            <w:r w:rsidRPr="001A1E07">
              <w:rPr>
                <w:rFonts w:cs="Arial"/>
                <w:b/>
                <w:szCs w:val="14"/>
              </w:rPr>
              <w:t>Passivo Circulante</w:t>
            </w:r>
          </w:p>
        </w:tc>
        <w:tc>
          <w:tcPr>
            <w:tcW w:w="283" w:type="dxa"/>
            <w:tcBorders>
              <w:top w:val="single" w:sz="2" w:space="0" w:color="1F3864" w:themeColor="accent1" w:themeShade="80"/>
            </w:tcBorders>
            <w:shd w:val="clear" w:color="auto" w:fill="auto"/>
          </w:tcPr>
          <w:p w14:paraId="0AFD8047" w14:textId="77777777" w:rsidR="00D56C1A" w:rsidRPr="001A1E07" w:rsidRDefault="00D56C1A">
            <w:pPr>
              <w:pStyle w:val="08-Tabelageral"/>
              <w:ind w:left="113"/>
              <w:jc w:val="center"/>
              <w:rPr>
                <w:rFonts w:cs="Arial"/>
                <w:b/>
                <w:szCs w:val="14"/>
              </w:rPr>
            </w:pPr>
          </w:p>
        </w:tc>
        <w:tc>
          <w:tcPr>
            <w:tcW w:w="1560" w:type="dxa"/>
            <w:tcBorders>
              <w:top w:val="single" w:sz="2" w:space="0" w:color="1F3864" w:themeColor="accent1" w:themeShade="80"/>
            </w:tcBorders>
            <w:shd w:val="clear" w:color="auto" w:fill="auto"/>
            <w:vAlign w:val="center"/>
          </w:tcPr>
          <w:p w14:paraId="3A2ED94B" w14:textId="77777777" w:rsidR="00D56C1A" w:rsidRPr="001A1E07" w:rsidRDefault="00D56C1A">
            <w:pPr>
              <w:pStyle w:val="08-Tabelageral"/>
              <w:ind w:left="113"/>
              <w:rPr>
                <w:rFonts w:cs="Arial"/>
                <w:b/>
                <w:szCs w:val="14"/>
              </w:rPr>
            </w:pPr>
          </w:p>
        </w:tc>
        <w:tc>
          <w:tcPr>
            <w:tcW w:w="1134" w:type="dxa"/>
            <w:tcBorders>
              <w:top w:val="single" w:sz="2" w:space="0" w:color="1F3864" w:themeColor="accent1" w:themeShade="80"/>
            </w:tcBorders>
            <w:shd w:val="clear" w:color="auto" w:fill="auto"/>
            <w:vAlign w:val="center"/>
          </w:tcPr>
          <w:p w14:paraId="3252E03F" w14:textId="77777777" w:rsidR="00D56C1A" w:rsidRPr="001A1E07" w:rsidRDefault="00D56C1A">
            <w:pPr>
              <w:pStyle w:val="08-Tabelageral"/>
              <w:ind w:left="113"/>
              <w:rPr>
                <w:rFonts w:cs="Arial"/>
                <w:b/>
                <w:szCs w:val="14"/>
              </w:rPr>
            </w:pPr>
          </w:p>
        </w:tc>
        <w:tc>
          <w:tcPr>
            <w:tcW w:w="425" w:type="dxa"/>
            <w:tcBorders>
              <w:top w:val="single" w:sz="2" w:space="0" w:color="1F3864" w:themeColor="accent1" w:themeShade="80"/>
            </w:tcBorders>
            <w:shd w:val="clear" w:color="auto" w:fill="auto"/>
            <w:vAlign w:val="center"/>
          </w:tcPr>
          <w:p w14:paraId="3071AE19" w14:textId="77777777" w:rsidR="00D56C1A" w:rsidRPr="001A1E07" w:rsidRDefault="00D56C1A">
            <w:pPr>
              <w:pStyle w:val="08-Tabelageral"/>
              <w:ind w:left="113"/>
              <w:rPr>
                <w:rFonts w:cs="Arial"/>
                <w:b/>
                <w:szCs w:val="14"/>
              </w:rPr>
            </w:pPr>
          </w:p>
        </w:tc>
        <w:tc>
          <w:tcPr>
            <w:tcW w:w="1276" w:type="dxa"/>
            <w:tcBorders>
              <w:top w:val="single" w:sz="2" w:space="0" w:color="1F3864" w:themeColor="accent1" w:themeShade="80"/>
            </w:tcBorders>
            <w:shd w:val="clear" w:color="auto" w:fill="auto"/>
            <w:vAlign w:val="center"/>
          </w:tcPr>
          <w:p w14:paraId="1430CD6D" w14:textId="77777777" w:rsidR="00D56C1A" w:rsidRPr="001A1E07" w:rsidRDefault="00D56C1A">
            <w:pPr>
              <w:pStyle w:val="08-Tabelageral"/>
              <w:ind w:left="113"/>
              <w:rPr>
                <w:rFonts w:cs="Arial"/>
                <w:b/>
                <w:szCs w:val="14"/>
              </w:rPr>
            </w:pPr>
          </w:p>
        </w:tc>
        <w:tc>
          <w:tcPr>
            <w:tcW w:w="1274" w:type="dxa"/>
            <w:tcBorders>
              <w:top w:val="single" w:sz="2" w:space="0" w:color="1F3864" w:themeColor="accent1" w:themeShade="80"/>
            </w:tcBorders>
            <w:shd w:val="clear" w:color="auto" w:fill="auto"/>
            <w:vAlign w:val="center"/>
          </w:tcPr>
          <w:p w14:paraId="2F4587FE" w14:textId="77777777" w:rsidR="00D56C1A" w:rsidRPr="001A1E07" w:rsidRDefault="00D56C1A">
            <w:pPr>
              <w:pStyle w:val="08-Tabelageral"/>
              <w:ind w:left="113"/>
              <w:rPr>
                <w:rFonts w:cs="Arial"/>
                <w:b/>
                <w:szCs w:val="14"/>
              </w:rPr>
            </w:pPr>
          </w:p>
        </w:tc>
      </w:tr>
      <w:tr w:rsidR="00D56C1A" w:rsidRPr="001A1E07" w14:paraId="79321974" w14:textId="77777777">
        <w:trPr>
          <w:trHeight w:val="238"/>
          <w:jc w:val="center"/>
        </w:trPr>
        <w:tc>
          <w:tcPr>
            <w:tcW w:w="3687" w:type="dxa"/>
            <w:shd w:val="clear" w:color="auto" w:fill="auto"/>
          </w:tcPr>
          <w:p w14:paraId="37576228" w14:textId="77777777" w:rsidR="00D56C1A" w:rsidRPr="001A1E07" w:rsidRDefault="00D56C1A">
            <w:pPr>
              <w:pStyle w:val="08-Tabelageral"/>
              <w:ind w:left="113"/>
              <w:jc w:val="left"/>
              <w:rPr>
                <w:rFonts w:cs="Arial"/>
                <w:szCs w:val="14"/>
              </w:rPr>
            </w:pPr>
            <w:r w:rsidRPr="001A1E07">
              <w:rPr>
                <w:rFonts w:cs="Arial"/>
                <w:szCs w:val="14"/>
              </w:rPr>
              <w:t xml:space="preserve">Valores a pagar a sociedades ligadas </w:t>
            </w:r>
            <w:r w:rsidRPr="001A1E07">
              <w:rPr>
                <w:rFonts w:cs="Arial"/>
                <w:szCs w:val="14"/>
                <w:vertAlign w:val="superscript"/>
              </w:rPr>
              <w:t>(</w:t>
            </w:r>
            <w:r>
              <w:rPr>
                <w:rFonts w:cs="Arial"/>
                <w:szCs w:val="14"/>
                <w:vertAlign w:val="superscript"/>
              </w:rPr>
              <w:t>1</w:t>
            </w:r>
            <w:r w:rsidRPr="001A1E07">
              <w:rPr>
                <w:rFonts w:cs="Arial"/>
                <w:szCs w:val="14"/>
                <w:vertAlign w:val="superscript"/>
              </w:rPr>
              <w:t>)</w:t>
            </w:r>
          </w:p>
        </w:tc>
        <w:tc>
          <w:tcPr>
            <w:tcW w:w="283" w:type="dxa"/>
            <w:shd w:val="clear" w:color="auto" w:fill="auto"/>
          </w:tcPr>
          <w:p w14:paraId="2E5D5DFE" w14:textId="77777777" w:rsidR="00D56C1A" w:rsidRPr="001A1E07" w:rsidRDefault="00D56C1A">
            <w:pPr>
              <w:pStyle w:val="08-Tabelageral"/>
              <w:ind w:left="113"/>
              <w:jc w:val="center"/>
              <w:rPr>
                <w:rFonts w:cs="Arial"/>
                <w:szCs w:val="14"/>
              </w:rPr>
            </w:pPr>
          </w:p>
        </w:tc>
        <w:tc>
          <w:tcPr>
            <w:tcW w:w="1560" w:type="dxa"/>
            <w:shd w:val="clear" w:color="auto" w:fill="auto"/>
            <w:vAlign w:val="center"/>
          </w:tcPr>
          <w:p w14:paraId="4EEB9B5C" w14:textId="77777777" w:rsidR="00D56C1A" w:rsidRDefault="00D56C1A">
            <w:pPr>
              <w:pStyle w:val="08-Tabelageral"/>
              <w:ind w:left="113"/>
              <w:rPr>
                <w:rFonts w:cs="Arial"/>
                <w:szCs w:val="14"/>
              </w:rPr>
            </w:pPr>
            <w:r>
              <w:rPr>
                <w:rFonts w:cs="Arial"/>
                <w:szCs w:val="14"/>
              </w:rPr>
              <w:t>9.730</w:t>
            </w:r>
          </w:p>
        </w:tc>
        <w:tc>
          <w:tcPr>
            <w:tcW w:w="1134" w:type="dxa"/>
            <w:shd w:val="clear" w:color="auto" w:fill="auto"/>
            <w:vAlign w:val="center"/>
          </w:tcPr>
          <w:p w14:paraId="3FB3FA34" w14:textId="77777777" w:rsidR="00D56C1A" w:rsidRDefault="00D56C1A">
            <w:pPr>
              <w:pStyle w:val="08-Tabelageral"/>
              <w:ind w:left="113"/>
              <w:rPr>
                <w:rFonts w:cs="Arial"/>
                <w:szCs w:val="14"/>
              </w:rPr>
            </w:pPr>
            <w:r>
              <w:rPr>
                <w:rFonts w:cs="Arial"/>
                <w:szCs w:val="14"/>
              </w:rPr>
              <w:t>9.203</w:t>
            </w:r>
          </w:p>
        </w:tc>
        <w:tc>
          <w:tcPr>
            <w:tcW w:w="425" w:type="dxa"/>
            <w:shd w:val="clear" w:color="auto" w:fill="auto"/>
            <w:vAlign w:val="center"/>
          </w:tcPr>
          <w:p w14:paraId="7692784D" w14:textId="77777777" w:rsidR="00D56C1A" w:rsidRPr="001A1E07" w:rsidRDefault="00D56C1A">
            <w:pPr>
              <w:pStyle w:val="08-Tabelageral"/>
              <w:ind w:left="113"/>
              <w:rPr>
                <w:rFonts w:cs="Arial"/>
                <w:szCs w:val="14"/>
              </w:rPr>
            </w:pPr>
          </w:p>
        </w:tc>
        <w:tc>
          <w:tcPr>
            <w:tcW w:w="1276" w:type="dxa"/>
            <w:shd w:val="clear" w:color="auto" w:fill="auto"/>
            <w:vAlign w:val="center"/>
          </w:tcPr>
          <w:p w14:paraId="6C1E12E3" w14:textId="59F5C5C1" w:rsidR="00D56C1A" w:rsidRDefault="001466DB">
            <w:pPr>
              <w:pStyle w:val="08-Tabelageral"/>
              <w:ind w:left="113"/>
              <w:rPr>
                <w:rFonts w:cs="Arial"/>
                <w:szCs w:val="14"/>
              </w:rPr>
            </w:pPr>
            <w:r>
              <w:rPr>
                <w:rFonts w:cs="Arial"/>
                <w:szCs w:val="14"/>
              </w:rPr>
              <w:t>62.429</w:t>
            </w:r>
          </w:p>
        </w:tc>
        <w:tc>
          <w:tcPr>
            <w:tcW w:w="1274" w:type="dxa"/>
            <w:shd w:val="clear" w:color="auto" w:fill="auto"/>
            <w:vAlign w:val="center"/>
          </w:tcPr>
          <w:p w14:paraId="58C7847A" w14:textId="77777777" w:rsidR="00D56C1A" w:rsidRDefault="00D56C1A">
            <w:pPr>
              <w:pStyle w:val="08-Tabelageral"/>
              <w:ind w:left="113"/>
              <w:rPr>
                <w:rFonts w:cs="Arial"/>
                <w:szCs w:val="14"/>
              </w:rPr>
            </w:pPr>
            <w:r>
              <w:rPr>
                <w:rFonts w:cs="Arial"/>
                <w:szCs w:val="14"/>
              </w:rPr>
              <w:t>93.024</w:t>
            </w:r>
          </w:p>
        </w:tc>
      </w:tr>
      <w:tr w:rsidR="00FE2E60" w:rsidRPr="001A1E07" w14:paraId="356B15F9" w14:textId="77777777">
        <w:trPr>
          <w:trHeight w:val="238"/>
          <w:jc w:val="center"/>
        </w:trPr>
        <w:tc>
          <w:tcPr>
            <w:tcW w:w="3687" w:type="dxa"/>
            <w:shd w:val="clear" w:color="auto" w:fill="auto"/>
          </w:tcPr>
          <w:p w14:paraId="08394710" w14:textId="35AA8839" w:rsidR="00FE2E60" w:rsidRPr="00FE2E60" w:rsidRDefault="00FE2E60">
            <w:pPr>
              <w:pStyle w:val="08-Tabelageral"/>
              <w:ind w:left="113"/>
              <w:jc w:val="left"/>
              <w:rPr>
                <w:rFonts w:cs="Arial"/>
                <w:szCs w:val="14"/>
                <w:vertAlign w:val="superscript"/>
              </w:rPr>
            </w:pPr>
            <w:r>
              <w:rPr>
                <w:rFonts w:cs="Arial"/>
                <w:szCs w:val="14"/>
              </w:rPr>
              <w:t xml:space="preserve">Provisão para devolução de corretagem </w:t>
            </w:r>
            <w:r>
              <w:rPr>
                <w:rFonts w:cs="Arial"/>
                <w:szCs w:val="14"/>
                <w:vertAlign w:val="superscript"/>
              </w:rPr>
              <w:t>(2)</w:t>
            </w:r>
          </w:p>
        </w:tc>
        <w:tc>
          <w:tcPr>
            <w:tcW w:w="283" w:type="dxa"/>
            <w:shd w:val="clear" w:color="auto" w:fill="auto"/>
          </w:tcPr>
          <w:p w14:paraId="1867D5FB" w14:textId="77777777" w:rsidR="00FE2E60" w:rsidRPr="001A1E07" w:rsidRDefault="00FE2E60">
            <w:pPr>
              <w:pStyle w:val="08-Tabelageral"/>
              <w:ind w:left="113"/>
              <w:jc w:val="center"/>
              <w:rPr>
                <w:rFonts w:cs="Arial"/>
                <w:szCs w:val="14"/>
              </w:rPr>
            </w:pPr>
          </w:p>
        </w:tc>
        <w:tc>
          <w:tcPr>
            <w:tcW w:w="1560" w:type="dxa"/>
            <w:shd w:val="clear" w:color="auto" w:fill="auto"/>
            <w:vAlign w:val="center"/>
          </w:tcPr>
          <w:p w14:paraId="6288B541" w14:textId="1DA1E457" w:rsidR="00FE2E60" w:rsidRDefault="00FE2E60">
            <w:pPr>
              <w:pStyle w:val="08-Tabelageral"/>
              <w:ind w:left="113"/>
              <w:rPr>
                <w:rFonts w:cs="Arial"/>
                <w:szCs w:val="14"/>
              </w:rPr>
            </w:pPr>
            <w:r>
              <w:rPr>
                <w:rFonts w:cs="Arial"/>
                <w:szCs w:val="14"/>
              </w:rPr>
              <w:t>--</w:t>
            </w:r>
          </w:p>
        </w:tc>
        <w:tc>
          <w:tcPr>
            <w:tcW w:w="1134" w:type="dxa"/>
            <w:shd w:val="clear" w:color="auto" w:fill="auto"/>
            <w:vAlign w:val="center"/>
          </w:tcPr>
          <w:p w14:paraId="319E6BDC" w14:textId="2B633EBE" w:rsidR="00FE2E60" w:rsidRDefault="00FE2E60">
            <w:pPr>
              <w:pStyle w:val="08-Tabelageral"/>
              <w:ind w:left="113"/>
              <w:rPr>
                <w:rFonts w:cs="Arial"/>
                <w:szCs w:val="14"/>
              </w:rPr>
            </w:pPr>
            <w:r>
              <w:rPr>
                <w:rFonts w:cs="Arial"/>
                <w:szCs w:val="14"/>
              </w:rPr>
              <w:t>--</w:t>
            </w:r>
          </w:p>
        </w:tc>
        <w:tc>
          <w:tcPr>
            <w:tcW w:w="425" w:type="dxa"/>
            <w:shd w:val="clear" w:color="auto" w:fill="auto"/>
            <w:vAlign w:val="center"/>
          </w:tcPr>
          <w:p w14:paraId="259CAA52" w14:textId="77777777" w:rsidR="00FE2E60" w:rsidRPr="001A1E07" w:rsidRDefault="00FE2E60">
            <w:pPr>
              <w:pStyle w:val="08-Tabelageral"/>
              <w:ind w:left="113"/>
              <w:rPr>
                <w:rFonts w:cs="Arial"/>
                <w:szCs w:val="14"/>
              </w:rPr>
            </w:pPr>
          </w:p>
        </w:tc>
        <w:tc>
          <w:tcPr>
            <w:tcW w:w="1276" w:type="dxa"/>
            <w:shd w:val="clear" w:color="auto" w:fill="auto"/>
            <w:vAlign w:val="center"/>
          </w:tcPr>
          <w:p w14:paraId="063EC5A3" w14:textId="06B89AD3" w:rsidR="00FE2E60" w:rsidRDefault="00FE2E60">
            <w:pPr>
              <w:pStyle w:val="08-Tabelageral"/>
              <w:ind w:left="113"/>
              <w:rPr>
                <w:rFonts w:cs="Arial"/>
                <w:szCs w:val="14"/>
              </w:rPr>
            </w:pPr>
            <w:r>
              <w:rPr>
                <w:rFonts w:cs="Arial"/>
                <w:szCs w:val="14"/>
              </w:rPr>
              <w:t>25.741</w:t>
            </w:r>
          </w:p>
        </w:tc>
        <w:tc>
          <w:tcPr>
            <w:tcW w:w="1274" w:type="dxa"/>
            <w:shd w:val="clear" w:color="auto" w:fill="auto"/>
            <w:vAlign w:val="center"/>
          </w:tcPr>
          <w:p w14:paraId="3130BA62" w14:textId="0758FC60" w:rsidR="00FE2E60" w:rsidRDefault="00FE2E60">
            <w:pPr>
              <w:pStyle w:val="08-Tabelageral"/>
              <w:ind w:left="113"/>
              <w:rPr>
                <w:rFonts w:cs="Arial"/>
                <w:szCs w:val="14"/>
              </w:rPr>
            </w:pPr>
            <w:r>
              <w:rPr>
                <w:rFonts w:cs="Arial"/>
                <w:szCs w:val="14"/>
              </w:rPr>
              <w:t>--</w:t>
            </w:r>
          </w:p>
        </w:tc>
      </w:tr>
      <w:tr w:rsidR="00D56C1A" w:rsidRPr="001A1E07" w14:paraId="3A9F4BA0" w14:textId="77777777">
        <w:trPr>
          <w:trHeight w:val="238"/>
          <w:jc w:val="center"/>
        </w:trPr>
        <w:tc>
          <w:tcPr>
            <w:tcW w:w="3687" w:type="dxa"/>
            <w:shd w:val="clear" w:color="auto" w:fill="auto"/>
          </w:tcPr>
          <w:p w14:paraId="12076EE1" w14:textId="77777777" w:rsidR="00D56C1A" w:rsidRPr="001A1E07" w:rsidRDefault="00D56C1A">
            <w:pPr>
              <w:pStyle w:val="08-Tabelageral"/>
              <w:ind w:left="113"/>
              <w:jc w:val="left"/>
              <w:rPr>
                <w:rFonts w:cs="Arial"/>
                <w:szCs w:val="14"/>
              </w:rPr>
            </w:pPr>
            <w:r w:rsidRPr="001A1E07">
              <w:rPr>
                <w:rFonts w:cs="Arial"/>
                <w:szCs w:val="14"/>
              </w:rPr>
              <w:t>Programa de remuneração variável de administradores</w:t>
            </w:r>
          </w:p>
        </w:tc>
        <w:tc>
          <w:tcPr>
            <w:tcW w:w="283" w:type="dxa"/>
            <w:shd w:val="clear" w:color="auto" w:fill="auto"/>
          </w:tcPr>
          <w:p w14:paraId="42356B68" w14:textId="77777777" w:rsidR="00D56C1A" w:rsidRPr="001A1E07" w:rsidRDefault="00D56C1A">
            <w:pPr>
              <w:pStyle w:val="08-Tabelageral"/>
              <w:ind w:left="113"/>
              <w:jc w:val="center"/>
              <w:rPr>
                <w:rFonts w:cs="Arial"/>
                <w:szCs w:val="14"/>
              </w:rPr>
            </w:pPr>
          </w:p>
        </w:tc>
        <w:tc>
          <w:tcPr>
            <w:tcW w:w="1560" w:type="dxa"/>
            <w:shd w:val="clear" w:color="auto" w:fill="auto"/>
            <w:vAlign w:val="center"/>
          </w:tcPr>
          <w:p w14:paraId="16663B11" w14:textId="77777777" w:rsidR="00D56C1A" w:rsidRPr="001A1E07" w:rsidRDefault="00D56C1A">
            <w:pPr>
              <w:pStyle w:val="08-Tabelageral"/>
              <w:ind w:left="113"/>
              <w:rPr>
                <w:rFonts w:cs="Arial"/>
                <w:szCs w:val="14"/>
              </w:rPr>
            </w:pPr>
            <w:r>
              <w:rPr>
                <w:rFonts w:cs="Arial"/>
                <w:szCs w:val="14"/>
              </w:rPr>
              <w:t>2.990</w:t>
            </w:r>
          </w:p>
        </w:tc>
        <w:tc>
          <w:tcPr>
            <w:tcW w:w="1134" w:type="dxa"/>
            <w:shd w:val="clear" w:color="auto" w:fill="auto"/>
            <w:vAlign w:val="center"/>
          </w:tcPr>
          <w:p w14:paraId="6AF4BD2F" w14:textId="77777777" w:rsidR="00D56C1A" w:rsidRPr="001A1E07" w:rsidRDefault="00D56C1A">
            <w:pPr>
              <w:pStyle w:val="08-Tabelageral"/>
              <w:ind w:left="113"/>
              <w:rPr>
                <w:rFonts w:cs="Arial"/>
                <w:szCs w:val="14"/>
              </w:rPr>
            </w:pPr>
            <w:r>
              <w:rPr>
                <w:rFonts w:cs="Arial"/>
                <w:szCs w:val="14"/>
              </w:rPr>
              <w:t>3.983</w:t>
            </w:r>
          </w:p>
        </w:tc>
        <w:tc>
          <w:tcPr>
            <w:tcW w:w="425" w:type="dxa"/>
            <w:shd w:val="clear" w:color="auto" w:fill="auto"/>
            <w:vAlign w:val="center"/>
          </w:tcPr>
          <w:p w14:paraId="4A0AB540" w14:textId="77777777" w:rsidR="00D56C1A" w:rsidRPr="001A1E07" w:rsidRDefault="00D56C1A">
            <w:pPr>
              <w:pStyle w:val="08-Tabelageral"/>
              <w:ind w:left="113"/>
              <w:rPr>
                <w:rFonts w:cs="Arial"/>
                <w:szCs w:val="14"/>
              </w:rPr>
            </w:pPr>
          </w:p>
        </w:tc>
        <w:tc>
          <w:tcPr>
            <w:tcW w:w="1276" w:type="dxa"/>
            <w:shd w:val="clear" w:color="auto" w:fill="auto"/>
            <w:vAlign w:val="center"/>
          </w:tcPr>
          <w:p w14:paraId="17D837C9" w14:textId="77777777" w:rsidR="00D56C1A" w:rsidRPr="001A1E07" w:rsidRDefault="00D56C1A">
            <w:pPr>
              <w:pStyle w:val="08-Tabelageral"/>
              <w:ind w:left="113"/>
              <w:rPr>
                <w:rFonts w:cs="Arial"/>
                <w:szCs w:val="14"/>
              </w:rPr>
            </w:pPr>
            <w:r>
              <w:rPr>
                <w:rFonts w:cs="Arial"/>
                <w:szCs w:val="14"/>
              </w:rPr>
              <w:t>2.990</w:t>
            </w:r>
          </w:p>
        </w:tc>
        <w:tc>
          <w:tcPr>
            <w:tcW w:w="1274" w:type="dxa"/>
            <w:shd w:val="clear" w:color="auto" w:fill="auto"/>
            <w:vAlign w:val="center"/>
          </w:tcPr>
          <w:p w14:paraId="5CE0E432" w14:textId="77777777" w:rsidR="00D56C1A" w:rsidRPr="001A1E07" w:rsidRDefault="00D56C1A">
            <w:pPr>
              <w:pStyle w:val="08-Tabelageral"/>
              <w:ind w:left="113"/>
              <w:rPr>
                <w:rFonts w:cs="Arial"/>
                <w:szCs w:val="14"/>
              </w:rPr>
            </w:pPr>
            <w:r>
              <w:rPr>
                <w:rFonts w:cs="Arial"/>
                <w:szCs w:val="14"/>
              </w:rPr>
              <w:t>3.983</w:t>
            </w:r>
          </w:p>
        </w:tc>
      </w:tr>
      <w:tr w:rsidR="00D56C1A" w:rsidRPr="001A1E07" w14:paraId="224645FD" w14:textId="77777777">
        <w:trPr>
          <w:trHeight w:val="238"/>
          <w:jc w:val="center"/>
        </w:trPr>
        <w:tc>
          <w:tcPr>
            <w:tcW w:w="3687" w:type="dxa"/>
            <w:shd w:val="clear" w:color="auto" w:fill="auto"/>
          </w:tcPr>
          <w:p w14:paraId="0C24FD77" w14:textId="77777777" w:rsidR="00D56C1A" w:rsidRPr="001A1E07" w:rsidRDefault="00D56C1A">
            <w:pPr>
              <w:pStyle w:val="08-Tabelageral"/>
              <w:ind w:left="113"/>
              <w:jc w:val="left"/>
              <w:rPr>
                <w:rFonts w:cs="Arial"/>
                <w:szCs w:val="14"/>
              </w:rPr>
            </w:pPr>
            <w:r>
              <w:rPr>
                <w:rFonts w:cs="Arial"/>
                <w:szCs w:val="14"/>
              </w:rPr>
              <w:t>Obrigações a pagar</w:t>
            </w:r>
          </w:p>
        </w:tc>
        <w:tc>
          <w:tcPr>
            <w:tcW w:w="283" w:type="dxa"/>
            <w:shd w:val="clear" w:color="auto" w:fill="auto"/>
          </w:tcPr>
          <w:p w14:paraId="021C6486" w14:textId="77777777" w:rsidR="00D56C1A" w:rsidRPr="001A1E07" w:rsidRDefault="00D56C1A">
            <w:pPr>
              <w:pStyle w:val="08-Tabelageral"/>
              <w:ind w:left="113"/>
              <w:jc w:val="center"/>
              <w:rPr>
                <w:rFonts w:cs="Arial"/>
                <w:szCs w:val="14"/>
              </w:rPr>
            </w:pPr>
          </w:p>
        </w:tc>
        <w:tc>
          <w:tcPr>
            <w:tcW w:w="1560" w:type="dxa"/>
            <w:shd w:val="clear" w:color="auto" w:fill="auto"/>
            <w:vAlign w:val="center"/>
          </w:tcPr>
          <w:p w14:paraId="16491531" w14:textId="77777777" w:rsidR="00D56C1A" w:rsidRDefault="00D56C1A">
            <w:pPr>
              <w:pStyle w:val="08-Tabelageral"/>
              <w:ind w:left="113"/>
              <w:rPr>
                <w:rFonts w:cs="Arial"/>
                <w:szCs w:val="14"/>
              </w:rPr>
            </w:pPr>
            <w:r>
              <w:rPr>
                <w:rFonts w:cs="Arial"/>
                <w:szCs w:val="14"/>
              </w:rPr>
              <w:t>--</w:t>
            </w:r>
          </w:p>
        </w:tc>
        <w:tc>
          <w:tcPr>
            <w:tcW w:w="1134" w:type="dxa"/>
            <w:shd w:val="clear" w:color="auto" w:fill="auto"/>
            <w:vAlign w:val="center"/>
          </w:tcPr>
          <w:p w14:paraId="0CBEA83C" w14:textId="77777777" w:rsidR="00D56C1A" w:rsidRDefault="00D56C1A">
            <w:pPr>
              <w:pStyle w:val="08-Tabelageral"/>
              <w:ind w:left="113"/>
              <w:rPr>
                <w:rFonts w:cs="Arial"/>
                <w:szCs w:val="14"/>
              </w:rPr>
            </w:pPr>
            <w:r>
              <w:rPr>
                <w:rFonts w:cs="Arial"/>
                <w:szCs w:val="14"/>
              </w:rPr>
              <w:t>227</w:t>
            </w:r>
          </w:p>
        </w:tc>
        <w:tc>
          <w:tcPr>
            <w:tcW w:w="425" w:type="dxa"/>
            <w:shd w:val="clear" w:color="auto" w:fill="auto"/>
            <w:vAlign w:val="center"/>
          </w:tcPr>
          <w:p w14:paraId="0948CF74" w14:textId="77777777" w:rsidR="00D56C1A" w:rsidRPr="001A1E07" w:rsidRDefault="00D56C1A">
            <w:pPr>
              <w:pStyle w:val="08-Tabelageral"/>
              <w:ind w:left="113"/>
              <w:rPr>
                <w:rFonts w:cs="Arial"/>
                <w:szCs w:val="14"/>
              </w:rPr>
            </w:pPr>
          </w:p>
        </w:tc>
        <w:tc>
          <w:tcPr>
            <w:tcW w:w="1276" w:type="dxa"/>
            <w:shd w:val="clear" w:color="auto" w:fill="auto"/>
            <w:vAlign w:val="center"/>
          </w:tcPr>
          <w:p w14:paraId="494B5DD2" w14:textId="77777777" w:rsidR="00D56C1A" w:rsidRDefault="00D56C1A">
            <w:pPr>
              <w:pStyle w:val="08-Tabelageral"/>
              <w:ind w:left="113"/>
              <w:rPr>
                <w:rFonts w:cs="Arial"/>
                <w:szCs w:val="14"/>
              </w:rPr>
            </w:pPr>
            <w:r>
              <w:rPr>
                <w:rFonts w:cs="Arial"/>
                <w:szCs w:val="14"/>
              </w:rPr>
              <w:t>530</w:t>
            </w:r>
          </w:p>
        </w:tc>
        <w:tc>
          <w:tcPr>
            <w:tcW w:w="1274" w:type="dxa"/>
            <w:shd w:val="clear" w:color="auto" w:fill="auto"/>
            <w:vAlign w:val="center"/>
          </w:tcPr>
          <w:p w14:paraId="6B5B2278" w14:textId="77777777" w:rsidR="00D56C1A" w:rsidRDefault="00D56C1A">
            <w:pPr>
              <w:pStyle w:val="08-Tabelageral"/>
              <w:ind w:left="113"/>
              <w:rPr>
                <w:rFonts w:cs="Arial"/>
                <w:szCs w:val="14"/>
              </w:rPr>
            </w:pPr>
            <w:r>
              <w:rPr>
                <w:rFonts w:cs="Arial"/>
                <w:szCs w:val="14"/>
              </w:rPr>
              <w:t>5.863</w:t>
            </w:r>
          </w:p>
        </w:tc>
      </w:tr>
      <w:tr w:rsidR="00D56C1A" w:rsidRPr="001A1E07" w14:paraId="58D1F831" w14:textId="77777777">
        <w:trPr>
          <w:trHeight w:val="238"/>
          <w:jc w:val="center"/>
        </w:trPr>
        <w:tc>
          <w:tcPr>
            <w:tcW w:w="3687" w:type="dxa"/>
            <w:tcBorders>
              <w:bottom w:val="nil"/>
            </w:tcBorders>
            <w:shd w:val="clear" w:color="auto" w:fill="auto"/>
          </w:tcPr>
          <w:p w14:paraId="7CF7C011" w14:textId="77777777" w:rsidR="00D56C1A" w:rsidRPr="001A1E07" w:rsidRDefault="00D56C1A">
            <w:pPr>
              <w:pStyle w:val="08-Tabelageral"/>
              <w:ind w:left="113"/>
              <w:jc w:val="left"/>
              <w:rPr>
                <w:rFonts w:cs="Arial"/>
                <w:szCs w:val="14"/>
              </w:rPr>
            </w:pPr>
            <w:r w:rsidRPr="001A1E07">
              <w:rPr>
                <w:rFonts w:cs="Arial"/>
                <w:szCs w:val="14"/>
              </w:rPr>
              <w:t>Outros</w:t>
            </w:r>
          </w:p>
        </w:tc>
        <w:tc>
          <w:tcPr>
            <w:tcW w:w="283" w:type="dxa"/>
            <w:tcBorders>
              <w:bottom w:val="nil"/>
            </w:tcBorders>
            <w:shd w:val="clear" w:color="auto" w:fill="auto"/>
          </w:tcPr>
          <w:p w14:paraId="47903F1E" w14:textId="77777777" w:rsidR="00D56C1A" w:rsidRPr="001A1E07" w:rsidRDefault="00D56C1A">
            <w:pPr>
              <w:pStyle w:val="08-Tabelageral"/>
              <w:ind w:left="113"/>
              <w:jc w:val="center"/>
              <w:rPr>
                <w:rFonts w:cs="Arial"/>
                <w:szCs w:val="14"/>
              </w:rPr>
            </w:pPr>
          </w:p>
        </w:tc>
        <w:tc>
          <w:tcPr>
            <w:tcW w:w="1560" w:type="dxa"/>
            <w:tcBorders>
              <w:bottom w:val="nil"/>
            </w:tcBorders>
            <w:shd w:val="clear" w:color="auto" w:fill="auto"/>
            <w:vAlign w:val="center"/>
          </w:tcPr>
          <w:p w14:paraId="03D22DF4" w14:textId="77777777" w:rsidR="00D56C1A" w:rsidRPr="001A1E07" w:rsidRDefault="00D56C1A">
            <w:pPr>
              <w:pStyle w:val="08-Tabelageral"/>
              <w:ind w:left="113"/>
              <w:rPr>
                <w:rFonts w:cs="Arial"/>
                <w:szCs w:val="14"/>
              </w:rPr>
            </w:pPr>
            <w:r>
              <w:rPr>
                <w:rFonts w:cs="Arial"/>
                <w:szCs w:val="14"/>
              </w:rPr>
              <w:t>109</w:t>
            </w:r>
          </w:p>
        </w:tc>
        <w:tc>
          <w:tcPr>
            <w:tcW w:w="1134" w:type="dxa"/>
            <w:tcBorders>
              <w:bottom w:val="nil"/>
            </w:tcBorders>
            <w:shd w:val="clear" w:color="auto" w:fill="auto"/>
            <w:vAlign w:val="center"/>
          </w:tcPr>
          <w:p w14:paraId="3139AB21" w14:textId="77777777" w:rsidR="00D56C1A" w:rsidRPr="001A1E07" w:rsidRDefault="00D56C1A">
            <w:pPr>
              <w:pStyle w:val="08-Tabelageral"/>
              <w:ind w:left="113"/>
              <w:rPr>
                <w:rFonts w:cs="Arial"/>
                <w:szCs w:val="14"/>
              </w:rPr>
            </w:pPr>
            <w:r>
              <w:rPr>
                <w:rFonts w:cs="Arial"/>
                <w:szCs w:val="14"/>
              </w:rPr>
              <w:t>75</w:t>
            </w:r>
          </w:p>
        </w:tc>
        <w:tc>
          <w:tcPr>
            <w:tcW w:w="425" w:type="dxa"/>
            <w:tcBorders>
              <w:bottom w:val="nil"/>
            </w:tcBorders>
            <w:shd w:val="clear" w:color="auto" w:fill="auto"/>
            <w:vAlign w:val="center"/>
          </w:tcPr>
          <w:p w14:paraId="0C66E164" w14:textId="77777777" w:rsidR="00D56C1A" w:rsidRPr="001A1E07" w:rsidRDefault="00D56C1A">
            <w:pPr>
              <w:pStyle w:val="08-Tabelageral"/>
              <w:ind w:left="113"/>
              <w:rPr>
                <w:rFonts w:cs="Arial"/>
                <w:szCs w:val="14"/>
              </w:rPr>
            </w:pPr>
          </w:p>
        </w:tc>
        <w:tc>
          <w:tcPr>
            <w:tcW w:w="1276" w:type="dxa"/>
            <w:tcBorders>
              <w:bottom w:val="nil"/>
            </w:tcBorders>
            <w:shd w:val="clear" w:color="auto" w:fill="auto"/>
            <w:vAlign w:val="center"/>
          </w:tcPr>
          <w:p w14:paraId="61E168FB" w14:textId="77777777" w:rsidR="00D56C1A" w:rsidRPr="001A1E07" w:rsidRDefault="00D56C1A">
            <w:pPr>
              <w:pStyle w:val="08-Tabelageral"/>
              <w:ind w:left="113"/>
              <w:rPr>
                <w:rFonts w:cs="Arial"/>
                <w:szCs w:val="14"/>
              </w:rPr>
            </w:pPr>
            <w:r>
              <w:rPr>
                <w:rFonts w:cs="Arial"/>
                <w:szCs w:val="14"/>
              </w:rPr>
              <w:t>1.091</w:t>
            </w:r>
          </w:p>
        </w:tc>
        <w:tc>
          <w:tcPr>
            <w:tcW w:w="1274" w:type="dxa"/>
            <w:tcBorders>
              <w:bottom w:val="nil"/>
            </w:tcBorders>
            <w:shd w:val="clear" w:color="auto" w:fill="auto"/>
            <w:vAlign w:val="center"/>
          </w:tcPr>
          <w:p w14:paraId="1F85531B" w14:textId="77777777" w:rsidR="00D56C1A" w:rsidRPr="001A1E07" w:rsidRDefault="00D56C1A">
            <w:pPr>
              <w:pStyle w:val="08-Tabelageral"/>
              <w:ind w:left="113"/>
              <w:rPr>
                <w:rFonts w:cs="Arial"/>
                <w:szCs w:val="14"/>
              </w:rPr>
            </w:pPr>
            <w:r>
              <w:rPr>
                <w:rFonts w:cs="Arial"/>
                <w:szCs w:val="14"/>
              </w:rPr>
              <w:t>577</w:t>
            </w:r>
          </w:p>
        </w:tc>
      </w:tr>
      <w:tr w:rsidR="00D56C1A" w:rsidRPr="001A1E07" w14:paraId="0975BA05" w14:textId="77777777">
        <w:trPr>
          <w:trHeight w:val="238"/>
          <w:jc w:val="center"/>
        </w:trPr>
        <w:tc>
          <w:tcPr>
            <w:tcW w:w="3687" w:type="dxa"/>
            <w:tcBorders>
              <w:top w:val="nil"/>
              <w:bottom w:val="single" w:sz="2" w:space="0" w:color="1F3864" w:themeColor="accent1" w:themeShade="80"/>
            </w:tcBorders>
            <w:shd w:val="clear" w:color="auto" w:fill="auto"/>
          </w:tcPr>
          <w:p w14:paraId="0A2B5149" w14:textId="77777777" w:rsidR="00D56C1A" w:rsidRPr="001A1E07" w:rsidRDefault="00D56C1A">
            <w:pPr>
              <w:pStyle w:val="08-Tabelageral"/>
              <w:jc w:val="left"/>
              <w:rPr>
                <w:rFonts w:cs="Arial"/>
                <w:b/>
                <w:szCs w:val="14"/>
              </w:rPr>
            </w:pPr>
            <w:r w:rsidRPr="001A1E07">
              <w:rPr>
                <w:rFonts w:cs="Arial"/>
                <w:b/>
              </w:rPr>
              <w:t xml:space="preserve">Total </w:t>
            </w:r>
          </w:p>
        </w:tc>
        <w:tc>
          <w:tcPr>
            <w:tcW w:w="283" w:type="dxa"/>
            <w:tcBorders>
              <w:top w:val="nil"/>
              <w:bottom w:val="single" w:sz="2" w:space="0" w:color="1F3864" w:themeColor="accent1" w:themeShade="80"/>
            </w:tcBorders>
            <w:shd w:val="clear" w:color="auto" w:fill="auto"/>
          </w:tcPr>
          <w:p w14:paraId="3ADA1D0F" w14:textId="77777777" w:rsidR="00D56C1A" w:rsidRPr="001A1E07" w:rsidRDefault="00D56C1A">
            <w:pPr>
              <w:pStyle w:val="08-Tabelageral"/>
              <w:jc w:val="center"/>
              <w:rPr>
                <w:rFonts w:cs="Arial"/>
                <w:b/>
                <w:szCs w:val="14"/>
              </w:rPr>
            </w:pPr>
          </w:p>
        </w:tc>
        <w:tc>
          <w:tcPr>
            <w:tcW w:w="1560" w:type="dxa"/>
            <w:tcBorders>
              <w:top w:val="nil"/>
              <w:bottom w:val="single" w:sz="2" w:space="0" w:color="1F3864" w:themeColor="accent1" w:themeShade="80"/>
            </w:tcBorders>
            <w:shd w:val="clear" w:color="auto" w:fill="auto"/>
            <w:vAlign w:val="center"/>
          </w:tcPr>
          <w:p w14:paraId="5C99A37C" w14:textId="77777777" w:rsidR="00D56C1A" w:rsidRPr="001A1E07" w:rsidRDefault="00D56C1A">
            <w:pPr>
              <w:pStyle w:val="08-Tabelageral"/>
              <w:rPr>
                <w:rFonts w:cs="Arial"/>
                <w:b/>
                <w:szCs w:val="14"/>
              </w:rPr>
            </w:pPr>
            <w:r>
              <w:rPr>
                <w:rFonts w:cs="Arial"/>
                <w:b/>
                <w:szCs w:val="14"/>
              </w:rPr>
              <w:t>12.829</w:t>
            </w:r>
          </w:p>
        </w:tc>
        <w:tc>
          <w:tcPr>
            <w:tcW w:w="1134" w:type="dxa"/>
            <w:tcBorders>
              <w:top w:val="nil"/>
              <w:bottom w:val="single" w:sz="2" w:space="0" w:color="1F3864" w:themeColor="accent1" w:themeShade="80"/>
            </w:tcBorders>
            <w:shd w:val="clear" w:color="auto" w:fill="auto"/>
            <w:vAlign w:val="center"/>
          </w:tcPr>
          <w:p w14:paraId="0D21C07D" w14:textId="77777777" w:rsidR="00D56C1A" w:rsidRPr="001A1E07" w:rsidRDefault="00D56C1A">
            <w:pPr>
              <w:pStyle w:val="08-Tabelageral"/>
              <w:rPr>
                <w:rFonts w:cs="Arial"/>
                <w:b/>
                <w:szCs w:val="14"/>
              </w:rPr>
            </w:pPr>
            <w:r>
              <w:rPr>
                <w:rFonts w:cs="Arial"/>
                <w:b/>
                <w:szCs w:val="14"/>
              </w:rPr>
              <w:t>13.488</w:t>
            </w:r>
          </w:p>
        </w:tc>
        <w:tc>
          <w:tcPr>
            <w:tcW w:w="425" w:type="dxa"/>
            <w:tcBorders>
              <w:top w:val="nil"/>
              <w:bottom w:val="single" w:sz="2" w:space="0" w:color="1F3864" w:themeColor="accent1" w:themeShade="80"/>
            </w:tcBorders>
            <w:shd w:val="clear" w:color="auto" w:fill="auto"/>
            <w:vAlign w:val="center"/>
          </w:tcPr>
          <w:p w14:paraId="62E23939" w14:textId="77777777" w:rsidR="00D56C1A" w:rsidRPr="001A1E07" w:rsidRDefault="00D56C1A">
            <w:pPr>
              <w:pStyle w:val="08-Tabelageral"/>
              <w:rPr>
                <w:rFonts w:cs="Arial"/>
                <w:b/>
                <w:szCs w:val="14"/>
              </w:rPr>
            </w:pPr>
          </w:p>
        </w:tc>
        <w:tc>
          <w:tcPr>
            <w:tcW w:w="1276" w:type="dxa"/>
            <w:tcBorders>
              <w:top w:val="nil"/>
              <w:bottom w:val="single" w:sz="2" w:space="0" w:color="1F3864" w:themeColor="accent1" w:themeShade="80"/>
            </w:tcBorders>
            <w:shd w:val="clear" w:color="auto" w:fill="auto"/>
            <w:vAlign w:val="center"/>
          </w:tcPr>
          <w:p w14:paraId="1BBA3A4B" w14:textId="77777777" w:rsidR="00D56C1A" w:rsidRPr="001A1E07" w:rsidRDefault="00D56C1A">
            <w:pPr>
              <w:pStyle w:val="08-Tabelageral"/>
              <w:rPr>
                <w:rFonts w:cs="Arial"/>
                <w:b/>
                <w:szCs w:val="14"/>
              </w:rPr>
            </w:pPr>
            <w:r>
              <w:rPr>
                <w:rFonts w:cs="Arial"/>
                <w:b/>
                <w:szCs w:val="14"/>
              </w:rPr>
              <w:t>92.781</w:t>
            </w:r>
          </w:p>
        </w:tc>
        <w:tc>
          <w:tcPr>
            <w:tcW w:w="1274" w:type="dxa"/>
            <w:tcBorders>
              <w:top w:val="nil"/>
              <w:bottom w:val="single" w:sz="2" w:space="0" w:color="1F3864" w:themeColor="accent1" w:themeShade="80"/>
            </w:tcBorders>
            <w:shd w:val="clear" w:color="auto" w:fill="auto"/>
            <w:vAlign w:val="center"/>
          </w:tcPr>
          <w:p w14:paraId="525B0904" w14:textId="77777777" w:rsidR="00D56C1A" w:rsidRPr="001A1E07" w:rsidRDefault="00D56C1A">
            <w:pPr>
              <w:pStyle w:val="08-Tabelageral"/>
              <w:rPr>
                <w:rFonts w:cs="Arial"/>
                <w:b/>
                <w:szCs w:val="14"/>
              </w:rPr>
            </w:pPr>
            <w:r>
              <w:rPr>
                <w:rFonts w:cs="Arial"/>
                <w:b/>
                <w:szCs w:val="14"/>
              </w:rPr>
              <w:t>103.447</w:t>
            </w:r>
          </w:p>
        </w:tc>
      </w:tr>
    </w:tbl>
    <w:p w14:paraId="75FC52E5" w14:textId="77777777" w:rsidR="00FE2E60" w:rsidRDefault="00D56C1A" w:rsidP="007B2464">
      <w:pPr>
        <w:pStyle w:val="07-Legenda"/>
        <w:numPr>
          <w:ilvl w:val="0"/>
          <w:numId w:val="13"/>
        </w:numPr>
        <w:tabs>
          <w:tab w:val="clear" w:pos="284"/>
          <w:tab w:val="left" w:pos="708"/>
        </w:tabs>
        <w:spacing w:line="276" w:lineRule="auto"/>
        <w:ind w:left="284" w:hanging="284"/>
        <w:rPr>
          <w:rFonts w:cs="Arial"/>
          <w:szCs w:val="14"/>
        </w:rPr>
      </w:pPr>
      <w:r w:rsidRPr="006532F1">
        <w:rPr>
          <w:rFonts w:cs="Arial"/>
          <w:szCs w:val="14"/>
        </w:rPr>
        <w:t xml:space="preserve">Refere-se ao rateio de despesas apurado em conformidade com o contrato de compartilhamento de dados de clientes, utilização de quadro de pessoal, da rede de distribuição e dos recursos materiais tecnológicos e administrativos, celebrado entre o Banco do Brasil, BB Seguridade, BB Corretora e </w:t>
      </w:r>
      <w:r>
        <w:rPr>
          <w:rFonts w:cs="Arial"/>
          <w:szCs w:val="14"/>
        </w:rPr>
        <w:br/>
      </w:r>
      <w:r w:rsidRPr="006532F1">
        <w:rPr>
          <w:rFonts w:cs="Arial"/>
          <w:szCs w:val="14"/>
        </w:rPr>
        <w:t>BB Seguros. No Consolidado, inclui também valores a pagar</w:t>
      </w:r>
      <w:r w:rsidRPr="00726F93">
        <w:rPr>
          <w:rFonts w:cs="Arial"/>
          <w:szCs w:val="14"/>
        </w:rPr>
        <w:t xml:space="preserve"> às companhias ligadas, decorrentes de comissões de corretagem a devolver</w:t>
      </w:r>
      <w:r>
        <w:rPr>
          <w:rFonts w:cs="Arial"/>
          <w:szCs w:val="14"/>
        </w:rPr>
        <w:t xml:space="preserve">. </w:t>
      </w:r>
    </w:p>
    <w:p w14:paraId="046E03F3" w14:textId="6094FC04" w:rsidR="00D56C1A" w:rsidRPr="007C0F29" w:rsidRDefault="00D56C1A" w:rsidP="002C3B56">
      <w:pPr>
        <w:pStyle w:val="07-Legenda"/>
        <w:numPr>
          <w:ilvl w:val="0"/>
          <w:numId w:val="13"/>
        </w:numPr>
        <w:tabs>
          <w:tab w:val="clear" w:pos="284"/>
          <w:tab w:val="left" w:pos="708"/>
        </w:tabs>
        <w:ind w:left="284" w:hanging="284"/>
        <w:rPr>
          <w:rFonts w:cs="Arial"/>
          <w:szCs w:val="14"/>
        </w:rPr>
      </w:pPr>
      <w:r w:rsidRPr="00F27513">
        <w:t>No exercício de 202</w:t>
      </w:r>
      <w:r>
        <w:t>4</w:t>
      </w:r>
      <w:r w:rsidR="00FE2E60">
        <w:t>,</w:t>
      </w:r>
      <w:r w:rsidRPr="00F27513">
        <w:t xml:space="preserve"> </w:t>
      </w:r>
      <w:r w:rsidR="00392847">
        <w:t>refere-se</w:t>
      </w:r>
      <w:r w:rsidRPr="00F27513">
        <w:t xml:space="preserve"> </w:t>
      </w:r>
      <w:r w:rsidR="00FE2E60">
        <w:t>a</w:t>
      </w:r>
      <w:r w:rsidRPr="00F27513">
        <w:t xml:space="preserve"> provisão para </w:t>
      </w:r>
      <w:r w:rsidR="000C7076">
        <w:t xml:space="preserve">devolução de </w:t>
      </w:r>
      <w:r w:rsidRPr="00F27513">
        <w:t>corretagem</w:t>
      </w:r>
      <w:r w:rsidR="000C7076">
        <w:t xml:space="preserve"> </w:t>
      </w:r>
      <w:r w:rsidRPr="00F27513">
        <w:t>à Brasilprev</w:t>
      </w:r>
      <w:r>
        <w:t>.</w:t>
      </w:r>
    </w:p>
    <w:p w14:paraId="5E18AA95" w14:textId="77777777" w:rsidR="006E7795" w:rsidRPr="00BF2AAF" w:rsidRDefault="006E7795" w:rsidP="00163DE7">
      <w:pPr>
        <w:rPr>
          <w:rFonts w:ascii="Arial" w:hAnsi="Arial" w:cs="Arial"/>
          <w:sz w:val="20"/>
          <w:szCs w:val="20"/>
        </w:rPr>
      </w:pPr>
    </w:p>
    <w:p w14:paraId="13838088" w14:textId="77777777" w:rsidR="007D4AB0" w:rsidRPr="00730D57" w:rsidRDefault="00AB09B4" w:rsidP="00730D57">
      <w:pPr>
        <w:pStyle w:val="02-TtulodeNota"/>
      </w:pPr>
      <w:bookmarkStart w:id="119" w:name="_Toc189757091"/>
      <w:bookmarkStart w:id="120" w:name="OLE_LINK20"/>
      <w:r w:rsidRPr="00730D57">
        <w:t>25</w:t>
      </w:r>
      <w:r w:rsidR="007D4AB0" w:rsidRPr="00730D57">
        <w:t xml:space="preserve"> – PATRIMÔNIO LÍQUIDO</w:t>
      </w:r>
      <w:bookmarkEnd w:id="119"/>
    </w:p>
    <w:p w14:paraId="1E6FC8F0" w14:textId="77777777" w:rsidR="00610E35" w:rsidRPr="00653046" w:rsidRDefault="00610E35" w:rsidP="00610E35">
      <w:pPr>
        <w:pStyle w:val="01-Textonormal"/>
        <w:rPr>
          <w:b/>
          <w:color w:val="1F3864" w:themeColor="accent1" w:themeShade="80"/>
        </w:rPr>
      </w:pPr>
      <w:bookmarkStart w:id="121" w:name="_Hlk149585276"/>
      <w:bookmarkStart w:id="122" w:name="_Hlk149139227"/>
      <w:bookmarkEnd w:id="120"/>
      <w:r w:rsidRPr="00653046">
        <w:rPr>
          <w:b/>
          <w:color w:val="1F3864" w:themeColor="accent1" w:themeShade="80"/>
        </w:rPr>
        <w:t>a) Valor Patrimonial por Ação e Lucro por Ação</w:t>
      </w:r>
    </w:p>
    <w:p w14:paraId="417C5FDA" w14:textId="77777777" w:rsidR="00610E35" w:rsidRDefault="00610E35" w:rsidP="00610E35">
      <w:pPr>
        <w:pStyle w:val="05-Textonormal"/>
        <w:keepNext/>
      </w:pPr>
      <w:r w:rsidRPr="002B3466">
        <w:t xml:space="preserve">O Patrimônio Líquido, de R$ </w:t>
      </w:r>
      <w:bookmarkStart w:id="123" w:name="_Hlk173243632"/>
      <w:bookmarkStart w:id="124" w:name="_Hlk165296995"/>
      <w:r>
        <w:t>9</w:t>
      </w:r>
      <w:r w:rsidRPr="002B3466">
        <w:t>.</w:t>
      </w:r>
      <w:r>
        <w:t>695</w:t>
      </w:r>
      <w:r w:rsidRPr="002B3466">
        <w:t>.</w:t>
      </w:r>
      <w:bookmarkEnd w:id="123"/>
      <w:r>
        <w:t>421</w:t>
      </w:r>
      <w:r w:rsidRPr="002B3466">
        <w:t xml:space="preserve"> </w:t>
      </w:r>
      <w:bookmarkEnd w:id="124"/>
      <w:r w:rsidRPr="002B3466">
        <w:t>mil em 3</w:t>
      </w:r>
      <w:r>
        <w:t>1</w:t>
      </w:r>
      <w:r w:rsidRPr="002B3466">
        <w:t>.</w:t>
      </w:r>
      <w:r>
        <w:t>12</w:t>
      </w:r>
      <w:r w:rsidRPr="002B3466">
        <w:t xml:space="preserve">.2024 (R$ </w:t>
      </w:r>
      <w:bookmarkStart w:id="125" w:name="_Hlk165297024"/>
      <w:r w:rsidRPr="002B3466">
        <w:t xml:space="preserve">9.816.482 </w:t>
      </w:r>
      <w:bookmarkEnd w:id="125"/>
      <w:r w:rsidRPr="002B3466">
        <w:t xml:space="preserve">mil em 31.12.2023), corresponde a um valor patrimonial da ação de R$ </w:t>
      </w:r>
      <w:r>
        <w:t>4</w:t>
      </w:r>
      <w:r w:rsidRPr="002B3466">
        <w:t>,</w:t>
      </w:r>
      <w:r>
        <w:t>85</w:t>
      </w:r>
      <w:r w:rsidRPr="002B3466">
        <w:t xml:space="preserve"> em 3</w:t>
      </w:r>
      <w:r>
        <w:t>1</w:t>
      </w:r>
      <w:r w:rsidRPr="002B3466">
        <w:t>.</w:t>
      </w:r>
      <w:r>
        <w:t>12</w:t>
      </w:r>
      <w:r w:rsidRPr="002B3466">
        <w:t>.2024 (R$ 4,91 em 31.12.2023).</w:t>
      </w:r>
    </w:p>
    <w:tbl>
      <w:tblPr>
        <w:tblW w:w="9639" w:type="dxa"/>
        <w:tblBorders>
          <w:top w:val="single" w:sz="2" w:space="0" w:color="9CC2E5" w:themeColor="accent5" w:themeTint="99"/>
          <w:bottom w:val="single" w:sz="2" w:space="0" w:color="9CC2E5" w:themeColor="accent5" w:themeTint="99"/>
        </w:tblBorders>
        <w:shd w:val="clear" w:color="auto" w:fill="DEEAF6" w:themeFill="accent5" w:themeFillTint="33"/>
        <w:tblLook w:val="04A0" w:firstRow="1" w:lastRow="0" w:firstColumn="1" w:lastColumn="0" w:noHBand="0" w:noVBand="1"/>
      </w:tblPr>
      <w:tblGrid>
        <w:gridCol w:w="6096"/>
        <w:gridCol w:w="1984"/>
        <w:gridCol w:w="1559"/>
      </w:tblGrid>
      <w:tr w:rsidR="00610E35" w:rsidRPr="00C81264" w14:paraId="1CC4CC9C" w14:textId="77777777">
        <w:trPr>
          <w:trHeight w:val="238"/>
        </w:trPr>
        <w:tc>
          <w:tcPr>
            <w:tcW w:w="6096" w:type="dxa"/>
            <w:tcBorders>
              <w:top w:val="single" w:sz="2" w:space="0" w:color="1F3864" w:themeColor="accent1" w:themeShade="80"/>
              <w:bottom w:val="nil"/>
            </w:tcBorders>
            <w:shd w:val="clear" w:color="auto" w:fill="auto"/>
            <w:vAlign w:val="center"/>
          </w:tcPr>
          <w:p w14:paraId="5B75FEAB" w14:textId="77777777" w:rsidR="00610E35" w:rsidRPr="00840036" w:rsidRDefault="00610E35">
            <w:pPr>
              <w:spacing w:after="0"/>
              <w:jc w:val="center"/>
              <w:rPr>
                <w:rFonts w:ascii="Arial" w:hAnsi="Arial" w:cs="Arial"/>
                <w:b/>
                <w:sz w:val="18"/>
                <w:szCs w:val="18"/>
              </w:rPr>
            </w:pPr>
          </w:p>
        </w:tc>
        <w:tc>
          <w:tcPr>
            <w:tcW w:w="3543" w:type="dxa"/>
            <w:gridSpan w:val="2"/>
            <w:tcBorders>
              <w:top w:val="single" w:sz="2" w:space="0" w:color="1F3864" w:themeColor="accent1" w:themeShade="80"/>
              <w:bottom w:val="single" w:sz="2" w:space="0" w:color="1F3864" w:themeColor="accent1" w:themeShade="80"/>
            </w:tcBorders>
            <w:shd w:val="clear" w:color="auto" w:fill="auto"/>
            <w:vAlign w:val="center"/>
          </w:tcPr>
          <w:p w14:paraId="58B7C31B" w14:textId="77777777" w:rsidR="00610E35" w:rsidRPr="00840036" w:rsidRDefault="00610E35">
            <w:pPr>
              <w:spacing w:after="0"/>
              <w:jc w:val="center"/>
              <w:rPr>
                <w:rFonts w:ascii="Arial" w:hAnsi="Arial" w:cs="Arial"/>
                <w:b/>
                <w:sz w:val="18"/>
                <w:szCs w:val="18"/>
              </w:rPr>
            </w:pPr>
            <w:r w:rsidRPr="00840036">
              <w:rPr>
                <w:rFonts w:ascii="Arial" w:hAnsi="Arial" w:cs="Arial"/>
                <w:b/>
                <w:sz w:val="14"/>
                <w:szCs w:val="18"/>
              </w:rPr>
              <w:t>Controlador e Consolidado</w:t>
            </w:r>
          </w:p>
        </w:tc>
      </w:tr>
      <w:tr w:rsidR="00610E35" w:rsidRPr="00C81264" w14:paraId="406C4DD1" w14:textId="77777777">
        <w:trPr>
          <w:trHeight w:val="238"/>
        </w:trPr>
        <w:tc>
          <w:tcPr>
            <w:tcW w:w="6096" w:type="dxa"/>
            <w:tcBorders>
              <w:top w:val="nil"/>
              <w:bottom w:val="single" w:sz="2" w:space="0" w:color="1F3864" w:themeColor="accent1" w:themeShade="80"/>
            </w:tcBorders>
            <w:shd w:val="clear" w:color="auto" w:fill="auto"/>
            <w:vAlign w:val="center"/>
          </w:tcPr>
          <w:p w14:paraId="44EA426E" w14:textId="77777777" w:rsidR="00610E35" w:rsidRPr="00840036" w:rsidRDefault="00610E35">
            <w:pPr>
              <w:pStyle w:val="08-Tabelageral"/>
              <w:rPr>
                <w:rFonts w:cs="Arial"/>
                <w:b/>
              </w:rPr>
            </w:pPr>
          </w:p>
        </w:tc>
        <w:tc>
          <w:tcPr>
            <w:tcW w:w="1984" w:type="dxa"/>
            <w:tcBorders>
              <w:top w:val="single" w:sz="2" w:space="0" w:color="1F3864" w:themeColor="accent1" w:themeShade="80"/>
              <w:bottom w:val="single" w:sz="2" w:space="0" w:color="1F3864" w:themeColor="accent1" w:themeShade="80"/>
            </w:tcBorders>
            <w:shd w:val="clear" w:color="auto" w:fill="auto"/>
            <w:vAlign w:val="center"/>
          </w:tcPr>
          <w:p w14:paraId="6A0353EB" w14:textId="77777777" w:rsidR="00610E35" w:rsidRPr="00840036" w:rsidRDefault="00610E35">
            <w:pPr>
              <w:pStyle w:val="08-Tabelageral"/>
              <w:rPr>
                <w:b/>
                <w:kern w:val="2"/>
              </w:rPr>
            </w:pPr>
            <w:r w:rsidRPr="00840036">
              <w:rPr>
                <w:b/>
                <w:kern w:val="2"/>
              </w:rPr>
              <w:t>Exercício 202</w:t>
            </w:r>
            <w:r>
              <w:rPr>
                <w:b/>
                <w:kern w:val="2"/>
              </w:rPr>
              <w:t>4</w:t>
            </w:r>
          </w:p>
        </w:tc>
        <w:tc>
          <w:tcPr>
            <w:tcW w:w="1559" w:type="dxa"/>
            <w:tcBorders>
              <w:top w:val="single" w:sz="2" w:space="0" w:color="1F3864" w:themeColor="accent1" w:themeShade="80"/>
              <w:bottom w:val="single" w:sz="2" w:space="0" w:color="1F3864" w:themeColor="accent1" w:themeShade="80"/>
            </w:tcBorders>
            <w:shd w:val="clear" w:color="auto" w:fill="auto"/>
            <w:vAlign w:val="center"/>
          </w:tcPr>
          <w:p w14:paraId="1CB75609" w14:textId="77777777" w:rsidR="00610E35" w:rsidRPr="00840036" w:rsidRDefault="00610E35">
            <w:pPr>
              <w:pStyle w:val="08-Tabelageral"/>
              <w:rPr>
                <w:rFonts w:cs="Arial"/>
                <w:b/>
              </w:rPr>
            </w:pPr>
            <w:r w:rsidRPr="00840036">
              <w:rPr>
                <w:b/>
                <w:kern w:val="2"/>
              </w:rPr>
              <w:t>Exercício 2023</w:t>
            </w:r>
          </w:p>
        </w:tc>
      </w:tr>
      <w:tr w:rsidR="00610E35" w:rsidRPr="00C81264" w14:paraId="79F2ABC2" w14:textId="77777777">
        <w:trPr>
          <w:trHeight w:val="238"/>
        </w:trPr>
        <w:tc>
          <w:tcPr>
            <w:tcW w:w="6096" w:type="dxa"/>
            <w:tcBorders>
              <w:top w:val="single" w:sz="2" w:space="0" w:color="1F3864" w:themeColor="accent1" w:themeShade="80"/>
            </w:tcBorders>
            <w:shd w:val="clear" w:color="auto" w:fill="auto"/>
          </w:tcPr>
          <w:p w14:paraId="15F22DC2" w14:textId="77777777" w:rsidR="00610E35" w:rsidRPr="00840036" w:rsidRDefault="00610E35">
            <w:pPr>
              <w:pStyle w:val="08-Tabelageral"/>
              <w:ind w:left="113"/>
              <w:jc w:val="left"/>
              <w:rPr>
                <w:rFonts w:cs="Arial"/>
                <w:szCs w:val="14"/>
              </w:rPr>
            </w:pPr>
            <w:r w:rsidRPr="00840036">
              <w:rPr>
                <w:rFonts w:cs="Arial"/>
                <w:szCs w:val="14"/>
              </w:rPr>
              <w:t>Lucro líquido atribuível aos acionistas (R$ mil)</w:t>
            </w:r>
          </w:p>
        </w:tc>
        <w:tc>
          <w:tcPr>
            <w:tcW w:w="1984" w:type="dxa"/>
            <w:tcBorders>
              <w:top w:val="single" w:sz="2" w:space="0" w:color="1F3864" w:themeColor="accent1" w:themeShade="80"/>
            </w:tcBorders>
            <w:shd w:val="clear" w:color="auto" w:fill="auto"/>
            <w:vAlign w:val="center"/>
          </w:tcPr>
          <w:p w14:paraId="06D2355C" w14:textId="77777777" w:rsidR="00610E35" w:rsidRPr="00840036" w:rsidRDefault="00610E35">
            <w:pPr>
              <w:pStyle w:val="08-Tabelageral"/>
              <w:ind w:left="113"/>
              <w:rPr>
                <w:rFonts w:cs="Arial"/>
                <w:bCs/>
                <w:szCs w:val="14"/>
              </w:rPr>
            </w:pPr>
            <w:r>
              <w:rPr>
                <w:rFonts w:cs="Arial"/>
                <w:bCs/>
                <w:szCs w:val="14"/>
              </w:rPr>
              <w:t>8.703.353</w:t>
            </w:r>
          </w:p>
        </w:tc>
        <w:tc>
          <w:tcPr>
            <w:tcW w:w="1559" w:type="dxa"/>
            <w:tcBorders>
              <w:top w:val="single" w:sz="2" w:space="0" w:color="1F3864" w:themeColor="accent1" w:themeShade="80"/>
            </w:tcBorders>
            <w:shd w:val="clear" w:color="auto" w:fill="auto"/>
            <w:vAlign w:val="center"/>
          </w:tcPr>
          <w:p w14:paraId="4955C1A5" w14:textId="77777777" w:rsidR="00610E35" w:rsidRPr="004D7599" w:rsidRDefault="00610E35">
            <w:pPr>
              <w:pStyle w:val="08-Tabelageral"/>
              <w:ind w:left="113"/>
              <w:rPr>
                <w:rFonts w:cs="Arial"/>
                <w:bCs/>
                <w:color w:val="FF0000"/>
                <w:szCs w:val="14"/>
                <w:highlight w:val="yellow"/>
              </w:rPr>
            </w:pPr>
            <w:r w:rsidRPr="00840036">
              <w:rPr>
                <w:rFonts w:cs="Arial"/>
                <w:bCs/>
                <w:szCs w:val="14"/>
              </w:rPr>
              <w:t>7.947.203</w:t>
            </w:r>
          </w:p>
        </w:tc>
      </w:tr>
      <w:tr w:rsidR="00610E35" w:rsidRPr="00C81264" w14:paraId="43C80605" w14:textId="77777777">
        <w:trPr>
          <w:trHeight w:val="238"/>
        </w:trPr>
        <w:tc>
          <w:tcPr>
            <w:tcW w:w="6096" w:type="dxa"/>
            <w:tcBorders>
              <w:bottom w:val="nil"/>
            </w:tcBorders>
            <w:shd w:val="clear" w:color="auto" w:fill="auto"/>
          </w:tcPr>
          <w:p w14:paraId="6DB422FE" w14:textId="77777777" w:rsidR="00610E35" w:rsidRPr="00840036" w:rsidRDefault="00610E35">
            <w:pPr>
              <w:pStyle w:val="08-Tabelageral"/>
              <w:ind w:left="113"/>
              <w:jc w:val="left"/>
              <w:rPr>
                <w:rFonts w:cs="Arial"/>
                <w:szCs w:val="14"/>
              </w:rPr>
            </w:pPr>
            <w:r w:rsidRPr="00840036">
              <w:rPr>
                <w:rFonts w:cs="Arial"/>
                <w:szCs w:val="14"/>
              </w:rPr>
              <w:t>Número médio ponderado de ações - básico e diluído</w:t>
            </w:r>
          </w:p>
        </w:tc>
        <w:tc>
          <w:tcPr>
            <w:tcW w:w="1984" w:type="dxa"/>
            <w:tcBorders>
              <w:bottom w:val="nil"/>
            </w:tcBorders>
            <w:shd w:val="clear" w:color="auto" w:fill="auto"/>
          </w:tcPr>
          <w:p w14:paraId="32AF4B4F" w14:textId="77777777" w:rsidR="00610E35" w:rsidRPr="00840036" w:rsidRDefault="00610E35">
            <w:pPr>
              <w:pStyle w:val="08-Tabelageral"/>
              <w:ind w:left="113"/>
              <w:rPr>
                <w:rFonts w:cs="Arial"/>
                <w:bCs/>
                <w:szCs w:val="14"/>
              </w:rPr>
            </w:pPr>
            <w:r w:rsidRPr="00E40AED">
              <w:rPr>
                <w:rFonts w:cs="Arial"/>
                <w:bCs/>
                <w:szCs w:val="14"/>
              </w:rPr>
              <w:t>1.953.414.779</w:t>
            </w:r>
          </w:p>
        </w:tc>
        <w:tc>
          <w:tcPr>
            <w:tcW w:w="1559" w:type="dxa"/>
            <w:tcBorders>
              <w:bottom w:val="nil"/>
            </w:tcBorders>
            <w:shd w:val="clear" w:color="auto" w:fill="auto"/>
          </w:tcPr>
          <w:p w14:paraId="09E8D1DF" w14:textId="77777777" w:rsidR="00610E35" w:rsidRPr="005D23CC" w:rsidRDefault="00610E35">
            <w:pPr>
              <w:pStyle w:val="08-Tabelageral"/>
              <w:ind w:left="113"/>
              <w:rPr>
                <w:rFonts w:cs="Arial"/>
                <w:b/>
                <w:color w:val="FF0000"/>
                <w:szCs w:val="14"/>
                <w:highlight w:val="yellow"/>
              </w:rPr>
            </w:pPr>
            <w:r w:rsidRPr="00840036">
              <w:rPr>
                <w:rFonts w:cs="Arial"/>
                <w:bCs/>
                <w:szCs w:val="14"/>
              </w:rPr>
              <w:t>1.993.418.627</w:t>
            </w:r>
          </w:p>
        </w:tc>
      </w:tr>
      <w:tr w:rsidR="00610E35" w:rsidRPr="00CB272C" w14:paraId="758790CF" w14:textId="77777777">
        <w:trPr>
          <w:trHeight w:val="238"/>
        </w:trPr>
        <w:tc>
          <w:tcPr>
            <w:tcW w:w="6096" w:type="dxa"/>
            <w:tcBorders>
              <w:top w:val="nil"/>
              <w:bottom w:val="single" w:sz="2" w:space="0" w:color="1F3864" w:themeColor="accent1" w:themeShade="80"/>
            </w:tcBorders>
            <w:shd w:val="clear" w:color="auto" w:fill="auto"/>
          </w:tcPr>
          <w:p w14:paraId="6B9BB585" w14:textId="77777777" w:rsidR="00610E35" w:rsidRPr="00840036" w:rsidRDefault="00610E35">
            <w:pPr>
              <w:pStyle w:val="08-Tabelageral"/>
              <w:ind w:left="113"/>
              <w:jc w:val="left"/>
              <w:rPr>
                <w:rFonts w:cs="Arial"/>
                <w:szCs w:val="14"/>
              </w:rPr>
            </w:pPr>
            <w:r w:rsidRPr="00840036">
              <w:rPr>
                <w:rFonts w:cs="Arial"/>
                <w:szCs w:val="14"/>
              </w:rPr>
              <w:t>Lucro por ação - básico e diluído (R$)</w:t>
            </w:r>
          </w:p>
        </w:tc>
        <w:tc>
          <w:tcPr>
            <w:tcW w:w="1984" w:type="dxa"/>
            <w:tcBorders>
              <w:top w:val="nil"/>
              <w:bottom w:val="single" w:sz="2" w:space="0" w:color="1F3864" w:themeColor="accent1" w:themeShade="80"/>
            </w:tcBorders>
            <w:shd w:val="clear" w:color="auto" w:fill="auto"/>
          </w:tcPr>
          <w:p w14:paraId="4F8FA900" w14:textId="77777777" w:rsidR="00610E35" w:rsidRPr="00840036" w:rsidRDefault="00610E35">
            <w:pPr>
              <w:pStyle w:val="08-Tabelageral"/>
              <w:ind w:left="113"/>
              <w:rPr>
                <w:rFonts w:cs="Arial"/>
                <w:bCs/>
                <w:szCs w:val="14"/>
              </w:rPr>
            </w:pPr>
            <w:r>
              <w:rPr>
                <w:rFonts w:cs="Arial"/>
                <w:bCs/>
                <w:szCs w:val="14"/>
              </w:rPr>
              <w:t>4,46</w:t>
            </w:r>
          </w:p>
        </w:tc>
        <w:tc>
          <w:tcPr>
            <w:tcW w:w="1559" w:type="dxa"/>
            <w:tcBorders>
              <w:top w:val="nil"/>
              <w:bottom w:val="single" w:sz="2" w:space="0" w:color="1F3864" w:themeColor="accent1" w:themeShade="80"/>
            </w:tcBorders>
            <w:shd w:val="clear" w:color="auto" w:fill="auto"/>
          </w:tcPr>
          <w:p w14:paraId="55533E3D" w14:textId="77777777" w:rsidR="00610E35" w:rsidRPr="005D23CC" w:rsidRDefault="00610E35">
            <w:pPr>
              <w:pStyle w:val="08-Tabelageral"/>
              <w:ind w:left="113"/>
              <w:rPr>
                <w:rFonts w:cs="Arial"/>
                <w:b/>
                <w:color w:val="FF0000"/>
                <w:szCs w:val="14"/>
                <w:highlight w:val="yellow"/>
              </w:rPr>
            </w:pPr>
            <w:r w:rsidRPr="00840036">
              <w:rPr>
                <w:rFonts w:cs="Arial"/>
                <w:bCs/>
                <w:szCs w:val="14"/>
              </w:rPr>
              <w:t>3,99</w:t>
            </w:r>
          </w:p>
        </w:tc>
      </w:tr>
    </w:tbl>
    <w:p w14:paraId="6CCB4F8E" w14:textId="77777777" w:rsidR="00610E35" w:rsidRDefault="00610E35" w:rsidP="00610E35">
      <w:pPr>
        <w:pStyle w:val="05-Textonormal"/>
      </w:pPr>
      <w:r w:rsidRPr="00806A8B">
        <w:t>O número médio ponderado de ações ordinárias em circulação durante o período é a quantidade de ações ordinárias totais com os acionistas no início do período, ajustado pelo número de ações readquiridas ou emitidas durante o período multiplicado pelo número de dias que as ações em circulação estão com os acionistas proporcionalmente ao número total de dias do período.</w:t>
      </w:r>
    </w:p>
    <w:p w14:paraId="4EB7EC40" w14:textId="77777777" w:rsidR="00610E35" w:rsidRPr="004630DF" w:rsidRDefault="00610E35" w:rsidP="00610E35">
      <w:pPr>
        <w:pStyle w:val="05-Textonormal"/>
      </w:pPr>
      <w:r w:rsidRPr="004630DF">
        <w:t xml:space="preserve">O lucro por ação básico é calculado </w:t>
      </w:r>
      <w:r>
        <w:t xml:space="preserve">a partir da </w:t>
      </w:r>
      <w:r w:rsidRPr="004630DF">
        <w:t>divisão do lucro líquido atribuível aos acionistas</w:t>
      </w:r>
      <w:r>
        <w:t xml:space="preserve"> </w:t>
      </w:r>
      <w:r w:rsidRPr="004630DF">
        <w:t>pela média</w:t>
      </w:r>
      <w:r>
        <w:t xml:space="preserve"> </w:t>
      </w:r>
      <w:r w:rsidRPr="004630DF">
        <w:t>ponderada do número de ações ordinárias em circulação</w:t>
      </w:r>
      <w:r>
        <w:t xml:space="preserve"> (não consideradas ações em tesouraria)</w:t>
      </w:r>
      <w:r w:rsidRPr="004630DF">
        <w:t xml:space="preserve"> em cada um dos períodos apresentados.</w:t>
      </w:r>
    </w:p>
    <w:p w14:paraId="00EF4239" w14:textId="77777777" w:rsidR="00610E35" w:rsidRPr="004630DF" w:rsidRDefault="00610E35" w:rsidP="00610E35">
      <w:pPr>
        <w:pStyle w:val="05-Textonormal"/>
      </w:pPr>
      <w:r w:rsidRPr="004630DF">
        <w:t xml:space="preserve">O lucro por ação diluído é calculado </w:t>
      </w:r>
      <w:r>
        <w:t>a partir da</w:t>
      </w:r>
      <w:r w:rsidRPr="004630DF">
        <w:t xml:space="preserve"> divisão do lucro líquido atribuível aos acionistas pela média</w:t>
      </w:r>
      <w:r>
        <w:t xml:space="preserve"> </w:t>
      </w:r>
      <w:r w:rsidRPr="004630DF">
        <w:t>ponderada do número de ações ordinárias em circulação</w:t>
      </w:r>
      <w:r>
        <w:t xml:space="preserve"> (não consideradas ações em tesouraria)</w:t>
      </w:r>
      <w:r w:rsidRPr="004630DF">
        <w:t>, incluindo o efeito de todas as ações ordinárias potenciais</w:t>
      </w:r>
      <w:r>
        <w:t xml:space="preserve"> </w:t>
      </w:r>
      <w:r w:rsidRPr="004630DF">
        <w:t>dilu</w:t>
      </w:r>
      <w:r>
        <w:t>idoras.</w:t>
      </w:r>
    </w:p>
    <w:p w14:paraId="75CC388E" w14:textId="77777777" w:rsidR="00610E35" w:rsidRDefault="00610E35" w:rsidP="00610E35">
      <w:pPr>
        <w:pStyle w:val="05-Textonormal"/>
      </w:pPr>
      <w:r>
        <w:t>A BB Seguridade</w:t>
      </w:r>
      <w:r w:rsidRPr="004630DF">
        <w:t xml:space="preserve"> não tem opç</w:t>
      </w:r>
      <w:r>
        <w:t>ões</w:t>
      </w:r>
      <w:r w:rsidRPr="004630DF">
        <w:t>, bônus de subscrição que dão ao seu titular direito de adquirir ações</w:t>
      </w:r>
      <w:r>
        <w:t xml:space="preserve"> ou quaisquer outros instrumentos potenciais diluidores</w:t>
      </w:r>
      <w:r w:rsidRPr="004630DF">
        <w:t>.</w:t>
      </w:r>
      <w:r>
        <w:t xml:space="preserve"> </w:t>
      </w:r>
      <w:r w:rsidRPr="004630DF">
        <w:t>Assim, o lucro por ação básico e diluído são iguais</w:t>
      </w:r>
      <w:r>
        <w:t xml:space="preserve"> e foram calculados dividindo-se o lucro atribuível aos titulares de ações ordinárias da companhia pelo número médio ponderado de ações ordinárias em poder dos acionistas durante o </w:t>
      </w:r>
      <w:r w:rsidRPr="00610DE5">
        <w:t>período.</w:t>
      </w:r>
    </w:p>
    <w:p w14:paraId="36A2941A" w14:textId="0FCA42A8" w:rsidR="00610E35" w:rsidRDefault="00610E35" w:rsidP="00610E35">
      <w:pPr>
        <w:pStyle w:val="01-Textonormal"/>
        <w:tabs>
          <w:tab w:val="left" w:pos="1762"/>
        </w:tabs>
        <w:rPr>
          <w:b/>
          <w:color w:val="1F3864" w:themeColor="accent1" w:themeShade="80"/>
        </w:rPr>
      </w:pPr>
      <w:r>
        <w:rPr>
          <w:b/>
          <w:color w:val="1F3864" w:themeColor="accent1" w:themeShade="80"/>
        </w:rPr>
        <w:t>b</w:t>
      </w:r>
      <w:r w:rsidRPr="00A75AF9">
        <w:rPr>
          <w:b/>
          <w:color w:val="1F3864" w:themeColor="accent1" w:themeShade="80"/>
        </w:rPr>
        <w:t>) Dividendos</w:t>
      </w:r>
    </w:p>
    <w:p w14:paraId="161879D9" w14:textId="77777777" w:rsidR="00610E35" w:rsidRDefault="00610E35" w:rsidP="00610E35">
      <w:pPr>
        <w:spacing w:after="0"/>
        <w:jc w:val="right"/>
        <w:rPr>
          <w:rFonts w:cs="Arial"/>
          <w:b/>
          <w:sz w:val="14"/>
          <w:lang w:eastAsia="pt-BR"/>
        </w:rPr>
      </w:pPr>
      <w:r>
        <w:rPr>
          <w:rFonts w:cs="Arial"/>
          <w:b/>
          <w:sz w:val="14"/>
          <w:lang w:eastAsia="pt-BR"/>
        </w:rPr>
        <w:t>R$ mil</w:t>
      </w:r>
    </w:p>
    <w:tbl>
      <w:tblPr>
        <w:tblStyle w:val="TabeladeLista6Colorida-nfase51"/>
        <w:tblW w:w="9639" w:type="dxa"/>
        <w:jc w:val="center"/>
        <w:tblLook w:val="04A0" w:firstRow="1" w:lastRow="0" w:firstColumn="1" w:lastColumn="0" w:noHBand="0" w:noVBand="1"/>
      </w:tblPr>
      <w:tblGrid>
        <w:gridCol w:w="6630"/>
        <w:gridCol w:w="1504"/>
        <w:gridCol w:w="1505"/>
      </w:tblGrid>
      <w:tr w:rsidR="00610E35" w14:paraId="299FDBCE" w14:textId="77777777">
        <w:trPr>
          <w:cnfStyle w:val="100000000000" w:firstRow="1" w:lastRow="0" w:firstColumn="0" w:lastColumn="0" w:oddVBand="0" w:evenVBand="0" w:oddHBand="0" w:evenHBand="0" w:firstRowFirstColumn="0" w:firstRowLastColumn="0" w:lastRowFirstColumn="0" w:lastRowLastColumn="0"/>
          <w:trHeight w:hRule="exact" w:val="458"/>
          <w:jc w:val="center"/>
        </w:trPr>
        <w:tc>
          <w:tcPr>
            <w:cnfStyle w:val="001000000000" w:firstRow="0" w:lastRow="0" w:firstColumn="1" w:lastColumn="0" w:oddVBand="0" w:evenVBand="0" w:oddHBand="0" w:evenHBand="0" w:firstRowFirstColumn="0" w:firstRowLastColumn="0" w:lastRowFirstColumn="0" w:lastRowLastColumn="0"/>
            <w:tcW w:w="6630" w:type="dxa"/>
            <w:tcBorders>
              <w:top w:val="single" w:sz="2" w:space="0" w:color="1F3864" w:themeColor="accent1" w:themeShade="80"/>
              <w:bottom w:val="single" w:sz="2" w:space="0" w:color="1F3864" w:themeColor="accent1" w:themeShade="80"/>
            </w:tcBorders>
            <w:shd w:val="clear" w:color="auto" w:fill="auto"/>
            <w:vAlign w:val="center"/>
          </w:tcPr>
          <w:p w14:paraId="4407297D" w14:textId="77777777" w:rsidR="00610E35" w:rsidRDefault="00610E35">
            <w:pPr>
              <w:keepNext/>
              <w:keepLines/>
              <w:spacing w:before="40" w:after="40"/>
              <w:rPr>
                <w:rFonts w:eastAsia="Times New Roman" w:cs="Arial"/>
                <w:spacing w:val="-2"/>
                <w:sz w:val="14"/>
                <w:szCs w:val="18"/>
                <w:lang w:eastAsia="pt-BR"/>
              </w:rPr>
            </w:pPr>
          </w:p>
        </w:tc>
        <w:tc>
          <w:tcPr>
            <w:tcW w:w="1504" w:type="dxa"/>
            <w:tcBorders>
              <w:top w:val="single" w:sz="2" w:space="0" w:color="1F3864" w:themeColor="accent1" w:themeShade="80"/>
              <w:bottom w:val="single" w:sz="2" w:space="0" w:color="1F3864" w:themeColor="accent1" w:themeShade="80"/>
            </w:tcBorders>
            <w:shd w:val="clear" w:color="auto" w:fill="auto"/>
            <w:vAlign w:val="center"/>
            <w:hideMark/>
          </w:tcPr>
          <w:p w14:paraId="61CF67F7" w14:textId="77777777" w:rsidR="00610E35" w:rsidRPr="001321CF" w:rsidRDefault="00610E35">
            <w:pPr>
              <w:pStyle w:val="08-Tabelageral"/>
              <w:cnfStyle w:val="100000000000" w:firstRow="1" w:lastRow="0" w:firstColumn="0" w:lastColumn="0" w:oddVBand="0" w:evenVBand="0" w:oddHBand="0" w:evenHBand="0" w:firstRowFirstColumn="0" w:firstRowLastColumn="0" w:lastRowFirstColumn="0" w:lastRowLastColumn="0"/>
              <w:rPr>
                <w:highlight w:val="yellow"/>
                <w:lang w:eastAsia="en-US"/>
              </w:rPr>
            </w:pPr>
            <w:r w:rsidRPr="00E87199">
              <w:rPr>
                <w:lang w:eastAsia="en-US"/>
              </w:rPr>
              <w:t>Exercício 2024</w:t>
            </w:r>
          </w:p>
        </w:tc>
        <w:tc>
          <w:tcPr>
            <w:tcW w:w="1505" w:type="dxa"/>
            <w:tcBorders>
              <w:top w:val="single" w:sz="2" w:space="0" w:color="1F3864" w:themeColor="accent1" w:themeShade="80"/>
              <w:bottom w:val="single" w:sz="2" w:space="0" w:color="1F3864" w:themeColor="accent1" w:themeShade="80"/>
            </w:tcBorders>
            <w:shd w:val="clear" w:color="auto" w:fill="auto"/>
            <w:vAlign w:val="center"/>
            <w:hideMark/>
          </w:tcPr>
          <w:p w14:paraId="6CD45A7A" w14:textId="77777777" w:rsidR="00610E35" w:rsidRPr="0049642A" w:rsidRDefault="00610E35">
            <w:pPr>
              <w:pStyle w:val="08-Tabelageral"/>
              <w:cnfStyle w:val="100000000000" w:firstRow="1" w:lastRow="0" w:firstColumn="0" w:lastColumn="0" w:oddVBand="0" w:evenVBand="0" w:oddHBand="0" w:evenHBand="0" w:firstRowFirstColumn="0" w:firstRowLastColumn="0" w:lastRowFirstColumn="0" w:lastRowLastColumn="0"/>
              <w:rPr>
                <w:lang w:eastAsia="en-US"/>
              </w:rPr>
            </w:pPr>
            <w:r w:rsidRPr="0049642A">
              <w:rPr>
                <w:lang w:eastAsia="en-US"/>
              </w:rPr>
              <w:t>Exercício 202</w:t>
            </w:r>
            <w:r>
              <w:rPr>
                <w:lang w:eastAsia="en-US"/>
              </w:rPr>
              <w:t>3</w:t>
            </w:r>
          </w:p>
        </w:tc>
      </w:tr>
      <w:tr w:rsidR="00610E35" w14:paraId="032F2304" w14:textId="77777777">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6630" w:type="dxa"/>
            <w:tcBorders>
              <w:top w:val="single" w:sz="2" w:space="0" w:color="1F3864" w:themeColor="accent1" w:themeShade="80"/>
              <w:left w:val="nil"/>
              <w:bottom w:val="nil"/>
              <w:right w:val="nil"/>
            </w:tcBorders>
            <w:shd w:val="clear" w:color="auto" w:fill="auto"/>
            <w:hideMark/>
          </w:tcPr>
          <w:p w14:paraId="74C02D72" w14:textId="77777777" w:rsidR="00610E35" w:rsidRPr="009A3086" w:rsidRDefault="00610E35">
            <w:pPr>
              <w:pStyle w:val="08-Tabelageral"/>
              <w:jc w:val="left"/>
              <w:rPr>
                <w:rFonts w:cs="Arial"/>
                <w:b w:val="0"/>
                <w:bCs w:val="0"/>
                <w:vertAlign w:val="superscript"/>
                <w:lang w:eastAsia="en-US"/>
              </w:rPr>
            </w:pPr>
            <w:r>
              <w:rPr>
                <w:rFonts w:cs="Arial"/>
                <w:b w:val="0"/>
                <w:bCs w:val="0"/>
                <w:lang w:eastAsia="en-US"/>
              </w:rPr>
              <w:t xml:space="preserve">(1) - Lucro líquido </w:t>
            </w:r>
            <w:r>
              <w:rPr>
                <w:rFonts w:cs="Arial"/>
                <w:b w:val="0"/>
                <w:bCs w:val="0"/>
                <w:vertAlign w:val="superscript"/>
                <w:lang w:eastAsia="en-US"/>
              </w:rPr>
              <w:t>(1)</w:t>
            </w:r>
          </w:p>
        </w:tc>
        <w:tc>
          <w:tcPr>
            <w:tcW w:w="1504" w:type="dxa"/>
            <w:tcBorders>
              <w:top w:val="single" w:sz="2" w:space="0" w:color="1F3864" w:themeColor="accent1" w:themeShade="80"/>
              <w:left w:val="nil"/>
              <w:bottom w:val="nil"/>
              <w:right w:val="nil"/>
            </w:tcBorders>
            <w:shd w:val="clear" w:color="auto" w:fill="auto"/>
            <w:vAlign w:val="center"/>
          </w:tcPr>
          <w:p w14:paraId="0B9C76C9" w14:textId="77777777" w:rsidR="00610E35" w:rsidRPr="008F2A20" w:rsidRDefault="00610E35">
            <w:pPr>
              <w:pStyle w:val="08-Tabelageral"/>
              <w:cnfStyle w:val="000000000000" w:firstRow="0" w:lastRow="0" w:firstColumn="0" w:lastColumn="0" w:oddVBand="0" w:evenVBand="0" w:oddHBand="0" w:evenHBand="0" w:firstRowFirstColumn="0" w:firstRowLastColumn="0" w:lastRowFirstColumn="0" w:lastRowLastColumn="0"/>
              <w:rPr>
                <w:rFonts w:cs="Arial"/>
                <w:bCs/>
                <w:szCs w:val="14"/>
              </w:rPr>
            </w:pPr>
            <w:r w:rsidRPr="008F2A20">
              <w:rPr>
                <w:rFonts w:cs="Arial"/>
                <w:color w:val="000000"/>
                <w:szCs w:val="14"/>
              </w:rPr>
              <w:t>8.703.353</w:t>
            </w:r>
          </w:p>
        </w:tc>
        <w:tc>
          <w:tcPr>
            <w:tcW w:w="1505" w:type="dxa"/>
            <w:tcBorders>
              <w:top w:val="single" w:sz="2" w:space="0" w:color="1F3864" w:themeColor="accent1" w:themeShade="80"/>
              <w:left w:val="nil"/>
              <w:bottom w:val="nil"/>
              <w:right w:val="nil"/>
            </w:tcBorders>
            <w:shd w:val="clear" w:color="auto" w:fill="auto"/>
            <w:vAlign w:val="center"/>
          </w:tcPr>
          <w:p w14:paraId="0C85C6FA" w14:textId="77777777" w:rsidR="00610E35" w:rsidRPr="0049642A" w:rsidRDefault="00610E35">
            <w:pPr>
              <w:pStyle w:val="08-Tabelageral"/>
              <w:cnfStyle w:val="000000000000" w:firstRow="0" w:lastRow="0" w:firstColumn="0" w:lastColumn="0" w:oddVBand="0" w:evenVBand="0" w:oddHBand="0" w:evenHBand="0" w:firstRowFirstColumn="0" w:firstRowLastColumn="0" w:lastRowFirstColumn="0" w:lastRowLastColumn="0"/>
              <w:rPr>
                <w:lang w:eastAsia="en-US"/>
              </w:rPr>
            </w:pPr>
            <w:r w:rsidRPr="00C81264">
              <w:rPr>
                <w:rFonts w:cs="Arial"/>
                <w:bCs/>
              </w:rPr>
              <w:t>7.947.203</w:t>
            </w:r>
          </w:p>
        </w:tc>
      </w:tr>
      <w:tr w:rsidR="00610E35" w14:paraId="33587ECF" w14:textId="77777777">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6630" w:type="dxa"/>
            <w:tcBorders>
              <w:top w:val="nil"/>
              <w:left w:val="nil"/>
              <w:bottom w:val="nil"/>
              <w:right w:val="nil"/>
            </w:tcBorders>
            <w:shd w:val="clear" w:color="auto" w:fill="auto"/>
            <w:hideMark/>
          </w:tcPr>
          <w:p w14:paraId="425EFACA" w14:textId="77777777" w:rsidR="00610E35" w:rsidRDefault="00610E35">
            <w:pPr>
              <w:pStyle w:val="08-Tabelageral"/>
              <w:jc w:val="left"/>
              <w:rPr>
                <w:rFonts w:cs="Arial"/>
                <w:b w:val="0"/>
                <w:lang w:eastAsia="en-US"/>
              </w:rPr>
            </w:pPr>
            <w:r>
              <w:rPr>
                <w:rFonts w:cs="Arial"/>
                <w:b w:val="0"/>
                <w:lang w:eastAsia="en-US"/>
              </w:rPr>
              <w:t>(2) - Reserva legal constituída</w:t>
            </w:r>
          </w:p>
        </w:tc>
        <w:tc>
          <w:tcPr>
            <w:tcW w:w="1504" w:type="dxa"/>
            <w:tcBorders>
              <w:top w:val="nil"/>
              <w:left w:val="nil"/>
              <w:bottom w:val="nil"/>
              <w:right w:val="nil"/>
            </w:tcBorders>
            <w:shd w:val="clear" w:color="auto" w:fill="auto"/>
            <w:vAlign w:val="center"/>
          </w:tcPr>
          <w:p w14:paraId="50C7E2EA" w14:textId="44115FBD" w:rsidR="00610E35" w:rsidRPr="008F2A20" w:rsidRDefault="00E75436">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lang w:eastAsia="en-US"/>
              </w:rPr>
            </w:pPr>
            <w:r>
              <w:rPr>
                <w:rFonts w:cs="Arial"/>
                <w:color w:val="000000"/>
                <w:szCs w:val="14"/>
              </w:rPr>
              <w:t>(</w:t>
            </w:r>
            <w:r w:rsidR="00610E35" w:rsidRPr="008F2A20">
              <w:rPr>
                <w:rFonts w:cs="Arial"/>
                <w:color w:val="000000"/>
                <w:szCs w:val="14"/>
              </w:rPr>
              <w:t>435.168</w:t>
            </w:r>
            <w:r>
              <w:rPr>
                <w:rFonts w:cs="Arial"/>
                <w:color w:val="000000"/>
                <w:szCs w:val="14"/>
              </w:rPr>
              <w:t>)</w:t>
            </w:r>
          </w:p>
        </w:tc>
        <w:tc>
          <w:tcPr>
            <w:tcW w:w="1505" w:type="dxa"/>
            <w:tcBorders>
              <w:top w:val="nil"/>
              <w:left w:val="nil"/>
              <w:bottom w:val="nil"/>
              <w:right w:val="nil"/>
            </w:tcBorders>
            <w:shd w:val="clear" w:color="auto" w:fill="auto"/>
            <w:vAlign w:val="center"/>
          </w:tcPr>
          <w:p w14:paraId="1F58F916" w14:textId="77777777" w:rsidR="00610E35" w:rsidRPr="0049642A" w:rsidRDefault="00610E35">
            <w:pPr>
              <w:pStyle w:val="08-Tabelageral"/>
              <w:cnfStyle w:val="000000010000" w:firstRow="0" w:lastRow="0" w:firstColumn="0" w:lastColumn="0" w:oddVBand="0" w:evenVBand="0" w:oddHBand="0" w:evenHBand="1" w:firstRowFirstColumn="0" w:firstRowLastColumn="0" w:lastRowFirstColumn="0" w:lastRowLastColumn="0"/>
              <w:rPr>
                <w:lang w:eastAsia="en-US"/>
              </w:rPr>
            </w:pPr>
            <w:r>
              <w:rPr>
                <w:rFonts w:cs="Arial"/>
                <w:szCs w:val="14"/>
                <w:lang w:eastAsia="en-US"/>
              </w:rPr>
              <w:t>(</w:t>
            </w:r>
            <w:r w:rsidRPr="00C81264">
              <w:rPr>
                <w:rFonts w:cs="Arial"/>
                <w:szCs w:val="14"/>
                <w:lang w:eastAsia="en-US"/>
              </w:rPr>
              <w:t>397.360</w:t>
            </w:r>
            <w:r>
              <w:rPr>
                <w:rFonts w:cs="Arial"/>
                <w:szCs w:val="14"/>
                <w:lang w:eastAsia="en-US"/>
              </w:rPr>
              <w:t>)</w:t>
            </w:r>
          </w:p>
        </w:tc>
      </w:tr>
      <w:tr w:rsidR="00610E35" w14:paraId="401BC597" w14:textId="77777777">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6630" w:type="dxa"/>
            <w:tcBorders>
              <w:top w:val="nil"/>
              <w:left w:val="nil"/>
              <w:bottom w:val="nil"/>
              <w:right w:val="nil"/>
            </w:tcBorders>
            <w:shd w:val="clear" w:color="auto" w:fill="auto"/>
            <w:hideMark/>
          </w:tcPr>
          <w:p w14:paraId="65059F6B" w14:textId="77777777" w:rsidR="00610E35" w:rsidRDefault="00610E35">
            <w:pPr>
              <w:pStyle w:val="08-Tabelageral"/>
              <w:jc w:val="left"/>
              <w:rPr>
                <w:rFonts w:cs="Arial"/>
                <w:lang w:eastAsia="en-US"/>
              </w:rPr>
            </w:pPr>
            <w:r>
              <w:rPr>
                <w:rFonts w:cs="Arial"/>
                <w:lang w:eastAsia="en-US"/>
              </w:rPr>
              <w:t>(=) Base de cálculo (1 - 2)</w:t>
            </w:r>
          </w:p>
        </w:tc>
        <w:tc>
          <w:tcPr>
            <w:tcW w:w="1504" w:type="dxa"/>
            <w:tcBorders>
              <w:top w:val="nil"/>
              <w:left w:val="nil"/>
              <w:bottom w:val="nil"/>
              <w:right w:val="nil"/>
            </w:tcBorders>
            <w:shd w:val="clear" w:color="auto" w:fill="auto"/>
            <w:vAlign w:val="center"/>
          </w:tcPr>
          <w:p w14:paraId="23C1AC02" w14:textId="77777777" w:rsidR="00610E35" w:rsidRPr="008F2A20" w:rsidRDefault="00610E35">
            <w:pPr>
              <w:pStyle w:val="08-Tabelageral"/>
              <w:ind w:left="113"/>
              <w:cnfStyle w:val="000000000000" w:firstRow="0" w:lastRow="0" w:firstColumn="0" w:lastColumn="0" w:oddVBand="0" w:evenVBand="0" w:oddHBand="0" w:evenHBand="0" w:firstRowFirstColumn="0" w:firstRowLastColumn="0" w:lastRowFirstColumn="0" w:lastRowLastColumn="0"/>
              <w:rPr>
                <w:rFonts w:cs="Arial"/>
                <w:b/>
                <w:szCs w:val="14"/>
                <w:lang w:eastAsia="en-US"/>
              </w:rPr>
            </w:pPr>
            <w:r w:rsidRPr="008F2A20">
              <w:rPr>
                <w:rFonts w:cs="Arial"/>
                <w:b/>
                <w:bCs/>
                <w:color w:val="000000"/>
                <w:szCs w:val="14"/>
              </w:rPr>
              <w:t>8.268.185</w:t>
            </w:r>
          </w:p>
        </w:tc>
        <w:tc>
          <w:tcPr>
            <w:tcW w:w="1505" w:type="dxa"/>
            <w:tcBorders>
              <w:top w:val="nil"/>
              <w:left w:val="nil"/>
              <w:bottom w:val="nil"/>
              <w:right w:val="nil"/>
            </w:tcBorders>
            <w:shd w:val="clear" w:color="auto" w:fill="auto"/>
            <w:vAlign w:val="center"/>
          </w:tcPr>
          <w:p w14:paraId="57F07DED" w14:textId="77777777" w:rsidR="00610E35" w:rsidRPr="0049642A" w:rsidRDefault="00610E35">
            <w:pPr>
              <w:pStyle w:val="08-Tabelageral"/>
              <w:cnfStyle w:val="000000000000" w:firstRow="0" w:lastRow="0" w:firstColumn="0" w:lastColumn="0" w:oddVBand="0" w:evenVBand="0" w:oddHBand="0" w:evenHBand="0" w:firstRowFirstColumn="0" w:firstRowLastColumn="0" w:lastRowFirstColumn="0" w:lastRowLastColumn="0"/>
              <w:rPr>
                <w:b/>
                <w:lang w:eastAsia="en-US"/>
              </w:rPr>
            </w:pPr>
            <w:r w:rsidRPr="00C81264">
              <w:rPr>
                <w:rFonts w:cs="Arial"/>
                <w:b/>
                <w:szCs w:val="14"/>
                <w:lang w:eastAsia="en-US"/>
              </w:rPr>
              <w:t>7.549.843</w:t>
            </w:r>
          </w:p>
        </w:tc>
      </w:tr>
      <w:tr w:rsidR="00610E35" w:rsidRPr="00992B73" w14:paraId="02BD23FF" w14:textId="77777777">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6630" w:type="dxa"/>
            <w:tcBorders>
              <w:top w:val="nil"/>
              <w:left w:val="nil"/>
              <w:bottom w:val="nil"/>
              <w:right w:val="nil"/>
            </w:tcBorders>
            <w:shd w:val="clear" w:color="auto" w:fill="auto"/>
            <w:hideMark/>
          </w:tcPr>
          <w:p w14:paraId="0477F931" w14:textId="77777777" w:rsidR="00610E35" w:rsidRPr="00992B73" w:rsidRDefault="00610E35">
            <w:pPr>
              <w:pStyle w:val="08-Tabelageral"/>
              <w:jc w:val="left"/>
              <w:rPr>
                <w:rFonts w:cs="Arial"/>
                <w:b w:val="0"/>
                <w:lang w:eastAsia="en-US"/>
              </w:rPr>
            </w:pPr>
            <w:r w:rsidRPr="00992B73">
              <w:rPr>
                <w:rFonts w:cs="Arial"/>
                <w:b w:val="0"/>
                <w:lang w:eastAsia="en-US"/>
              </w:rPr>
              <w:t>(3) - Dividendos mínimos obrigatórios</w:t>
            </w:r>
          </w:p>
        </w:tc>
        <w:tc>
          <w:tcPr>
            <w:tcW w:w="1504" w:type="dxa"/>
            <w:tcBorders>
              <w:top w:val="nil"/>
              <w:left w:val="nil"/>
              <w:bottom w:val="nil"/>
              <w:right w:val="nil"/>
            </w:tcBorders>
            <w:shd w:val="clear" w:color="auto" w:fill="auto"/>
            <w:vAlign w:val="center"/>
          </w:tcPr>
          <w:p w14:paraId="099F7D48" w14:textId="77777777" w:rsidR="00610E35" w:rsidRPr="008F2A20" w:rsidRDefault="00610E35">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lang w:eastAsia="en-US"/>
              </w:rPr>
            </w:pPr>
            <w:r w:rsidRPr="008F2A20">
              <w:rPr>
                <w:rFonts w:cs="Arial"/>
                <w:color w:val="000000"/>
                <w:szCs w:val="14"/>
              </w:rPr>
              <w:t xml:space="preserve"> 2.067.046 </w:t>
            </w:r>
          </w:p>
        </w:tc>
        <w:tc>
          <w:tcPr>
            <w:tcW w:w="1505" w:type="dxa"/>
            <w:tcBorders>
              <w:top w:val="nil"/>
              <w:left w:val="nil"/>
              <w:bottom w:val="nil"/>
              <w:right w:val="nil"/>
            </w:tcBorders>
            <w:shd w:val="clear" w:color="auto" w:fill="auto"/>
            <w:vAlign w:val="center"/>
          </w:tcPr>
          <w:p w14:paraId="4695FAA3" w14:textId="77777777" w:rsidR="00610E35" w:rsidRPr="0049642A" w:rsidRDefault="00610E35">
            <w:pPr>
              <w:pStyle w:val="08-Tabelageral"/>
              <w:cnfStyle w:val="000000010000" w:firstRow="0" w:lastRow="0" w:firstColumn="0" w:lastColumn="0" w:oddVBand="0" w:evenVBand="0" w:oddHBand="0" w:evenHBand="1" w:firstRowFirstColumn="0" w:firstRowLastColumn="0" w:lastRowFirstColumn="0" w:lastRowLastColumn="0"/>
              <w:rPr>
                <w:lang w:eastAsia="en-US"/>
              </w:rPr>
            </w:pPr>
            <w:r w:rsidRPr="00C81264">
              <w:rPr>
                <w:rFonts w:cs="Arial"/>
                <w:szCs w:val="14"/>
                <w:lang w:eastAsia="en-US"/>
              </w:rPr>
              <w:t>1.887.461</w:t>
            </w:r>
          </w:p>
        </w:tc>
      </w:tr>
      <w:tr w:rsidR="00610E35" w:rsidRPr="00992B73" w14:paraId="35B7B160" w14:textId="77777777">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6630" w:type="dxa"/>
            <w:tcBorders>
              <w:top w:val="nil"/>
              <w:left w:val="nil"/>
              <w:bottom w:val="nil"/>
              <w:right w:val="nil"/>
            </w:tcBorders>
            <w:shd w:val="clear" w:color="auto" w:fill="auto"/>
            <w:hideMark/>
          </w:tcPr>
          <w:p w14:paraId="2D1AACE1" w14:textId="77777777" w:rsidR="00610E35" w:rsidRPr="00992B73" w:rsidRDefault="00610E35">
            <w:pPr>
              <w:pStyle w:val="08-Tabelageral"/>
              <w:jc w:val="left"/>
              <w:rPr>
                <w:rFonts w:cs="Arial"/>
                <w:b w:val="0"/>
                <w:lang w:eastAsia="en-US"/>
              </w:rPr>
            </w:pPr>
            <w:r w:rsidRPr="00992B73">
              <w:rPr>
                <w:rFonts w:cs="Arial"/>
                <w:b w:val="0"/>
                <w:lang w:eastAsia="en-US"/>
              </w:rPr>
              <w:t>(4) - Dividendos adicionais</w:t>
            </w:r>
          </w:p>
        </w:tc>
        <w:tc>
          <w:tcPr>
            <w:tcW w:w="1504" w:type="dxa"/>
            <w:tcBorders>
              <w:top w:val="nil"/>
              <w:left w:val="nil"/>
              <w:bottom w:val="nil"/>
              <w:right w:val="nil"/>
            </w:tcBorders>
            <w:shd w:val="clear" w:color="auto" w:fill="auto"/>
            <w:vAlign w:val="center"/>
          </w:tcPr>
          <w:p w14:paraId="7366F2E7" w14:textId="77777777" w:rsidR="00610E35" w:rsidRPr="008F2A20" w:rsidRDefault="00610E35">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lang w:eastAsia="en-US"/>
              </w:rPr>
            </w:pPr>
            <w:r w:rsidRPr="008F2A20">
              <w:rPr>
                <w:rFonts w:cs="Arial"/>
                <w:color w:val="000000"/>
                <w:szCs w:val="14"/>
              </w:rPr>
              <w:t xml:space="preserve"> 5.043.954 </w:t>
            </w:r>
          </w:p>
        </w:tc>
        <w:tc>
          <w:tcPr>
            <w:tcW w:w="1505" w:type="dxa"/>
            <w:tcBorders>
              <w:top w:val="nil"/>
              <w:left w:val="nil"/>
              <w:bottom w:val="nil"/>
              <w:right w:val="nil"/>
            </w:tcBorders>
            <w:shd w:val="clear" w:color="auto" w:fill="auto"/>
            <w:vAlign w:val="center"/>
          </w:tcPr>
          <w:p w14:paraId="4F817D7B" w14:textId="77777777" w:rsidR="00610E35" w:rsidRPr="0049642A" w:rsidRDefault="00610E35">
            <w:pPr>
              <w:pStyle w:val="08-Tabelageral"/>
              <w:cnfStyle w:val="000000000000" w:firstRow="0" w:lastRow="0" w:firstColumn="0" w:lastColumn="0" w:oddVBand="0" w:evenVBand="0" w:oddHBand="0" w:evenHBand="0" w:firstRowFirstColumn="0" w:firstRowLastColumn="0" w:lastRowFirstColumn="0" w:lastRowLastColumn="0"/>
              <w:rPr>
                <w:lang w:eastAsia="en-US"/>
              </w:rPr>
            </w:pPr>
            <w:r w:rsidRPr="00C81264">
              <w:rPr>
                <w:rFonts w:cs="Arial"/>
                <w:szCs w:val="14"/>
                <w:lang w:eastAsia="en-US"/>
              </w:rPr>
              <w:t>3.777.539</w:t>
            </w:r>
          </w:p>
        </w:tc>
      </w:tr>
      <w:tr w:rsidR="00610E35" w:rsidRPr="00992B73" w14:paraId="5A37785B" w14:textId="77777777">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6630" w:type="dxa"/>
            <w:tcBorders>
              <w:top w:val="nil"/>
              <w:left w:val="nil"/>
              <w:bottom w:val="nil"/>
              <w:right w:val="nil"/>
            </w:tcBorders>
            <w:shd w:val="clear" w:color="auto" w:fill="auto"/>
            <w:hideMark/>
          </w:tcPr>
          <w:p w14:paraId="631C739C" w14:textId="77777777" w:rsidR="00610E35" w:rsidRPr="00992B73" w:rsidRDefault="00610E35">
            <w:pPr>
              <w:pStyle w:val="08-Tabelageral"/>
              <w:jc w:val="left"/>
              <w:rPr>
                <w:rFonts w:cs="Arial"/>
                <w:lang w:eastAsia="en-US"/>
              </w:rPr>
            </w:pPr>
            <w:r w:rsidRPr="00992B73">
              <w:rPr>
                <w:rFonts w:cs="Arial"/>
                <w:b w:val="0"/>
                <w:lang w:eastAsia="en-US"/>
              </w:rPr>
              <w:t>(5) - Reserva Estatutária</w:t>
            </w:r>
          </w:p>
        </w:tc>
        <w:tc>
          <w:tcPr>
            <w:tcW w:w="1504" w:type="dxa"/>
            <w:tcBorders>
              <w:top w:val="nil"/>
              <w:left w:val="nil"/>
              <w:bottom w:val="nil"/>
              <w:right w:val="nil"/>
            </w:tcBorders>
            <w:shd w:val="clear" w:color="auto" w:fill="auto"/>
            <w:vAlign w:val="center"/>
          </w:tcPr>
          <w:p w14:paraId="558C094D" w14:textId="77777777" w:rsidR="00610E35" w:rsidRPr="008F2A20" w:rsidRDefault="00610E35">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lang w:eastAsia="en-US"/>
              </w:rPr>
            </w:pPr>
            <w:r w:rsidRPr="008F2A20">
              <w:rPr>
                <w:rFonts w:cs="Arial"/>
                <w:color w:val="000000"/>
                <w:szCs w:val="14"/>
              </w:rPr>
              <w:t>1.157.185</w:t>
            </w:r>
          </w:p>
        </w:tc>
        <w:tc>
          <w:tcPr>
            <w:tcW w:w="1505" w:type="dxa"/>
            <w:tcBorders>
              <w:top w:val="nil"/>
              <w:left w:val="nil"/>
              <w:bottom w:val="nil"/>
              <w:right w:val="nil"/>
            </w:tcBorders>
            <w:shd w:val="clear" w:color="auto" w:fill="auto"/>
            <w:vAlign w:val="center"/>
          </w:tcPr>
          <w:p w14:paraId="784DC2CF" w14:textId="77777777" w:rsidR="00610E35" w:rsidRPr="0049642A" w:rsidRDefault="00610E35">
            <w:pPr>
              <w:pStyle w:val="08-Tabelageral"/>
              <w:cnfStyle w:val="000000010000" w:firstRow="0" w:lastRow="0" w:firstColumn="0" w:lastColumn="0" w:oddVBand="0" w:evenVBand="0" w:oddHBand="0" w:evenHBand="1" w:firstRowFirstColumn="0" w:firstRowLastColumn="0" w:lastRowFirstColumn="0" w:lastRowLastColumn="0"/>
              <w:rPr>
                <w:lang w:eastAsia="en-US"/>
              </w:rPr>
            </w:pPr>
            <w:r w:rsidRPr="00C81264">
              <w:rPr>
                <w:rFonts w:cs="Arial"/>
                <w:szCs w:val="14"/>
                <w:lang w:eastAsia="en-US"/>
              </w:rPr>
              <w:t>1.884.843</w:t>
            </w:r>
          </w:p>
        </w:tc>
      </w:tr>
      <w:tr w:rsidR="00610E35" w:rsidRPr="00992B73" w14:paraId="7882FE4D" w14:textId="77777777">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6630" w:type="dxa"/>
            <w:tcBorders>
              <w:top w:val="nil"/>
              <w:left w:val="nil"/>
              <w:bottom w:val="nil"/>
              <w:right w:val="nil"/>
            </w:tcBorders>
            <w:shd w:val="clear" w:color="auto" w:fill="auto"/>
            <w:hideMark/>
          </w:tcPr>
          <w:p w14:paraId="1D113053" w14:textId="77777777" w:rsidR="00610E35" w:rsidRPr="00992B73" w:rsidRDefault="00610E35">
            <w:pPr>
              <w:pStyle w:val="08-Tabelageral"/>
              <w:jc w:val="left"/>
              <w:rPr>
                <w:rFonts w:cs="Arial"/>
                <w:lang w:eastAsia="en-US"/>
              </w:rPr>
            </w:pPr>
            <w:r w:rsidRPr="00992B73">
              <w:rPr>
                <w:rFonts w:cs="Arial"/>
                <w:b w:val="0"/>
                <w:lang w:eastAsia="en-US"/>
              </w:rPr>
              <w:t xml:space="preserve">(=) </w:t>
            </w:r>
            <w:r w:rsidRPr="00992B73">
              <w:rPr>
                <w:rFonts w:cs="Arial"/>
                <w:lang w:eastAsia="en-US"/>
              </w:rPr>
              <w:t>Saldo do lucro líquido ajustado, após as destinações (1-2-3-4-5)</w:t>
            </w:r>
          </w:p>
        </w:tc>
        <w:tc>
          <w:tcPr>
            <w:tcW w:w="1504" w:type="dxa"/>
            <w:tcBorders>
              <w:top w:val="nil"/>
              <w:left w:val="nil"/>
              <w:bottom w:val="nil"/>
              <w:right w:val="nil"/>
            </w:tcBorders>
            <w:shd w:val="clear" w:color="auto" w:fill="auto"/>
            <w:vAlign w:val="center"/>
          </w:tcPr>
          <w:p w14:paraId="37779DE5" w14:textId="77777777" w:rsidR="00610E35" w:rsidRPr="008F2A20" w:rsidRDefault="00610E35">
            <w:pPr>
              <w:pStyle w:val="08-Tabelageral"/>
              <w:ind w:left="113"/>
              <w:cnfStyle w:val="000000000000" w:firstRow="0" w:lastRow="0" w:firstColumn="0" w:lastColumn="0" w:oddVBand="0" w:evenVBand="0" w:oddHBand="0" w:evenHBand="0" w:firstRowFirstColumn="0" w:firstRowLastColumn="0" w:lastRowFirstColumn="0" w:lastRowLastColumn="0"/>
              <w:rPr>
                <w:rFonts w:cs="Arial"/>
                <w:b/>
                <w:szCs w:val="14"/>
                <w:lang w:eastAsia="en-US"/>
              </w:rPr>
            </w:pPr>
            <w:r w:rsidRPr="008F2A20">
              <w:rPr>
                <w:rFonts w:cs="Arial"/>
                <w:b/>
                <w:bCs/>
                <w:color w:val="000000"/>
                <w:szCs w:val="14"/>
              </w:rPr>
              <w:t xml:space="preserve">           </w:t>
            </w:r>
            <w:r>
              <w:rPr>
                <w:rFonts w:cs="Arial"/>
                <w:b/>
                <w:bCs/>
                <w:color w:val="000000"/>
                <w:szCs w:val="14"/>
              </w:rPr>
              <w:t>-</w:t>
            </w:r>
            <w:r w:rsidRPr="008F2A20">
              <w:rPr>
                <w:rFonts w:cs="Arial"/>
                <w:b/>
                <w:bCs/>
                <w:color w:val="000000"/>
                <w:szCs w:val="14"/>
              </w:rPr>
              <w:t xml:space="preserve">-   </w:t>
            </w:r>
          </w:p>
        </w:tc>
        <w:tc>
          <w:tcPr>
            <w:tcW w:w="1505" w:type="dxa"/>
            <w:tcBorders>
              <w:top w:val="nil"/>
              <w:left w:val="nil"/>
              <w:bottom w:val="nil"/>
              <w:right w:val="nil"/>
            </w:tcBorders>
            <w:shd w:val="clear" w:color="auto" w:fill="auto"/>
            <w:vAlign w:val="center"/>
          </w:tcPr>
          <w:p w14:paraId="02F12772" w14:textId="77777777" w:rsidR="00610E35" w:rsidRPr="0049642A" w:rsidRDefault="00610E35">
            <w:pPr>
              <w:pStyle w:val="08-Tabelageral"/>
              <w:cnfStyle w:val="000000000000" w:firstRow="0" w:lastRow="0" w:firstColumn="0" w:lastColumn="0" w:oddVBand="0" w:evenVBand="0" w:oddHBand="0" w:evenHBand="0" w:firstRowFirstColumn="0" w:firstRowLastColumn="0" w:lastRowFirstColumn="0" w:lastRowLastColumn="0"/>
              <w:rPr>
                <w:b/>
                <w:lang w:eastAsia="en-US"/>
              </w:rPr>
            </w:pPr>
            <w:r>
              <w:rPr>
                <w:rFonts w:cs="Arial"/>
                <w:b/>
                <w:szCs w:val="14"/>
                <w:lang w:eastAsia="en-US"/>
              </w:rPr>
              <w:t>--</w:t>
            </w:r>
          </w:p>
        </w:tc>
      </w:tr>
      <w:tr w:rsidR="00610E35" w:rsidRPr="00992B73" w14:paraId="59A414B6" w14:textId="77777777">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6630" w:type="dxa"/>
            <w:tcBorders>
              <w:top w:val="nil"/>
              <w:left w:val="nil"/>
              <w:bottom w:val="nil"/>
              <w:right w:val="nil"/>
            </w:tcBorders>
            <w:shd w:val="clear" w:color="auto" w:fill="auto"/>
          </w:tcPr>
          <w:p w14:paraId="5462D186" w14:textId="77777777" w:rsidR="00610E35" w:rsidRPr="00992B73" w:rsidRDefault="00610E35">
            <w:pPr>
              <w:pStyle w:val="08-Tabelageral"/>
              <w:jc w:val="left"/>
              <w:rPr>
                <w:rFonts w:cs="Arial"/>
                <w:lang w:eastAsia="en-US"/>
              </w:rPr>
            </w:pPr>
          </w:p>
        </w:tc>
        <w:tc>
          <w:tcPr>
            <w:tcW w:w="1504" w:type="dxa"/>
            <w:tcBorders>
              <w:top w:val="nil"/>
              <w:left w:val="nil"/>
              <w:bottom w:val="nil"/>
              <w:right w:val="nil"/>
            </w:tcBorders>
            <w:shd w:val="clear" w:color="auto" w:fill="auto"/>
            <w:vAlign w:val="center"/>
          </w:tcPr>
          <w:p w14:paraId="6E0CF4B1" w14:textId="77777777" w:rsidR="00610E35" w:rsidRPr="008F2A20" w:rsidRDefault="00610E35">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lang w:eastAsia="en-US"/>
              </w:rPr>
            </w:pPr>
          </w:p>
        </w:tc>
        <w:tc>
          <w:tcPr>
            <w:tcW w:w="1505" w:type="dxa"/>
            <w:tcBorders>
              <w:top w:val="nil"/>
              <w:left w:val="nil"/>
              <w:bottom w:val="nil"/>
              <w:right w:val="nil"/>
            </w:tcBorders>
            <w:shd w:val="clear" w:color="auto" w:fill="auto"/>
            <w:vAlign w:val="center"/>
          </w:tcPr>
          <w:p w14:paraId="0214238A" w14:textId="77777777" w:rsidR="00610E35" w:rsidRPr="0049642A" w:rsidRDefault="00610E35">
            <w:pPr>
              <w:pStyle w:val="08-Tabelageral"/>
              <w:cnfStyle w:val="000000010000" w:firstRow="0" w:lastRow="0" w:firstColumn="0" w:lastColumn="0" w:oddVBand="0" w:evenVBand="0" w:oddHBand="0" w:evenHBand="1" w:firstRowFirstColumn="0" w:firstRowLastColumn="0" w:lastRowFirstColumn="0" w:lastRowLastColumn="0"/>
              <w:rPr>
                <w:b/>
                <w:lang w:eastAsia="en-US"/>
              </w:rPr>
            </w:pPr>
          </w:p>
        </w:tc>
      </w:tr>
      <w:tr w:rsidR="00610E35" w:rsidRPr="00992B73" w14:paraId="3C78674E" w14:textId="77777777">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6630" w:type="dxa"/>
            <w:tcBorders>
              <w:top w:val="nil"/>
              <w:left w:val="nil"/>
              <w:bottom w:val="nil"/>
              <w:right w:val="nil"/>
            </w:tcBorders>
            <w:shd w:val="clear" w:color="auto" w:fill="auto"/>
            <w:hideMark/>
          </w:tcPr>
          <w:p w14:paraId="06BB7113" w14:textId="77777777" w:rsidR="00610E35" w:rsidRPr="00992B73" w:rsidRDefault="00610E35">
            <w:pPr>
              <w:pStyle w:val="08-Tabelageral"/>
              <w:jc w:val="left"/>
              <w:rPr>
                <w:rFonts w:cs="Arial"/>
                <w:b w:val="0"/>
                <w:bCs w:val="0"/>
                <w:lang w:eastAsia="en-US"/>
              </w:rPr>
            </w:pPr>
            <w:r w:rsidRPr="00992B73">
              <w:rPr>
                <w:rFonts w:cs="Arial"/>
                <w:b w:val="0"/>
                <w:bCs w:val="0"/>
                <w:lang w:eastAsia="en-US"/>
              </w:rPr>
              <w:t>(6) - Dividendos propostos (3+4)</w:t>
            </w:r>
          </w:p>
        </w:tc>
        <w:tc>
          <w:tcPr>
            <w:tcW w:w="1504" w:type="dxa"/>
            <w:tcBorders>
              <w:top w:val="nil"/>
              <w:left w:val="nil"/>
              <w:bottom w:val="nil"/>
              <w:right w:val="nil"/>
            </w:tcBorders>
            <w:shd w:val="clear" w:color="auto" w:fill="auto"/>
            <w:vAlign w:val="center"/>
          </w:tcPr>
          <w:p w14:paraId="5FEDA00C" w14:textId="77777777" w:rsidR="00610E35" w:rsidRPr="008F2A20" w:rsidRDefault="00610E35">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lang w:eastAsia="en-US"/>
              </w:rPr>
            </w:pPr>
            <w:r w:rsidRPr="008F2A20">
              <w:rPr>
                <w:rFonts w:cs="Arial"/>
                <w:color w:val="000000"/>
                <w:szCs w:val="14"/>
              </w:rPr>
              <w:t xml:space="preserve"> 7.111.000 </w:t>
            </w:r>
          </w:p>
        </w:tc>
        <w:tc>
          <w:tcPr>
            <w:tcW w:w="1505" w:type="dxa"/>
            <w:tcBorders>
              <w:top w:val="nil"/>
              <w:left w:val="nil"/>
              <w:bottom w:val="nil"/>
              <w:right w:val="nil"/>
            </w:tcBorders>
            <w:shd w:val="clear" w:color="auto" w:fill="auto"/>
            <w:vAlign w:val="center"/>
          </w:tcPr>
          <w:p w14:paraId="3A21C467" w14:textId="77777777" w:rsidR="00610E35" w:rsidRPr="0049642A" w:rsidRDefault="00610E35">
            <w:pPr>
              <w:pStyle w:val="08-Tabelageral"/>
              <w:cnfStyle w:val="000000000000" w:firstRow="0" w:lastRow="0" w:firstColumn="0" w:lastColumn="0" w:oddVBand="0" w:evenVBand="0" w:oddHBand="0" w:evenHBand="0" w:firstRowFirstColumn="0" w:firstRowLastColumn="0" w:lastRowFirstColumn="0" w:lastRowLastColumn="0"/>
              <w:rPr>
                <w:lang w:eastAsia="en-US"/>
              </w:rPr>
            </w:pPr>
            <w:r w:rsidRPr="00C81264">
              <w:rPr>
                <w:rFonts w:cs="Arial"/>
                <w:szCs w:val="14"/>
                <w:lang w:eastAsia="en-US"/>
              </w:rPr>
              <w:t>5.665.000</w:t>
            </w:r>
          </w:p>
        </w:tc>
      </w:tr>
      <w:tr w:rsidR="00610E35" w:rsidRPr="00992B73" w14:paraId="5C41A077" w14:textId="77777777">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6630" w:type="dxa"/>
            <w:tcBorders>
              <w:top w:val="nil"/>
              <w:left w:val="nil"/>
              <w:bottom w:val="nil"/>
              <w:right w:val="nil"/>
            </w:tcBorders>
            <w:shd w:val="clear" w:color="auto" w:fill="auto"/>
            <w:hideMark/>
          </w:tcPr>
          <w:p w14:paraId="721FE48A" w14:textId="77777777" w:rsidR="00610E35" w:rsidRPr="00992B73" w:rsidRDefault="00610E35">
            <w:pPr>
              <w:pStyle w:val="08-Tabelageral"/>
              <w:jc w:val="left"/>
              <w:rPr>
                <w:rFonts w:cs="Arial"/>
                <w:lang w:eastAsia="en-US"/>
              </w:rPr>
            </w:pPr>
            <w:r w:rsidRPr="00992B73">
              <w:rPr>
                <w:rFonts w:cs="Arial"/>
                <w:b w:val="0"/>
                <w:lang w:eastAsia="en-US"/>
              </w:rPr>
              <w:t>(7) - Dividendos prescritos</w:t>
            </w:r>
          </w:p>
        </w:tc>
        <w:tc>
          <w:tcPr>
            <w:tcW w:w="1504" w:type="dxa"/>
            <w:tcBorders>
              <w:top w:val="nil"/>
              <w:left w:val="nil"/>
              <w:bottom w:val="nil"/>
              <w:right w:val="nil"/>
            </w:tcBorders>
            <w:shd w:val="clear" w:color="auto" w:fill="auto"/>
            <w:vAlign w:val="center"/>
          </w:tcPr>
          <w:p w14:paraId="4C8F6DBB" w14:textId="77777777" w:rsidR="00610E35" w:rsidRPr="008F2A20" w:rsidRDefault="00610E35">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lang w:eastAsia="en-US"/>
              </w:rPr>
            </w:pPr>
            <w:r w:rsidRPr="008F2A20">
              <w:rPr>
                <w:rFonts w:cs="Arial"/>
                <w:color w:val="000000"/>
                <w:szCs w:val="14"/>
              </w:rPr>
              <w:t>26</w:t>
            </w:r>
          </w:p>
        </w:tc>
        <w:tc>
          <w:tcPr>
            <w:tcW w:w="1505" w:type="dxa"/>
            <w:tcBorders>
              <w:top w:val="nil"/>
              <w:left w:val="nil"/>
              <w:bottom w:val="nil"/>
              <w:right w:val="nil"/>
            </w:tcBorders>
            <w:shd w:val="clear" w:color="auto" w:fill="auto"/>
            <w:vAlign w:val="center"/>
          </w:tcPr>
          <w:p w14:paraId="3571727B" w14:textId="77777777" w:rsidR="00610E35" w:rsidRPr="0049642A" w:rsidRDefault="00610E35">
            <w:pPr>
              <w:pStyle w:val="08-Tabelageral"/>
              <w:cnfStyle w:val="000000010000" w:firstRow="0" w:lastRow="0" w:firstColumn="0" w:lastColumn="0" w:oddVBand="0" w:evenVBand="0" w:oddHBand="0" w:evenHBand="1" w:firstRowFirstColumn="0" w:firstRowLastColumn="0" w:lastRowFirstColumn="0" w:lastRowLastColumn="0"/>
              <w:rPr>
                <w:lang w:eastAsia="en-US"/>
              </w:rPr>
            </w:pPr>
            <w:r>
              <w:rPr>
                <w:rFonts w:cs="Arial"/>
                <w:szCs w:val="14"/>
                <w:lang w:eastAsia="en-US"/>
              </w:rPr>
              <w:t>72</w:t>
            </w:r>
          </w:p>
        </w:tc>
      </w:tr>
      <w:tr w:rsidR="00610E35" w:rsidRPr="00992B73" w14:paraId="4720382B" w14:textId="77777777">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6630" w:type="dxa"/>
            <w:tcBorders>
              <w:top w:val="nil"/>
              <w:left w:val="nil"/>
              <w:bottom w:val="nil"/>
              <w:right w:val="nil"/>
            </w:tcBorders>
            <w:shd w:val="clear" w:color="auto" w:fill="auto"/>
            <w:hideMark/>
          </w:tcPr>
          <w:p w14:paraId="5CB5CF85" w14:textId="77777777" w:rsidR="00610E35" w:rsidRPr="00992B73" w:rsidRDefault="00610E35">
            <w:pPr>
              <w:pStyle w:val="08-Tabelageral"/>
              <w:jc w:val="left"/>
              <w:rPr>
                <w:rFonts w:cs="Arial"/>
                <w:lang w:eastAsia="en-US"/>
              </w:rPr>
            </w:pPr>
            <w:r w:rsidRPr="00992B73">
              <w:rPr>
                <w:rFonts w:cs="Arial"/>
                <w:b w:val="0"/>
                <w:lang w:eastAsia="en-US"/>
              </w:rPr>
              <w:t>(8) - Dividendos pagos</w:t>
            </w:r>
          </w:p>
        </w:tc>
        <w:tc>
          <w:tcPr>
            <w:tcW w:w="1504" w:type="dxa"/>
            <w:tcBorders>
              <w:top w:val="nil"/>
              <w:left w:val="nil"/>
              <w:bottom w:val="nil"/>
              <w:right w:val="nil"/>
            </w:tcBorders>
            <w:shd w:val="clear" w:color="auto" w:fill="auto"/>
            <w:vAlign w:val="center"/>
          </w:tcPr>
          <w:p w14:paraId="45E6F66F" w14:textId="77777777" w:rsidR="00610E35" w:rsidRPr="008F2A20" w:rsidRDefault="00610E35">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lang w:eastAsia="en-US"/>
              </w:rPr>
            </w:pPr>
            <w:r w:rsidRPr="008F2A20">
              <w:rPr>
                <w:rFonts w:cs="Arial"/>
                <w:color w:val="000000"/>
                <w:szCs w:val="14"/>
              </w:rPr>
              <w:t xml:space="preserve"> 2.700.012 </w:t>
            </w:r>
          </w:p>
        </w:tc>
        <w:tc>
          <w:tcPr>
            <w:tcW w:w="1505" w:type="dxa"/>
            <w:tcBorders>
              <w:top w:val="nil"/>
              <w:left w:val="nil"/>
              <w:bottom w:val="nil"/>
              <w:right w:val="nil"/>
            </w:tcBorders>
            <w:shd w:val="clear" w:color="auto" w:fill="auto"/>
            <w:vAlign w:val="center"/>
          </w:tcPr>
          <w:p w14:paraId="4888E75A" w14:textId="77777777" w:rsidR="00610E35" w:rsidRPr="0049642A" w:rsidRDefault="00610E35">
            <w:pPr>
              <w:pStyle w:val="08-Tabelageral"/>
              <w:cnfStyle w:val="000000000000" w:firstRow="0" w:lastRow="0" w:firstColumn="0" w:lastColumn="0" w:oddVBand="0" w:evenVBand="0" w:oddHBand="0" w:evenHBand="0" w:firstRowFirstColumn="0" w:firstRowLastColumn="0" w:lastRowFirstColumn="0" w:lastRowLastColumn="0"/>
              <w:rPr>
                <w:lang w:eastAsia="en-US"/>
              </w:rPr>
            </w:pPr>
            <w:r w:rsidRPr="00C81264">
              <w:rPr>
                <w:rFonts w:cs="Arial"/>
                <w:szCs w:val="14"/>
                <w:lang w:eastAsia="en-US"/>
              </w:rPr>
              <w:t>3.210.0</w:t>
            </w:r>
            <w:r>
              <w:rPr>
                <w:rFonts w:cs="Arial"/>
                <w:szCs w:val="14"/>
                <w:lang w:eastAsia="en-US"/>
              </w:rPr>
              <w:t>50</w:t>
            </w:r>
          </w:p>
        </w:tc>
      </w:tr>
      <w:tr w:rsidR="00610E35" w14:paraId="3D1EC56C" w14:textId="77777777">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6630" w:type="dxa"/>
            <w:tcBorders>
              <w:top w:val="nil"/>
              <w:left w:val="nil"/>
              <w:bottom w:val="single" w:sz="2" w:space="0" w:color="1F3864" w:themeColor="accent1" w:themeShade="80"/>
              <w:right w:val="nil"/>
            </w:tcBorders>
            <w:shd w:val="clear" w:color="auto" w:fill="auto"/>
            <w:hideMark/>
          </w:tcPr>
          <w:p w14:paraId="3A17A69C" w14:textId="77777777" w:rsidR="00610E35" w:rsidRPr="00992B73" w:rsidRDefault="00610E35">
            <w:pPr>
              <w:pStyle w:val="08-Tabelageral"/>
              <w:jc w:val="left"/>
              <w:rPr>
                <w:rFonts w:cs="Arial"/>
                <w:bCs w:val="0"/>
                <w:lang w:eastAsia="en-US"/>
              </w:rPr>
            </w:pPr>
            <w:r w:rsidRPr="00992B73">
              <w:rPr>
                <w:rFonts w:cs="Arial"/>
                <w:bCs w:val="0"/>
                <w:lang w:eastAsia="en-US"/>
              </w:rPr>
              <w:t>(=) Dividendos a pagar (6+7-8)</w:t>
            </w:r>
          </w:p>
        </w:tc>
        <w:tc>
          <w:tcPr>
            <w:tcW w:w="1504" w:type="dxa"/>
            <w:tcBorders>
              <w:top w:val="nil"/>
              <w:left w:val="nil"/>
              <w:bottom w:val="single" w:sz="2" w:space="0" w:color="1F3864" w:themeColor="accent1" w:themeShade="80"/>
              <w:right w:val="nil"/>
            </w:tcBorders>
            <w:shd w:val="clear" w:color="auto" w:fill="auto"/>
            <w:vAlign w:val="center"/>
          </w:tcPr>
          <w:p w14:paraId="385F721C" w14:textId="77777777" w:rsidR="00610E35" w:rsidRPr="008F2A20" w:rsidRDefault="00610E35">
            <w:pPr>
              <w:pStyle w:val="08-Tabelageral"/>
              <w:cnfStyle w:val="000000010000" w:firstRow="0" w:lastRow="0" w:firstColumn="0" w:lastColumn="0" w:oddVBand="0" w:evenVBand="0" w:oddHBand="0" w:evenHBand="1" w:firstRowFirstColumn="0" w:firstRowLastColumn="0" w:lastRowFirstColumn="0" w:lastRowLastColumn="0"/>
              <w:rPr>
                <w:rFonts w:cs="Arial"/>
                <w:b/>
                <w:szCs w:val="14"/>
                <w:lang w:eastAsia="en-US"/>
              </w:rPr>
            </w:pPr>
            <w:r w:rsidRPr="008F2A20">
              <w:rPr>
                <w:rFonts w:cs="Arial"/>
                <w:b/>
                <w:bCs/>
                <w:color w:val="000000"/>
                <w:szCs w:val="14"/>
              </w:rPr>
              <w:t xml:space="preserve">    4.411.014 </w:t>
            </w:r>
          </w:p>
        </w:tc>
        <w:tc>
          <w:tcPr>
            <w:tcW w:w="1505" w:type="dxa"/>
            <w:tcBorders>
              <w:top w:val="nil"/>
              <w:left w:val="nil"/>
              <w:bottom w:val="single" w:sz="2" w:space="0" w:color="1F3864" w:themeColor="accent1" w:themeShade="80"/>
              <w:right w:val="nil"/>
            </w:tcBorders>
            <w:shd w:val="clear" w:color="auto" w:fill="auto"/>
            <w:vAlign w:val="center"/>
          </w:tcPr>
          <w:p w14:paraId="40A961EE" w14:textId="77777777" w:rsidR="00610E35" w:rsidRPr="0049642A" w:rsidRDefault="00610E35">
            <w:pPr>
              <w:pStyle w:val="08-Tabelageral"/>
              <w:cnfStyle w:val="000000010000" w:firstRow="0" w:lastRow="0" w:firstColumn="0" w:lastColumn="0" w:oddVBand="0" w:evenVBand="0" w:oddHBand="0" w:evenHBand="1" w:firstRowFirstColumn="0" w:firstRowLastColumn="0" w:lastRowFirstColumn="0" w:lastRowLastColumn="0"/>
              <w:rPr>
                <w:b/>
                <w:lang w:eastAsia="en-US"/>
              </w:rPr>
            </w:pPr>
            <w:r w:rsidRPr="000A290C">
              <w:rPr>
                <w:rFonts w:cs="Arial"/>
                <w:b/>
                <w:szCs w:val="14"/>
                <w:lang w:eastAsia="en-US"/>
              </w:rPr>
              <w:t>2.455.022</w:t>
            </w:r>
          </w:p>
        </w:tc>
      </w:tr>
    </w:tbl>
    <w:p w14:paraId="60889188" w14:textId="77777777" w:rsidR="00610E35" w:rsidRPr="001A10E0" w:rsidRDefault="00610E35" w:rsidP="00610E35">
      <w:pPr>
        <w:pStyle w:val="PargrafodaLista"/>
        <w:numPr>
          <w:ilvl w:val="0"/>
          <w:numId w:val="45"/>
        </w:numPr>
        <w:spacing w:before="40" w:after="0" w:line="240" w:lineRule="auto"/>
        <w:ind w:left="284" w:hanging="284"/>
        <w:jc w:val="both"/>
        <w:rPr>
          <w:rFonts w:ascii="Arial" w:eastAsia="Times New Roman" w:hAnsi="Arial" w:cs="Times New Roman"/>
          <w:spacing w:val="-2"/>
          <w:sz w:val="14"/>
          <w:szCs w:val="18"/>
          <w:lang w:eastAsia="pt-BR"/>
        </w:rPr>
      </w:pPr>
      <w:r w:rsidRPr="004F183A">
        <w:rPr>
          <w:rFonts w:ascii="Arial" w:eastAsia="Times New Roman" w:hAnsi="Arial" w:cs="Times New Roman"/>
          <w:spacing w:val="-2"/>
          <w:sz w:val="14"/>
          <w:szCs w:val="18"/>
          <w:lang w:eastAsia="pt-BR"/>
        </w:rPr>
        <w:t xml:space="preserve">No exercício de 2023, o lucro líquido distribuído não contempla os valores relativos a lucros acumulados advindos da adoção inicial do CPC 48 e 50, de </w:t>
      </w:r>
      <w:r>
        <w:rPr>
          <w:rFonts w:ascii="Arial" w:eastAsia="Times New Roman" w:hAnsi="Arial" w:cs="Times New Roman"/>
          <w:spacing w:val="-2"/>
          <w:sz w:val="14"/>
          <w:szCs w:val="18"/>
          <w:lang w:eastAsia="pt-BR"/>
        </w:rPr>
        <w:br/>
      </w:r>
      <w:r w:rsidRPr="004F183A">
        <w:rPr>
          <w:rFonts w:ascii="Arial" w:eastAsia="Times New Roman" w:hAnsi="Arial" w:cs="Times New Roman"/>
          <w:spacing w:val="-2"/>
          <w:sz w:val="14"/>
          <w:szCs w:val="18"/>
          <w:lang w:eastAsia="pt-BR"/>
        </w:rPr>
        <w:t>R$ 635.574 mil.</w:t>
      </w:r>
    </w:p>
    <w:p w14:paraId="7243EB51" w14:textId="77777777" w:rsidR="00610E35" w:rsidRDefault="00610E35" w:rsidP="00610E35">
      <w:pPr>
        <w:pStyle w:val="01-Textonormal"/>
      </w:pPr>
      <w:r>
        <w:lastRenderedPageBreak/>
        <w:t>A BB Seguridade possui Política de Dividendos, disponível no site de Relações com Investidores,</w:t>
      </w:r>
      <w:r w:rsidRPr="00E21E5D">
        <w:t xml:space="preserve"> </w:t>
      </w:r>
      <w:r>
        <w:t xml:space="preserve">que é </w:t>
      </w:r>
      <w:r w:rsidRPr="00F5671A">
        <w:t>revisada</w:t>
      </w:r>
      <w:r>
        <w:t xml:space="preserve">, </w:t>
      </w:r>
      <w:r w:rsidRPr="00F5671A">
        <w:t>no mínimo</w:t>
      </w:r>
      <w:r>
        <w:t>,</w:t>
      </w:r>
      <w:r w:rsidRPr="00F5671A">
        <w:t xml:space="preserve"> a cada três anos ou</w:t>
      </w:r>
      <w:r>
        <w:t>,</w:t>
      </w:r>
      <w:r w:rsidRPr="00F5671A">
        <w:t xml:space="preserve"> extraordinariamente</w:t>
      </w:r>
      <w:r>
        <w:t>,</w:t>
      </w:r>
      <w:r w:rsidRPr="00F5671A">
        <w:t xml:space="preserve"> a qualquer tempo e </w:t>
      </w:r>
      <w:r>
        <w:t>aprovada pelo</w:t>
      </w:r>
      <w:r w:rsidRPr="00F5671A">
        <w:t xml:space="preserve"> Conselho de Administração</w:t>
      </w:r>
      <w:r>
        <w:t>. A Política atual foi aprovada em 27.05.2022.</w:t>
      </w:r>
    </w:p>
    <w:p w14:paraId="32A76542" w14:textId="77777777" w:rsidR="00610E35" w:rsidRDefault="00610E35" w:rsidP="00610E35">
      <w:pPr>
        <w:pStyle w:val="01-Textonormal"/>
      </w:pPr>
      <w:r w:rsidRPr="00226E9F">
        <w:t xml:space="preserve">Em </w:t>
      </w:r>
      <w:r w:rsidRPr="00087542">
        <w:t>15.12.2023</w:t>
      </w:r>
      <w:r w:rsidRPr="00226E9F">
        <w:t xml:space="preserve">, foi aprovado, pelo Conselho de Administração, a distribuição de R$ 2.455.000 mil de dividendos, referente ao lucro do 2º semestre de 2023, e R$ 22 mil de dividendos prescritos. Os dividendos foram pagos em fevereiro de 2024. Sobre tais valores, incidiu R$ 38.377 mil de atualização monetária, pela taxa Selic, totalizando </w:t>
      </w:r>
      <w:r w:rsidRPr="00226E9F">
        <w:br/>
        <w:t>R$ 2.493.399 mil.</w:t>
      </w:r>
    </w:p>
    <w:p w14:paraId="5AE45EEE" w14:textId="77777777" w:rsidR="00610E35" w:rsidRDefault="00610E35" w:rsidP="00610E35">
      <w:pPr>
        <w:pStyle w:val="01-Textonormal"/>
      </w:pPr>
      <w:bookmarkStart w:id="126" w:name="_Hlk173243938"/>
      <w:r w:rsidRPr="00226E9F">
        <w:t xml:space="preserve">Em </w:t>
      </w:r>
      <w:r w:rsidRPr="00087542">
        <w:t>30.08.2024</w:t>
      </w:r>
      <w:r w:rsidRPr="00226E9F">
        <w:t xml:space="preserve">, a BB Seguridade pagou R$ 2.700.000 mil de dividendos intercalares referente ao lucro do 1º semestre de 2024 e R$ 12 mil de dividendos prescritos no período, conforme aprovado pelo Conselho de Administração da </w:t>
      </w:r>
      <w:r w:rsidRPr="00226E9F">
        <w:br/>
        <w:t>BB Seguridade em 21.06.2024.</w:t>
      </w:r>
      <w:bookmarkEnd w:id="126"/>
    </w:p>
    <w:p w14:paraId="061AB505" w14:textId="268D576E" w:rsidR="00610E35" w:rsidRPr="00226E9F" w:rsidRDefault="00610E35" w:rsidP="00610E35">
      <w:pPr>
        <w:pStyle w:val="01-Textonormal"/>
      </w:pPr>
      <w:bookmarkStart w:id="127" w:name="_Hlk188888968"/>
      <w:r w:rsidRPr="007B777F">
        <w:t xml:space="preserve">Em </w:t>
      </w:r>
      <w:r w:rsidRPr="00087542">
        <w:t>20.12.2024,</w:t>
      </w:r>
      <w:r w:rsidRPr="007B777F">
        <w:t xml:space="preserve"> foi aprovado, pelo Conselho de Administração, em adição aos dividendos i</w:t>
      </w:r>
      <w:r w:rsidR="00CF3E10">
        <w:t>nte</w:t>
      </w:r>
      <w:r w:rsidR="008C1970">
        <w:t>r</w:t>
      </w:r>
      <w:r w:rsidR="00CF3E10">
        <w:t>calares</w:t>
      </w:r>
      <w:r w:rsidRPr="007B777F">
        <w:t xml:space="preserve"> referentes ao lucro do 1º semestre de 2024 (R$ 2.700.000 mil), a distribuição de R$ 4.411.000 mil, somando assim o montante de R$ 7.111.000 mil de dividendos sobre o lucro do exercício; e R$ 14 mil de dividendos prescritos no segundo semestre totalizando R$ 26 mil de dividendos prescritos no exercício (R$ 12 mil relativos ao primeiro semestre).</w:t>
      </w:r>
      <w:bookmarkEnd w:id="127"/>
    </w:p>
    <w:p w14:paraId="7A4742B1" w14:textId="77777777" w:rsidR="00610E35" w:rsidRPr="008A5107" w:rsidRDefault="00610E35" w:rsidP="00BB0831">
      <w:pPr>
        <w:pStyle w:val="01-Textonormal"/>
        <w:tabs>
          <w:tab w:val="left" w:pos="1762"/>
        </w:tabs>
        <w:rPr>
          <w:color w:val="1F3864" w:themeColor="accent1" w:themeShade="80"/>
        </w:rPr>
      </w:pPr>
      <w:r w:rsidRPr="00BB0831">
        <w:rPr>
          <w:b/>
          <w:color w:val="1F3864" w:themeColor="accent1" w:themeShade="80"/>
        </w:rPr>
        <w:t>b.1) Dividendos por ação</w:t>
      </w:r>
    </w:p>
    <w:tbl>
      <w:tblPr>
        <w:tblStyle w:val="TabeladeLista6Colorida-nfase5"/>
        <w:tblW w:w="9639" w:type="dxa"/>
        <w:jc w:val="center"/>
        <w:tblLayout w:type="fixed"/>
        <w:tblLook w:val="04A0" w:firstRow="1" w:lastRow="0" w:firstColumn="1" w:lastColumn="0" w:noHBand="0" w:noVBand="1"/>
      </w:tblPr>
      <w:tblGrid>
        <w:gridCol w:w="1136"/>
        <w:gridCol w:w="1175"/>
        <w:gridCol w:w="1072"/>
        <w:gridCol w:w="272"/>
        <w:gridCol w:w="1023"/>
        <w:gridCol w:w="838"/>
        <w:gridCol w:w="164"/>
        <w:gridCol w:w="108"/>
        <w:gridCol w:w="29"/>
        <w:gridCol w:w="181"/>
        <w:gridCol w:w="844"/>
        <w:gridCol w:w="848"/>
        <w:gridCol w:w="76"/>
        <w:gridCol w:w="1018"/>
        <w:gridCol w:w="855"/>
      </w:tblGrid>
      <w:tr w:rsidR="00610E35" w:rsidRPr="008A5107" w14:paraId="7E7DAF29" w14:textId="77777777">
        <w:trPr>
          <w:cnfStyle w:val="100000000000" w:firstRow="1" w:lastRow="0" w:firstColumn="0" w:lastColumn="0" w:oddVBand="0" w:evenVBand="0" w:oddHBand="0" w:evenHBand="0" w:firstRowFirstColumn="0" w:firstRowLastColumn="0" w:lastRowFirstColumn="0" w:lastRowLastColumn="0"/>
          <w:trHeight w:val="237"/>
          <w:jc w:val="center"/>
        </w:trPr>
        <w:tc>
          <w:tcPr>
            <w:cnfStyle w:val="001000000000" w:firstRow="0" w:lastRow="0" w:firstColumn="1" w:lastColumn="0" w:oddVBand="0" w:evenVBand="0" w:oddHBand="0" w:evenHBand="0" w:firstRowFirstColumn="0" w:firstRowLastColumn="0" w:lastRowFirstColumn="0" w:lastRowLastColumn="0"/>
            <w:tcW w:w="1136" w:type="dxa"/>
            <w:vMerge w:val="restart"/>
            <w:tcBorders>
              <w:top w:val="single" w:sz="2" w:space="0" w:color="1F3864" w:themeColor="accent1" w:themeShade="80"/>
              <w:left w:val="nil"/>
              <w:bottom w:val="single" w:sz="2" w:space="0" w:color="9CC2E5" w:themeColor="accent5" w:themeTint="99"/>
              <w:right w:val="nil"/>
            </w:tcBorders>
            <w:shd w:val="clear" w:color="auto" w:fill="auto"/>
            <w:vAlign w:val="center"/>
          </w:tcPr>
          <w:p w14:paraId="1AD6841A" w14:textId="77777777" w:rsidR="00610E35" w:rsidRPr="008A5107" w:rsidRDefault="00610E35">
            <w:pPr>
              <w:pStyle w:val="08-Tabelageral"/>
              <w:jc w:val="center"/>
              <w:rPr>
                <w:b w:val="0"/>
                <w:lang w:eastAsia="en-US"/>
              </w:rPr>
            </w:pPr>
          </w:p>
        </w:tc>
        <w:tc>
          <w:tcPr>
            <w:tcW w:w="2247" w:type="dxa"/>
            <w:gridSpan w:val="2"/>
            <w:tcBorders>
              <w:top w:val="single" w:sz="2" w:space="0" w:color="1F3864" w:themeColor="accent1" w:themeShade="80"/>
              <w:left w:val="nil"/>
              <w:bottom w:val="single" w:sz="2" w:space="0" w:color="1F3864" w:themeColor="accent1" w:themeShade="80"/>
              <w:right w:val="nil"/>
            </w:tcBorders>
            <w:shd w:val="clear" w:color="auto" w:fill="auto"/>
            <w:vAlign w:val="center"/>
            <w:hideMark/>
          </w:tcPr>
          <w:p w14:paraId="3296A067" w14:textId="77777777" w:rsidR="00610E35" w:rsidRPr="008A5107" w:rsidRDefault="00610E35">
            <w:pPr>
              <w:pStyle w:val="08-Tabelageral"/>
              <w:ind w:left="-443" w:firstLine="443"/>
              <w:jc w:val="center"/>
              <w:cnfStyle w:val="100000000000" w:firstRow="1" w:lastRow="0" w:firstColumn="0" w:lastColumn="0" w:oddVBand="0" w:evenVBand="0" w:oddHBand="0" w:evenHBand="0" w:firstRowFirstColumn="0" w:firstRowLastColumn="0" w:lastRowFirstColumn="0" w:lastRowLastColumn="0"/>
              <w:rPr>
                <w:lang w:eastAsia="en-US"/>
              </w:rPr>
            </w:pPr>
            <w:r w:rsidRPr="008A5107">
              <w:rPr>
                <w:lang w:eastAsia="en-US"/>
              </w:rPr>
              <w:t>2° Sem/202</w:t>
            </w:r>
            <w:r>
              <w:rPr>
                <w:lang w:eastAsia="en-US"/>
              </w:rPr>
              <w:t>4</w:t>
            </w:r>
          </w:p>
        </w:tc>
        <w:tc>
          <w:tcPr>
            <w:tcW w:w="2297" w:type="dxa"/>
            <w:gridSpan w:val="4"/>
            <w:tcBorders>
              <w:top w:val="single" w:sz="2" w:space="0" w:color="1F3864" w:themeColor="accent1" w:themeShade="80"/>
              <w:left w:val="nil"/>
              <w:bottom w:val="single" w:sz="2" w:space="0" w:color="1F3864" w:themeColor="accent1" w:themeShade="80"/>
              <w:right w:val="nil"/>
            </w:tcBorders>
            <w:shd w:val="clear" w:color="auto" w:fill="auto"/>
            <w:vAlign w:val="center"/>
            <w:hideMark/>
          </w:tcPr>
          <w:p w14:paraId="579469C8" w14:textId="77777777" w:rsidR="00610E35" w:rsidRPr="008A5107" w:rsidRDefault="00610E35">
            <w:pPr>
              <w:pStyle w:val="08-Tabelageral"/>
              <w:jc w:val="center"/>
              <w:cnfStyle w:val="100000000000" w:firstRow="1" w:lastRow="0" w:firstColumn="0" w:lastColumn="0" w:oddVBand="0" w:evenVBand="0" w:oddHBand="0" w:evenHBand="0" w:firstRowFirstColumn="0" w:firstRowLastColumn="0" w:lastRowFirstColumn="0" w:lastRowLastColumn="0"/>
              <w:rPr>
                <w:lang w:eastAsia="en-US"/>
              </w:rPr>
            </w:pPr>
            <w:r w:rsidRPr="008A5107">
              <w:rPr>
                <w:lang w:eastAsia="en-US"/>
              </w:rPr>
              <w:t>1° Sem/202</w:t>
            </w:r>
            <w:r>
              <w:rPr>
                <w:lang w:eastAsia="en-US"/>
              </w:rPr>
              <w:t>4</w:t>
            </w:r>
          </w:p>
        </w:tc>
        <w:tc>
          <w:tcPr>
            <w:tcW w:w="318" w:type="dxa"/>
            <w:gridSpan w:val="3"/>
            <w:tcBorders>
              <w:top w:val="single" w:sz="2" w:space="0" w:color="1F3864" w:themeColor="accent1" w:themeShade="80"/>
              <w:left w:val="nil"/>
              <w:bottom w:val="nil"/>
              <w:right w:val="nil"/>
            </w:tcBorders>
            <w:shd w:val="clear" w:color="auto" w:fill="auto"/>
          </w:tcPr>
          <w:p w14:paraId="73AAF9BE" w14:textId="77777777" w:rsidR="00610E35" w:rsidRPr="008A5107" w:rsidRDefault="00610E35">
            <w:pPr>
              <w:pStyle w:val="08-Tabelageral"/>
              <w:jc w:val="center"/>
              <w:cnfStyle w:val="100000000000" w:firstRow="1" w:lastRow="0" w:firstColumn="0" w:lastColumn="0" w:oddVBand="0" w:evenVBand="0" w:oddHBand="0" w:evenHBand="0" w:firstRowFirstColumn="0" w:firstRowLastColumn="0" w:lastRowFirstColumn="0" w:lastRowLastColumn="0"/>
              <w:rPr>
                <w:lang w:eastAsia="en-US"/>
              </w:rPr>
            </w:pPr>
          </w:p>
        </w:tc>
        <w:tc>
          <w:tcPr>
            <w:tcW w:w="1768" w:type="dxa"/>
            <w:gridSpan w:val="3"/>
            <w:tcBorders>
              <w:top w:val="single" w:sz="2" w:space="0" w:color="1F3864" w:themeColor="accent1" w:themeShade="80"/>
              <w:left w:val="nil"/>
              <w:bottom w:val="single" w:sz="2" w:space="0" w:color="9CC2E5" w:themeColor="accent5" w:themeTint="99"/>
              <w:right w:val="nil"/>
            </w:tcBorders>
            <w:shd w:val="clear" w:color="auto" w:fill="auto"/>
            <w:hideMark/>
          </w:tcPr>
          <w:p w14:paraId="013BD0EF" w14:textId="77777777" w:rsidR="00610E35" w:rsidRPr="008A5107" w:rsidRDefault="00610E35">
            <w:pPr>
              <w:pStyle w:val="08-Tabelageral"/>
              <w:jc w:val="center"/>
              <w:cnfStyle w:val="100000000000" w:firstRow="1" w:lastRow="0" w:firstColumn="0" w:lastColumn="0" w:oddVBand="0" w:evenVBand="0" w:oddHBand="0" w:evenHBand="0" w:firstRowFirstColumn="0" w:firstRowLastColumn="0" w:lastRowFirstColumn="0" w:lastRowLastColumn="0"/>
              <w:rPr>
                <w:lang w:eastAsia="en-US"/>
              </w:rPr>
            </w:pPr>
            <w:r w:rsidRPr="008A5107">
              <w:rPr>
                <w:rFonts w:cs="Arial"/>
                <w:kern w:val="2"/>
                <w:szCs w:val="14"/>
                <w:lang w:eastAsia="en-US"/>
              </w:rPr>
              <w:t>2° Sem/202</w:t>
            </w:r>
            <w:r>
              <w:rPr>
                <w:rFonts w:cs="Arial"/>
                <w:kern w:val="2"/>
                <w:szCs w:val="14"/>
                <w:lang w:eastAsia="en-US"/>
              </w:rPr>
              <w:t>3</w:t>
            </w:r>
          </w:p>
        </w:tc>
        <w:tc>
          <w:tcPr>
            <w:tcW w:w="1873" w:type="dxa"/>
            <w:gridSpan w:val="2"/>
            <w:tcBorders>
              <w:top w:val="single" w:sz="2" w:space="0" w:color="1F3864" w:themeColor="accent1" w:themeShade="80"/>
              <w:left w:val="nil"/>
              <w:bottom w:val="nil"/>
              <w:right w:val="nil"/>
            </w:tcBorders>
            <w:shd w:val="clear" w:color="auto" w:fill="auto"/>
            <w:hideMark/>
          </w:tcPr>
          <w:p w14:paraId="6ECB0B4E" w14:textId="77777777" w:rsidR="00610E35" w:rsidRPr="008A5107" w:rsidRDefault="00610E35">
            <w:pPr>
              <w:pStyle w:val="08-Tabelageral"/>
              <w:jc w:val="center"/>
              <w:cnfStyle w:val="100000000000" w:firstRow="1" w:lastRow="0" w:firstColumn="0" w:lastColumn="0" w:oddVBand="0" w:evenVBand="0" w:oddHBand="0" w:evenHBand="0" w:firstRowFirstColumn="0" w:firstRowLastColumn="0" w:lastRowFirstColumn="0" w:lastRowLastColumn="0"/>
              <w:rPr>
                <w:rFonts w:cs="Arial"/>
                <w:b w:val="0"/>
                <w:bCs w:val="0"/>
                <w:kern w:val="2"/>
                <w:szCs w:val="14"/>
                <w:lang w:eastAsia="en-US"/>
              </w:rPr>
            </w:pPr>
            <w:r w:rsidRPr="008A5107">
              <w:rPr>
                <w:lang w:eastAsia="en-US"/>
              </w:rPr>
              <w:t>1° Sem/202</w:t>
            </w:r>
            <w:r>
              <w:rPr>
                <w:lang w:eastAsia="en-US"/>
              </w:rPr>
              <w:t>3</w:t>
            </w:r>
          </w:p>
        </w:tc>
      </w:tr>
      <w:tr w:rsidR="00610E35" w:rsidRPr="008A5107" w14:paraId="14B73404" w14:textId="77777777">
        <w:trPr>
          <w:cnfStyle w:val="000000100000" w:firstRow="0" w:lastRow="0" w:firstColumn="0" w:lastColumn="0" w:oddVBand="0" w:evenVBand="0" w:oddHBand="1" w:evenHBand="0" w:firstRowFirstColumn="0" w:firstRowLastColumn="0" w:lastRowFirstColumn="0" w:lastRowLastColumn="0"/>
          <w:trHeight w:hRule="exact" w:val="443"/>
          <w:jc w:val="center"/>
        </w:trPr>
        <w:tc>
          <w:tcPr>
            <w:cnfStyle w:val="001000000000" w:firstRow="0" w:lastRow="0" w:firstColumn="1" w:lastColumn="0" w:oddVBand="0" w:evenVBand="0" w:oddHBand="0" w:evenHBand="0" w:firstRowFirstColumn="0" w:firstRowLastColumn="0" w:lastRowFirstColumn="0" w:lastRowLastColumn="0"/>
            <w:tcW w:w="1136" w:type="dxa"/>
            <w:vMerge/>
            <w:tcBorders>
              <w:top w:val="single" w:sz="2" w:space="0" w:color="9CC2E5" w:themeColor="accent5" w:themeTint="99"/>
              <w:left w:val="nil"/>
              <w:bottom w:val="single" w:sz="2" w:space="0" w:color="1F3864" w:themeColor="accent1" w:themeShade="80"/>
              <w:right w:val="nil"/>
            </w:tcBorders>
            <w:shd w:val="clear" w:color="auto" w:fill="auto"/>
            <w:vAlign w:val="center"/>
            <w:hideMark/>
          </w:tcPr>
          <w:p w14:paraId="36B5BEFE" w14:textId="77777777" w:rsidR="00610E35" w:rsidRPr="008A5107" w:rsidRDefault="00610E35">
            <w:pPr>
              <w:rPr>
                <w:rFonts w:eastAsia="Times New Roman" w:cs="Times New Roman"/>
                <w:spacing w:val="-2"/>
                <w:sz w:val="14"/>
                <w:szCs w:val="18"/>
              </w:rPr>
            </w:pPr>
          </w:p>
        </w:tc>
        <w:tc>
          <w:tcPr>
            <w:tcW w:w="1175" w:type="dxa"/>
            <w:tcBorders>
              <w:top w:val="single" w:sz="2" w:space="0" w:color="9CC2E5" w:themeColor="accent5" w:themeTint="99"/>
              <w:left w:val="nil"/>
              <w:bottom w:val="single" w:sz="2" w:space="0" w:color="1F3864" w:themeColor="accent1" w:themeShade="80"/>
              <w:right w:val="nil"/>
            </w:tcBorders>
            <w:shd w:val="clear" w:color="auto" w:fill="auto"/>
            <w:vAlign w:val="center"/>
            <w:hideMark/>
          </w:tcPr>
          <w:p w14:paraId="756CDCEE" w14:textId="77777777" w:rsidR="00610E35" w:rsidRPr="008A5107" w:rsidRDefault="00610E35">
            <w:pPr>
              <w:pStyle w:val="08-Tabelageral"/>
              <w:cnfStyle w:val="000000100000" w:firstRow="0" w:lastRow="0" w:firstColumn="0" w:lastColumn="0" w:oddVBand="0" w:evenVBand="0" w:oddHBand="1" w:evenHBand="0" w:firstRowFirstColumn="0" w:firstRowLastColumn="0" w:lastRowFirstColumn="0" w:lastRowLastColumn="0"/>
              <w:rPr>
                <w:rFonts w:cs="Arial"/>
                <w:b/>
                <w:bCs/>
                <w:kern w:val="2"/>
                <w:szCs w:val="14"/>
                <w:lang w:eastAsia="en-US"/>
              </w:rPr>
            </w:pPr>
            <w:r w:rsidRPr="008A5107">
              <w:rPr>
                <w:rFonts w:cs="Arial"/>
                <w:b/>
                <w:bCs/>
                <w:kern w:val="2"/>
                <w:szCs w:val="14"/>
                <w:lang w:eastAsia="en-US"/>
              </w:rPr>
              <w:t xml:space="preserve">Valor </w:t>
            </w:r>
          </w:p>
          <w:p w14:paraId="6C647B50" w14:textId="77777777" w:rsidR="00610E35" w:rsidRPr="008A5107" w:rsidRDefault="00610E35">
            <w:pPr>
              <w:pStyle w:val="08-Tabelageral"/>
              <w:cnfStyle w:val="000000100000" w:firstRow="0" w:lastRow="0" w:firstColumn="0" w:lastColumn="0" w:oddVBand="0" w:evenVBand="0" w:oddHBand="1" w:evenHBand="0" w:firstRowFirstColumn="0" w:firstRowLastColumn="0" w:lastRowFirstColumn="0" w:lastRowLastColumn="0"/>
              <w:rPr>
                <w:rFonts w:cs="Arial"/>
                <w:b/>
                <w:bCs/>
                <w:kern w:val="2"/>
                <w:szCs w:val="14"/>
                <w:lang w:eastAsia="en-US"/>
              </w:rPr>
            </w:pPr>
            <w:r w:rsidRPr="008A5107">
              <w:rPr>
                <w:rFonts w:cs="Arial"/>
                <w:b/>
                <w:bCs/>
                <w:kern w:val="2"/>
                <w:szCs w:val="14"/>
                <w:lang w:eastAsia="en-US"/>
              </w:rPr>
              <w:t>(R$ mil)</w:t>
            </w:r>
          </w:p>
        </w:tc>
        <w:tc>
          <w:tcPr>
            <w:tcW w:w="1072" w:type="dxa"/>
            <w:tcBorders>
              <w:top w:val="single" w:sz="2" w:space="0" w:color="9CC2E5" w:themeColor="accent5" w:themeTint="99"/>
              <w:left w:val="nil"/>
              <w:bottom w:val="single" w:sz="2" w:space="0" w:color="1F3864" w:themeColor="accent1" w:themeShade="80"/>
              <w:right w:val="nil"/>
            </w:tcBorders>
            <w:shd w:val="clear" w:color="auto" w:fill="auto"/>
            <w:vAlign w:val="center"/>
            <w:hideMark/>
          </w:tcPr>
          <w:p w14:paraId="65DB98C8" w14:textId="77777777" w:rsidR="00610E35" w:rsidRPr="008A5107" w:rsidRDefault="00610E35">
            <w:pPr>
              <w:pStyle w:val="08-Tabelageral"/>
              <w:cnfStyle w:val="000000100000" w:firstRow="0" w:lastRow="0" w:firstColumn="0" w:lastColumn="0" w:oddVBand="0" w:evenVBand="0" w:oddHBand="1" w:evenHBand="0" w:firstRowFirstColumn="0" w:firstRowLastColumn="0" w:lastRowFirstColumn="0" w:lastRowLastColumn="0"/>
              <w:rPr>
                <w:rFonts w:cs="Arial"/>
                <w:b/>
                <w:bCs/>
                <w:kern w:val="2"/>
                <w:szCs w:val="14"/>
                <w:lang w:eastAsia="en-US"/>
              </w:rPr>
            </w:pPr>
            <w:r w:rsidRPr="008A5107">
              <w:rPr>
                <w:rFonts w:cs="Arial"/>
                <w:b/>
                <w:bCs/>
                <w:kern w:val="2"/>
                <w:szCs w:val="14"/>
                <w:lang w:eastAsia="en-US"/>
              </w:rPr>
              <w:t xml:space="preserve">Valor por </w:t>
            </w:r>
          </w:p>
          <w:p w14:paraId="34812013" w14:textId="77777777" w:rsidR="00610E35" w:rsidRPr="008A5107" w:rsidRDefault="00610E35">
            <w:pPr>
              <w:pStyle w:val="08-Tabelageral"/>
              <w:cnfStyle w:val="000000100000" w:firstRow="0" w:lastRow="0" w:firstColumn="0" w:lastColumn="0" w:oddVBand="0" w:evenVBand="0" w:oddHBand="1" w:evenHBand="0" w:firstRowFirstColumn="0" w:firstRowLastColumn="0" w:lastRowFirstColumn="0" w:lastRowLastColumn="0"/>
              <w:rPr>
                <w:lang w:eastAsia="en-US"/>
              </w:rPr>
            </w:pPr>
            <w:r w:rsidRPr="008A5107">
              <w:rPr>
                <w:rFonts w:cs="Arial"/>
                <w:b/>
                <w:bCs/>
                <w:kern w:val="2"/>
                <w:szCs w:val="14"/>
                <w:lang w:eastAsia="en-US"/>
              </w:rPr>
              <w:t>ação (R$)</w:t>
            </w:r>
          </w:p>
        </w:tc>
        <w:tc>
          <w:tcPr>
            <w:tcW w:w="272" w:type="dxa"/>
            <w:tcBorders>
              <w:top w:val="single" w:sz="2" w:space="0" w:color="9CC2E5" w:themeColor="accent5" w:themeTint="99"/>
              <w:left w:val="nil"/>
              <w:bottom w:val="single" w:sz="2" w:space="0" w:color="1F3864" w:themeColor="accent1" w:themeShade="80"/>
              <w:right w:val="nil"/>
            </w:tcBorders>
            <w:shd w:val="clear" w:color="auto" w:fill="auto"/>
            <w:vAlign w:val="center"/>
          </w:tcPr>
          <w:p w14:paraId="58B85690" w14:textId="77777777" w:rsidR="00610E35" w:rsidRPr="008A5107" w:rsidRDefault="00610E35">
            <w:pPr>
              <w:pStyle w:val="08-Tabelageral"/>
              <w:cnfStyle w:val="000000100000" w:firstRow="0" w:lastRow="0" w:firstColumn="0" w:lastColumn="0" w:oddVBand="0" w:evenVBand="0" w:oddHBand="1" w:evenHBand="0" w:firstRowFirstColumn="0" w:firstRowLastColumn="0" w:lastRowFirstColumn="0" w:lastRowLastColumn="0"/>
              <w:rPr>
                <w:lang w:eastAsia="en-US"/>
              </w:rPr>
            </w:pPr>
          </w:p>
        </w:tc>
        <w:tc>
          <w:tcPr>
            <w:tcW w:w="1023" w:type="dxa"/>
            <w:tcBorders>
              <w:top w:val="single" w:sz="2" w:space="0" w:color="9CC2E5" w:themeColor="accent5" w:themeTint="99"/>
              <w:left w:val="nil"/>
              <w:bottom w:val="single" w:sz="2" w:space="0" w:color="1F3864" w:themeColor="accent1" w:themeShade="80"/>
              <w:right w:val="nil"/>
            </w:tcBorders>
            <w:shd w:val="clear" w:color="auto" w:fill="auto"/>
            <w:hideMark/>
          </w:tcPr>
          <w:p w14:paraId="32DDAE1A" w14:textId="77777777" w:rsidR="00610E35" w:rsidRPr="008A5107" w:rsidRDefault="00610E35">
            <w:pPr>
              <w:pStyle w:val="08-Tabelageral"/>
              <w:cnfStyle w:val="000000100000" w:firstRow="0" w:lastRow="0" w:firstColumn="0" w:lastColumn="0" w:oddVBand="0" w:evenVBand="0" w:oddHBand="1" w:evenHBand="0" w:firstRowFirstColumn="0" w:firstRowLastColumn="0" w:lastRowFirstColumn="0" w:lastRowLastColumn="0"/>
              <w:rPr>
                <w:rFonts w:cs="Arial"/>
                <w:b/>
                <w:bCs/>
                <w:kern w:val="2"/>
                <w:szCs w:val="14"/>
                <w:lang w:eastAsia="en-US"/>
              </w:rPr>
            </w:pPr>
            <w:r w:rsidRPr="008A5107">
              <w:rPr>
                <w:rFonts w:cs="Arial"/>
                <w:b/>
                <w:bCs/>
                <w:kern w:val="2"/>
                <w:szCs w:val="14"/>
                <w:lang w:eastAsia="en-US"/>
              </w:rPr>
              <w:t xml:space="preserve">Valor </w:t>
            </w:r>
          </w:p>
          <w:p w14:paraId="7D6CE279" w14:textId="77777777" w:rsidR="00610E35" w:rsidRPr="008A5107" w:rsidRDefault="00610E35">
            <w:pPr>
              <w:pStyle w:val="08-Tabelageral"/>
              <w:cnfStyle w:val="000000100000" w:firstRow="0" w:lastRow="0" w:firstColumn="0" w:lastColumn="0" w:oddVBand="0" w:evenVBand="0" w:oddHBand="1" w:evenHBand="0" w:firstRowFirstColumn="0" w:firstRowLastColumn="0" w:lastRowFirstColumn="0" w:lastRowLastColumn="0"/>
              <w:rPr>
                <w:lang w:eastAsia="en-US"/>
              </w:rPr>
            </w:pPr>
            <w:r w:rsidRPr="008A5107">
              <w:rPr>
                <w:rFonts w:cs="Arial"/>
                <w:b/>
                <w:bCs/>
                <w:kern w:val="2"/>
                <w:szCs w:val="14"/>
                <w:lang w:eastAsia="en-US"/>
              </w:rPr>
              <w:t>(R$ mil)</w:t>
            </w:r>
          </w:p>
        </w:tc>
        <w:tc>
          <w:tcPr>
            <w:tcW w:w="838" w:type="dxa"/>
            <w:tcBorders>
              <w:top w:val="single" w:sz="2" w:space="0" w:color="9CC2E5" w:themeColor="accent5" w:themeTint="99"/>
              <w:left w:val="nil"/>
              <w:bottom w:val="single" w:sz="2" w:space="0" w:color="1F3864" w:themeColor="accent1" w:themeShade="80"/>
              <w:right w:val="nil"/>
            </w:tcBorders>
            <w:shd w:val="clear" w:color="auto" w:fill="auto"/>
            <w:hideMark/>
          </w:tcPr>
          <w:p w14:paraId="553943A7" w14:textId="77777777" w:rsidR="00610E35" w:rsidRPr="008A5107" w:rsidRDefault="00610E35">
            <w:pPr>
              <w:pStyle w:val="08-Tabelageral"/>
              <w:cnfStyle w:val="000000100000" w:firstRow="0" w:lastRow="0" w:firstColumn="0" w:lastColumn="0" w:oddVBand="0" w:evenVBand="0" w:oddHBand="1" w:evenHBand="0" w:firstRowFirstColumn="0" w:firstRowLastColumn="0" w:lastRowFirstColumn="0" w:lastRowLastColumn="0"/>
              <w:rPr>
                <w:rFonts w:cs="Arial"/>
                <w:b/>
                <w:bCs/>
                <w:kern w:val="2"/>
                <w:szCs w:val="14"/>
                <w:lang w:eastAsia="en-US"/>
              </w:rPr>
            </w:pPr>
            <w:r w:rsidRPr="008A5107">
              <w:rPr>
                <w:rFonts w:cs="Arial"/>
                <w:b/>
                <w:bCs/>
                <w:kern w:val="2"/>
                <w:szCs w:val="14"/>
                <w:lang w:eastAsia="en-US"/>
              </w:rPr>
              <w:t xml:space="preserve">Valor por </w:t>
            </w:r>
          </w:p>
          <w:p w14:paraId="10E535B6" w14:textId="77777777" w:rsidR="00610E35" w:rsidRPr="008A5107" w:rsidRDefault="00610E35">
            <w:pPr>
              <w:pStyle w:val="08-Tabelageral"/>
              <w:cnfStyle w:val="000000100000" w:firstRow="0" w:lastRow="0" w:firstColumn="0" w:lastColumn="0" w:oddVBand="0" w:evenVBand="0" w:oddHBand="1" w:evenHBand="0" w:firstRowFirstColumn="0" w:firstRowLastColumn="0" w:lastRowFirstColumn="0" w:lastRowLastColumn="0"/>
              <w:rPr>
                <w:lang w:eastAsia="en-US"/>
              </w:rPr>
            </w:pPr>
            <w:r w:rsidRPr="008A5107">
              <w:rPr>
                <w:rFonts w:cs="Arial"/>
                <w:b/>
                <w:bCs/>
                <w:kern w:val="2"/>
                <w:szCs w:val="14"/>
                <w:lang w:eastAsia="en-US"/>
              </w:rPr>
              <w:t>ação (R$)</w:t>
            </w:r>
          </w:p>
        </w:tc>
        <w:tc>
          <w:tcPr>
            <w:tcW w:w="301" w:type="dxa"/>
            <w:gridSpan w:val="3"/>
            <w:tcBorders>
              <w:top w:val="nil"/>
              <w:left w:val="nil"/>
              <w:bottom w:val="single" w:sz="2" w:space="0" w:color="1F3864" w:themeColor="accent1" w:themeShade="80"/>
              <w:right w:val="nil"/>
            </w:tcBorders>
            <w:shd w:val="clear" w:color="auto" w:fill="auto"/>
          </w:tcPr>
          <w:p w14:paraId="444A4B01" w14:textId="77777777" w:rsidR="00610E35" w:rsidRPr="008A5107" w:rsidRDefault="00610E35">
            <w:pPr>
              <w:pStyle w:val="08-Tabelageral"/>
              <w:cnfStyle w:val="000000100000" w:firstRow="0" w:lastRow="0" w:firstColumn="0" w:lastColumn="0" w:oddVBand="0" w:evenVBand="0" w:oddHBand="1" w:evenHBand="0" w:firstRowFirstColumn="0" w:firstRowLastColumn="0" w:lastRowFirstColumn="0" w:lastRowLastColumn="0"/>
              <w:rPr>
                <w:lang w:eastAsia="en-US"/>
              </w:rPr>
            </w:pPr>
          </w:p>
        </w:tc>
        <w:tc>
          <w:tcPr>
            <w:tcW w:w="1025" w:type="dxa"/>
            <w:gridSpan w:val="2"/>
            <w:tcBorders>
              <w:top w:val="single" w:sz="2" w:space="0" w:color="1F3864" w:themeColor="accent1" w:themeShade="80"/>
              <w:left w:val="nil"/>
              <w:bottom w:val="single" w:sz="2" w:space="0" w:color="1F3864" w:themeColor="accent1" w:themeShade="80"/>
              <w:right w:val="nil"/>
            </w:tcBorders>
            <w:shd w:val="clear" w:color="auto" w:fill="auto"/>
            <w:hideMark/>
          </w:tcPr>
          <w:p w14:paraId="712C2E91" w14:textId="77777777" w:rsidR="00610E35" w:rsidRPr="008A5107" w:rsidRDefault="00610E35">
            <w:pPr>
              <w:pStyle w:val="08-Tabelageral"/>
              <w:cnfStyle w:val="000000100000" w:firstRow="0" w:lastRow="0" w:firstColumn="0" w:lastColumn="0" w:oddVBand="0" w:evenVBand="0" w:oddHBand="1" w:evenHBand="0" w:firstRowFirstColumn="0" w:firstRowLastColumn="0" w:lastRowFirstColumn="0" w:lastRowLastColumn="0"/>
              <w:rPr>
                <w:rFonts w:cs="Arial"/>
                <w:b/>
                <w:bCs/>
                <w:kern w:val="2"/>
                <w:szCs w:val="14"/>
                <w:lang w:eastAsia="en-US"/>
              </w:rPr>
            </w:pPr>
            <w:r w:rsidRPr="008A5107">
              <w:rPr>
                <w:rFonts w:cs="Arial"/>
                <w:b/>
                <w:bCs/>
                <w:kern w:val="2"/>
                <w:szCs w:val="14"/>
                <w:lang w:eastAsia="en-US"/>
              </w:rPr>
              <w:t xml:space="preserve">Valor </w:t>
            </w:r>
          </w:p>
          <w:p w14:paraId="47035C46" w14:textId="77777777" w:rsidR="00610E35" w:rsidRPr="008A5107" w:rsidRDefault="00610E35">
            <w:pPr>
              <w:pStyle w:val="08-Tabelageral"/>
              <w:cnfStyle w:val="000000100000" w:firstRow="0" w:lastRow="0" w:firstColumn="0" w:lastColumn="0" w:oddVBand="0" w:evenVBand="0" w:oddHBand="1" w:evenHBand="0" w:firstRowFirstColumn="0" w:firstRowLastColumn="0" w:lastRowFirstColumn="0" w:lastRowLastColumn="0"/>
              <w:rPr>
                <w:lang w:eastAsia="en-US"/>
              </w:rPr>
            </w:pPr>
            <w:r w:rsidRPr="008A5107">
              <w:rPr>
                <w:rFonts w:cs="Arial"/>
                <w:b/>
                <w:bCs/>
                <w:kern w:val="2"/>
                <w:szCs w:val="14"/>
                <w:lang w:eastAsia="en-US"/>
              </w:rPr>
              <w:t>(R$ mil)</w:t>
            </w:r>
          </w:p>
        </w:tc>
        <w:tc>
          <w:tcPr>
            <w:tcW w:w="848" w:type="dxa"/>
            <w:tcBorders>
              <w:top w:val="single" w:sz="2" w:space="0" w:color="1F3864" w:themeColor="accent1" w:themeShade="80"/>
              <w:left w:val="nil"/>
              <w:bottom w:val="single" w:sz="2" w:space="0" w:color="1F3864" w:themeColor="accent1" w:themeShade="80"/>
              <w:right w:val="nil"/>
            </w:tcBorders>
            <w:shd w:val="clear" w:color="auto" w:fill="auto"/>
            <w:hideMark/>
          </w:tcPr>
          <w:p w14:paraId="66F7BCF9" w14:textId="77777777" w:rsidR="00610E35" w:rsidRPr="008A5107" w:rsidRDefault="00610E35">
            <w:pPr>
              <w:pStyle w:val="08-Tabelageral"/>
              <w:cnfStyle w:val="000000100000" w:firstRow="0" w:lastRow="0" w:firstColumn="0" w:lastColumn="0" w:oddVBand="0" w:evenVBand="0" w:oddHBand="1" w:evenHBand="0" w:firstRowFirstColumn="0" w:firstRowLastColumn="0" w:lastRowFirstColumn="0" w:lastRowLastColumn="0"/>
              <w:rPr>
                <w:rFonts w:cs="Arial"/>
                <w:b/>
                <w:bCs/>
                <w:kern w:val="2"/>
                <w:szCs w:val="14"/>
                <w:lang w:eastAsia="en-US"/>
              </w:rPr>
            </w:pPr>
            <w:r w:rsidRPr="008A5107">
              <w:rPr>
                <w:rFonts w:cs="Arial"/>
                <w:b/>
                <w:bCs/>
                <w:kern w:val="2"/>
                <w:szCs w:val="14"/>
                <w:lang w:eastAsia="en-US"/>
              </w:rPr>
              <w:t xml:space="preserve">Valor por </w:t>
            </w:r>
          </w:p>
          <w:p w14:paraId="49198A9A" w14:textId="77777777" w:rsidR="00610E35" w:rsidRPr="008A5107" w:rsidRDefault="00610E35">
            <w:pPr>
              <w:pStyle w:val="08-Tabelageral"/>
              <w:cnfStyle w:val="000000100000" w:firstRow="0" w:lastRow="0" w:firstColumn="0" w:lastColumn="0" w:oddVBand="0" w:evenVBand="0" w:oddHBand="1" w:evenHBand="0" w:firstRowFirstColumn="0" w:firstRowLastColumn="0" w:lastRowFirstColumn="0" w:lastRowLastColumn="0"/>
              <w:rPr>
                <w:rFonts w:cs="Arial"/>
                <w:b/>
                <w:bCs/>
                <w:kern w:val="2"/>
                <w:szCs w:val="14"/>
                <w:lang w:eastAsia="en-US"/>
              </w:rPr>
            </w:pPr>
            <w:r w:rsidRPr="008A5107">
              <w:rPr>
                <w:rFonts w:cs="Arial"/>
                <w:b/>
                <w:bCs/>
                <w:kern w:val="2"/>
                <w:szCs w:val="14"/>
                <w:lang w:eastAsia="en-US"/>
              </w:rPr>
              <w:t>ação (R$)</w:t>
            </w:r>
          </w:p>
        </w:tc>
        <w:tc>
          <w:tcPr>
            <w:tcW w:w="1094" w:type="dxa"/>
            <w:gridSpan w:val="2"/>
            <w:tcBorders>
              <w:top w:val="single" w:sz="2" w:space="0" w:color="1F3864" w:themeColor="accent1" w:themeShade="80"/>
              <w:left w:val="nil"/>
              <w:bottom w:val="single" w:sz="2" w:space="0" w:color="1F3864" w:themeColor="accent1" w:themeShade="80"/>
              <w:right w:val="nil"/>
            </w:tcBorders>
            <w:shd w:val="clear" w:color="auto" w:fill="auto"/>
            <w:hideMark/>
          </w:tcPr>
          <w:p w14:paraId="73E7103B" w14:textId="77777777" w:rsidR="00610E35" w:rsidRPr="008A5107" w:rsidRDefault="00610E35">
            <w:pPr>
              <w:pStyle w:val="08-Tabelageral"/>
              <w:cnfStyle w:val="000000100000" w:firstRow="0" w:lastRow="0" w:firstColumn="0" w:lastColumn="0" w:oddVBand="0" w:evenVBand="0" w:oddHBand="1" w:evenHBand="0" w:firstRowFirstColumn="0" w:firstRowLastColumn="0" w:lastRowFirstColumn="0" w:lastRowLastColumn="0"/>
              <w:rPr>
                <w:rFonts w:cs="Arial"/>
                <w:b/>
                <w:bCs/>
                <w:kern w:val="2"/>
                <w:szCs w:val="14"/>
                <w:lang w:eastAsia="en-US"/>
              </w:rPr>
            </w:pPr>
            <w:r w:rsidRPr="008A5107">
              <w:rPr>
                <w:rFonts w:cs="Arial"/>
                <w:b/>
                <w:bCs/>
                <w:kern w:val="2"/>
                <w:szCs w:val="14"/>
                <w:lang w:eastAsia="en-US"/>
              </w:rPr>
              <w:t xml:space="preserve">Valor </w:t>
            </w:r>
          </w:p>
          <w:p w14:paraId="0266A2EB" w14:textId="77777777" w:rsidR="00610E35" w:rsidRPr="008A5107" w:rsidRDefault="00610E35">
            <w:pPr>
              <w:pStyle w:val="08-Tabelageral"/>
              <w:cnfStyle w:val="000000100000" w:firstRow="0" w:lastRow="0" w:firstColumn="0" w:lastColumn="0" w:oddVBand="0" w:evenVBand="0" w:oddHBand="1" w:evenHBand="0" w:firstRowFirstColumn="0" w:firstRowLastColumn="0" w:lastRowFirstColumn="0" w:lastRowLastColumn="0"/>
              <w:rPr>
                <w:rFonts w:cs="Arial"/>
                <w:b/>
                <w:bCs/>
                <w:kern w:val="2"/>
                <w:szCs w:val="14"/>
                <w:lang w:eastAsia="en-US"/>
              </w:rPr>
            </w:pPr>
            <w:r w:rsidRPr="008A5107">
              <w:rPr>
                <w:rFonts w:cs="Arial"/>
                <w:b/>
                <w:bCs/>
                <w:kern w:val="2"/>
                <w:szCs w:val="14"/>
                <w:lang w:eastAsia="en-US"/>
              </w:rPr>
              <w:t>(R$ mil)</w:t>
            </w:r>
          </w:p>
        </w:tc>
        <w:tc>
          <w:tcPr>
            <w:tcW w:w="855" w:type="dxa"/>
            <w:tcBorders>
              <w:top w:val="single" w:sz="2" w:space="0" w:color="1F3864" w:themeColor="accent1" w:themeShade="80"/>
              <w:left w:val="nil"/>
              <w:bottom w:val="single" w:sz="2" w:space="0" w:color="1F3864" w:themeColor="accent1" w:themeShade="80"/>
              <w:right w:val="nil"/>
            </w:tcBorders>
            <w:shd w:val="clear" w:color="auto" w:fill="auto"/>
            <w:hideMark/>
          </w:tcPr>
          <w:p w14:paraId="3684D209" w14:textId="77777777" w:rsidR="00610E35" w:rsidRPr="008A5107" w:rsidRDefault="00610E35">
            <w:pPr>
              <w:pStyle w:val="08-Tabelageral"/>
              <w:cnfStyle w:val="000000100000" w:firstRow="0" w:lastRow="0" w:firstColumn="0" w:lastColumn="0" w:oddVBand="0" w:evenVBand="0" w:oddHBand="1" w:evenHBand="0" w:firstRowFirstColumn="0" w:firstRowLastColumn="0" w:lastRowFirstColumn="0" w:lastRowLastColumn="0"/>
              <w:rPr>
                <w:rFonts w:cs="Arial"/>
                <w:b/>
                <w:bCs/>
                <w:kern w:val="2"/>
                <w:szCs w:val="14"/>
                <w:lang w:eastAsia="en-US"/>
              </w:rPr>
            </w:pPr>
            <w:r w:rsidRPr="008A5107">
              <w:rPr>
                <w:rFonts w:cs="Arial"/>
                <w:b/>
                <w:bCs/>
                <w:kern w:val="2"/>
                <w:szCs w:val="14"/>
                <w:lang w:eastAsia="en-US"/>
              </w:rPr>
              <w:t xml:space="preserve">Valor por </w:t>
            </w:r>
          </w:p>
          <w:p w14:paraId="207A73BF" w14:textId="77777777" w:rsidR="00610E35" w:rsidRPr="008A5107" w:rsidRDefault="00610E35">
            <w:pPr>
              <w:pStyle w:val="08-Tabelageral"/>
              <w:cnfStyle w:val="000000100000" w:firstRow="0" w:lastRow="0" w:firstColumn="0" w:lastColumn="0" w:oddVBand="0" w:evenVBand="0" w:oddHBand="1" w:evenHBand="0" w:firstRowFirstColumn="0" w:firstRowLastColumn="0" w:lastRowFirstColumn="0" w:lastRowLastColumn="0"/>
              <w:rPr>
                <w:rFonts w:cs="Arial"/>
                <w:b/>
                <w:bCs/>
                <w:kern w:val="2"/>
                <w:szCs w:val="14"/>
                <w:lang w:eastAsia="en-US"/>
              </w:rPr>
            </w:pPr>
            <w:r w:rsidRPr="008A5107">
              <w:rPr>
                <w:rFonts w:cs="Arial"/>
                <w:b/>
                <w:bCs/>
                <w:kern w:val="2"/>
                <w:szCs w:val="14"/>
                <w:lang w:eastAsia="en-US"/>
              </w:rPr>
              <w:t>ação (R$)</w:t>
            </w:r>
          </w:p>
        </w:tc>
      </w:tr>
      <w:tr w:rsidR="00610E35" w14:paraId="3D2FE903" w14:textId="77777777">
        <w:trPr>
          <w:cnfStyle w:val="000000010000" w:firstRow="0" w:lastRow="0" w:firstColumn="0" w:lastColumn="0" w:oddVBand="0" w:evenVBand="0" w:oddHBand="0" w:evenHBand="1" w:firstRowFirstColumn="0" w:firstRowLastColumn="0" w:lastRowFirstColumn="0" w:lastRowLastColumn="0"/>
          <w:trHeight w:hRule="exact" w:val="258"/>
          <w:jc w:val="center"/>
        </w:trPr>
        <w:tc>
          <w:tcPr>
            <w:cnfStyle w:val="001000000000" w:firstRow="0" w:lastRow="0" w:firstColumn="1" w:lastColumn="0" w:oddVBand="0" w:evenVBand="0" w:oddHBand="0" w:evenHBand="0" w:firstRowFirstColumn="0" w:firstRowLastColumn="0" w:lastRowFirstColumn="0" w:lastRowLastColumn="0"/>
            <w:tcW w:w="1136" w:type="dxa"/>
            <w:tcBorders>
              <w:top w:val="single" w:sz="2" w:space="0" w:color="1F3864" w:themeColor="accent1" w:themeShade="80"/>
              <w:left w:val="nil"/>
              <w:bottom w:val="single" w:sz="2" w:space="0" w:color="1F3864" w:themeColor="accent1" w:themeShade="80"/>
              <w:right w:val="nil"/>
            </w:tcBorders>
            <w:shd w:val="clear" w:color="auto" w:fill="auto"/>
            <w:hideMark/>
          </w:tcPr>
          <w:p w14:paraId="535337D2" w14:textId="77777777" w:rsidR="00610E35" w:rsidRPr="008A5107" w:rsidRDefault="00610E35">
            <w:pPr>
              <w:pStyle w:val="08-Tabelageral"/>
              <w:jc w:val="left"/>
              <w:rPr>
                <w:b w:val="0"/>
                <w:lang w:eastAsia="en-US"/>
              </w:rPr>
            </w:pPr>
            <w:r w:rsidRPr="008A5107">
              <w:rPr>
                <w:b w:val="0"/>
                <w:lang w:eastAsia="en-US"/>
              </w:rPr>
              <w:t>Dividendos</w:t>
            </w:r>
          </w:p>
        </w:tc>
        <w:tc>
          <w:tcPr>
            <w:tcW w:w="1175"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A91603C" w14:textId="77777777" w:rsidR="00610E35" w:rsidRPr="008A5107" w:rsidRDefault="00610E35">
            <w:pPr>
              <w:pStyle w:val="08-Tabelageral"/>
              <w:cnfStyle w:val="000000010000" w:firstRow="0" w:lastRow="0" w:firstColumn="0" w:lastColumn="0" w:oddVBand="0" w:evenVBand="0" w:oddHBand="0" w:evenHBand="1" w:firstRowFirstColumn="0" w:firstRowLastColumn="0" w:lastRowFirstColumn="0" w:lastRowLastColumn="0"/>
              <w:rPr>
                <w:lang w:eastAsia="en-US"/>
              </w:rPr>
            </w:pPr>
            <w:r>
              <w:rPr>
                <w:lang w:eastAsia="en-US"/>
              </w:rPr>
              <w:t>4.411.014</w:t>
            </w:r>
          </w:p>
        </w:tc>
        <w:tc>
          <w:tcPr>
            <w:tcW w:w="1072"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625BBAE" w14:textId="77777777" w:rsidR="00610E35" w:rsidRPr="008A5107" w:rsidRDefault="00610E35">
            <w:pPr>
              <w:pStyle w:val="08-Tabelageral"/>
              <w:cnfStyle w:val="000000010000" w:firstRow="0" w:lastRow="0" w:firstColumn="0" w:lastColumn="0" w:oddVBand="0" w:evenVBand="0" w:oddHBand="0" w:evenHBand="1" w:firstRowFirstColumn="0" w:firstRowLastColumn="0" w:lastRowFirstColumn="0" w:lastRowLastColumn="0"/>
              <w:rPr>
                <w:lang w:eastAsia="en-US"/>
              </w:rPr>
            </w:pPr>
            <w:r>
              <w:rPr>
                <w:lang w:eastAsia="en-US"/>
              </w:rPr>
              <w:t>2,2723</w:t>
            </w:r>
          </w:p>
        </w:tc>
        <w:tc>
          <w:tcPr>
            <w:tcW w:w="272"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09DF2E8" w14:textId="77777777" w:rsidR="00610E35" w:rsidRPr="008A5107" w:rsidRDefault="00610E35">
            <w:pPr>
              <w:pStyle w:val="08-Tabelageral"/>
              <w:cnfStyle w:val="000000010000" w:firstRow="0" w:lastRow="0" w:firstColumn="0" w:lastColumn="0" w:oddVBand="0" w:evenVBand="0" w:oddHBand="0" w:evenHBand="1" w:firstRowFirstColumn="0" w:firstRowLastColumn="0" w:lastRowFirstColumn="0" w:lastRowLastColumn="0"/>
              <w:rPr>
                <w:lang w:eastAsia="en-US"/>
              </w:rPr>
            </w:pPr>
          </w:p>
        </w:tc>
        <w:tc>
          <w:tcPr>
            <w:tcW w:w="1023"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67C68F3" w14:textId="77777777" w:rsidR="00610E35" w:rsidRPr="008A5107" w:rsidRDefault="00610E35">
            <w:pPr>
              <w:pStyle w:val="08-Tabelageral"/>
              <w:cnfStyle w:val="000000010000" w:firstRow="0" w:lastRow="0" w:firstColumn="0" w:lastColumn="0" w:oddVBand="0" w:evenVBand="0" w:oddHBand="0" w:evenHBand="1" w:firstRowFirstColumn="0" w:firstRowLastColumn="0" w:lastRowFirstColumn="0" w:lastRowLastColumn="0"/>
              <w:rPr>
                <w:lang w:eastAsia="en-US"/>
              </w:rPr>
            </w:pPr>
            <w:r>
              <w:rPr>
                <w:lang w:eastAsia="en-US"/>
              </w:rPr>
              <w:t>2.700.012</w:t>
            </w:r>
          </w:p>
        </w:tc>
        <w:tc>
          <w:tcPr>
            <w:tcW w:w="838"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DD314BC" w14:textId="77777777" w:rsidR="00610E35" w:rsidRPr="008A5107" w:rsidRDefault="00610E35">
            <w:pPr>
              <w:pStyle w:val="08-Tabelageral"/>
              <w:cnfStyle w:val="000000010000" w:firstRow="0" w:lastRow="0" w:firstColumn="0" w:lastColumn="0" w:oddVBand="0" w:evenVBand="0" w:oddHBand="0" w:evenHBand="1" w:firstRowFirstColumn="0" w:firstRowLastColumn="0" w:lastRowFirstColumn="0" w:lastRowLastColumn="0"/>
              <w:rPr>
                <w:lang w:eastAsia="en-US"/>
              </w:rPr>
            </w:pPr>
            <w:r>
              <w:rPr>
                <w:lang w:eastAsia="en-US"/>
              </w:rPr>
              <w:t>1,3909</w:t>
            </w:r>
          </w:p>
        </w:tc>
        <w:tc>
          <w:tcPr>
            <w:tcW w:w="272" w:type="dxa"/>
            <w:gridSpan w:val="2"/>
            <w:tcBorders>
              <w:top w:val="single" w:sz="2" w:space="0" w:color="1F3864" w:themeColor="accent1" w:themeShade="80"/>
              <w:left w:val="nil"/>
              <w:bottom w:val="single" w:sz="2" w:space="0" w:color="1F3864" w:themeColor="accent1" w:themeShade="80"/>
              <w:right w:val="nil"/>
            </w:tcBorders>
            <w:shd w:val="clear" w:color="auto" w:fill="auto"/>
          </w:tcPr>
          <w:p w14:paraId="35CF3DB3" w14:textId="77777777" w:rsidR="00610E35" w:rsidRPr="008A5107" w:rsidRDefault="00610E35">
            <w:pPr>
              <w:pStyle w:val="08-Tabelageral"/>
              <w:cnfStyle w:val="000000010000" w:firstRow="0" w:lastRow="0" w:firstColumn="0" w:lastColumn="0" w:oddVBand="0" w:evenVBand="0" w:oddHBand="0" w:evenHBand="1" w:firstRowFirstColumn="0" w:firstRowLastColumn="0" w:lastRowFirstColumn="0" w:lastRowLastColumn="0"/>
              <w:rPr>
                <w:lang w:eastAsia="en-US"/>
              </w:rPr>
            </w:pPr>
          </w:p>
        </w:tc>
        <w:tc>
          <w:tcPr>
            <w:tcW w:w="1054" w:type="dxa"/>
            <w:gridSpan w:val="3"/>
            <w:tcBorders>
              <w:top w:val="single" w:sz="2" w:space="0" w:color="1F3864" w:themeColor="accent1" w:themeShade="80"/>
              <w:left w:val="nil"/>
              <w:bottom w:val="single" w:sz="2" w:space="0" w:color="1F3864" w:themeColor="accent1" w:themeShade="80"/>
              <w:right w:val="nil"/>
            </w:tcBorders>
            <w:shd w:val="clear" w:color="auto" w:fill="auto"/>
            <w:vAlign w:val="center"/>
            <w:hideMark/>
          </w:tcPr>
          <w:p w14:paraId="6A7EC7DA" w14:textId="77777777" w:rsidR="00610E35" w:rsidRPr="008A5107" w:rsidRDefault="00610E35">
            <w:pPr>
              <w:pStyle w:val="08-Tabelageral"/>
              <w:cnfStyle w:val="000000010000" w:firstRow="0" w:lastRow="0" w:firstColumn="0" w:lastColumn="0" w:oddVBand="0" w:evenVBand="0" w:oddHBand="0" w:evenHBand="1" w:firstRowFirstColumn="0" w:firstRowLastColumn="0" w:lastRowFirstColumn="0" w:lastRowLastColumn="0"/>
              <w:rPr>
                <w:lang w:eastAsia="en-US"/>
              </w:rPr>
            </w:pPr>
            <w:r>
              <w:rPr>
                <w:lang w:eastAsia="en-US"/>
              </w:rPr>
              <w:t>2.455.022</w:t>
            </w:r>
          </w:p>
        </w:tc>
        <w:tc>
          <w:tcPr>
            <w:tcW w:w="848" w:type="dxa"/>
            <w:tcBorders>
              <w:top w:val="single" w:sz="2" w:space="0" w:color="1F3864" w:themeColor="accent1" w:themeShade="80"/>
              <w:left w:val="nil"/>
              <w:bottom w:val="single" w:sz="2" w:space="0" w:color="1F3864" w:themeColor="accent1" w:themeShade="80"/>
              <w:right w:val="nil"/>
            </w:tcBorders>
            <w:shd w:val="clear" w:color="auto" w:fill="auto"/>
            <w:vAlign w:val="center"/>
            <w:hideMark/>
          </w:tcPr>
          <w:p w14:paraId="1CC5EF82" w14:textId="77777777" w:rsidR="00610E35" w:rsidRPr="008A5107" w:rsidRDefault="00610E35">
            <w:pPr>
              <w:pStyle w:val="08-Tabelageral"/>
              <w:cnfStyle w:val="000000010000" w:firstRow="0" w:lastRow="0" w:firstColumn="0" w:lastColumn="0" w:oddVBand="0" w:evenVBand="0" w:oddHBand="0" w:evenHBand="1" w:firstRowFirstColumn="0" w:firstRowLastColumn="0" w:lastRowFirstColumn="0" w:lastRowLastColumn="0"/>
              <w:rPr>
                <w:lang w:eastAsia="en-US"/>
              </w:rPr>
            </w:pPr>
            <w:r>
              <w:rPr>
                <w:lang w:eastAsia="en-US"/>
              </w:rPr>
              <w:t>1,2419</w:t>
            </w:r>
          </w:p>
        </w:tc>
        <w:tc>
          <w:tcPr>
            <w:tcW w:w="1094" w:type="dxa"/>
            <w:gridSpan w:val="2"/>
            <w:tcBorders>
              <w:top w:val="single" w:sz="2" w:space="0" w:color="1F3864" w:themeColor="accent1" w:themeShade="80"/>
              <w:left w:val="nil"/>
              <w:bottom w:val="single" w:sz="2" w:space="0" w:color="1F3864" w:themeColor="accent1" w:themeShade="80"/>
              <w:right w:val="nil"/>
            </w:tcBorders>
            <w:shd w:val="clear" w:color="auto" w:fill="auto"/>
            <w:vAlign w:val="center"/>
            <w:hideMark/>
          </w:tcPr>
          <w:p w14:paraId="7082049F" w14:textId="77777777" w:rsidR="00610E35" w:rsidRPr="008A5107" w:rsidRDefault="00610E35">
            <w:pPr>
              <w:pStyle w:val="08-Tabelageral"/>
              <w:cnfStyle w:val="000000010000" w:firstRow="0" w:lastRow="0" w:firstColumn="0" w:lastColumn="0" w:oddVBand="0" w:evenVBand="0" w:oddHBand="0" w:evenHBand="1" w:firstRowFirstColumn="0" w:firstRowLastColumn="0" w:lastRowFirstColumn="0" w:lastRowLastColumn="0"/>
              <w:rPr>
                <w:lang w:eastAsia="en-US"/>
              </w:rPr>
            </w:pPr>
            <w:r>
              <w:rPr>
                <w:lang w:eastAsia="en-US"/>
              </w:rPr>
              <w:t>3.210.050</w:t>
            </w:r>
          </w:p>
        </w:tc>
        <w:tc>
          <w:tcPr>
            <w:tcW w:w="855" w:type="dxa"/>
            <w:tcBorders>
              <w:top w:val="single" w:sz="2" w:space="0" w:color="1F3864" w:themeColor="accent1" w:themeShade="80"/>
              <w:left w:val="nil"/>
              <w:bottom w:val="single" w:sz="2" w:space="0" w:color="1F3864" w:themeColor="accent1" w:themeShade="80"/>
              <w:right w:val="nil"/>
            </w:tcBorders>
            <w:shd w:val="clear" w:color="auto" w:fill="auto"/>
            <w:vAlign w:val="center"/>
            <w:hideMark/>
          </w:tcPr>
          <w:p w14:paraId="46F84305" w14:textId="77777777" w:rsidR="00610E35" w:rsidRPr="008A5107" w:rsidRDefault="00610E35">
            <w:pPr>
              <w:pStyle w:val="08-Tabelageral"/>
              <w:cnfStyle w:val="000000010000" w:firstRow="0" w:lastRow="0" w:firstColumn="0" w:lastColumn="0" w:oddVBand="0" w:evenVBand="0" w:oddHBand="0" w:evenHBand="1" w:firstRowFirstColumn="0" w:firstRowLastColumn="0" w:lastRowFirstColumn="0" w:lastRowLastColumn="0"/>
              <w:rPr>
                <w:lang w:eastAsia="en-US"/>
              </w:rPr>
            </w:pPr>
            <w:r>
              <w:rPr>
                <w:lang w:eastAsia="en-US"/>
              </w:rPr>
              <w:t>1,6076</w:t>
            </w:r>
          </w:p>
        </w:tc>
      </w:tr>
    </w:tbl>
    <w:p w14:paraId="720AFBE4" w14:textId="77777777" w:rsidR="00610E35" w:rsidRPr="00561776" w:rsidRDefault="00610E35" w:rsidP="00610E35">
      <w:pPr>
        <w:pStyle w:val="01-Textonormal"/>
      </w:pPr>
    </w:p>
    <w:p w14:paraId="2A6E57EF" w14:textId="77777777" w:rsidR="00610E35" w:rsidRPr="00D75818" w:rsidRDefault="00610E35" w:rsidP="00610E35">
      <w:pPr>
        <w:pStyle w:val="01-Textonormal"/>
        <w:rPr>
          <w:b/>
          <w:color w:val="1F3864" w:themeColor="accent1" w:themeShade="80"/>
        </w:rPr>
      </w:pPr>
      <w:r>
        <w:rPr>
          <w:b/>
          <w:color w:val="1F3864" w:themeColor="accent1" w:themeShade="80"/>
        </w:rPr>
        <w:t>c</w:t>
      </w:r>
      <w:r w:rsidRPr="00D75818">
        <w:rPr>
          <w:b/>
          <w:color w:val="1F3864" w:themeColor="accent1" w:themeShade="80"/>
        </w:rPr>
        <w:t>) Participações Acionárias (Quantidade de Ações)</w:t>
      </w:r>
    </w:p>
    <w:tbl>
      <w:tblPr>
        <w:tblW w:w="9639" w:type="dxa"/>
        <w:tblBorders>
          <w:top w:val="single" w:sz="2" w:space="0" w:color="9CC2E5" w:themeColor="accent5" w:themeTint="99"/>
          <w:bottom w:val="single" w:sz="2" w:space="0" w:color="9CC2E5" w:themeColor="accent5" w:themeTint="99"/>
        </w:tblBorders>
        <w:shd w:val="clear" w:color="auto" w:fill="DEEAF6" w:themeFill="accent5" w:themeFillTint="33"/>
        <w:tblLayout w:type="fixed"/>
        <w:tblLook w:val="04A0" w:firstRow="1" w:lastRow="0" w:firstColumn="1" w:lastColumn="0" w:noHBand="0" w:noVBand="1"/>
      </w:tblPr>
      <w:tblGrid>
        <w:gridCol w:w="5006"/>
        <w:gridCol w:w="1373"/>
        <w:gridCol w:w="769"/>
        <w:gridCol w:w="338"/>
        <w:gridCol w:w="30"/>
        <w:gridCol w:w="1247"/>
        <w:gridCol w:w="876"/>
      </w:tblGrid>
      <w:tr w:rsidR="00610E35" w:rsidRPr="005A7A8D" w14:paraId="7959C919" w14:textId="77777777">
        <w:trPr>
          <w:trHeight w:val="238"/>
        </w:trPr>
        <w:tc>
          <w:tcPr>
            <w:tcW w:w="5006" w:type="dxa"/>
            <w:vMerge w:val="restart"/>
            <w:tcBorders>
              <w:top w:val="single" w:sz="2" w:space="0" w:color="1F3864" w:themeColor="accent1" w:themeShade="80"/>
              <w:bottom w:val="nil"/>
            </w:tcBorders>
            <w:shd w:val="clear" w:color="auto" w:fill="auto"/>
          </w:tcPr>
          <w:p w14:paraId="66303A46" w14:textId="77777777" w:rsidR="00610E35" w:rsidRPr="005A7A8D" w:rsidRDefault="00610E35">
            <w:pPr>
              <w:pStyle w:val="08-Tabelageral"/>
              <w:jc w:val="left"/>
              <w:rPr>
                <w:b/>
              </w:rPr>
            </w:pPr>
            <w:r w:rsidRPr="005A7A8D">
              <w:rPr>
                <w:rFonts w:cs="Arial"/>
                <w:b/>
                <w:kern w:val="2"/>
                <w:szCs w:val="14"/>
              </w:rPr>
              <w:t>Acionistas</w:t>
            </w:r>
          </w:p>
        </w:tc>
        <w:tc>
          <w:tcPr>
            <w:tcW w:w="2142" w:type="dxa"/>
            <w:gridSpan w:val="2"/>
            <w:tcBorders>
              <w:top w:val="single" w:sz="2" w:space="0" w:color="1F3864" w:themeColor="accent1" w:themeShade="80"/>
              <w:bottom w:val="single" w:sz="2" w:space="0" w:color="1F3864" w:themeColor="accent1" w:themeShade="80"/>
            </w:tcBorders>
            <w:shd w:val="clear" w:color="auto" w:fill="auto"/>
            <w:vAlign w:val="center"/>
          </w:tcPr>
          <w:p w14:paraId="63387016" w14:textId="77777777" w:rsidR="00610E35" w:rsidRPr="005A7A8D" w:rsidRDefault="00610E35">
            <w:pPr>
              <w:pStyle w:val="08-Tabelageral"/>
              <w:ind w:left="-443" w:firstLine="443"/>
              <w:jc w:val="center"/>
              <w:rPr>
                <w:b/>
              </w:rPr>
            </w:pPr>
            <w:r>
              <w:rPr>
                <w:b/>
              </w:rPr>
              <w:t>31.12.2024</w:t>
            </w:r>
          </w:p>
        </w:tc>
        <w:tc>
          <w:tcPr>
            <w:tcW w:w="2491" w:type="dxa"/>
            <w:gridSpan w:val="4"/>
            <w:tcBorders>
              <w:top w:val="single" w:sz="2" w:space="0" w:color="1F3864" w:themeColor="accent1" w:themeShade="80"/>
              <w:bottom w:val="nil"/>
            </w:tcBorders>
            <w:shd w:val="clear" w:color="auto" w:fill="auto"/>
            <w:vAlign w:val="center"/>
          </w:tcPr>
          <w:p w14:paraId="0730E1F9" w14:textId="77777777" w:rsidR="00610E35" w:rsidRPr="005A7A8D" w:rsidRDefault="00610E35">
            <w:pPr>
              <w:pStyle w:val="08-Tabelageral"/>
              <w:ind w:left="-443" w:firstLine="443"/>
              <w:jc w:val="center"/>
              <w:rPr>
                <w:b/>
              </w:rPr>
            </w:pPr>
            <w:r w:rsidRPr="005A7A8D">
              <w:rPr>
                <w:b/>
              </w:rPr>
              <w:t>31.12.20</w:t>
            </w:r>
            <w:r>
              <w:rPr>
                <w:b/>
              </w:rPr>
              <w:t>23</w:t>
            </w:r>
          </w:p>
        </w:tc>
      </w:tr>
      <w:tr w:rsidR="00610E35" w:rsidRPr="005A7A8D" w14:paraId="7248AFD4" w14:textId="77777777">
        <w:trPr>
          <w:trHeight w:val="238"/>
        </w:trPr>
        <w:tc>
          <w:tcPr>
            <w:tcW w:w="5006" w:type="dxa"/>
            <w:vMerge/>
            <w:tcBorders>
              <w:top w:val="nil"/>
              <w:bottom w:val="single" w:sz="2" w:space="0" w:color="1F3864" w:themeColor="accent1" w:themeShade="80"/>
            </w:tcBorders>
            <w:shd w:val="clear" w:color="auto" w:fill="auto"/>
          </w:tcPr>
          <w:p w14:paraId="0484B467" w14:textId="77777777" w:rsidR="00610E35" w:rsidRPr="005A7A8D" w:rsidRDefault="00610E35">
            <w:pPr>
              <w:pStyle w:val="08-Tabelageral"/>
              <w:rPr>
                <w:b/>
              </w:rPr>
            </w:pPr>
          </w:p>
        </w:tc>
        <w:tc>
          <w:tcPr>
            <w:tcW w:w="1373" w:type="dxa"/>
            <w:tcBorders>
              <w:top w:val="single" w:sz="2" w:space="0" w:color="1F3864" w:themeColor="accent1" w:themeShade="80"/>
              <w:bottom w:val="single" w:sz="2" w:space="0" w:color="1F3864" w:themeColor="accent1" w:themeShade="80"/>
            </w:tcBorders>
            <w:shd w:val="clear" w:color="auto" w:fill="auto"/>
            <w:vAlign w:val="center"/>
          </w:tcPr>
          <w:p w14:paraId="720991AE" w14:textId="77777777" w:rsidR="00610E35" w:rsidRPr="005A7A8D" w:rsidRDefault="00610E35">
            <w:pPr>
              <w:pStyle w:val="08-Tabelageral"/>
              <w:jc w:val="center"/>
              <w:rPr>
                <w:rFonts w:cs="Arial"/>
                <w:b/>
                <w:bCs/>
                <w:kern w:val="2"/>
                <w:szCs w:val="14"/>
              </w:rPr>
            </w:pPr>
            <w:r w:rsidRPr="005A7A8D">
              <w:rPr>
                <w:rFonts w:cs="Arial"/>
                <w:b/>
                <w:bCs/>
                <w:kern w:val="2"/>
                <w:szCs w:val="14"/>
              </w:rPr>
              <w:t>Ações</w:t>
            </w:r>
          </w:p>
        </w:tc>
        <w:tc>
          <w:tcPr>
            <w:tcW w:w="769" w:type="dxa"/>
            <w:tcBorders>
              <w:top w:val="single" w:sz="2" w:space="0" w:color="1F3864" w:themeColor="accent1" w:themeShade="80"/>
              <w:bottom w:val="single" w:sz="2" w:space="0" w:color="1F3864" w:themeColor="accent1" w:themeShade="80"/>
            </w:tcBorders>
            <w:shd w:val="clear" w:color="auto" w:fill="auto"/>
            <w:vAlign w:val="center"/>
          </w:tcPr>
          <w:p w14:paraId="7426BE3D" w14:textId="77777777" w:rsidR="00610E35" w:rsidRPr="005A7A8D" w:rsidRDefault="00610E35">
            <w:pPr>
              <w:pStyle w:val="08-Tabelageral"/>
              <w:jc w:val="center"/>
              <w:rPr>
                <w:rFonts w:cs="Arial"/>
                <w:b/>
                <w:bCs/>
                <w:kern w:val="2"/>
                <w:szCs w:val="14"/>
              </w:rPr>
            </w:pPr>
            <w:r w:rsidRPr="005A7A8D">
              <w:rPr>
                <w:rFonts w:cs="Arial"/>
                <w:b/>
                <w:bCs/>
                <w:kern w:val="2"/>
                <w:szCs w:val="14"/>
              </w:rPr>
              <w:t>% Total</w:t>
            </w:r>
          </w:p>
        </w:tc>
        <w:tc>
          <w:tcPr>
            <w:tcW w:w="368" w:type="dxa"/>
            <w:gridSpan w:val="2"/>
            <w:tcBorders>
              <w:top w:val="nil"/>
              <w:bottom w:val="single" w:sz="2" w:space="0" w:color="1F3864" w:themeColor="accent1" w:themeShade="80"/>
            </w:tcBorders>
            <w:shd w:val="clear" w:color="auto" w:fill="auto"/>
            <w:vAlign w:val="center"/>
          </w:tcPr>
          <w:p w14:paraId="0D5D1815" w14:textId="77777777" w:rsidR="00610E35" w:rsidRPr="005A7A8D" w:rsidRDefault="00610E35">
            <w:pPr>
              <w:pStyle w:val="08-Tabelageral"/>
              <w:jc w:val="center"/>
              <w:rPr>
                <w:b/>
              </w:rPr>
            </w:pPr>
          </w:p>
        </w:tc>
        <w:tc>
          <w:tcPr>
            <w:tcW w:w="1247" w:type="dxa"/>
            <w:tcBorders>
              <w:top w:val="single" w:sz="2" w:space="0" w:color="1F3864" w:themeColor="accent1" w:themeShade="80"/>
              <w:bottom w:val="single" w:sz="2" w:space="0" w:color="1F3864" w:themeColor="accent1" w:themeShade="80"/>
            </w:tcBorders>
            <w:shd w:val="clear" w:color="auto" w:fill="auto"/>
            <w:vAlign w:val="center"/>
          </w:tcPr>
          <w:p w14:paraId="4771A316" w14:textId="77777777" w:rsidR="00610E35" w:rsidRPr="005A7A8D" w:rsidRDefault="00610E35">
            <w:pPr>
              <w:pStyle w:val="08-Tabelageral"/>
              <w:jc w:val="center"/>
              <w:rPr>
                <w:rFonts w:cs="Arial"/>
                <w:b/>
                <w:bCs/>
                <w:kern w:val="2"/>
                <w:szCs w:val="14"/>
              </w:rPr>
            </w:pPr>
            <w:r w:rsidRPr="005A7A8D">
              <w:rPr>
                <w:rFonts w:cs="Arial"/>
                <w:b/>
                <w:bCs/>
                <w:kern w:val="2"/>
                <w:szCs w:val="14"/>
              </w:rPr>
              <w:t>Ações</w:t>
            </w:r>
          </w:p>
        </w:tc>
        <w:tc>
          <w:tcPr>
            <w:tcW w:w="876" w:type="dxa"/>
            <w:tcBorders>
              <w:top w:val="single" w:sz="2" w:space="0" w:color="1F3864" w:themeColor="accent1" w:themeShade="80"/>
              <w:bottom w:val="single" w:sz="2" w:space="0" w:color="1F3864" w:themeColor="accent1" w:themeShade="80"/>
            </w:tcBorders>
            <w:shd w:val="clear" w:color="auto" w:fill="auto"/>
            <w:vAlign w:val="center"/>
          </w:tcPr>
          <w:p w14:paraId="6D8A6B71" w14:textId="77777777" w:rsidR="00610E35" w:rsidRPr="005A7A8D" w:rsidRDefault="00610E35">
            <w:pPr>
              <w:pStyle w:val="08-Tabelageral"/>
              <w:jc w:val="center"/>
              <w:rPr>
                <w:rFonts w:cs="Arial"/>
                <w:b/>
                <w:bCs/>
                <w:kern w:val="2"/>
                <w:szCs w:val="14"/>
              </w:rPr>
            </w:pPr>
            <w:r w:rsidRPr="005A7A8D">
              <w:rPr>
                <w:rFonts w:cs="Arial"/>
                <w:b/>
                <w:bCs/>
                <w:kern w:val="2"/>
                <w:szCs w:val="14"/>
              </w:rPr>
              <w:t>% Total</w:t>
            </w:r>
          </w:p>
        </w:tc>
      </w:tr>
      <w:tr w:rsidR="00610E35" w:rsidRPr="005A7A8D" w14:paraId="73ADEC04" w14:textId="77777777">
        <w:trPr>
          <w:trHeight w:val="238"/>
        </w:trPr>
        <w:tc>
          <w:tcPr>
            <w:tcW w:w="5006" w:type="dxa"/>
            <w:tcBorders>
              <w:top w:val="single" w:sz="2" w:space="0" w:color="1F3864" w:themeColor="accent1" w:themeShade="80"/>
              <w:bottom w:val="nil"/>
            </w:tcBorders>
            <w:shd w:val="clear" w:color="auto" w:fill="auto"/>
          </w:tcPr>
          <w:p w14:paraId="698E59DD" w14:textId="77777777" w:rsidR="00610E35" w:rsidRPr="005A7A8D" w:rsidRDefault="00610E35">
            <w:pPr>
              <w:pStyle w:val="070-TabelaPadro"/>
              <w:ind w:left="113"/>
              <w:jc w:val="left"/>
            </w:pPr>
            <w:r w:rsidRPr="005A7A8D">
              <w:t>Banco do Brasil</w:t>
            </w:r>
          </w:p>
        </w:tc>
        <w:tc>
          <w:tcPr>
            <w:tcW w:w="1373" w:type="dxa"/>
            <w:tcBorders>
              <w:top w:val="single" w:sz="2" w:space="0" w:color="1F3864" w:themeColor="accent1" w:themeShade="80"/>
            </w:tcBorders>
            <w:shd w:val="clear" w:color="auto" w:fill="auto"/>
            <w:vAlign w:val="bottom"/>
          </w:tcPr>
          <w:p w14:paraId="151A6B40" w14:textId="77777777" w:rsidR="00610E35" w:rsidRPr="0045178B" w:rsidRDefault="00610E35">
            <w:pPr>
              <w:pStyle w:val="08-Tabelageral"/>
              <w:ind w:left="113"/>
            </w:pPr>
            <w:r w:rsidRPr="0045178B">
              <w:t>1.325.000.000</w:t>
            </w:r>
          </w:p>
        </w:tc>
        <w:tc>
          <w:tcPr>
            <w:tcW w:w="769" w:type="dxa"/>
            <w:tcBorders>
              <w:top w:val="single" w:sz="2" w:space="0" w:color="1F3864" w:themeColor="accent1" w:themeShade="80"/>
            </w:tcBorders>
            <w:shd w:val="clear" w:color="auto" w:fill="auto"/>
            <w:vAlign w:val="bottom"/>
          </w:tcPr>
          <w:p w14:paraId="3191224F" w14:textId="77777777" w:rsidR="00610E35" w:rsidRPr="0045178B" w:rsidRDefault="00610E35">
            <w:pPr>
              <w:pStyle w:val="08-Tabelageral"/>
              <w:ind w:left="113"/>
            </w:pPr>
            <w:r w:rsidRPr="0045178B">
              <w:t>66,25</w:t>
            </w:r>
          </w:p>
        </w:tc>
        <w:tc>
          <w:tcPr>
            <w:tcW w:w="338" w:type="dxa"/>
            <w:tcBorders>
              <w:top w:val="single" w:sz="2" w:space="0" w:color="1F3864" w:themeColor="accent1" w:themeShade="80"/>
            </w:tcBorders>
            <w:shd w:val="clear" w:color="auto" w:fill="auto"/>
            <w:vAlign w:val="center"/>
          </w:tcPr>
          <w:p w14:paraId="27DE030C" w14:textId="77777777" w:rsidR="00610E35" w:rsidRPr="005A7A8D" w:rsidRDefault="00610E35">
            <w:pPr>
              <w:pStyle w:val="08-Tabelageral"/>
            </w:pPr>
          </w:p>
        </w:tc>
        <w:tc>
          <w:tcPr>
            <w:tcW w:w="1277" w:type="dxa"/>
            <w:gridSpan w:val="2"/>
            <w:tcBorders>
              <w:top w:val="single" w:sz="2" w:space="0" w:color="1F3864" w:themeColor="accent1" w:themeShade="80"/>
            </w:tcBorders>
            <w:shd w:val="clear" w:color="auto" w:fill="auto"/>
          </w:tcPr>
          <w:p w14:paraId="0B27AEBE" w14:textId="77777777" w:rsidR="00610E35" w:rsidRPr="005A7A8D" w:rsidRDefault="00610E35">
            <w:pPr>
              <w:pStyle w:val="08-Tabelageral"/>
              <w:ind w:left="113"/>
              <w:rPr>
                <w:rFonts w:cs="Arial"/>
                <w:szCs w:val="14"/>
              </w:rPr>
            </w:pPr>
            <w:r w:rsidRPr="001D5CEB">
              <w:t>1.325.000.000</w:t>
            </w:r>
          </w:p>
        </w:tc>
        <w:tc>
          <w:tcPr>
            <w:tcW w:w="876" w:type="dxa"/>
            <w:tcBorders>
              <w:top w:val="single" w:sz="2" w:space="0" w:color="1F3864" w:themeColor="accent1" w:themeShade="80"/>
            </w:tcBorders>
            <w:shd w:val="clear" w:color="auto" w:fill="auto"/>
          </w:tcPr>
          <w:p w14:paraId="0C67582A" w14:textId="77777777" w:rsidR="00610E35" w:rsidRPr="005A7A8D" w:rsidRDefault="00610E35">
            <w:pPr>
              <w:pStyle w:val="08-Tabelageral"/>
              <w:ind w:left="113"/>
              <w:rPr>
                <w:rFonts w:cs="Arial"/>
                <w:szCs w:val="14"/>
              </w:rPr>
            </w:pPr>
            <w:r w:rsidRPr="001D5CEB">
              <w:t>66,25</w:t>
            </w:r>
          </w:p>
        </w:tc>
      </w:tr>
      <w:tr w:rsidR="00610E35" w:rsidRPr="005A7A8D" w14:paraId="619EF119" w14:textId="77777777">
        <w:trPr>
          <w:trHeight w:val="60"/>
        </w:trPr>
        <w:tc>
          <w:tcPr>
            <w:tcW w:w="5006" w:type="dxa"/>
            <w:tcBorders>
              <w:top w:val="nil"/>
            </w:tcBorders>
            <w:shd w:val="clear" w:color="auto" w:fill="auto"/>
          </w:tcPr>
          <w:p w14:paraId="72444E76" w14:textId="77777777" w:rsidR="00610E35" w:rsidRPr="005A7A8D" w:rsidRDefault="00610E35">
            <w:pPr>
              <w:pStyle w:val="070-TabelaPadro"/>
              <w:ind w:left="113"/>
              <w:jc w:val="left"/>
            </w:pPr>
            <w:r w:rsidRPr="005A7A8D">
              <w:t xml:space="preserve">Outros </w:t>
            </w:r>
            <w:r>
              <w:t>a</w:t>
            </w:r>
            <w:r w:rsidRPr="005A7A8D">
              <w:t>cionistas</w:t>
            </w:r>
          </w:p>
        </w:tc>
        <w:tc>
          <w:tcPr>
            <w:tcW w:w="1373" w:type="dxa"/>
            <w:shd w:val="clear" w:color="auto" w:fill="auto"/>
            <w:vAlign w:val="bottom"/>
          </w:tcPr>
          <w:p w14:paraId="4182EC32" w14:textId="77777777" w:rsidR="00610E35" w:rsidRPr="0045178B" w:rsidRDefault="00610E35">
            <w:pPr>
              <w:pStyle w:val="08-Tabelageral"/>
              <w:ind w:left="113"/>
            </w:pPr>
            <w:r w:rsidRPr="0045178B">
              <w:t>616.186.019</w:t>
            </w:r>
          </w:p>
        </w:tc>
        <w:tc>
          <w:tcPr>
            <w:tcW w:w="769" w:type="dxa"/>
            <w:shd w:val="clear" w:color="auto" w:fill="auto"/>
            <w:vAlign w:val="bottom"/>
          </w:tcPr>
          <w:p w14:paraId="56AC0039" w14:textId="77777777" w:rsidR="00610E35" w:rsidRPr="0045178B" w:rsidRDefault="00610E35">
            <w:pPr>
              <w:pStyle w:val="08-Tabelageral"/>
              <w:ind w:left="113"/>
            </w:pPr>
            <w:r w:rsidRPr="0045178B">
              <w:t>30,81</w:t>
            </w:r>
          </w:p>
        </w:tc>
        <w:tc>
          <w:tcPr>
            <w:tcW w:w="338" w:type="dxa"/>
            <w:shd w:val="clear" w:color="auto" w:fill="auto"/>
            <w:vAlign w:val="center"/>
          </w:tcPr>
          <w:p w14:paraId="1F915E2E" w14:textId="77777777" w:rsidR="00610E35" w:rsidRPr="005A7A8D" w:rsidRDefault="00610E35">
            <w:pPr>
              <w:pStyle w:val="08-Tabelageral"/>
            </w:pPr>
          </w:p>
        </w:tc>
        <w:tc>
          <w:tcPr>
            <w:tcW w:w="1277" w:type="dxa"/>
            <w:gridSpan w:val="2"/>
            <w:shd w:val="clear" w:color="auto" w:fill="auto"/>
          </w:tcPr>
          <w:p w14:paraId="26D6CB87" w14:textId="77777777" w:rsidR="00610E35" w:rsidRPr="005A7A8D" w:rsidRDefault="00610E35">
            <w:pPr>
              <w:pStyle w:val="08-Tabelageral"/>
              <w:ind w:left="113"/>
              <w:rPr>
                <w:rFonts w:cs="Arial"/>
                <w:szCs w:val="14"/>
              </w:rPr>
            </w:pPr>
            <w:r w:rsidRPr="001D5CEB">
              <w:t>651.866.668</w:t>
            </w:r>
          </w:p>
        </w:tc>
        <w:tc>
          <w:tcPr>
            <w:tcW w:w="876" w:type="dxa"/>
            <w:shd w:val="clear" w:color="auto" w:fill="auto"/>
          </w:tcPr>
          <w:p w14:paraId="194AB218" w14:textId="77777777" w:rsidR="00610E35" w:rsidRPr="005A7A8D" w:rsidRDefault="00610E35">
            <w:pPr>
              <w:pStyle w:val="08-Tabelageral"/>
              <w:ind w:left="113"/>
              <w:rPr>
                <w:rFonts w:cs="Arial"/>
                <w:szCs w:val="14"/>
              </w:rPr>
            </w:pPr>
            <w:r w:rsidRPr="001D5CEB">
              <w:t>32,59</w:t>
            </w:r>
          </w:p>
        </w:tc>
      </w:tr>
      <w:tr w:rsidR="00610E35" w:rsidRPr="005A7A8D" w14:paraId="14C9DEBD" w14:textId="77777777">
        <w:trPr>
          <w:trHeight w:val="238"/>
        </w:trPr>
        <w:tc>
          <w:tcPr>
            <w:tcW w:w="5006" w:type="dxa"/>
            <w:shd w:val="clear" w:color="auto" w:fill="auto"/>
          </w:tcPr>
          <w:p w14:paraId="299436A2" w14:textId="77777777" w:rsidR="00610E35" w:rsidRPr="005A7A8D" w:rsidRDefault="00610E35">
            <w:pPr>
              <w:pStyle w:val="070-TabelaPadro"/>
              <w:ind w:left="113"/>
              <w:jc w:val="left"/>
            </w:pPr>
            <w:r w:rsidRPr="005A7A8D">
              <w:t xml:space="preserve">Ações em </w:t>
            </w:r>
            <w:r>
              <w:t>t</w:t>
            </w:r>
            <w:r w:rsidRPr="005A7A8D">
              <w:t>esouraria</w:t>
            </w:r>
          </w:p>
        </w:tc>
        <w:tc>
          <w:tcPr>
            <w:tcW w:w="1373" w:type="dxa"/>
            <w:shd w:val="clear" w:color="auto" w:fill="auto"/>
            <w:vAlign w:val="bottom"/>
          </w:tcPr>
          <w:p w14:paraId="3600A391" w14:textId="77777777" w:rsidR="00610E35" w:rsidRPr="0045178B" w:rsidRDefault="00610E35">
            <w:pPr>
              <w:pStyle w:val="08-Tabelageral"/>
              <w:ind w:left="113"/>
            </w:pPr>
            <w:r w:rsidRPr="0045178B">
              <w:t>58.813.981</w:t>
            </w:r>
          </w:p>
        </w:tc>
        <w:tc>
          <w:tcPr>
            <w:tcW w:w="769" w:type="dxa"/>
            <w:shd w:val="clear" w:color="auto" w:fill="auto"/>
            <w:vAlign w:val="bottom"/>
          </w:tcPr>
          <w:p w14:paraId="518FCCCA" w14:textId="77777777" w:rsidR="00610E35" w:rsidRPr="0045178B" w:rsidRDefault="00610E35">
            <w:pPr>
              <w:pStyle w:val="08-Tabelageral"/>
              <w:ind w:left="113"/>
            </w:pPr>
            <w:r w:rsidRPr="0045178B">
              <w:t>2,94</w:t>
            </w:r>
          </w:p>
        </w:tc>
        <w:tc>
          <w:tcPr>
            <w:tcW w:w="338" w:type="dxa"/>
            <w:shd w:val="clear" w:color="auto" w:fill="auto"/>
            <w:vAlign w:val="center"/>
          </w:tcPr>
          <w:p w14:paraId="14B0366E" w14:textId="77777777" w:rsidR="00610E35" w:rsidRPr="005A7A8D" w:rsidRDefault="00610E35">
            <w:pPr>
              <w:pStyle w:val="08-Tabelageral"/>
            </w:pPr>
          </w:p>
        </w:tc>
        <w:tc>
          <w:tcPr>
            <w:tcW w:w="1277" w:type="dxa"/>
            <w:gridSpan w:val="2"/>
            <w:shd w:val="clear" w:color="auto" w:fill="auto"/>
          </w:tcPr>
          <w:p w14:paraId="4724D3A8" w14:textId="77777777" w:rsidR="00610E35" w:rsidRPr="005A7A8D" w:rsidRDefault="00610E35">
            <w:pPr>
              <w:pStyle w:val="08-Tabelageral"/>
              <w:ind w:left="113"/>
              <w:rPr>
                <w:rFonts w:cs="Arial"/>
                <w:szCs w:val="14"/>
              </w:rPr>
            </w:pPr>
            <w:r w:rsidRPr="001D5CEB">
              <w:t>23.133.332</w:t>
            </w:r>
          </w:p>
        </w:tc>
        <w:tc>
          <w:tcPr>
            <w:tcW w:w="876" w:type="dxa"/>
            <w:shd w:val="clear" w:color="auto" w:fill="auto"/>
          </w:tcPr>
          <w:p w14:paraId="6AD8A89F" w14:textId="77777777" w:rsidR="00610E35" w:rsidRPr="005A7A8D" w:rsidRDefault="00610E35">
            <w:pPr>
              <w:pStyle w:val="08-Tabelageral"/>
              <w:ind w:left="113"/>
              <w:rPr>
                <w:rFonts w:cs="Arial"/>
                <w:szCs w:val="14"/>
              </w:rPr>
            </w:pPr>
            <w:r w:rsidRPr="001D5CEB">
              <w:t>1,16</w:t>
            </w:r>
          </w:p>
        </w:tc>
      </w:tr>
      <w:tr w:rsidR="00610E35" w:rsidRPr="005A7A8D" w14:paraId="3D246FD3" w14:textId="77777777">
        <w:trPr>
          <w:trHeight w:val="238"/>
        </w:trPr>
        <w:tc>
          <w:tcPr>
            <w:tcW w:w="5006" w:type="dxa"/>
            <w:shd w:val="clear" w:color="auto" w:fill="auto"/>
          </w:tcPr>
          <w:p w14:paraId="1F72BF9F" w14:textId="77777777" w:rsidR="00610E35" w:rsidRPr="005A7A8D" w:rsidRDefault="00610E35">
            <w:pPr>
              <w:pStyle w:val="070-TabelaPadro"/>
              <w:jc w:val="left"/>
              <w:rPr>
                <w:b/>
              </w:rPr>
            </w:pPr>
            <w:r w:rsidRPr="005A7A8D">
              <w:rPr>
                <w:b/>
              </w:rPr>
              <w:t>Total</w:t>
            </w:r>
          </w:p>
        </w:tc>
        <w:tc>
          <w:tcPr>
            <w:tcW w:w="1373" w:type="dxa"/>
            <w:shd w:val="clear" w:color="auto" w:fill="auto"/>
          </w:tcPr>
          <w:p w14:paraId="102DEAC4" w14:textId="77777777" w:rsidR="00610E35" w:rsidRPr="0045178B" w:rsidRDefault="00610E35">
            <w:pPr>
              <w:pStyle w:val="08-Tabelageral"/>
              <w:ind w:left="113"/>
              <w:rPr>
                <w:b/>
              </w:rPr>
            </w:pPr>
            <w:r w:rsidRPr="0045178B">
              <w:rPr>
                <w:b/>
                <w:bCs/>
              </w:rPr>
              <w:t>2.000.000.000</w:t>
            </w:r>
          </w:p>
        </w:tc>
        <w:tc>
          <w:tcPr>
            <w:tcW w:w="769" w:type="dxa"/>
            <w:shd w:val="clear" w:color="auto" w:fill="auto"/>
          </w:tcPr>
          <w:p w14:paraId="4C9416ED" w14:textId="77777777" w:rsidR="00610E35" w:rsidRPr="0045178B" w:rsidRDefault="00610E35">
            <w:pPr>
              <w:pStyle w:val="08-Tabelageral"/>
              <w:ind w:left="113"/>
              <w:rPr>
                <w:b/>
              </w:rPr>
            </w:pPr>
            <w:r w:rsidRPr="0045178B">
              <w:rPr>
                <w:b/>
                <w:bCs/>
              </w:rPr>
              <w:t>100,00</w:t>
            </w:r>
          </w:p>
        </w:tc>
        <w:tc>
          <w:tcPr>
            <w:tcW w:w="338" w:type="dxa"/>
            <w:shd w:val="clear" w:color="auto" w:fill="auto"/>
            <w:vAlign w:val="center"/>
          </w:tcPr>
          <w:p w14:paraId="68406500" w14:textId="77777777" w:rsidR="00610E35" w:rsidRPr="00B56B53" w:rsidRDefault="00610E35">
            <w:pPr>
              <w:pStyle w:val="08-Tabelageral"/>
              <w:rPr>
                <w:b/>
              </w:rPr>
            </w:pPr>
          </w:p>
        </w:tc>
        <w:tc>
          <w:tcPr>
            <w:tcW w:w="1277" w:type="dxa"/>
            <w:gridSpan w:val="2"/>
            <w:shd w:val="clear" w:color="auto" w:fill="auto"/>
          </w:tcPr>
          <w:p w14:paraId="096FA837" w14:textId="77777777" w:rsidR="00610E35" w:rsidRPr="005D4359" w:rsidRDefault="00610E35">
            <w:pPr>
              <w:pStyle w:val="08-Tabelageral"/>
              <w:ind w:left="113"/>
              <w:rPr>
                <w:rFonts w:cs="Arial"/>
                <w:b/>
                <w:bCs/>
                <w:szCs w:val="14"/>
              </w:rPr>
            </w:pPr>
            <w:r w:rsidRPr="005D4359">
              <w:rPr>
                <w:b/>
                <w:bCs/>
              </w:rPr>
              <w:t>2.000.000.000</w:t>
            </w:r>
          </w:p>
        </w:tc>
        <w:tc>
          <w:tcPr>
            <w:tcW w:w="876" w:type="dxa"/>
            <w:shd w:val="clear" w:color="auto" w:fill="auto"/>
          </w:tcPr>
          <w:p w14:paraId="1B94F916" w14:textId="77777777" w:rsidR="00610E35" w:rsidRPr="005D4359" w:rsidRDefault="00610E35">
            <w:pPr>
              <w:pStyle w:val="08-Tabelageral"/>
              <w:ind w:left="113"/>
              <w:rPr>
                <w:rFonts w:cs="Arial"/>
                <w:b/>
                <w:bCs/>
                <w:szCs w:val="14"/>
              </w:rPr>
            </w:pPr>
            <w:r w:rsidRPr="005D4359">
              <w:rPr>
                <w:b/>
                <w:bCs/>
              </w:rPr>
              <w:t>100,00</w:t>
            </w:r>
          </w:p>
        </w:tc>
      </w:tr>
      <w:tr w:rsidR="00610E35" w:rsidRPr="005A7A8D" w14:paraId="6412E204" w14:textId="77777777">
        <w:trPr>
          <w:trHeight w:val="238"/>
        </w:trPr>
        <w:tc>
          <w:tcPr>
            <w:tcW w:w="5006" w:type="dxa"/>
            <w:tcBorders>
              <w:bottom w:val="nil"/>
            </w:tcBorders>
            <w:shd w:val="clear" w:color="auto" w:fill="auto"/>
          </w:tcPr>
          <w:p w14:paraId="39E2B949" w14:textId="77777777" w:rsidR="00610E35" w:rsidRPr="005A7A8D" w:rsidRDefault="00610E35">
            <w:pPr>
              <w:pStyle w:val="070-TabelaPadro"/>
              <w:ind w:left="113"/>
              <w:jc w:val="left"/>
            </w:pPr>
            <w:r w:rsidRPr="005A7A8D">
              <w:t>Residentes no país</w:t>
            </w:r>
          </w:p>
        </w:tc>
        <w:tc>
          <w:tcPr>
            <w:tcW w:w="1373" w:type="dxa"/>
            <w:tcBorders>
              <w:bottom w:val="nil"/>
            </w:tcBorders>
            <w:shd w:val="clear" w:color="auto" w:fill="auto"/>
            <w:vAlign w:val="bottom"/>
          </w:tcPr>
          <w:p w14:paraId="49EAF1DF" w14:textId="77777777" w:rsidR="00610E35" w:rsidRPr="0045178B" w:rsidRDefault="00610E35">
            <w:pPr>
              <w:pStyle w:val="08-Tabelageral"/>
              <w:ind w:left="113"/>
            </w:pPr>
            <w:r w:rsidRPr="0045178B">
              <w:t>1.625.887.537</w:t>
            </w:r>
          </w:p>
        </w:tc>
        <w:tc>
          <w:tcPr>
            <w:tcW w:w="769" w:type="dxa"/>
            <w:tcBorders>
              <w:bottom w:val="nil"/>
            </w:tcBorders>
            <w:shd w:val="clear" w:color="auto" w:fill="auto"/>
            <w:vAlign w:val="bottom"/>
          </w:tcPr>
          <w:p w14:paraId="554DD55F" w14:textId="77777777" w:rsidR="00610E35" w:rsidRPr="0045178B" w:rsidRDefault="00610E35">
            <w:pPr>
              <w:pStyle w:val="08-Tabelageral"/>
              <w:ind w:left="113"/>
            </w:pPr>
            <w:r w:rsidRPr="0045178B">
              <w:t>81,29</w:t>
            </w:r>
          </w:p>
        </w:tc>
        <w:tc>
          <w:tcPr>
            <w:tcW w:w="338" w:type="dxa"/>
            <w:tcBorders>
              <w:bottom w:val="nil"/>
            </w:tcBorders>
            <w:shd w:val="clear" w:color="auto" w:fill="auto"/>
            <w:vAlign w:val="center"/>
          </w:tcPr>
          <w:p w14:paraId="25FF83CA" w14:textId="77777777" w:rsidR="00610E35" w:rsidRPr="005A7A8D" w:rsidRDefault="00610E35">
            <w:pPr>
              <w:pStyle w:val="08-Tabelageral"/>
            </w:pPr>
          </w:p>
        </w:tc>
        <w:tc>
          <w:tcPr>
            <w:tcW w:w="1277" w:type="dxa"/>
            <w:gridSpan w:val="2"/>
            <w:tcBorders>
              <w:bottom w:val="nil"/>
            </w:tcBorders>
            <w:shd w:val="clear" w:color="auto" w:fill="auto"/>
          </w:tcPr>
          <w:p w14:paraId="566FB3E6" w14:textId="77777777" w:rsidR="00610E35" w:rsidRPr="005A7A8D" w:rsidRDefault="00610E35">
            <w:pPr>
              <w:pStyle w:val="08-Tabelageral"/>
              <w:ind w:left="113"/>
              <w:rPr>
                <w:rFonts w:cs="Arial"/>
                <w:szCs w:val="14"/>
              </w:rPr>
            </w:pPr>
            <w:r w:rsidRPr="001D5CEB">
              <w:t>1.575.774.256</w:t>
            </w:r>
          </w:p>
        </w:tc>
        <w:tc>
          <w:tcPr>
            <w:tcW w:w="876" w:type="dxa"/>
            <w:tcBorders>
              <w:bottom w:val="nil"/>
            </w:tcBorders>
            <w:shd w:val="clear" w:color="auto" w:fill="auto"/>
          </w:tcPr>
          <w:p w14:paraId="16555E64" w14:textId="77777777" w:rsidR="00610E35" w:rsidRPr="005A7A8D" w:rsidRDefault="00610E35">
            <w:pPr>
              <w:pStyle w:val="08-Tabelageral"/>
              <w:ind w:left="113"/>
              <w:rPr>
                <w:rFonts w:cs="Arial"/>
                <w:szCs w:val="14"/>
              </w:rPr>
            </w:pPr>
            <w:r w:rsidRPr="001D5CEB">
              <w:t>78,79</w:t>
            </w:r>
          </w:p>
        </w:tc>
      </w:tr>
      <w:tr w:rsidR="00610E35" w:rsidRPr="005A7A8D" w14:paraId="6BFE378D" w14:textId="77777777">
        <w:trPr>
          <w:trHeight w:val="238"/>
        </w:trPr>
        <w:tc>
          <w:tcPr>
            <w:tcW w:w="5006" w:type="dxa"/>
            <w:tcBorders>
              <w:top w:val="nil"/>
              <w:bottom w:val="single" w:sz="2" w:space="0" w:color="1F3864" w:themeColor="accent1" w:themeShade="80"/>
            </w:tcBorders>
            <w:shd w:val="clear" w:color="auto" w:fill="auto"/>
          </w:tcPr>
          <w:p w14:paraId="43759C6E" w14:textId="77777777" w:rsidR="00610E35" w:rsidRPr="005A7A8D" w:rsidRDefault="00610E35">
            <w:pPr>
              <w:pStyle w:val="070-TabelaPadro"/>
              <w:ind w:left="113"/>
              <w:jc w:val="left"/>
            </w:pPr>
            <w:r w:rsidRPr="005A7A8D">
              <w:t>Residentes no exterior</w:t>
            </w:r>
          </w:p>
        </w:tc>
        <w:tc>
          <w:tcPr>
            <w:tcW w:w="1373" w:type="dxa"/>
            <w:tcBorders>
              <w:top w:val="nil"/>
              <w:bottom w:val="single" w:sz="2" w:space="0" w:color="1F3864" w:themeColor="accent1" w:themeShade="80"/>
            </w:tcBorders>
            <w:shd w:val="clear" w:color="auto" w:fill="auto"/>
            <w:vAlign w:val="bottom"/>
          </w:tcPr>
          <w:p w14:paraId="11FEEDCC" w14:textId="77777777" w:rsidR="00610E35" w:rsidRPr="0045178B" w:rsidRDefault="00610E35">
            <w:pPr>
              <w:pStyle w:val="08-Tabelageral"/>
              <w:ind w:left="113"/>
            </w:pPr>
            <w:r w:rsidRPr="0045178B">
              <w:t>374.112.463</w:t>
            </w:r>
          </w:p>
        </w:tc>
        <w:tc>
          <w:tcPr>
            <w:tcW w:w="769" w:type="dxa"/>
            <w:tcBorders>
              <w:top w:val="nil"/>
              <w:bottom w:val="single" w:sz="2" w:space="0" w:color="1F3864" w:themeColor="accent1" w:themeShade="80"/>
            </w:tcBorders>
            <w:shd w:val="clear" w:color="auto" w:fill="auto"/>
            <w:vAlign w:val="bottom"/>
          </w:tcPr>
          <w:p w14:paraId="7BF569AC" w14:textId="091CD2F3" w:rsidR="00610E35" w:rsidRPr="0045178B" w:rsidRDefault="00610E35">
            <w:pPr>
              <w:pStyle w:val="08-Tabelageral"/>
              <w:ind w:left="113"/>
            </w:pPr>
            <w:r w:rsidRPr="0045178B">
              <w:t>18</w:t>
            </w:r>
            <w:r w:rsidR="000A2AF6">
              <w:t>,</w:t>
            </w:r>
            <w:r w:rsidRPr="0045178B">
              <w:t>71</w:t>
            </w:r>
          </w:p>
        </w:tc>
        <w:tc>
          <w:tcPr>
            <w:tcW w:w="338" w:type="dxa"/>
            <w:tcBorders>
              <w:top w:val="nil"/>
              <w:bottom w:val="single" w:sz="2" w:space="0" w:color="1F3864" w:themeColor="accent1" w:themeShade="80"/>
            </w:tcBorders>
            <w:shd w:val="clear" w:color="auto" w:fill="auto"/>
            <w:vAlign w:val="center"/>
          </w:tcPr>
          <w:p w14:paraId="10E3DF07" w14:textId="77777777" w:rsidR="00610E35" w:rsidRPr="005A7A8D" w:rsidRDefault="00610E35">
            <w:pPr>
              <w:pStyle w:val="08-Tabelageral"/>
            </w:pPr>
          </w:p>
        </w:tc>
        <w:tc>
          <w:tcPr>
            <w:tcW w:w="1277" w:type="dxa"/>
            <w:gridSpan w:val="2"/>
            <w:tcBorders>
              <w:top w:val="nil"/>
              <w:bottom w:val="single" w:sz="2" w:space="0" w:color="1F3864" w:themeColor="accent1" w:themeShade="80"/>
            </w:tcBorders>
            <w:shd w:val="clear" w:color="auto" w:fill="auto"/>
          </w:tcPr>
          <w:p w14:paraId="10EFC69E" w14:textId="77777777" w:rsidR="00610E35" w:rsidRPr="005A7A8D" w:rsidRDefault="00610E35">
            <w:pPr>
              <w:pStyle w:val="08-Tabelageral"/>
              <w:ind w:left="113"/>
              <w:rPr>
                <w:rFonts w:cs="Arial"/>
                <w:szCs w:val="14"/>
              </w:rPr>
            </w:pPr>
            <w:r w:rsidRPr="001D5CEB">
              <w:t>424.225.744</w:t>
            </w:r>
          </w:p>
        </w:tc>
        <w:tc>
          <w:tcPr>
            <w:tcW w:w="876" w:type="dxa"/>
            <w:tcBorders>
              <w:top w:val="nil"/>
              <w:bottom w:val="single" w:sz="2" w:space="0" w:color="1F3864" w:themeColor="accent1" w:themeShade="80"/>
            </w:tcBorders>
            <w:shd w:val="clear" w:color="auto" w:fill="auto"/>
          </w:tcPr>
          <w:p w14:paraId="59A36248" w14:textId="77777777" w:rsidR="00610E35" w:rsidRPr="005A7A8D" w:rsidRDefault="00610E35">
            <w:pPr>
              <w:pStyle w:val="08-Tabelageral"/>
              <w:ind w:left="113"/>
              <w:rPr>
                <w:rFonts w:cs="Arial"/>
                <w:szCs w:val="14"/>
              </w:rPr>
            </w:pPr>
            <w:r w:rsidRPr="001D5CEB">
              <w:t>21,21</w:t>
            </w:r>
          </w:p>
        </w:tc>
      </w:tr>
    </w:tbl>
    <w:p w14:paraId="12A5FC6F" w14:textId="77777777" w:rsidR="00610E35" w:rsidRDefault="00610E35" w:rsidP="00610E35">
      <w:pPr>
        <w:pStyle w:val="01-Textonormal"/>
        <w:rPr>
          <w:b/>
          <w:color w:val="1F3864" w:themeColor="accent1" w:themeShade="80"/>
        </w:rPr>
      </w:pPr>
    </w:p>
    <w:p w14:paraId="04D1EA7F" w14:textId="77777777" w:rsidR="00610E35" w:rsidRPr="005A2043" w:rsidRDefault="00610E35" w:rsidP="00610E35">
      <w:pPr>
        <w:pStyle w:val="01-Textonormal"/>
        <w:rPr>
          <w:b/>
          <w:color w:val="1F3864" w:themeColor="accent1" w:themeShade="80"/>
        </w:rPr>
      </w:pPr>
      <w:r>
        <w:rPr>
          <w:b/>
          <w:color w:val="1F3864" w:themeColor="accent1" w:themeShade="80"/>
        </w:rPr>
        <w:t>d</w:t>
      </w:r>
      <w:r w:rsidRPr="005A2043">
        <w:rPr>
          <w:b/>
          <w:color w:val="1F3864" w:themeColor="accent1" w:themeShade="80"/>
        </w:rPr>
        <w:t>) Capital Social</w:t>
      </w:r>
    </w:p>
    <w:p w14:paraId="041DB826" w14:textId="77777777" w:rsidR="00610E35" w:rsidRDefault="00610E35" w:rsidP="00610E35">
      <w:pPr>
        <w:pStyle w:val="05-Textonormal"/>
        <w:keepNext/>
      </w:pPr>
      <w:r w:rsidRPr="00126A32">
        <w:t xml:space="preserve">O Capital Social, </w:t>
      </w:r>
      <w:r w:rsidRPr="00D25D79">
        <w:rPr>
          <w:rFonts w:cs="Arial"/>
        </w:rPr>
        <w:t>totalmente subscrito e integralizado</w:t>
      </w:r>
      <w:r w:rsidRPr="00126A32">
        <w:t>, no montante de R$ 6.269.692</w:t>
      </w:r>
      <w:r w:rsidRPr="00126A32">
        <w:rPr>
          <w:rFonts w:cs="Arial"/>
          <w:color w:val="000000"/>
          <w:szCs w:val="14"/>
        </w:rPr>
        <w:t xml:space="preserve"> </w:t>
      </w:r>
      <w:r w:rsidRPr="00126A32">
        <w:t>mil em 3</w:t>
      </w:r>
      <w:r>
        <w:t>1</w:t>
      </w:r>
      <w:r w:rsidRPr="00126A32">
        <w:t>.</w:t>
      </w:r>
      <w:r>
        <w:t>12</w:t>
      </w:r>
      <w:r w:rsidRPr="00126A32">
        <w:t>.2024 e 31.12.2023, está dividido em 2.000.000.000 (dois bilhões) de ações ordinárias, representadas na forma escritural e sem valor nominal.</w:t>
      </w:r>
    </w:p>
    <w:p w14:paraId="032E2B27" w14:textId="77777777" w:rsidR="00610E35" w:rsidRPr="006D4483" w:rsidRDefault="00610E35" w:rsidP="00D5649F">
      <w:pPr>
        <w:pStyle w:val="05-Textonormal"/>
        <w:keepNext/>
        <w:rPr>
          <w:b/>
          <w:color w:val="1F3864" w:themeColor="accent1" w:themeShade="80"/>
        </w:rPr>
      </w:pPr>
      <w:r>
        <w:rPr>
          <w:b/>
          <w:color w:val="1F3864" w:themeColor="accent1" w:themeShade="80"/>
        </w:rPr>
        <w:t>e</w:t>
      </w:r>
      <w:r w:rsidRPr="00032BB5">
        <w:rPr>
          <w:b/>
          <w:color w:val="1F3864" w:themeColor="accent1" w:themeShade="80"/>
        </w:rPr>
        <w:t xml:space="preserve">) Reservas de Capital e </w:t>
      </w:r>
      <w:r>
        <w:rPr>
          <w:b/>
          <w:color w:val="1F3864" w:themeColor="accent1" w:themeShade="80"/>
        </w:rPr>
        <w:t xml:space="preserve">Reservas de </w:t>
      </w:r>
      <w:r w:rsidRPr="00032BB5">
        <w:rPr>
          <w:b/>
          <w:color w:val="1F3864" w:themeColor="accent1" w:themeShade="80"/>
        </w:rPr>
        <w:t>Lucros</w:t>
      </w:r>
    </w:p>
    <w:p w14:paraId="1D3A2421" w14:textId="77777777" w:rsidR="00610E35" w:rsidRPr="00D25D79" w:rsidRDefault="00610E35" w:rsidP="00610E35">
      <w:pPr>
        <w:spacing w:after="0"/>
        <w:jc w:val="right"/>
        <w:rPr>
          <w:rFonts w:ascii="Arial" w:hAnsi="Arial" w:cs="Arial"/>
          <w:b/>
          <w:sz w:val="14"/>
          <w:lang w:eastAsia="pt-BR"/>
        </w:rPr>
      </w:pPr>
      <w:r w:rsidRPr="00D25D79">
        <w:rPr>
          <w:rFonts w:ascii="Arial" w:hAnsi="Arial" w:cs="Arial"/>
          <w:b/>
          <w:sz w:val="14"/>
          <w:lang w:eastAsia="pt-BR"/>
        </w:rPr>
        <w:t>R$ mil</w:t>
      </w:r>
    </w:p>
    <w:tbl>
      <w:tblPr>
        <w:tblW w:w="9639" w:type="dxa"/>
        <w:tblBorders>
          <w:top w:val="single" w:sz="2" w:space="0" w:color="9CC2E5" w:themeColor="accent5" w:themeTint="99"/>
          <w:bottom w:val="single" w:sz="2" w:space="0" w:color="9CC2E5" w:themeColor="accent5" w:themeTint="99"/>
        </w:tblBorders>
        <w:shd w:val="clear" w:color="auto" w:fill="DEEAF6" w:themeFill="accent5" w:themeFillTint="33"/>
        <w:tblLook w:val="04A0" w:firstRow="1" w:lastRow="0" w:firstColumn="1" w:lastColumn="0" w:noHBand="0" w:noVBand="1"/>
      </w:tblPr>
      <w:tblGrid>
        <w:gridCol w:w="7088"/>
        <w:gridCol w:w="1276"/>
        <w:gridCol w:w="1275"/>
      </w:tblGrid>
      <w:tr w:rsidR="00610E35" w:rsidRPr="00EC0115" w14:paraId="20232F7B" w14:textId="77777777">
        <w:trPr>
          <w:trHeight w:val="238"/>
        </w:trPr>
        <w:tc>
          <w:tcPr>
            <w:tcW w:w="7088" w:type="dxa"/>
            <w:tcBorders>
              <w:top w:val="single" w:sz="2" w:space="0" w:color="1F3864" w:themeColor="accent1" w:themeShade="80"/>
              <w:bottom w:val="nil"/>
            </w:tcBorders>
            <w:shd w:val="clear" w:color="auto" w:fill="auto"/>
            <w:vAlign w:val="center"/>
          </w:tcPr>
          <w:p w14:paraId="5A88B8DE" w14:textId="77777777" w:rsidR="00610E35" w:rsidRPr="00EC0115" w:rsidRDefault="00610E35">
            <w:pPr>
              <w:spacing w:after="0"/>
              <w:jc w:val="center"/>
              <w:rPr>
                <w:rFonts w:ascii="Arial" w:hAnsi="Arial" w:cs="Arial"/>
                <w:b/>
                <w:sz w:val="18"/>
                <w:szCs w:val="18"/>
              </w:rPr>
            </w:pPr>
          </w:p>
        </w:tc>
        <w:tc>
          <w:tcPr>
            <w:tcW w:w="2551" w:type="dxa"/>
            <w:gridSpan w:val="2"/>
            <w:tcBorders>
              <w:top w:val="single" w:sz="2" w:space="0" w:color="1F3864" w:themeColor="accent1" w:themeShade="80"/>
              <w:bottom w:val="single" w:sz="2" w:space="0" w:color="1F3864" w:themeColor="accent1" w:themeShade="80"/>
            </w:tcBorders>
            <w:shd w:val="clear" w:color="auto" w:fill="auto"/>
            <w:vAlign w:val="center"/>
          </w:tcPr>
          <w:p w14:paraId="4A28F3F1" w14:textId="77777777" w:rsidR="00610E35" w:rsidRPr="00EC0115" w:rsidRDefault="00610E35">
            <w:pPr>
              <w:spacing w:after="0"/>
              <w:jc w:val="center"/>
              <w:rPr>
                <w:rFonts w:ascii="Arial" w:hAnsi="Arial" w:cs="Arial"/>
                <w:b/>
                <w:sz w:val="18"/>
                <w:szCs w:val="18"/>
              </w:rPr>
            </w:pPr>
            <w:r w:rsidRPr="00EC0115">
              <w:rPr>
                <w:rFonts w:ascii="Arial" w:hAnsi="Arial" w:cs="Arial"/>
                <w:b/>
                <w:sz w:val="14"/>
                <w:szCs w:val="18"/>
              </w:rPr>
              <w:t>Controlador e Consolidado</w:t>
            </w:r>
          </w:p>
        </w:tc>
      </w:tr>
      <w:tr w:rsidR="00610E35" w:rsidRPr="00EC0115" w14:paraId="42AD1B5F" w14:textId="77777777">
        <w:trPr>
          <w:trHeight w:val="238"/>
        </w:trPr>
        <w:tc>
          <w:tcPr>
            <w:tcW w:w="7088" w:type="dxa"/>
            <w:tcBorders>
              <w:top w:val="nil"/>
              <w:bottom w:val="single" w:sz="2" w:space="0" w:color="1F3864" w:themeColor="accent1" w:themeShade="80"/>
            </w:tcBorders>
            <w:shd w:val="clear" w:color="auto" w:fill="auto"/>
            <w:vAlign w:val="center"/>
          </w:tcPr>
          <w:p w14:paraId="00E14DBD" w14:textId="77777777" w:rsidR="00610E35" w:rsidRPr="00EC0115" w:rsidRDefault="00610E35">
            <w:pPr>
              <w:pStyle w:val="08-Tabelageral"/>
              <w:rPr>
                <w:rFonts w:cs="Arial"/>
                <w:b/>
              </w:rPr>
            </w:pPr>
          </w:p>
        </w:tc>
        <w:tc>
          <w:tcPr>
            <w:tcW w:w="1276" w:type="dxa"/>
            <w:tcBorders>
              <w:top w:val="single" w:sz="2" w:space="0" w:color="1F3864" w:themeColor="accent1" w:themeShade="80"/>
              <w:bottom w:val="single" w:sz="2" w:space="0" w:color="1F3864" w:themeColor="accent1" w:themeShade="80"/>
            </w:tcBorders>
            <w:shd w:val="clear" w:color="auto" w:fill="auto"/>
            <w:vAlign w:val="center"/>
          </w:tcPr>
          <w:p w14:paraId="5E700D25" w14:textId="77777777" w:rsidR="00610E35" w:rsidRPr="00EC0115" w:rsidRDefault="00610E35">
            <w:pPr>
              <w:pStyle w:val="08-Tabelageral"/>
              <w:rPr>
                <w:rFonts w:cs="Arial"/>
                <w:b/>
              </w:rPr>
            </w:pPr>
            <w:r w:rsidRPr="00EC0115">
              <w:rPr>
                <w:rFonts w:cs="Arial"/>
                <w:b/>
              </w:rPr>
              <w:t>3</w:t>
            </w:r>
            <w:r>
              <w:rPr>
                <w:rFonts w:cs="Arial"/>
                <w:b/>
              </w:rPr>
              <w:t>1</w:t>
            </w:r>
            <w:r w:rsidRPr="00EC0115">
              <w:rPr>
                <w:rFonts w:cs="Arial"/>
                <w:b/>
              </w:rPr>
              <w:t>.</w:t>
            </w:r>
            <w:r>
              <w:rPr>
                <w:rFonts w:cs="Arial"/>
                <w:b/>
              </w:rPr>
              <w:t>12</w:t>
            </w:r>
            <w:r w:rsidRPr="00EC0115">
              <w:rPr>
                <w:rFonts w:cs="Arial"/>
                <w:b/>
              </w:rPr>
              <w:t>.202</w:t>
            </w:r>
            <w:r>
              <w:rPr>
                <w:rFonts w:cs="Arial"/>
                <w:b/>
              </w:rPr>
              <w:t>4</w:t>
            </w:r>
          </w:p>
        </w:tc>
        <w:tc>
          <w:tcPr>
            <w:tcW w:w="1275" w:type="dxa"/>
            <w:tcBorders>
              <w:top w:val="single" w:sz="2" w:space="0" w:color="1F3864" w:themeColor="accent1" w:themeShade="80"/>
              <w:bottom w:val="single" w:sz="2" w:space="0" w:color="1F3864" w:themeColor="accent1" w:themeShade="80"/>
            </w:tcBorders>
            <w:shd w:val="clear" w:color="auto" w:fill="auto"/>
            <w:vAlign w:val="center"/>
          </w:tcPr>
          <w:p w14:paraId="0BB53B35" w14:textId="77777777" w:rsidR="00610E35" w:rsidRPr="00EC0115" w:rsidRDefault="00610E35">
            <w:pPr>
              <w:pStyle w:val="08-Tabelageral"/>
              <w:rPr>
                <w:rFonts w:cs="Arial"/>
                <w:b/>
              </w:rPr>
            </w:pPr>
            <w:r w:rsidRPr="00EC0115">
              <w:rPr>
                <w:rFonts w:cs="Arial"/>
                <w:b/>
              </w:rPr>
              <w:t>31.12.20</w:t>
            </w:r>
            <w:r>
              <w:rPr>
                <w:rFonts w:cs="Arial"/>
                <w:b/>
              </w:rPr>
              <w:t xml:space="preserve">23 </w:t>
            </w:r>
          </w:p>
        </w:tc>
      </w:tr>
      <w:tr w:rsidR="00610E35" w:rsidRPr="00EC0115" w14:paraId="33877701" w14:textId="77777777">
        <w:trPr>
          <w:trHeight w:val="238"/>
        </w:trPr>
        <w:tc>
          <w:tcPr>
            <w:tcW w:w="7088" w:type="dxa"/>
            <w:tcBorders>
              <w:top w:val="single" w:sz="2" w:space="0" w:color="1F3864" w:themeColor="accent1" w:themeShade="80"/>
            </w:tcBorders>
            <w:shd w:val="clear" w:color="auto" w:fill="auto"/>
          </w:tcPr>
          <w:p w14:paraId="05FFF16B" w14:textId="77777777" w:rsidR="00610E35" w:rsidRPr="00EC0115" w:rsidRDefault="00610E35">
            <w:pPr>
              <w:pStyle w:val="08-Tabelageral"/>
              <w:jc w:val="left"/>
              <w:rPr>
                <w:rFonts w:cs="Arial"/>
                <w:b/>
                <w:szCs w:val="14"/>
              </w:rPr>
            </w:pPr>
            <w:r w:rsidRPr="00EC0115">
              <w:rPr>
                <w:rFonts w:cs="Arial"/>
                <w:b/>
                <w:szCs w:val="14"/>
              </w:rPr>
              <w:t>Reservas de Capital</w:t>
            </w:r>
          </w:p>
        </w:tc>
        <w:tc>
          <w:tcPr>
            <w:tcW w:w="1276" w:type="dxa"/>
            <w:tcBorders>
              <w:top w:val="single" w:sz="2" w:space="0" w:color="1F3864" w:themeColor="accent1" w:themeShade="80"/>
            </w:tcBorders>
            <w:shd w:val="clear" w:color="auto" w:fill="auto"/>
            <w:vAlign w:val="center"/>
          </w:tcPr>
          <w:p w14:paraId="46DD4A8C" w14:textId="77777777" w:rsidR="00610E35" w:rsidRPr="00880E73" w:rsidRDefault="00610E35">
            <w:pPr>
              <w:pStyle w:val="08-Tabelageral"/>
              <w:ind w:left="113"/>
              <w:rPr>
                <w:rFonts w:cs="Arial"/>
                <w:b/>
                <w:bCs/>
                <w:szCs w:val="14"/>
              </w:rPr>
            </w:pPr>
            <w:r w:rsidRPr="00880E73">
              <w:rPr>
                <w:rFonts w:cs="Arial"/>
                <w:b/>
                <w:bCs/>
                <w:szCs w:val="14"/>
              </w:rPr>
              <w:t>978</w:t>
            </w:r>
          </w:p>
        </w:tc>
        <w:tc>
          <w:tcPr>
            <w:tcW w:w="1275" w:type="dxa"/>
            <w:tcBorders>
              <w:top w:val="single" w:sz="2" w:space="0" w:color="1F3864" w:themeColor="accent1" w:themeShade="80"/>
            </w:tcBorders>
            <w:shd w:val="clear" w:color="auto" w:fill="auto"/>
          </w:tcPr>
          <w:p w14:paraId="3281AAF0" w14:textId="77777777" w:rsidR="00610E35" w:rsidRPr="005D4359" w:rsidRDefault="00610E35">
            <w:pPr>
              <w:pStyle w:val="08-Tabelageral"/>
              <w:ind w:left="113"/>
              <w:rPr>
                <w:rFonts w:cs="Arial"/>
                <w:b/>
                <w:bCs/>
                <w:szCs w:val="14"/>
              </w:rPr>
            </w:pPr>
            <w:r w:rsidRPr="005D4359">
              <w:rPr>
                <w:b/>
                <w:bCs/>
              </w:rPr>
              <w:t>1.80</w:t>
            </w:r>
            <w:r>
              <w:rPr>
                <w:b/>
                <w:bCs/>
              </w:rPr>
              <w:t>5</w:t>
            </w:r>
          </w:p>
        </w:tc>
      </w:tr>
      <w:tr w:rsidR="00610E35" w:rsidRPr="00EC0115" w14:paraId="1B936448" w14:textId="77777777">
        <w:trPr>
          <w:trHeight w:val="238"/>
        </w:trPr>
        <w:tc>
          <w:tcPr>
            <w:tcW w:w="7088" w:type="dxa"/>
            <w:shd w:val="clear" w:color="auto" w:fill="auto"/>
          </w:tcPr>
          <w:p w14:paraId="6EED3595" w14:textId="77777777" w:rsidR="00610E35" w:rsidRPr="00EC0115" w:rsidRDefault="00610E35">
            <w:pPr>
              <w:pStyle w:val="08-Tabelageral"/>
              <w:jc w:val="left"/>
              <w:rPr>
                <w:rFonts w:cs="Arial"/>
                <w:b/>
                <w:szCs w:val="14"/>
              </w:rPr>
            </w:pPr>
            <w:r w:rsidRPr="00EC0115">
              <w:rPr>
                <w:rFonts w:cs="Arial"/>
                <w:b/>
                <w:szCs w:val="14"/>
              </w:rPr>
              <w:t>Reservas de Lucros</w:t>
            </w:r>
          </w:p>
        </w:tc>
        <w:tc>
          <w:tcPr>
            <w:tcW w:w="1276" w:type="dxa"/>
            <w:shd w:val="clear" w:color="auto" w:fill="auto"/>
          </w:tcPr>
          <w:p w14:paraId="1D2D7544" w14:textId="77777777" w:rsidR="00610E35" w:rsidRPr="00880E73" w:rsidRDefault="00610E35">
            <w:pPr>
              <w:pStyle w:val="08-Tabelageral"/>
              <w:ind w:left="113"/>
              <w:rPr>
                <w:rFonts w:cs="Arial"/>
                <w:b/>
                <w:bCs/>
                <w:szCs w:val="14"/>
              </w:rPr>
            </w:pPr>
            <w:r w:rsidRPr="00880E73">
              <w:rPr>
                <w:b/>
                <w:bCs/>
              </w:rPr>
              <w:t>6.039.189</w:t>
            </w:r>
          </w:p>
        </w:tc>
        <w:tc>
          <w:tcPr>
            <w:tcW w:w="1275" w:type="dxa"/>
            <w:shd w:val="clear" w:color="auto" w:fill="auto"/>
          </w:tcPr>
          <w:p w14:paraId="73F866F9" w14:textId="77777777" w:rsidR="00610E35" w:rsidRPr="005D4359" w:rsidRDefault="00610E35">
            <w:pPr>
              <w:pStyle w:val="08-Tabelageral"/>
              <w:ind w:left="113"/>
              <w:rPr>
                <w:rFonts w:cs="Arial"/>
                <w:b/>
                <w:bCs/>
                <w:szCs w:val="14"/>
              </w:rPr>
            </w:pPr>
            <w:r w:rsidRPr="005D4359">
              <w:rPr>
                <w:b/>
                <w:bCs/>
              </w:rPr>
              <w:t>4.446.836</w:t>
            </w:r>
          </w:p>
        </w:tc>
      </w:tr>
      <w:tr w:rsidR="00610E35" w:rsidRPr="00EC0115" w14:paraId="68125A3F" w14:textId="77777777">
        <w:trPr>
          <w:trHeight w:val="238"/>
        </w:trPr>
        <w:tc>
          <w:tcPr>
            <w:tcW w:w="7088" w:type="dxa"/>
            <w:tcBorders>
              <w:bottom w:val="nil"/>
            </w:tcBorders>
            <w:shd w:val="clear" w:color="auto" w:fill="auto"/>
          </w:tcPr>
          <w:p w14:paraId="007AE185" w14:textId="77777777" w:rsidR="00610E35" w:rsidRPr="00EC0115" w:rsidRDefault="00610E35">
            <w:pPr>
              <w:pStyle w:val="08-Tabelageral"/>
              <w:ind w:left="113"/>
              <w:jc w:val="left"/>
              <w:rPr>
                <w:rFonts w:cs="Arial"/>
                <w:szCs w:val="14"/>
              </w:rPr>
            </w:pPr>
            <w:r w:rsidRPr="00EC0115">
              <w:rPr>
                <w:rFonts w:cs="Arial"/>
                <w:szCs w:val="14"/>
              </w:rPr>
              <w:t>Reserva Legal</w:t>
            </w:r>
          </w:p>
        </w:tc>
        <w:tc>
          <w:tcPr>
            <w:tcW w:w="1276" w:type="dxa"/>
            <w:tcBorders>
              <w:bottom w:val="nil"/>
            </w:tcBorders>
            <w:shd w:val="clear" w:color="auto" w:fill="auto"/>
          </w:tcPr>
          <w:p w14:paraId="052A6A1C" w14:textId="77777777" w:rsidR="00610E35" w:rsidRPr="00880E73" w:rsidRDefault="00610E35">
            <w:pPr>
              <w:pStyle w:val="08-Tabelageral"/>
              <w:ind w:left="113"/>
              <w:rPr>
                <w:rFonts w:cs="Arial"/>
                <w:bCs/>
                <w:szCs w:val="14"/>
              </w:rPr>
            </w:pPr>
            <w:r w:rsidRPr="00880E73">
              <w:t>1.134.757</w:t>
            </w:r>
          </w:p>
        </w:tc>
        <w:tc>
          <w:tcPr>
            <w:tcW w:w="1275" w:type="dxa"/>
            <w:tcBorders>
              <w:bottom w:val="nil"/>
            </w:tcBorders>
            <w:shd w:val="clear" w:color="auto" w:fill="auto"/>
          </w:tcPr>
          <w:p w14:paraId="47356FE4" w14:textId="77777777" w:rsidR="00610E35" w:rsidRPr="00017C9D" w:rsidRDefault="00610E35">
            <w:pPr>
              <w:pStyle w:val="08-Tabelageral"/>
              <w:ind w:left="113"/>
              <w:rPr>
                <w:rFonts w:cs="Arial"/>
                <w:szCs w:val="14"/>
              </w:rPr>
            </w:pPr>
            <w:r w:rsidRPr="00F158CF">
              <w:t>699.589</w:t>
            </w:r>
          </w:p>
        </w:tc>
      </w:tr>
      <w:tr w:rsidR="00610E35" w:rsidRPr="004F183A" w14:paraId="08BE8024" w14:textId="77777777">
        <w:trPr>
          <w:trHeight w:val="238"/>
        </w:trPr>
        <w:tc>
          <w:tcPr>
            <w:tcW w:w="7088" w:type="dxa"/>
            <w:tcBorders>
              <w:top w:val="nil"/>
              <w:bottom w:val="single" w:sz="2" w:space="0" w:color="1F3864" w:themeColor="accent1" w:themeShade="80"/>
            </w:tcBorders>
            <w:shd w:val="clear" w:color="auto" w:fill="auto"/>
          </w:tcPr>
          <w:p w14:paraId="231D0A5D" w14:textId="77777777" w:rsidR="00610E35" w:rsidRPr="004F183A" w:rsidRDefault="00610E35">
            <w:pPr>
              <w:pStyle w:val="08-Tabelageral"/>
              <w:ind w:left="113"/>
              <w:jc w:val="left"/>
              <w:rPr>
                <w:rFonts w:cs="Arial"/>
                <w:szCs w:val="14"/>
              </w:rPr>
            </w:pPr>
            <w:r w:rsidRPr="004F183A">
              <w:rPr>
                <w:rFonts w:cs="Arial"/>
                <w:szCs w:val="14"/>
              </w:rPr>
              <w:t>Reserva Estatutária para Equalização da Remuneração de Capital</w:t>
            </w:r>
          </w:p>
        </w:tc>
        <w:tc>
          <w:tcPr>
            <w:tcW w:w="1276" w:type="dxa"/>
            <w:tcBorders>
              <w:top w:val="nil"/>
              <w:bottom w:val="single" w:sz="2" w:space="0" w:color="1F3864" w:themeColor="accent1" w:themeShade="80"/>
            </w:tcBorders>
            <w:shd w:val="clear" w:color="auto" w:fill="auto"/>
          </w:tcPr>
          <w:p w14:paraId="2C2365B5" w14:textId="77777777" w:rsidR="00610E35" w:rsidRPr="00880E73" w:rsidRDefault="00610E35">
            <w:pPr>
              <w:pStyle w:val="08-Tabelageral"/>
              <w:ind w:left="113"/>
              <w:rPr>
                <w:rFonts w:cs="Arial"/>
                <w:bCs/>
                <w:szCs w:val="14"/>
              </w:rPr>
            </w:pPr>
            <w:r w:rsidRPr="00880E73">
              <w:t>4.904.432</w:t>
            </w:r>
          </w:p>
        </w:tc>
        <w:tc>
          <w:tcPr>
            <w:tcW w:w="1275" w:type="dxa"/>
            <w:tcBorders>
              <w:top w:val="nil"/>
              <w:bottom w:val="single" w:sz="2" w:space="0" w:color="1F3864" w:themeColor="accent1" w:themeShade="80"/>
            </w:tcBorders>
            <w:shd w:val="clear" w:color="auto" w:fill="auto"/>
          </w:tcPr>
          <w:p w14:paraId="65019503" w14:textId="77777777" w:rsidR="00610E35" w:rsidRPr="004F183A" w:rsidRDefault="00610E35">
            <w:pPr>
              <w:pStyle w:val="08-Tabelageral"/>
              <w:ind w:left="113"/>
              <w:rPr>
                <w:rFonts w:cs="Arial"/>
                <w:szCs w:val="14"/>
              </w:rPr>
            </w:pPr>
            <w:r w:rsidRPr="00F158CF">
              <w:t>3.747.247</w:t>
            </w:r>
          </w:p>
        </w:tc>
      </w:tr>
    </w:tbl>
    <w:p w14:paraId="0F4695B6" w14:textId="77777777" w:rsidR="00610E35" w:rsidRDefault="00610E35" w:rsidP="00610E35">
      <w:pPr>
        <w:pStyle w:val="05-Textonormal"/>
        <w:keepNext/>
      </w:pPr>
      <w:r>
        <w:t>A Reserva de Capital é composta dos valores relativos a transações com pagamento baseado em ações, bem como de ganho ou perda na alienação de ações em tesouraria.</w:t>
      </w:r>
    </w:p>
    <w:p w14:paraId="21EA162D" w14:textId="77777777" w:rsidR="00610E35" w:rsidRDefault="00610E35" w:rsidP="00610E35">
      <w:pPr>
        <w:pStyle w:val="05-Textonormal"/>
        <w:shd w:val="clear" w:color="auto" w:fill="FFFFFF" w:themeFill="background1"/>
      </w:pPr>
      <w:r w:rsidRPr="00B4002E">
        <w:t xml:space="preserve">A </w:t>
      </w:r>
      <w:r>
        <w:t>R</w:t>
      </w:r>
      <w:r w:rsidRPr="00B4002E">
        <w:t xml:space="preserve">eserva </w:t>
      </w:r>
      <w:r>
        <w:t>L</w:t>
      </w:r>
      <w:r w:rsidRPr="00B4002E">
        <w:t xml:space="preserve">egal tem por finalidade assegurar a integridade do capital social e somente poderá ser utilizada para compensar prejuízos ou aumentar o capital social. Do lucro líquido apurado no </w:t>
      </w:r>
      <w:r>
        <w:t>exercício</w:t>
      </w:r>
      <w:r w:rsidRPr="00B4002E">
        <w:t>, 5% são aplicados, antes de qualquer outra destinação, na constituição da reserva legal, que não</w:t>
      </w:r>
      <w:r>
        <w:t xml:space="preserve"> excederá 20% do capital social. No exercício em que </w:t>
      </w:r>
      <w:r w:rsidRPr="00585800">
        <w:t>o saldo da reserva legal acrescido dos montantes das</w:t>
      </w:r>
      <w:r>
        <w:t xml:space="preserve"> </w:t>
      </w:r>
      <w:r w:rsidRPr="00585800">
        <w:t>reservas de capital exceder</w:t>
      </w:r>
      <w:r>
        <w:t xml:space="preserve"> </w:t>
      </w:r>
      <w:r w:rsidRPr="00585800">
        <w:t>30% do capital social</w:t>
      </w:r>
      <w:r>
        <w:t>, não será obrigatória a constituição de reserva legal.</w:t>
      </w:r>
    </w:p>
    <w:p w14:paraId="2C617286" w14:textId="77777777" w:rsidR="00610E35" w:rsidRDefault="00610E35" w:rsidP="00610E35">
      <w:pPr>
        <w:pStyle w:val="05-Textonormal"/>
        <w:shd w:val="clear" w:color="auto" w:fill="FFFFFF" w:themeFill="background1"/>
      </w:pPr>
      <w:r>
        <w:t>A Reserva Estatutária para Equalização da Remuneração de Capital tem por finalidade garantir recursos para pagamento de dividendos, inclusive na forma de juros sobre o capital próprio ou suas antecipações, limitada a 80% do valor do capital social, sendo formada com recursos equivalentes a até 50% do lucro líquido do exercício e decorrentes de antecipações de dividendos.</w:t>
      </w:r>
    </w:p>
    <w:p w14:paraId="31733EAB" w14:textId="77777777" w:rsidR="00610E35" w:rsidRPr="001241FA" w:rsidRDefault="00610E35" w:rsidP="00610E35">
      <w:pPr>
        <w:pStyle w:val="01-Textonormal"/>
        <w:rPr>
          <w:b/>
          <w:color w:val="1F3864" w:themeColor="accent1" w:themeShade="80"/>
        </w:rPr>
      </w:pPr>
      <w:r w:rsidRPr="001241FA">
        <w:rPr>
          <w:b/>
          <w:color w:val="1F3864" w:themeColor="accent1" w:themeShade="80"/>
        </w:rPr>
        <w:lastRenderedPageBreak/>
        <w:t>f) Ações em Tesouraria</w:t>
      </w:r>
    </w:p>
    <w:p w14:paraId="2D38049B" w14:textId="77777777" w:rsidR="00610E35" w:rsidRPr="004D3EC7" w:rsidRDefault="00610E35" w:rsidP="00610E35">
      <w:pPr>
        <w:pStyle w:val="01-Textonormal"/>
        <w:rPr>
          <w:b/>
          <w:bCs/>
          <w:color w:val="1F3864" w:themeColor="accent1" w:themeShade="80"/>
        </w:rPr>
      </w:pPr>
      <w:r>
        <w:rPr>
          <w:b/>
          <w:bCs/>
          <w:color w:val="1F3864" w:themeColor="accent1" w:themeShade="80"/>
        </w:rPr>
        <w:t>f</w:t>
      </w:r>
      <w:r w:rsidRPr="005D03D8">
        <w:rPr>
          <w:b/>
          <w:bCs/>
          <w:color w:val="1F3864" w:themeColor="accent1" w:themeShade="80"/>
        </w:rPr>
        <w:t>.</w:t>
      </w:r>
      <w:r>
        <w:rPr>
          <w:b/>
          <w:bCs/>
          <w:color w:val="1F3864" w:themeColor="accent1" w:themeShade="80"/>
        </w:rPr>
        <w:t>1</w:t>
      </w:r>
      <w:r w:rsidRPr="005D03D8">
        <w:rPr>
          <w:b/>
          <w:bCs/>
          <w:color w:val="1F3864" w:themeColor="accent1" w:themeShade="80"/>
        </w:rPr>
        <w:t>) Quantidade de Ações em Tesouraria</w:t>
      </w:r>
    </w:p>
    <w:tbl>
      <w:tblPr>
        <w:tblW w:w="9639" w:type="dxa"/>
        <w:tblBorders>
          <w:top w:val="single" w:sz="2" w:space="0" w:color="9CC2E5" w:themeColor="accent5" w:themeTint="99"/>
          <w:bottom w:val="single" w:sz="2" w:space="0" w:color="9CC2E5" w:themeColor="accent5" w:themeTint="99"/>
        </w:tblBorders>
        <w:shd w:val="clear" w:color="auto" w:fill="DEEAF6" w:themeFill="accent5" w:themeFillTint="33"/>
        <w:tblLook w:val="04A0" w:firstRow="1" w:lastRow="0" w:firstColumn="1" w:lastColumn="0" w:noHBand="0" w:noVBand="1"/>
      </w:tblPr>
      <w:tblGrid>
        <w:gridCol w:w="7088"/>
        <w:gridCol w:w="1276"/>
        <w:gridCol w:w="1275"/>
      </w:tblGrid>
      <w:tr w:rsidR="00610E35" w:rsidRPr="00C33C1B" w14:paraId="447AD7FA" w14:textId="77777777">
        <w:trPr>
          <w:trHeight w:val="238"/>
        </w:trPr>
        <w:tc>
          <w:tcPr>
            <w:tcW w:w="7088" w:type="dxa"/>
            <w:vMerge w:val="restart"/>
            <w:tcBorders>
              <w:top w:val="single" w:sz="2" w:space="0" w:color="1F3864" w:themeColor="accent1" w:themeShade="80"/>
              <w:bottom w:val="nil"/>
            </w:tcBorders>
            <w:shd w:val="clear" w:color="auto" w:fill="auto"/>
            <w:vAlign w:val="center"/>
          </w:tcPr>
          <w:p w14:paraId="59158A05" w14:textId="77777777" w:rsidR="00610E35" w:rsidRPr="00C33C1B" w:rsidRDefault="00610E35">
            <w:pPr>
              <w:spacing w:after="0"/>
              <w:rPr>
                <w:rFonts w:ascii="Arial" w:hAnsi="Arial" w:cs="Arial"/>
                <w:b/>
                <w:color w:val="000000" w:themeColor="text1"/>
                <w:sz w:val="14"/>
                <w:szCs w:val="14"/>
              </w:rPr>
            </w:pPr>
          </w:p>
        </w:tc>
        <w:tc>
          <w:tcPr>
            <w:tcW w:w="2551" w:type="dxa"/>
            <w:gridSpan w:val="2"/>
            <w:tcBorders>
              <w:top w:val="single" w:sz="2" w:space="0" w:color="1F3864" w:themeColor="accent1" w:themeShade="80"/>
              <w:bottom w:val="single" w:sz="2" w:space="0" w:color="1F3864" w:themeColor="accent1" w:themeShade="80"/>
            </w:tcBorders>
            <w:shd w:val="clear" w:color="auto" w:fill="auto"/>
            <w:vAlign w:val="center"/>
          </w:tcPr>
          <w:p w14:paraId="2A5CC83F" w14:textId="77777777" w:rsidR="00610E35" w:rsidRPr="00C33C1B" w:rsidRDefault="00610E35">
            <w:pPr>
              <w:spacing w:after="0"/>
              <w:jc w:val="center"/>
              <w:rPr>
                <w:rFonts w:ascii="Arial" w:hAnsi="Arial" w:cs="Arial"/>
                <w:b/>
                <w:color w:val="000000" w:themeColor="text1"/>
                <w:sz w:val="18"/>
                <w:szCs w:val="18"/>
              </w:rPr>
            </w:pPr>
            <w:r w:rsidRPr="00C33C1B">
              <w:rPr>
                <w:rFonts w:ascii="Arial" w:hAnsi="Arial" w:cs="Arial"/>
                <w:b/>
                <w:color w:val="000000" w:themeColor="text1"/>
                <w:sz w:val="14"/>
                <w:szCs w:val="18"/>
              </w:rPr>
              <w:t>Controlador e Consolidado</w:t>
            </w:r>
          </w:p>
        </w:tc>
      </w:tr>
      <w:tr w:rsidR="00610E35" w:rsidRPr="00C33C1B" w14:paraId="6650F7D1" w14:textId="77777777">
        <w:trPr>
          <w:trHeight w:val="238"/>
        </w:trPr>
        <w:tc>
          <w:tcPr>
            <w:tcW w:w="7088" w:type="dxa"/>
            <w:vMerge/>
            <w:tcBorders>
              <w:top w:val="nil"/>
              <w:bottom w:val="single" w:sz="2" w:space="0" w:color="1F3864" w:themeColor="accent1" w:themeShade="80"/>
            </w:tcBorders>
            <w:shd w:val="clear" w:color="auto" w:fill="auto"/>
          </w:tcPr>
          <w:p w14:paraId="37BC696A" w14:textId="77777777" w:rsidR="00610E35" w:rsidRPr="00C33C1B" w:rsidRDefault="00610E35">
            <w:pPr>
              <w:pStyle w:val="08-Tabelageral"/>
              <w:rPr>
                <w:rFonts w:cs="Arial"/>
                <w:b/>
                <w:color w:val="000000" w:themeColor="text1"/>
              </w:rPr>
            </w:pPr>
          </w:p>
        </w:tc>
        <w:tc>
          <w:tcPr>
            <w:tcW w:w="1276" w:type="dxa"/>
            <w:tcBorders>
              <w:top w:val="single" w:sz="2" w:space="0" w:color="1F3864" w:themeColor="accent1" w:themeShade="80"/>
              <w:bottom w:val="single" w:sz="2" w:space="0" w:color="1F3864" w:themeColor="accent1" w:themeShade="80"/>
            </w:tcBorders>
            <w:shd w:val="clear" w:color="auto" w:fill="auto"/>
          </w:tcPr>
          <w:p w14:paraId="5224C7F2" w14:textId="77777777" w:rsidR="00610E35" w:rsidRPr="00C33C1B" w:rsidRDefault="00610E35">
            <w:pPr>
              <w:pStyle w:val="08-Tabelageral"/>
              <w:rPr>
                <w:rFonts w:cs="Arial"/>
                <w:b/>
                <w:color w:val="000000" w:themeColor="text1"/>
              </w:rPr>
            </w:pPr>
            <w:r w:rsidRPr="00C33C1B">
              <w:rPr>
                <w:rFonts w:cs="Arial"/>
                <w:b/>
                <w:color w:val="000000" w:themeColor="text1"/>
              </w:rPr>
              <w:t>3</w:t>
            </w:r>
            <w:r>
              <w:rPr>
                <w:rFonts w:cs="Arial"/>
                <w:b/>
                <w:color w:val="000000" w:themeColor="text1"/>
              </w:rPr>
              <w:t>1</w:t>
            </w:r>
            <w:r w:rsidRPr="00C33C1B">
              <w:rPr>
                <w:rFonts w:cs="Arial"/>
                <w:b/>
                <w:color w:val="000000" w:themeColor="text1"/>
              </w:rPr>
              <w:t>.</w:t>
            </w:r>
            <w:r>
              <w:rPr>
                <w:rFonts w:cs="Arial"/>
                <w:b/>
                <w:color w:val="000000" w:themeColor="text1"/>
              </w:rPr>
              <w:t>12</w:t>
            </w:r>
            <w:r w:rsidRPr="00C33C1B">
              <w:rPr>
                <w:rFonts w:cs="Arial"/>
                <w:b/>
                <w:color w:val="000000" w:themeColor="text1"/>
              </w:rPr>
              <w:t>.2024</w:t>
            </w:r>
          </w:p>
        </w:tc>
        <w:tc>
          <w:tcPr>
            <w:tcW w:w="1275" w:type="dxa"/>
            <w:tcBorders>
              <w:top w:val="single" w:sz="2" w:space="0" w:color="1F3864" w:themeColor="accent1" w:themeShade="80"/>
              <w:bottom w:val="single" w:sz="2" w:space="0" w:color="1F3864" w:themeColor="accent1" w:themeShade="80"/>
            </w:tcBorders>
            <w:shd w:val="clear" w:color="auto" w:fill="auto"/>
          </w:tcPr>
          <w:p w14:paraId="681770D8" w14:textId="77777777" w:rsidR="00610E35" w:rsidRPr="00C33C1B" w:rsidRDefault="00610E35">
            <w:pPr>
              <w:pStyle w:val="08-Tabelageral"/>
              <w:rPr>
                <w:rFonts w:cs="Arial"/>
                <w:b/>
                <w:color w:val="000000" w:themeColor="text1"/>
              </w:rPr>
            </w:pPr>
            <w:r w:rsidRPr="00C33C1B">
              <w:rPr>
                <w:rFonts w:cs="Arial"/>
                <w:b/>
                <w:color w:val="000000" w:themeColor="text1"/>
              </w:rPr>
              <w:t>31.12.2023</w:t>
            </w:r>
          </w:p>
        </w:tc>
      </w:tr>
      <w:tr w:rsidR="00610E35" w:rsidRPr="00C33C1B" w14:paraId="2B47E5A7" w14:textId="77777777">
        <w:trPr>
          <w:trHeight w:val="238"/>
        </w:trPr>
        <w:tc>
          <w:tcPr>
            <w:tcW w:w="7088" w:type="dxa"/>
            <w:tcBorders>
              <w:top w:val="nil"/>
              <w:bottom w:val="single" w:sz="2" w:space="0" w:color="1F3864" w:themeColor="accent1" w:themeShade="80"/>
            </w:tcBorders>
            <w:shd w:val="clear" w:color="auto" w:fill="auto"/>
          </w:tcPr>
          <w:p w14:paraId="4B3FF59A" w14:textId="77777777" w:rsidR="00610E35" w:rsidRPr="00C33C1B" w:rsidRDefault="00610E35">
            <w:pPr>
              <w:pStyle w:val="08-Tabelageral"/>
              <w:jc w:val="left"/>
              <w:rPr>
                <w:color w:val="000000" w:themeColor="text1"/>
                <w:szCs w:val="14"/>
              </w:rPr>
            </w:pPr>
            <w:r w:rsidRPr="000308DB">
              <w:rPr>
                <w:rFonts w:cs="Arial"/>
                <w:b/>
                <w:color w:val="000000" w:themeColor="text1"/>
              </w:rPr>
              <w:t>Quantidade de Ações em Tesouraria</w:t>
            </w:r>
          </w:p>
        </w:tc>
        <w:tc>
          <w:tcPr>
            <w:tcW w:w="1276" w:type="dxa"/>
            <w:tcBorders>
              <w:top w:val="nil"/>
              <w:bottom w:val="single" w:sz="2" w:space="0" w:color="1F3864" w:themeColor="accent1" w:themeShade="80"/>
            </w:tcBorders>
            <w:shd w:val="clear" w:color="auto" w:fill="auto"/>
          </w:tcPr>
          <w:p w14:paraId="6FBDE544" w14:textId="77777777" w:rsidR="00610E35" w:rsidRPr="00C33C1B" w:rsidRDefault="00610E35">
            <w:pPr>
              <w:pStyle w:val="08-Tabelageral"/>
              <w:ind w:left="113"/>
              <w:rPr>
                <w:rFonts w:cs="Arial"/>
                <w:color w:val="000000" w:themeColor="text1"/>
                <w:szCs w:val="14"/>
              </w:rPr>
            </w:pPr>
            <w:r w:rsidRPr="00880E73">
              <w:rPr>
                <w:rFonts w:cs="Arial"/>
                <w:b/>
                <w:color w:val="000000" w:themeColor="text1"/>
                <w:szCs w:val="14"/>
              </w:rPr>
              <w:t>58.813.981</w:t>
            </w:r>
          </w:p>
        </w:tc>
        <w:tc>
          <w:tcPr>
            <w:tcW w:w="1275" w:type="dxa"/>
            <w:tcBorders>
              <w:top w:val="nil"/>
              <w:bottom w:val="single" w:sz="2" w:space="0" w:color="1F3864" w:themeColor="accent1" w:themeShade="80"/>
            </w:tcBorders>
            <w:shd w:val="clear" w:color="auto" w:fill="auto"/>
          </w:tcPr>
          <w:p w14:paraId="6311571D" w14:textId="77777777" w:rsidR="00610E35" w:rsidRPr="00C33C1B" w:rsidRDefault="00610E35">
            <w:pPr>
              <w:pStyle w:val="08-Tabelageral"/>
              <w:ind w:left="113"/>
              <w:rPr>
                <w:rFonts w:cs="Arial"/>
                <w:color w:val="000000" w:themeColor="text1"/>
                <w:szCs w:val="14"/>
              </w:rPr>
            </w:pPr>
            <w:r w:rsidRPr="00C33C1B">
              <w:rPr>
                <w:rFonts w:cs="Arial"/>
                <w:b/>
                <w:color w:val="000000" w:themeColor="text1"/>
                <w:szCs w:val="14"/>
              </w:rPr>
              <w:t>23.133.332</w:t>
            </w:r>
          </w:p>
        </w:tc>
      </w:tr>
    </w:tbl>
    <w:p w14:paraId="004203A6" w14:textId="77777777" w:rsidR="00610E35" w:rsidRPr="00C33C1B" w:rsidRDefault="00610E35" w:rsidP="00610E35">
      <w:pPr>
        <w:spacing w:before="120" w:after="120"/>
        <w:jc w:val="both"/>
        <w:rPr>
          <w:rFonts w:ascii="Arial" w:eastAsia="Times New Roman" w:hAnsi="Arial" w:cs="Times New Roman"/>
          <w:color w:val="000000" w:themeColor="text1"/>
          <w:spacing w:val="-2"/>
          <w:sz w:val="18"/>
          <w:szCs w:val="18"/>
          <w:lang w:eastAsia="pt-BR"/>
        </w:rPr>
      </w:pPr>
      <w:bookmarkStart w:id="128" w:name="_Hlk181118685"/>
      <w:r w:rsidRPr="00880E73">
        <w:rPr>
          <w:rFonts w:ascii="Arial" w:eastAsia="Times New Roman" w:hAnsi="Arial" w:cs="Times New Roman"/>
          <w:color w:val="000000" w:themeColor="text1"/>
          <w:spacing w:val="-2"/>
          <w:sz w:val="18"/>
          <w:szCs w:val="18"/>
          <w:lang w:eastAsia="pt-BR"/>
        </w:rPr>
        <w:t>O valor de custo das ações em tesouraria é de R$ 1.869.833 mil (</w:t>
      </w:r>
      <w:r w:rsidRPr="00880E73">
        <w:rPr>
          <w:rFonts w:ascii="Arial" w:eastAsia="Times New Roman" w:hAnsi="Arial" w:cs="Times New Roman"/>
          <w:spacing w:val="-2"/>
          <w:sz w:val="18"/>
          <w:szCs w:val="18"/>
          <w:lang w:eastAsia="pt-BR"/>
        </w:rPr>
        <w:t>R$ 703.773 mil em 31.12.2023)</w:t>
      </w:r>
      <w:r w:rsidRPr="00880E73">
        <w:rPr>
          <w:rFonts w:ascii="Arial" w:eastAsia="Times New Roman" w:hAnsi="Arial" w:cs="Times New Roman"/>
          <w:color w:val="000000" w:themeColor="text1"/>
          <w:spacing w:val="-2"/>
          <w:sz w:val="18"/>
          <w:szCs w:val="18"/>
          <w:lang w:eastAsia="pt-BR"/>
        </w:rPr>
        <w:t xml:space="preserve"> e o valor pela cotação em bolsa em 31.12.2024 é de R$ 2.127.890 mil (</w:t>
      </w:r>
      <w:r w:rsidRPr="00880E73">
        <w:rPr>
          <w:rFonts w:ascii="Arial" w:eastAsia="Times New Roman" w:hAnsi="Arial" w:cs="Times New Roman"/>
          <w:spacing w:val="-2"/>
          <w:sz w:val="18"/>
          <w:szCs w:val="18"/>
          <w:lang w:eastAsia="pt-BR"/>
        </w:rPr>
        <w:t>R$ 778.437 mil em 31.12.2023).</w:t>
      </w:r>
    </w:p>
    <w:bookmarkEnd w:id="128"/>
    <w:p w14:paraId="7F92B1D2" w14:textId="77777777" w:rsidR="00610E35" w:rsidRPr="007C733B" w:rsidRDefault="00610E35" w:rsidP="00610E35">
      <w:pPr>
        <w:pStyle w:val="01-TtulodeNota"/>
        <w:rPr>
          <w:color w:val="1F3864" w:themeColor="accent1" w:themeShade="80"/>
          <w:sz w:val="18"/>
          <w:szCs w:val="18"/>
        </w:rPr>
      </w:pPr>
      <w:r>
        <w:rPr>
          <w:color w:val="1F3864" w:themeColor="accent1" w:themeShade="80"/>
          <w:sz w:val="18"/>
          <w:szCs w:val="18"/>
        </w:rPr>
        <w:t>f</w:t>
      </w:r>
      <w:r w:rsidRPr="007C733B">
        <w:rPr>
          <w:color w:val="1F3864" w:themeColor="accent1" w:themeShade="80"/>
          <w:sz w:val="18"/>
          <w:szCs w:val="18"/>
        </w:rPr>
        <w:t>.</w:t>
      </w:r>
      <w:r>
        <w:rPr>
          <w:color w:val="1F3864" w:themeColor="accent1" w:themeShade="80"/>
          <w:sz w:val="18"/>
          <w:szCs w:val="18"/>
        </w:rPr>
        <w:t>2</w:t>
      </w:r>
      <w:r w:rsidRPr="007C733B">
        <w:rPr>
          <w:color w:val="1F3864" w:themeColor="accent1" w:themeShade="80"/>
          <w:sz w:val="18"/>
          <w:szCs w:val="18"/>
        </w:rPr>
        <w:t>) Pagamento Baseado em Ações – Programa de Remuneração Variável</w:t>
      </w:r>
    </w:p>
    <w:p w14:paraId="39BCC02C" w14:textId="77777777" w:rsidR="00610E35" w:rsidRDefault="00610E35" w:rsidP="00610E35">
      <w:pPr>
        <w:pStyle w:val="01-Textonormal"/>
      </w:pPr>
      <w:r w:rsidRPr="00022C69">
        <w:t>O Programa de Remuneração Variável da Diretoria</w:t>
      </w:r>
      <w:r>
        <w:t xml:space="preserve"> da BB Seguridade, com periodicidade anual, </w:t>
      </w:r>
      <w:r w:rsidRPr="00022C69">
        <w:t xml:space="preserve">prevê </w:t>
      </w:r>
      <w:r>
        <w:t xml:space="preserve">o pagamento de 50% </w:t>
      </w:r>
      <w:r w:rsidRPr="00022C69">
        <w:t>do valor total da remuneração variável em ações (BBSE3)</w:t>
      </w:r>
      <w:r>
        <w:t xml:space="preserve">, sendo </w:t>
      </w:r>
      <w:r w:rsidRPr="00022C69">
        <w:t xml:space="preserve">20% </w:t>
      </w:r>
      <w:r>
        <w:t>das ações</w:t>
      </w:r>
      <w:r w:rsidRPr="00022C69">
        <w:t xml:space="preserve"> </w:t>
      </w:r>
      <w:r>
        <w:t xml:space="preserve">transferidas </w:t>
      </w:r>
      <w:r w:rsidRPr="00022C69">
        <w:t xml:space="preserve">imediatamente para a titularidade do beneficiário e 80% </w:t>
      </w:r>
      <w:r>
        <w:t xml:space="preserve">das ações transferidas de forma </w:t>
      </w:r>
      <w:r w:rsidRPr="00022C69">
        <w:t>diferid</w:t>
      </w:r>
      <w:r>
        <w:t>a,</w:t>
      </w:r>
      <w:r w:rsidRPr="00022C69">
        <w:t xml:space="preserve"> pelo prazo de </w:t>
      </w:r>
      <w:r>
        <w:t>cinco</w:t>
      </w:r>
      <w:r w:rsidRPr="00022C69">
        <w:t xml:space="preserve"> anos.</w:t>
      </w:r>
      <w:r>
        <w:t xml:space="preserve"> </w:t>
      </w:r>
      <w:r w:rsidRPr="004F1E05">
        <w:t xml:space="preserve">A qualificação e a classificação dos </w:t>
      </w:r>
      <w:r>
        <w:t>a</w:t>
      </w:r>
      <w:r w:rsidRPr="004F1E05">
        <w:t>dministradores são feitas com base em indicadores que mensuram o atingimento das metas corporativas, condicionados à não redução significativa do resultado</w:t>
      </w:r>
      <w:r>
        <w:t>.</w:t>
      </w:r>
    </w:p>
    <w:p w14:paraId="19253C04" w14:textId="77777777" w:rsidR="00610E35" w:rsidRPr="0060259B" w:rsidRDefault="00610E35" w:rsidP="00610E35">
      <w:pPr>
        <w:pStyle w:val="050-TextoPadro"/>
        <w:pBdr>
          <w:top w:val="nil"/>
          <w:left w:val="nil"/>
          <w:bottom w:val="nil"/>
          <w:right w:val="nil"/>
          <w:between w:val="nil"/>
          <w:bar w:val="nil"/>
        </w:pBdr>
        <w:rPr>
          <w:rFonts w:eastAsia="Calibri"/>
        </w:rPr>
      </w:pPr>
      <w:r w:rsidRPr="0060259B">
        <w:rPr>
          <w:rFonts w:eastAsia="Calibri"/>
        </w:rPr>
        <w:t xml:space="preserve">A quantidade de ações destinada a cada participante é apurada mediante a divisão do valor líquido equivalente a 50% dos honorários a que fizer jus, a título de remuneração variável, pelo preço médio da ação na semana anterior à do pagamento. O preço médio é a média simples dos preços médios diários da semana anterior à do pagamento. </w:t>
      </w:r>
      <w:r w:rsidRPr="002E3480">
        <w:rPr>
          <w:spacing w:val="-2"/>
        </w:rPr>
        <w:t>Em março de 2024 foram pagas 26.951 ações, ao preço médio de R$ 32,86.</w:t>
      </w:r>
    </w:p>
    <w:p w14:paraId="447C2BBC" w14:textId="77777777" w:rsidR="00610E35" w:rsidRDefault="00610E35" w:rsidP="00610E35">
      <w:pPr>
        <w:pStyle w:val="01-Textonormal"/>
      </w:pPr>
      <w:r>
        <w:t>A</w:t>
      </w:r>
      <w:r w:rsidRPr="002F4CE3">
        <w:t xml:space="preserve"> BB Seguridade</w:t>
      </w:r>
      <w:r>
        <w:t xml:space="preserve"> possui autorização permanente da </w:t>
      </w:r>
      <w:r w:rsidRPr="002F4CE3">
        <w:t>Comissão de Valores Mobiliários (CVM)</w:t>
      </w:r>
      <w:r>
        <w:t>, concedida e</w:t>
      </w:r>
      <w:r w:rsidRPr="00C778FE">
        <w:t>m 13</w:t>
      </w:r>
      <w:r>
        <w:t>.11.</w:t>
      </w:r>
      <w:r w:rsidRPr="00C778FE">
        <w:t>2014</w:t>
      </w:r>
      <w:r>
        <w:t>,</w:t>
      </w:r>
      <w:r w:rsidRPr="002F4CE3">
        <w:t xml:space="preserve"> </w:t>
      </w:r>
      <w:r>
        <w:t xml:space="preserve">para efetuar a negociação privada de ações de sua própria emissão, com o intuito de suprir, por meio destas, o pagamento de parte da remuneração variável dos membros de sua Diretoria Executiva por meio de ações, </w:t>
      </w:r>
      <w:r w:rsidRPr="00B7250E">
        <w:t>sem a necess</w:t>
      </w:r>
      <w:r>
        <w:t xml:space="preserve">idade de submeter anualmente </w:t>
      </w:r>
      <w:r w:rsidRPr="00B7250E">
        <w:t>novas solicitações</w:t>
      </w:r>
      <w:r w:rsidRPr="008C3914">
        <w:t xml:space="preserve"> </w:t>
      </w:r>
      <w:r>
        <w:t>à</w:t>
      </w:r>
      <w:r w:rsidRPr="00B7250E">
        <w:t xml:space="preserve">quela </w:t>
      </w:r>
      <w:r>
        <w:t>autarquia.</w:t>
      </w:r>
    </w:p>
    <w:p w14:paraId="6AA6B3AB" w14:textId="77777777" w:rsidR="00610E35" w:rsidRPr="008B5496" w:rsidRDefault="00610E35" w:rsidP="00D5649F">
      <w:pPr>
        <w:pStyle w:val="05-Textonormal"/>
        <w:keepNext/>
        <w:keepLines/>
      </w:pPr>
      <w:r w:rsidRPr="005A5112">
        <w:t>A</w:t>
      </w:r>
      <w:r>
        <w:t xml:space="preserve">baixo, estão </w:t>
      </w:r>
      <w:r w:rsidRPr="008B5496">
        <w:t>apresentados os demonstrativos das ações distribuídas e a distribuir:</w:t>
      </w:r>
    </w:p>
    <w:tbl>
      <w:tblPr>
        <w:tblW w:w="9639" w:type="dxa"/>
        <w:tblBorders>
          <w:top w:val="single" w:sz="2" w:space="0" w:color="9CC2E5" w:themeColor="accent5" w:themeTint="99"/>
          <w:bottom w:val="single" w:sz="2" w:space="0" w:color="9CC2E5" w:themeColor="accent5" w:themeTint="99"/>
        </w:tblBorders>
        <w:shd w:val="clear" w:color="auto" w:fill="DEEAF6" w:themeFill="accent5" w:themeFillTint="33"/>
        <w:tblLook w:val="04A0" w:firstRow="1" w:lastRow="0" w:firstColumn="1" w:lastColumn="0" w:noHBand="0" w:noVBand="1"/>
      </w:tblPr>
      <w:tblGrid>
        <w:gridCol w:w="2629"/>
        <w:gridCol w:w="1388"/>
        <w:gridCol w:w="1424"/>
        <w:gridCol w:w="1384"/>
        <w:gridCol w:w="1505"/>
        <w:gridCol w:w="1309"/>
      </w:tblGrid>
      <w:tr w:rsidR="00610E35" w:rsidRPr="000A42FC" w14:paraId="14F29170" w14:textId="77777777">
        <w:trPr>
          <w:trHeight w:val="238"/>
        </w:trPr>
        <w:tc>
          <w:tcPr>
            <w:tcW w:w="2629" w:type="dxa"/>
            <w:tcBorders>
              <w:top w:val="single" w:sz="2" w:space="0" w:color="1F3864" w:themeColor="accent1" w:themeShade="80"/>
              <w:bottom w:val="single" w:sz="2" w:space="0" w:color="1F3864" w:themeColor="accent1" w:themeShade="80"/>
            </w:tcBorders>
            <w:shd w:val="clear" w:color="auto" w:fill="auto"/>
            <w:vAlign w:val="center"/>
          </w:tcPr>
          <w:p w14:paraId="1847A84D" w14:textId="77777777" w:rsidR="00610E35" w:rsidRPr="000A42FC" w:rsidRDefault="00610E35">
            <w:pPr>
              <w:pStyle w:val="08-Tabelageral"/>
              <w:jc w:val="center"/>
              <w:rPr>
                <w:b/>
              </w:rPr>
            </w:pPr>
          </w:p>
        </w:tc>
        <w:tc>
          <w:tcPr>
            <w:tcW w:w="1388" w:type="dxa"/>
            <w:tcBorders>
              <w:top w:val="single" w:sz="2" w:space="0" w:color="1F3864" w:themeColor="accent1" w:themeShade="80"/>
              <w:bottom w:val="single" w:sz="2" w:space="0" w:color="1F3864" w:themeColor="accent1" w:themeShade="80"/>
            </w:tcBorders>
            <w:shd w:val="clear" w:color="auto" w:fill="auto"/>
          </w:tcPr>
          <w:p w14:paraId="10104B25" w14:textId="77777777" w:rsidR="00610E35" w:rsidRPr="000A42FC" w:rsidRDefault="00610E35">
            <w:pPr>
              <w:pStyle w:val="08-Tabelageral"/>
              <w:rPr>
                <w:b/>
              </w:rPr>
            </w:pPr>
            <w:r w:rsidRPr="000A42FC">
              <w:rPr>
                <w:b/>
              </w:rPr>
              <w:t>Programa 2020</w:t>
            </w:r>
          </w:p>
        </w:tc>
        <w:tc>
          <w:tcPr>
            <w:tcW w:w="1424" w:type="dxa"/>
            <w:tcBorders>
              <w:top w:val="single" w:sz="2" w:space="0" w:color="1F3864" w:themeColor="accent1" w:themeShade="80"/>
              <w:bottom w:val="single" w:sz="2" w:space="0" w:color="1F3864" w:themeColor="accent1" w:themeShade="80"/>
            </w:tcBorders>
            <w:shd w:val="clear" w:color="auto" w:fill="auto"/>
          </w:tcPr>
          <w:p w14:paraId="5C1F949E" w14:textId="77777777" w:rsidR="00610E35" w:rsidRPr="000A42FC" w:rsidRDefault="00610E35">
            <w:pPr>
              <w:pStyle w:val="08-Tabelageral"/>
              <w:rPr>
                <w:b/>
              </w:rPr>
            </w:pPr>
            <w:r w:rsidRPr="000A42FC">
              <w:rPr>
                <w:b/>
              </w:rPr>
              <w:t>Programa 2021</w:t>
            </w:r>
          </w:p>
        </w:tc>
        <w:tc>
          <w:tcPr>
            <w:tcW w:w="1384" w:type="dxa"/>
            <w:tcBorders>
              <w:top w:val="single" w:sz="2" w:space="0" w:color="1F3864" w:themeColor="accent1" w:themeShade="80"/>
              <w:bottom w:val="single" w:sz="2" w:space="0" w:color="1F3864" w:themeColor="accent1" w:themeShade="80"/>
            </w:tcBorders>
            <w:shd w:val="clear" w:color="auto" w:fill="auto"/>
          </w:tcPr>
          <w:p w14:paraId="42956ADB" w14:textId="77777777" w:rsidR="00610E35" w:rsidRPr="000A42FC" w:rsidRDefault="00610E35">
            <w:pPr>
              <w:pStyle w:val="08-Tabelageral"/>
              <w:rPr>
                <w:b/>
              </w:rPr>
            </w:pPr>
            <w:r w:rsidRPr="000A42FC">
              <w:rPr>
                <w:b/>
              </w:rPr>
              <w:t>Programa 2022</w:t>
            </w:r>
          </w:p>
        </w:tc>
        <w:tc>
          <w:tcPr>
            <w:tcW w:w="1505" w:type="dxa"/>
            <w:tcBorders>
              <w:top w:val="single" w:sz="2" w:space="0" w:color="1F3864" w:themeColor="accent1" w:themeShade="80"/>
              <w:bottom w:val="single" w:sz="2" w:space="0" w:color="1F3864" w:themeColor="accent1" w:themeShade="80"/>
            </w:tcBorders>
            <w:shd w:val="clear" w:color="auto" w:fill="auto"/>
          </w:tcPr>
          <w:p w14:paraId="79313E41" w14:textId="77777777" w:rsidR="00610E35" w:rsidRPr="000A42FC" w:rsidRDefault="00610E35">
            <w:pPr>
              <w:pStyle w:val="08-Tabelageral"/>
              <w:rPr>
                <w:b/>
              </w:rPr>
            </w:pPr>
            <w:r w:rsidRPr="000A42FC">
              <w:rPr>
                <w:b/>
              </w:rPr>
              <w:t>Programa 2023</w:t>
            </w:r>
          </w:p>
        </w:tc>
        <w:tc>
          <w:tcPr>
            <w:tcW w:w="1309" w:type="dxa"/>
            <w:tcBorders>
              <w:top w:val="single" w:sz="2" w:space="0" w:color="1F3864" w:themeColor="accent1" w:themeShade="80"/>
              <w:bottom w:val="single" w:sz="2" w:space="0" w:color="1F3864" w:themeColor="accent1" w:themeShade="80"/>
            </w:tcBorders>
            <w:shd w:val="clear" w:color="auto" w:fill="auto"/>
            <w:vAlign w:val="center"/>
          </w:tcPr>
          <w:p w14:paraId="712E36A0" w14:textId="77777777" w:rsidR="00610E35" w:rsidRPr="000A42FC" w:rsidRDefault="00610E35">
            <w:pPr>
              <w:pStyle w:val="08-Tabelageral"/>
              <w:rPr>
                <w:b/>
              </w:rPr>
            </w:pPr>
            <w:r w:rsidRPr="000A42FC">
              <w:rPr>
                <w:b/>
              </w:rPr>
              <w:t>Total</w:t>
            </w:r>
          </w:p>
        </w:tc>
      </w:tr>
      <w:tr w:rsidR="00610E35" w:rsidRPr="000A42FC" w14:paraId="11BD4FD0" w14:textId="77777777">
        <w:trPr>
          <w:trHeight w:val="238"/>
        </w:trPr>
        <w:tc>
          <w:tcPr>
            <w:tcW w:w="2629" w:type="dxa"/>
            <w:tcBorders>
              <w:top w:val="single" w:sz="2" w:space="0" w:color="1F3864" w:themeColor="accent1" w:themeShade="80"/>
            </w:tcBorders>
            <w:shd w:val="clear" w:color="auto" w:fill="auto"/>
            <w:vAlign w:val="center"/>
          </w:tcPr>
          <w:p w14:paraId="38C22C29" w14:textId="77777777" w:rsidR="00610E35" w:rsidRPr="000A42FC" w:rsidRDefault="00610E35">
            <w:pPr>
              <w:pStyle w:val="070-TabelaPadro"/>
              <w:ind w:left="113"/>
              <w:jc w:val="left"/>
            </w:pPr>
            <w:r w:rsidRPr="000A42FC">
              <w:rPr>
                <w:lang w:eastAsia="en-US"/>
              </w:rPr>
              <w:t>Ações distribuídas</w:t>
            </w:r>
          </w:p>
        </w:tc>
        <w:tc>
          <w:tcPr>
            <w:tcW w:w="1388" w:type="dxa"/>
            <w:tcBorders>
              <w:top w:val="single" w:sz="2" w:space="0" w:color="1F3864" w:themeColor="accent1" w:themeShade="80"/>
            </w:tcBorders>
            <w:shd w:val="clear" w:color="auto" w:fill="auto"/>
          </w:tcPr>
          <w:p w14:paraId="0C24FCC3" w14:textId="77777777" w:rsidR="00610E35" w:rsidRPr="000A42FC" w:rsidRDefault="00610E35">
            <w:pPr>
              <w:pStyle w:val="08-Tabelageral"/>
              <w:ind w:left="113"/>
              <w:rPr>
                <w:rFonts w:cs="Arial"/>
                <w:bCs/>
                <w:szCs w:val="14"/>
              </w:rPr>
            </w:pPr>
            <w:r w:rsidRPr="000A42FC">
              <w:rPr>
                <w:rFonts w:cs="Arial"/>
                <w:bCs/>
                <w:szCs w:val="14"/>
              </w:rPr>
              <w:t>17.973</w:t>
            </w:r>
          </w:p>
        </w:tc>
        <w:tc>
          <w:tcPr>
            <w:tcW w:w="1424" w:type="dxa"/>
            <w:tcBorders>
              <w:top w:val="single" w:sz="2" w:space="0" w:color="1F3864" w:themeColor="accent1" w:themeShade="80"/>
            </w:tcBorders>
            <w:shd w:val="clear" w:color="auto" w:fill="auto"/>
          </w:tcPr>
          <w:p w14:paraId="02016C7B" w14:textId="77777777" w:rsidR="00610E35" w:rsidRPr="000A42FC" w:rsidRDefault="00610E35">
            <w:pPr>
              <w:pStyle w:val="08-Tabelageral"/>
              <w:ind w:left="113"/>
              <w:rPr>
                <w:rFonts w:cs="Arial"/>
                <w:bCs/>
                <w:szCs w:val="14"/>
              </w:rPr>
            </w:pPr>
            <w:r w:rsidRPr="000A42FC">
              <w:rPr>
                <w:rFonts w:cs="Arial"/>
                <w:bCs/>
                <w:szCs w:val="14"/>
                <w:lang w:eastAsia="en-US"/>
              </w:rPr>
              <w:t>15.124</w:t>
            </w:r>
          </w:p>
        </w:tc>
        <w:tc>
          <w:tcPr>
            <w:tcW w:w="1384" w:type="dxa"/>
            <w:tcBorders>
              <w:top w:val="single" w:sz="2" w:space="0" w:color="1F3864" w:themeColor="accent1" w:themeShade="80"/>
            </w:tcBorders>
            <w:shd w:val="clear" w:color="auto" w:fill="auto"/>
          </w:tcPr>
          <w:p w14:paraId="0BAB6189" w14:textId="77777777" w:rsidR="00610E35" w:rsidRPr="000A42FC" w:rsidRDefault="00610E35">
            <w:pPr>
              <w:pStyle w:val="08-Tabelageral"/>
              <w:ind w:left="113"/>
              <w:rPr>
                <w:rFonts w:cs="Arial"/>
                <w:bCs/>
                <w:szCs w:val="14"/>
              </w:rPr>
            </w:pPr>
            <w:r w:rsidRPr="000A42FC">
              <w:rPr>
                <w:rFonts w:cs="Arial"/>
                <w:bCs/>
                <w:szCs w:val="14"/>
              </w:rPr>
              <w:t>10.889</w:t>
            </w:r>
          </w:p>
        </w:tc>
        <w:tc>
          <w:tcPr>
            <w:tcW w:w="1505" w:type="dxa"/>
            <w:tcBorders>
              <w:top w:val="single" w:sz="2" w:space="0" w:color="1F3864" w:themeColor="accent1" w:themeShade="80"/>
            </w:tcBorders>
            <w:shd w:val="clear" w:color="auto" w:fill="auto"/>
          </w:tcPr>
          <w:p w14:paraId="48C976C0" w14:textId="77777777" w:rsidR="00610E35" w:rsidRPr="000A42FC" w:rsidRDefault="00610E35">
            <w:pPr>
              <w:pStyle w:val="08-Tabelageral"/>
              <w:ind w:left="113"/>
              <w:rPr>
                <w:rFonts w:cs="Arial"/>
                <w:bCs/>
                <w:szCs w:val="14"/>
              </w:rPr>
            </w:pPr>
            <w:r w:rsidRPr="000A42FC">
              <w:rPr>
                <w:rFonts w:cs="Arial"/>
                <w:bCs/>
                <w:szCs w:val="14"/>
              </w:rPr>
              <w:t>5.413</w:t>
            </w:r>
          </w:p>
        </w:tc>
        <w:tc>
          <w:tcPr>
            <w:tcW w:w="1309" w:type="dxa"/>
            <w:tcBorders>
              <w:top w:val="single" w:sz="2" w:space="0" w:color="1F3864" w:themeColor="accent1" w:themeShade="80"/>
            </w:tcBorders>
            <w:shd w:val="clear" w:color="auto" w:fill="auto"/>
          </w:tcPr>
          <w:p w14:paraId="73DD7423" w14:textId="77777777" w:rsidR="00610E35" w:rsidRPr="000A42FC" w:rsidRDefault="00610E35">
            <w:pPr>
              <w:pStyle w:val="08-Tabelageral"/>
              <w:ind w:left="113"/>
              <w:rPr>
                <w:rFonts w:cs="Arial"/>
                <w:b/>
                <w:szCs w:val="14"/>
              </w:rPr>
            </w:pPr>
            <w:r w:rsidRPr="000A42FC">
              <w:rPr>
                <w:rFonts w:cs="Arial"/>
                <w:b/>
                <w:szCs w:val="14"/>
              </w:rPr>
              <w:t>49.399</w:t>
            </w:r>
          </w:p>
        </w:tc>
      </w:tr>
      <w:tr w:rsidR="00610E35" w:rsidRPr="000A42FC" w14:paraId="13E2904B" w14:textId="77777777">
        <w:trPr>
          <w:trHeight w:val="238"/>
        </w:trPr>
        <w:tc>
          <w:tcPr>
            <w:tcW w:w="2629" w:type="dxa"/>
            <w:shd w:val="clear" w:color="auto" w:fill="auto"/>
          </w:tcPr>
          <w:p w14:paraId="26ABA406" w14:textId="77777777" w:rsidR="00610E35" w:rsidRPr="000A42FC" w:rsidRDefault="00610E35">
            <w:pPr>
              <w:pStyle w:val="070-TabelaPadro"/>
              <w:ind w:left="113"/>
              <w:jc w:val="left"/>
            </w:pPr>
            <w:r w:rsidRPr="000A42FC">
              <w:rPr>
                <w:lang w:eastAsia="en-US"/>
              </w:rPr>
              <w:t>Ações a distribuir</w:t>
            </w:r>
          </w:p>
        </w:tc>
        <w:tc>
          <w:tcPr>
            <w:tcW w:w="1388" w:type="dxa"/>
            <w:shd w:val="clear" w:color="auto" w:fill="auto"/>
          </w:tcPr>
          <w:p w14:paraId="21C03C45" w14:textId="77777777" w:rsidR="00610E35" w:rsidRPr="000A42FC" w:rsidRDefault="00610E35">
            <w:pPr>
              <w:pStyle w:val="08-Tabelageral"/>
              <w:ind w:left="113"/>
              <w:rPr>
                <w:rFonts w:cs="Arial"/>
                <w:bCs/>
                <w:szCs w:val="14"/>
              </w:rPr>
            </w:pPr>
            <w:r w:rsidRPr="000A42FC">
              <w:rPr>
                <w:rFonts w:cs="Arial"/>
                <w:bCs/>
                <w:szCs w:val="14"/>
              </w:rPr>
              <w:t>4.487</w:t>
            </w:r>
          </w:p>
        </w:tc>
        <w:tc>
          <w:tcPr>
            <w:tcW w:w="1424" w:type="dxa"/>
            <w:shd w:val="clear" w:color="auto" w:fill="auto"/>
          </w:tcPr>
          <w:p w14:paraId="66D4DE7C" w14:textId="77777777" w:rsidR="00610E35" w:rsidRPr="000A42FC" w:rsidRDefault="00610E35">
            <w:pPr>
              <w:pStyle w:val="08-Tabelageral"/>
              <w:ind w:left="113"/>
              <w:rPr>
                <w:rFonts w:cs="Arial"/>
                <w:bCs/>
                <w:szCs w:val="14"/>
              </w:rPr>
            </w:pPr>
            <w:r w:rsidRPr="000A42FC">
              <w:rPr>
                <w:rFonts w:cs="Arial"/>
                <w:bCs/>
                <w:szCs w:val="14"/>
              </w:rPr>
              <w:t>10.074</w:t>
            </w:r>
          </w:p>
        </w:tc>
        <w:tc>
          <w:tcPr>
            <w:tcW w:w="1384" w:type="dxa"/>
            <w:shd w:val="clear" w:color="auto" w:fill="auto"/>
          </w:tcPr>
          <w:p w14:paraId="0F681676" w14:textId="77777777" w:rsidR="00610E35" w:rsidRPr="000A42FC" w:rsidRDefault="00610E35">
            <w:pPr>
              <w:pStyle w:val="08-Tabelageral"/>
              <w:ind w:left="113"/>
              <w:rPr>
                <w:rFonts w:cs="Arial"/>
                <w:bCs/>
                <w:szCs w:val="14"/>
              </w:rPr>
            </w:pPr>
            <w:r w:rsidRPr="000A42FC">
              <w:rPr>
                <w:rFonts w:cs="Arial"/>
                <w:bCs/>
                <w:szCs w:val="14"/>
              </w:rPr>
              <w:t>16.314</w:t>
            </w:r>
          </w:p>
        </w:tc>
        <w:tc>
          <w:tcPr>
            <w:tcW w:w="1505" w:type="dxa"/>
            <w:shd w:val="clear" w:color="auto" w:fill="auto"/>
          </w:tcPr>
          <w:p w14:paraId="2732776C" w14:textId="77777777" w:rsidR="00610E35" w:rsidRPr="000A42FC" w:rsidRDefault="00610E35">
            <w:pPr>
              <w:pStyle w:val="08-Tabelageral"/>
              <w:ind w:left="113"/>
              <w:rPr>
                <w:rFonts w:cs="Arial"/>
                <w:bCs/>
                <w:szCs w:val="14"/>
              </w:rPr>
            </w:pPr>
            <w:r w:rsidRPr="000A42FC">
              <w:rPr>
                <w:rFonts w:cs="Arial"/>
                <w:bCs/>
                <w:szCs w:val="14"/>
              </w:rPr>
              <w:t>21.659</w:t>
            </w:r>
          </w:p>
        </w:tc>
        <w:tc>
          <w:tcPr>
            <w:tcW w:w="1309" w:type="dxa"/>
            <w:shd w:val="clear" w:color="auto" w:fill="auto"/>
          </w:tcPr>
          <w:p w14:paraId="561C39CF" w14:textId="77777777" w:rsidR="00610E35" w:rsidRPr="000A42FC" w:rsidRDefault="00610E35">
            <w:pPr>
              <w:pStyle w:val="08-Tabelageral"/>
              <w:ind w:left="113"/>
              <w:rPr>
                <w:rFonts w:cs="Arial"/>
                <w:b/>
                <w:szCs w:val="14"/>
              </w:rPr>
            </w:pPr>
            <w:r w:rsidRPr="000A42FC">
              <w:rPr>
                <w:rFonts w:cs="Arial"/>
                <w:b/>
                <w:szCs w:val="14"/>
              </w:rPr>
              <w:t>52.534</w:t>
            </w:r>
          </w:p>
        </w:tc>
      </w:tr>
      <w:tr w:rsidR="00610E35" w:rsidRPr="000A42FC" w14:paraId="63C67970" w14:textId="77777777">
        <w:trPr>
          <w:trHeight w:val="238"/>
        </w:trPr>
        <w:tc>
          <w:tcPr>
            <w:tcW w:w="2629" w:type="dxa"/>
            <w:shd w:val="clear" w:color="auto" w:fill="auto"/>
          </w:tcPr>
          <w:p w14:paraId="75C65BC5" w14:textId="77777777" w:rsidR="00610E35" w:rsidRPr="000A42FC" w:rsidRDefault="00610E35">
            <w:pPr>
              <w:pStyle w:val="070-TabelaPadro"/>
              <w:jc w:val="left"/>
              <w:rPr>
                <w:b/>
              </w:rPr>
            </w:pPr>
            <w:r w:rsidRPr="000A42FC">
              <w:rPr>
                <w:b/>
                <w:lang w:eastAsia="en-US"/>
              </w:rPr>
              <w:t>Total de Ações do Programa</w:t>
            </w:r>
          </w:p>
        </w:tc>
        <w:tc>
          <w:tcPr>
            <w:tcW w:w="1388" w:type="dxa"/>
            <w:shd w:val="clear" w:color="auto" w:fill="auto"/>
          </w:tcPr>
          <w:p w14:paraId="55BB7C31" w14:textId="77777777" w:rsidR="00610E35" w:rsidRPr="000A42FC" w:rsidRDefault="00610E35">
            <w:pPr>
              <w:pStyle w:val="08-Tabelageral"/>
              <w:ind w:left="113"/>
              <w:rPr>
                <w:rFonts w:cs="Arial"/>
                <w:b/>
                <w:szCs w:val="14"/>
              </w:rPr>
            </w:pPr>
            <w:r w:rsidRPr="000A42FC">
              <w:rPr>
                <w:rFonts w:cs="Arial"/>
                <w:b/>
                <w:szCs w:val="14"/>
                <w:lang w:eastAsia="en-US"/>
              </w:rPr>
              <w:t>22.460</w:t>
            </w:r>
          </w:p>
        </w:tc>
        <w:tc>
          <w:tcPr>
            <w:tcW w:w="1424" w:type="dxa"/>
            <w:shd w:val="clear" w:color="auto" w:fill="auto"/>
          </w:tcPr>
          <w:p w14:paraId="149845BC" w14:textId="77777777" w:rsidR="00610E35" w:rsidRPr="000A42FC" w:rsidRDefault="00610E35">
            <w:pPr>
              <w:pStyle w:val="08-Tabelageral"/>
              <w:ind w:left="113"/>
              <w:rPr>
                <w:rFonts w:cs="Arial"/>
                <w:b/>
                <w:szCs w:val="14"/>
              </w:rPr>
            </w:pPr>
            <w:r w:rsidRPr="000A42FC">
              <w:rPr>
                <w:rFonts w:cs="Arial"/>
                <w:b/>
                <w:szCs w:val="14"/>
                <w:lang w:eastAsia="en-US"/>
              </w:rPr>
              <w:t>25.198</w:t>
            </w:r>
          </w:p>
        </w:tc>
        <w:tc>
          <w:tcPr>
            <w:tcW w:w="1384" w:type="dxa"/>
            <w:shd w:val="clear" w:color="auto" w:fill="auto"/>
          </w:tcPr>
          <w:p w14:paraId="30B80049" w14:textId="77777777" w:rsidR="00610E35" w:rsidRPr="000A42FC" w:rsidRDefault="00610E35">
            <w:pPr>
              <w:pStyle w:val="08-Tabelageral"/>
              <w:ind w:left="113"/>
              <w:rPr>
                <w:rFonts w:cs="Arial"/>
                <w:b/>
                <w:szCs w:val="14"/>
              </w:rPr>
            </w:pPr>
            <w:r w:rsidRPr="000A42FC">
              <w:rPr>
                <w:rFonts w:cs="Arial"/>
                <w:b/>
                <w:szCs w:val="14"/>
              </w:rPr>
              <w:t>27.203</w:t>
            </w:r>
          </w:p>
        </w:tc>
        <w:tc>
          <w:tcPr>
            <w:tcW w:w="1505" w:type="dxa"/>
            <w:shd w:val="clear" w:color="auto" w:fill="auto"/>
          </w:tcPr>
          <w:p w14:paraId="1DEFB2D5" w14:textId="77777777" w:rsidR="00610E35" w:rsidRPr="000A42FC" w:rsidRDefault="00610E35">
            <w:pPr>
              <w:pStyle w:val="08-Tabelageral"/>
              <w:ind w:left="113"/>
              <w:rPr>
                <w:rFonts w:cs="Arial"/>
                <w:b/>
                <w:szCs w:val="14"/>
              </w:rPr>
            </w:pPr>
            <w:r w:rsidRPr="000A42FC">
              <w:rPr>
                <w:rFonts w:cs="Arial"/>
                <w:b/>
                <w:szCs w:val="14"/>
              </w:rPr>
              <w:t>27.072</w:t>
            </w:r>
          </w:p>
        </w:tc>
        <w:tc>
          <w:tcPr>
            <w:tcW w:w="1309" w:type="dxa"/>
            <w:shd w:val="clear" w:color="auto" w:fill="auto"/>
          </w:tcPr>
          <w:p w14:paraId="0FAC65B5" w14:textId="77777777" w:rsidR="00610E35" w:rsidRPr="000A42FC" w:rsidRDefault="00610E35">
            <w:pPr>
              <w:pStyle w:val="08-Tabelageral"/>
              <w:ind w:left="113"/>
              <w:rPr>
                <w:rFonts w:cs="Arial"/>
                <w:b/>
                <w:szCs w:val="14"/>
              </w:rPr>
            </w:pPr>
            <w:r w:rsidRPr="000A42FC">
              <w:rPr>
                <w:rFonts w:cs="Arial"/>
                <w:b/>
                <w:szCs w:val="14"/>
              </w:rPr>
              <w:t>101.933</w:t>
            </w:r>
          </w:p>
        </w:tc>
      </w:tr>
    </w:tbl>
    <w:p w14:paraId="502DAFBA" w14:textId="77777777" w:rsidR="00610E35" w:rsidRPr="000A42FC" w:rsidRDefault="00610E35" w:rsidP="00610E35">
      <w:pPr>
        <w:pStyle w:val="01-TtulodeNota"/>
        <w:shd w:val="clear" w:color="auto" w:fill="FFFFFF" w:themeFill="background1"/>
        <w:rPr>
          <w:sz w:val="18"/>
          <w:szCs w:val="18"/>
        </w:rPr>
      </w:pPr>
    </w:p>
    <w:tbl>
      <w:tblPr>
        <w:tblW w:w="9639" w:type="dxa"/>
        <w:tblBorders>
          <w:top w:val="single" w:sz="2" w:space="0" w:color="9CC2E5" w:themeColor="accent5" w:themeTint="99"/>
          <w:bottom w:val="single" w:sz="2" w:space="0" w:color="9CC2E5" w:themeColor="accent5" w:themeTint="99"/>
        </w:tblBorders>
        <w:shd w:val="clear" w:color="auto" w:fill="DEEAF6" w:themeFill="accent5" w:themeFillTint="33"/>
        <w:tblLook w:val="04A0" w:firstRow="1" w:lastRow="0" w:firstColumn="1" w:lastColumn="0" w:noHBand="0" w:noVBand="1"/>
      </w:tblPr>
      <w:tblGrid>
        <w:gridCol w:w="1985"/>
        <w:gridCol w:w="906"/>
        <w:gridCol w:w="1362"/>
        <w:gridCol w:w="1417"/>
        <w:gridCol w:w="1413"/>
        <w:gridCol w:w="1414"/>
        <w:gridCol w:w="1142"/>
      </w:tblGrid>
      <w:tr w:rsidR="00610E35" w:rsidRPr="000A42FC" w14:paraId="460FCB8E" w14:textId="77777777">
        <w:trPr>
          <w:trHeight w:val="238"/>
        </w:trPr>
        <w:tc>
          <w:tcPr>
            <w:tcW w:w="9639" w:type="dxa"/>
            <w:gridSpan w:val="7"/>
            <w:tcBorders>
              <w:top w:val="single" w:sz="2" w:space="0" w:color="1F3864" w:themeColor="accent1" w:themeShade="80"/>
              <w:bottom w:val="single" w:sz="2" w:space="0" w:color="1F3864" w:themeColor="accent1" w:themeShade="80"/>
            </w:tcBorders>
            <w:shd w:val="clear" w:color="auto" w:fill="auto"/>
          </w:tcPr>
          <w:p w14:paraId="03BB5DF2" w14:textId="77777777" w:rsidR="00610E35" w:rsidRPr="000A42FC" w:rsidRDefault="00610E35">
            <w:pPr>
              <w:pStyle w:val="08-Tabelageral"/>
              <w:ind w:left="113"/>
              <w:jc w:val="center"/>
              <w:rPr>
                <w:b/>
              </w:rPr>
            </w:pPr>
            <w:r w:rsidRPr="000A42FC">
              <w:rPr>
                <w:b/>
              </w:rPr>
              <w:t>Cronograma Estimado de Transferências</w:t>
            </w:r>
          </w:p>
        </w:tc>
      </w:tr>
      <w:tr w:rsidR="00610E35" w:rsidRPr="000A42FC" w14:paraId="751CE330" w14:textId="77777777">
        <w:trPr>
          <w:trHeight w:val="238"/>
        </w:trPr>
        <w:tc>
          <w:tcPr>
            <w:tcW w:w="1985" w:type="dxa"/>
            <w:tcBorders>
              <w:top w:val="single" w:sz="2" w:space="0" w:color="1F3864" w:themeColor="accent1" w:themeShade="80"/>
            </w:tcBorders>
            <w:shd w:val="clear" w:color="auto" w:fill="auto"/>
          </w:tcPr>
          <w:p w14:paraId="6700DABA" w14:textId="77777777" w:rsidR="00610E35" w:rsidRPr="000A42FC" w:rsidRDefault="00610E35">
            <w:pPr>
              <w:pStyle w:val="070-TabelaPadro"/>
              <w:spacing w:line="276" w:lineRule="auto"/>
              <w:jc w:val="left"/>
            </w:pPr>
          </w:p>
        </w:tc>
        <w:tc>
          <w:tcPr>
            <w:tcW w:w="906" w:type="dxa"/>
            <w:tcBorders>
              <w:top w:val="single" w:sz="2" w:space="0" w:color="1F3864" w:themeColor="accent1" w:themeShade="80"/>
            </w:tcBorders>
            <w:shd w:val="clear" w:color="auto" w:fill="auto"/>
          </w:tcPr>
          <w:p w14:paraId="26D4111A" w14:textId="77777777" w:rsidR="00610E35" w:rsidRPr="000A42FC" w:rsidRDefault="00610E35">
            <w:pPr>
              <w:pStyle w:val="08-Tabelageral"/>
              <w:ind w:left="113"/>
              <w:rPr>
                <w:rFonts w:cs="Arial"/>
                <w:b/>
                <w:bCs/>
                <w:szCs w:val="14"/>
              </w:rPr>
            </w:pPr>
            <w:r w:rsidRPr="000A42FC">
              <w:rPr>
                <w:rFonts w:cs="Arial"/>
                <w:b/>
                <w:bCs/>
                <w:szCs w:val="14"/>
              </w:rPr>
              <w:t>Período</w:t>
            </w:r>
          </w:p>
        </w:tc>
        <w:tc>
          <w:tcPr>
            <w:tcW w:w="1362" w:type="dxa"/>
            <w:tcBorders>
              <w:top w:val="single" w:sz="2" w:space="0" w:color="1F3864" w:themeColor="accent1" w:themeShade="80"/>
            </w:tcBorders>
            <w:shd w:val="clear" w:color="auto" w:fill="auto"/>
          </w:tcPr>
          <w:p w14:paraId="30A0CBC4" w14:textId="77777777" w:rsidR="00610E35" w:rsidRPr="000A42FC" w:rsidRDefault="00610E35">
            <w:pPr>
              <w:pStyle w:val="08-Tabelageral"/>
              <w:ind w:left="113"/>
              <w:rPr>
                <w:rFonts w:cs="Arial"/>
                <w:szCs w:val="14"/>
              </w:rPr>
            </w:pPr>
            <w:r w:rsidRPr="000A42FC">
              <w:rPr>
                <w:b/>
              </w:rPr>
              <w:t>Programa 2020</w:t>
            </w:r>
          </w:p>
        </w:tc>
        <w:tc>
          <w:tcPr>
            <w:tcW w:w="1417" w:type="dxa"/>
            <w:tcBorders>
              <w:top w:val="single" w:sz="2" w:space="0" w:color="1F3864" w:themeColor="accent1" w:themeShade="80"/>
            </w:tcBorders>
            <w:shd w:val="clear" w:color="auto" w:fill="auto"/>
          </w:tcPr>
          <w:p w14:paraId="23B5F652" w14:textId="77777777" w:rsidR="00610E35" w:rsidRPr="000A42FC" w:rsidRDefault="00610E35">
            <w:pPr>
              <w:pStyle w:val="08-Tabelageral"/>
              <w:ind w:left="113"/>
              <w:rPr>
                <w:rFonts w:cs="Arial"/>
                <w:szCs w:val="14"/>
              </w:rPr>
            </w:pPr>
            <w:r w:rsidRPr="000A42FC">
              <w:rPr>
                <w:b/>
              </w:rPr>
              <w:t>Programa 2021</w:t>
            </w:r>
          </w:p>
        </w:tc>
        <w:tc>
          <w:tcPr>
            <w:tcW w:w="1413" w:type="dxa"/>
            <w:tcBorders>
              <w:top w:val="single" w:sz="2" w:space="0" w:color="1F3864" w:themeColor="accent1" w:themeShade="80"/>
            </w:tcBorders>
            <w:shd w:val="clear" w:color="auto" w:fill="auto"/>
          </w:tcPr>
          <w:p w14:paraId="16B772A5" w14:textId="77777777" w:rsidR="00610E35" w:rsidRPr="000A42FC" w:rsidRDefault="00610E35">
            <w:pPr>
              <w:pStyle w:val="08-Tabelageral"/>
              <w:ind w:left="113"/>
              <w:rPr>
                <w:rFonts w:cs="Arial"/>
                <w:szCs w:val="14"/>
              </w:rPr>
            </w:pPr>
            <w:r w:rsidRPr="000A42FC">
              <w:rPr>
                <w:b/>
              </w:rPr>
              <w:t>Programa 2022</w:t>
            </w:r>
          </w:p>
        </w:tc>
        <w:tc>
          <w:tcPr>
            <w:tcW w:w="1414" w:type="dxa"/>
            <w:tcBorders>
              <w:top w:val="single" w:sz="2" w:space="0" w:color="1F3864" w:themeColor="accent1" w:themeShade="80"/>
            </w:tcBorders>
            <w:shd w:val="clear" w:color="auto" w:fill="auto"/>
          </w:tcPr>
          <w:p w14:paraId="16B5E907" w14:textId="77777777" w:rsidR="00610E35" w:rsidRPr="000A42FC" w:rsidRDefault="00610E35">
            <w:pPr>
              <w:pStyle w:val="08-Tabelageral"/>
              <w:ind w:left="113"/>
              <w:rPr>
                <w:rFonts w:cs="Arial"/>
                <w:szCs w:val="14"/>
              </w:rPr>
            </w:pPr>
            <w:r w:rsidRPr="000A42FC">
              <w:rPr>
                <w:b/>
              </w:rPr>
              <w:t>Programa 2023</w:t>
            </w:r>
          </w:p>
        </w:tc>
        <w:tc>
          <w:tcPr>
            <w:tcW w:w="1142" w:type="dxa"/>
            <w:tcBorders>
              <w:top w:val="single" w:sz="2" w:space="0" w:color="1F3864" w:themeColor="accent1" w:themeShade="80"/>
            </w:tcBorders>
            <w:shd w:val="clear" w:color="auto" w:fill="auto"/>
          </w:tcPr>
          <w:p w14:paraId="5BB97726" w14:textId="77777777" w:rsidR="00610E35" w:rsidRPr="000A42FC" w:rsidRDefault="00610E35">
            <w:pPr>
              <w:pStyle w:val="08-Tabelageral"/>
              <w:ind w:left="113"/>
              <w:rPr>
                <w:b/>
              </w:rPr>
            </w:pPr>
            <w:r w:rsidRPr="000A42FC">
              <w:rPr>
                <w:b/>
              </w:rPr>
              <w:t>Total</w:t>
            </w:r>
          </w:p>
        </w:tc>
      </w:tr>
      <w:tr w:rsidR="00610E35" w:rsidRPr="000A42FC" w14:paraId="73718EA1" w14:textId="77777777">
        <w:trPr>
          <w:trHeight w:val="238"/>
        </w:trPr>
        <w:tc>
          <w:tcPr>
            <w:tcW w:w="1985" w:type="dxa"/>
            <w:shd w:val="clear" w:color="auto" w:fill="auto"/>
          </w:tcPr>
          <w:p w14:paraId="7044A856" w14:textId="77777777" w:rsidR="00610E35" w:rsidRPr="000A42FC" w:rsidRDefault="00610E35">
            <w:pPr>
              <w:pStyle w:val="070-TabelaPadro"/>
              <w:ind w:left="113"/>
              <w:jc w:val="left"/>
              <w:rPr>
                <w:lang w:eastAsia="en-US"/>
              </w:rPr>
            </w:pPr>
            <w:r w:rsidRPr="000A42FC">
              <w:rPr>
                <w:lang w:eastAsia="en-US"/>
              </w:rPr>
              <w:t>Ações a distribuir</w:t>
            </w:r>
          </w:p>
        </w:tc>
        <w:tc>
          <w:tcPr>
            <w:tcW w:w="906" w:type="dxa"/>
            <w:shd w:val="clear" w:color="auto" w:fill="auto"/>
          </w:tcPr>
          <w:p w14:paraId="14FAEDD8" w14:textId="77777777" w:rsidR="00610E35" w:rsidRPr="000A42FC" w:rsidRDefault="00610E35">
            <w:pPr>
              <w:pStyle w:val="08-Tabelageral"/>
              <w:ind w:left="113"/>
              <w:rPr>
                <w:rFonts w:cs="Arial"/>
                <w:bCs/>
                <w:szCs w:val="14"/>
              </w:rPr>
            </w:pPr>
            <w:r w:rsidRPr="000A42FC">
              <w:rPr>
                <w:rFonts w:cs="Arial"/>
                <w:bCs/>
                <w:szCs w:val="14"/>
                <w:lang w:eastAsia="en-US"/>
              </w:rPr>
              <w:t>03.2025</w:t>
            </w:r>
          </w:p>
        </w:tc>
        <w:tc>
          <w:tcPr>
            <w:tcW w:w="1362" w:type="dxa"/>
            <w:shd w:val="clear" w:color="auto" w:fill="auto"/>
          </w:tcPr>
          <w:p w14:paraId="79834205" w14:textId="77777777" w:rsidR="00610E35" w:rsidRPr="000A42FC" w:rsidRDefault="00610E35">
            <w:pPr>
              <w:pStyle w:val="08-Tabelageral"/>
              <w:ind w:left="113"/>
              <w:rPr>
                <w:rFonts w:cs="Arial"/>
                <w:bCs/>
                <w:szCs w:val="14"/>
              </w:rPr>
            </w:pPr>
            <w:r w:rsidRPr="000A42FC">
              <w:rPr>
                <w:rFonts w:cs="Arial"/>
                <w:bCs/>
                <w:szCs w:val="14"/>
                <w:lang w:eastAsia="en-US"/>
              </w:rPr>
              <w:t>4.487</w:t>
            </w:r>
          </w:p>
        </w:tc>
        <w:tc>
          <w:tcPr>
            <w:tcW w:w="1417" w:type="dxa"/>
            <w:shd w:val="clear" w:color="auto" w:fill="auto"/>
          </w:tcPr>
          <w:p w14:paraId="3B88AFC1" w14:textId="77777777" w:rsidR="00610E35" w:rsidRPr="000A42FC" w:rsidRDefault="00610E35">
            <w:pPr>
              <w:pStyle w:val="08-Tabelageral"/>
              <w:ind w:left="113"/>
              <w:rPr>
                <w:rFonts w:cs="Arial"/>
                <w:bCs/>
                <w:szCs w:val="14"/>
              </w:rPr>
            </w:pPr>
            <w:r w:rsidRPr="000A42FC">
              <w:rPr>
                <w:rFonts w:cs="Arial"/>
                <w:bCs/>
                <w:szCs w:val="14"/>
              </w:rPr>
              <w:t>5.037</w:t>
            </w:r>
          </w:p>
        </w:tc>
        <w:tc>
          <w:tcPr>
            <w:tcW w:w="1413" w:type="dxa"/>
            <w:shd w:val="clear" w:color="auto" w:fill="auto"/>
          </w:tcPr>
          <w:p w14:paraId="05CB555C" w14:textId="77777777" w:rsidR="00610E35" w:rsidRPr="000A42FC" w:rsidRDefault="00610E35">
            <w:pPr>
              <w:pStyle w:val="08-Tabelageral"/>
              <w:ind w:left="113"/>
              <w:rPr>
                <w:rFonts w:cs="Arial"/>
                <w:bCs/>
                <w:szCs w:val="14"/>
              </w:rPr>
            </w:pPr>
            <w:r w:rsidRPr="000A42FC">
              <w:rPr>
                <w:rFonts w:cs="Arial"/>
                <w:bCs/>
                <w:szCs w:val="14"/>
              </w:rPr>
              <w:t>5.438</w:t>
            </w:r>
          </w:p>
        </w:tc>
        <w:tc>
          <w:tcPr>
            <w:tcW w:w="1414" w:type="dxa"/>
            <w:shd w:val="clear" w:color="auto" w:fill="auto"/>
          </w:tcPr>
          <w:p w14:paraId="64966085" w14:textId="77777777" w:rsidR="00610E35" w:rsidRPr="000A42FC" w:rsidRDefault="00610E35">
            <w:pPr>
              <w:pStyle w:val="08-Tabelageral"/>
              <w:ind w:left="113"/>
              <w:rPr>
                <w:rFonts w:cs="Arial"/>
                <w:bCs/>
                <w:szCs w:val="14"/>
              </w:rPr>
            </w:pPr>
            <w:r w:rsidRPr="000A42FC">
              <w:rPr>
                <w:rFonts w:cs="Arial"/>
                <w:bCs/>
                <w:szCs w:val="14"/>
              </w:rPr>
              <w:t>8.120</w:t>
            </w:r>
          </w:p>
        </w:tc>
        <w:tc>
          <w:tcPr>
            <w:tcW w:w="1142" w:type="dxa"/>
            <w:shd w:val="clear" w:color="auto" w:fill="auto"/>
            <w:vAlign w:val="bottom"/>
          </w:tcPr>
          <w:p w14:paraId="7801ADB2" w14:textId="77777777" w:rsidR="00610E35" w:rsidRPr="000A42FC" w:rsidRDefault="00610E35">
            <w:pPr>
              <w:pStyle w:val="08-Tabelageral"/>
              <w:ind w:left="113"/>
              <w:rPr>
                <w:rFonts w:cs="Arial"/>
                <w:bCs/>
                <w:szCs w:val="14"/>
              </w:rPr>
            </w:pPr>
            <w:r w:rsidRPr="000A42FC">
              <w:rPr>
                <w:rFonts w:cs="Arial"/>
                <w:bCs/>
                <w:szCs w:val="14"/>
              </w:rPr>
              <w:t>23.082</w:t>
            </w:r>
          </w:p>
        </w:tc>
      </w:tr>
      <w:tr w:rsidR="00610E35" w:rsidRPr="000A42FC" w14:paraId="5B1B0B8A" w14:textId="77777777">
        <w:trPr>
          <w:trHeight w:val="238"/>
        </w:trPr>
        <w:tc>
          <w:tcPr>
            <w:tcW w:w="1985" w:type="dxa"/>
            <w:shd w:val="clear" w:color="auto" w:fill="auto"/>
          </w:tcPr>
          <w:p w14:paraId="6679B830" w14:textId="77777777" w:rsidR="00610E35" w:rsidRPr="000A42FC" w:rsidRDefault="00610E35">
            <w:pPr>
              <w:pStyle w:val="070-TabelaPadro"/>
              <w:ind w:left="113"/>
              <w:jc w:val="left"/>
              <w:rPr>
                <w:lang w:eastAsia="en-US"/>
              </w:rPr>
            </w:pPr>
            <w:r w:rsidRPr="000A42FC">
              <w:rPr>
                <w:lang w:eastAsia="en-US"/>
              </w:rPr>
              <w:t>Ações a distribuir</w:t>
            </w:r>
          </w:p>
        </w:tc>
        <w:tc>
          <w:tcPr>
            <w:tcW w:w="906" w:type="dxa"/>
            <w:shd w:val="clear" w:color="auto" w:fill="auto"/>
          </w:tcPr>
          <w:p w14:paraId="669BF376" w14:textId="77777777" w:rsidR="00610E35" w:rsidRPr="000A42FC" w:rsidRDefault="00610E35">
            <w:pPr>
              <w:pStyle w:val="08-Tabelageral"/>
              <w:ind w:left="113"/>
              <w:rPr>
                <w:rFonts w:cs="Arial"/>
                <w:bCs/>
                <w:szCs w:val="14"/>
              </w:rPr>
            </w:pPr>
            <w:r w:rsidRPr="000A42FC">
              <w:rPr>
                <w:rFonts w:cs="Arial"/>
                <w:bCs/>
                <w:szCs w:val="14"/>
                <w:lang w:eastAsia="en-US"/>
              </w:rPr>
              <w:t>03.2026</w:t>
            </w:r>
          </w:p>
        </w:tc>
        <w:tc>
          <w:tcPr>
            <w:tcW w:w="1362" w:type="dxa"/>
            <w:shd w:val="clear" w:color="auto" w:fill="auto"/>
          </w:tcPr>
          <w:p w14:paraId="07D7D089" w14:textId="77777777" w:rsidR="00610E35" w:rsidRPr="000A42FC" w:rsidRDefault="00610E35">
            <w:pPr>
              <w:pStyle w:val="08-Tabelageral"/>
              <w:ind w:left="113"/>
              <w:rPr>
                <w:rFonts w:cs="Arial"/>
                <w:bCs/>
                <w:szCs w:val="14"/>
              </w:rPr>
            </w:pPr>
            <w:r w:rsidRPr="000A42FC">
              <w:rPr>
                <w:rFonts w:cs="Arial"/>
                <w:bCs/>
                <w:szCs w:val="14"/>
                <w:lang w:eastAsia="en-US"/>
              </w:rPr>
              <w:t>--</w:t>
            </w:r>
          </w:p>
        </w:tc>
        <w:tc>
          <w:tcPr>
            <w:tcW w:w="1417" w:type="dxa"/>
            <w:shd w:val="clear" w:color="auto" w:fill="auto"/>
          </w:tcPr>
          <w:p w14:paraId="7D67C300" w14:textId="77777777" w:rsidR="00610E35" w:rsidRPr="000A42FC" w:rsidRDefault="00610E35">
            <w:pPr>
              <w:pStyle w:val="08-Tabelageral"/>
              <w:ind w:left="113"/>
              <w:rPr>
                <w:rFonts w:cs="Arial"/>
                <w:bCs/>
                <w:szCs w:val="14"/>
              </w:rPr>
            </w:pPr>
            <w:r w:rsidRPr="000A42FC">
              <w:rPr>
                <w:rFonts w:cs="Arial"/>
                <w:szCs w:val="14"/>
              </w:rPr>
              <w:t>5.037</w:t>
            </w:r>
          </w:p>
        </w:tc>
        <w:tc>
          <w:tcPr>
            <w:tcW w:w="1413" w:type="dxa"/>
            <w:shd w:val="clear" w:color="auto" w:fill="auto"/>
          </w:tcPr>
          <w:p w14:paraId="10B0CFCA" w14:textId="77777777" w:rsidR="00610E35" w:rsidRPr="000A42FC" w:rsidRDefault="00610E35">
            <w:pPr>
              <w:pStyle w:val="08-Tabelageral"/>
              <w:ind w:left="113"/>
              <w:rPr>
                <w:rFonts w:cs="Arial"/>
                <w:bCs/>
                <w:szCs w:val="14"/>
              </w:rPr>
            </w:pPr>
            <w:r w:rsidRPr="000A42FC">
              <w:rPr>
                <w:rFonts w:cs="Arial"/>
                <w:bCs/>
                <w:szCs w:val="14"/>
              </w:rPr>
              <w:t>5.438</w:t>
            </w:r>
          </w:p>
        </w:tc>
        <w:tc>
          <w:tcPr>
            <w:tcW w:w="1414" w:type="dxa"/>
            <w:shd w:val="clear" w:color="auto" w:fill="auto"/>
          </w:tcPr>
          <w:p w14:paraId="6A20245D" w14:textId="77777777" w:rsidR="00610E35" w:rsidRPr="000A42FC" w:rsidRDefault="00610E35">
            <w:pPr>
              <w:pStyle w:val="08-Tabelageral"/>
              <w:ind w:left="113"/>
              <w:rPr>
                <w:rFonts w:cs="Arial"/>
                <w:bCs/>
                <w:szCs w:val="14"/>
              </w:rPr>
            </w:pPr>
            <w:r w:rsidRPr="000A42FC">
              <w:rPr>
                <w:rFonts w:cs="Arial"/>
                <w:bCs/>
                <w:szCs w:val="14"/>
              </w:rPr>
              <w:t>5.413</w:t>
            </w:r>
          </w:p>
        </w:tc>
        <w:tc>
          <w:tcPr>
            <w:tcW w:w="1142" w:type="dxa"/>
            <w:shd w:val="clear" w:color="auto" w:fill="auto"/>
            <w:vAlign w:val="bottom"/>
          </w:tcPr>
          <w:p w14:paraId="6E1FF586" w14:textId="77777777" w:rsidR="00610E35" w:rsidRPr="000A42FC" w:rsidRDefault="00610E35">
            <w:pPr>
              <w:pStyle w:val="08-Tabelageral"/>
              <w:ind w:left="113"/>
              <w:rPr>
                <w:rFonts w:cs="Arial"/>
                <w:bCs/>
                <w:szCs w:val="14"/>
              </w:rPr>
            </w:pPr>
            <w:r w:rsidRPr="000A42FC">
              <w:rPr>
                <w:rFonts w:cs="Arial"/>
                <w:bCs/>
                <w:szCs w:val="14"/>
              </w:rPr>
              <w:t>15.888</w:t>
            </w:r>
          </w:p>
        </w:tc>
      </w:tr>
      <w:tr w:rsidR="00610E35" w:rsidRPr="000A42FC" w14:paraId="37180475" w14:textId="77777777">
        <w:trPr>
          <w:trHeight w:val="238"/>
        </w:trPr>
        <w:tc>
          <w:tcPr>
            <w:tcW w:w="1985" w:type="dxa"/>
            <w:shd w:val="clear" w:color="auto" w:fill="auto"/>
          </w:tcPr>
          <w:p w14:paraId="3796A2B2" w14:textId="77777777" w:rsidR="00610E35" w:rsidRPr="000A42FC" w:rsidRDefault="00610E35">
            <w:pPr>
              <w:pStyle w:val="070-TabelaPadro"/>
              <w:ind w:left="113"/>
              <w:jc w:val="left"/>
              <w:rPr>
                <w:lang w:eastAsia="en-US"/>
              </w:rPr>
            </w:pPr>
            <w:r w:rsidRPr="000A42FC">
              <w:rPr>
                <w:lang w:eastAsia="en-US"/>
              </w:rPr>
              <w:t>Ações a distribuir</w:t>
            </w:r>
          </w:p>
        </w:tc>
        <w:tc>
          <w:tcPr>
            <w:tcW w:w="906" w:type="dxa"/>
            <w:shd w:val="clear" w:color="auto" w:fill="auto"/>
          </w:tcPr>
          <w:p w14:paraId="28EC6048" w14:textId="77777777" w:rsidR="00610E35" w:rsidRPr="000A42FC" w:rsidRDefault="00610E35">
            <w:pPr>
              <w:pStyle w:val="08-Tabelageral"/>
              <w:ind w:left="113"/>
              <w:rPr>
                <w:rFonts w:cs="Arial"/>
                <w:bCs/>
                <w:szCs w:val="14"/>
              </w:rPr>
            </w:pPr>
            <w:r w:rsidRPr="000A42FC">
              <w:rPr>
                <w:rFonts w:cs="Arial"/>
                <w:bCs/>
                <w:szCs w:val="14"/>
                <w:lang w:eastAsia="en-US"/>
              </w:rPr>
              <w:t>03.2027</w:t>
            </w:r>
          </w:p>
        </w:tc>
        <w:tc>
          <w:tcPr>
            <w:tcW w:w="1362" w:type="dxa"/>
            <w:shd w:val="clear" w:color="auto" w:fill="auto"/>
          </w:tcPr>
          <w:p w14:paraId="0F3666ED" w14:textId="77777777" w:rsidR="00610E35" w:rsidRPr="000A42FC" w:rsidRDefault="00610E35">
            <w:pPr>
              <w:pStyle w:val="08-Tabelageral"/>
              <w:ind w:left="113"/>
              <w:rPr>
                <w:rFonts w:cs="Arial"/>
                <w:bCs/>
                <w:szCs w:val="14"/>
              </w:rPr>
            </w:pPr>
            <w:r w:rsidRPr="000A42FC">
              <w:rPr>
                <w:rFonts w:cs="Arial"/>
                <w:bCs/>
                <w:szCs w:val="14"/>
                <w:lang w:eastAsia="en-US"/>
              </w:rPr>
              <w:t>--</w:t>
            </w:r>
          </w:p>
        </w:tc>
        <w:tc>
          <w:tcPr>
            <w:tcW w:w="1417" w:type="dxa"/>
            <w:shd w:val="clear" w:color="auto" w:fill="auto"/>
          </w:tcPr>
          <w:p w14:paraId="3517517D" w14:textId="77777777" w:rsidR="00610E35" w:rsidRPr="000A42FC" w:rsidRDefault="00610E35">
            <w:pPr>
              <w:pStyle w:val="08-Tabelageral"/>
              <w:ind w:left="113"/>
              <w:rPr>
                <w:rFonts w:cs="Arial"/>
                <w:bCs/>
                <w:szCs w:val="14"/>
              </w:rPr>
            </w:pPr>
            <w:r w:rsidRPr="000A42FC">
              <w:rPr>
                <w:rFonts w:cs="Arial"/>
                <w:bCs/>
                <w:szCs w:val="14"/>
                <w:lang w:eastAsia="en-US"/>
              </w:rPr>
              <w:t>--</w:t>
            </w:r>
          </w:p>
        </w:tc>
        <w:tc>
          <w:tcPr>
            <w:tcW w:w="1413" w:type="dxa"/>
            <w:shd w:val="clear" w:color="auto" w:fill="auto"/>
          </w:tcPr>
          <w:p w14:paraId="5A9DF583" w14:textId="77777777" w:rsidR="00610E35" w:rsidRPr="000A42FC" w:rsidRDefault="00610E35">
            <w:pPr>
              <w:pStyle w:val="08-Tabelageral"/>
              <w:ind w:left="113"/>
              <w:rPr>
                <w:rFonts w:cs="Arial"/>
                <w:bCs/>
                <w:szCs w:val="14"/>
              </w:rPr>
            </w:pPr>
            <w:r w:rsidRPr="000A42FC">
              <w:rPr>
                <w:rFonts w:cs="Arial"/>
                <w:bCs/>
                <w:szCs w:val="14"/>
              </w:rPr>
              <w:t>5.438</w:t>
            </w:r>
          </w:p>
        </w:tc>
        <w:tc>
          <w:tcPr>
            <w:tcW w:w="1414" w:type="dxa"/>
            <w:shd w:val="clear" w:color="auto" w:fill="auto"/>
          </w:tcPr>
          <w:p w14:paraId="78E078E7" w14:textId="77777777" w:rsidR="00610E35" w:rsidRPr="000A42FC" w:rsidRDefault="00610E35">
            <w:pPr>
              <w:pStyle w:val="08-Tabelageral"/>
              <w:ind w:left="113"/>
              <w:rPr>
                <w:rFonts w:cs="Arial"/>
                <w:bCs/>
                <w:szCs w:val="14"/>
              </w:rPr>
            </w:pPr>
            <w:r w:rsidRPr="000A42FC">
              <w:rPr>
                <w:rFonts w:cs="Arial"/>
                <w:bCs/>
                <w:szCs w:val="14"/>
              </w:rPr>
              <w:t>3.789</w:t>
            </w:r>
          </w:p>
        </w:tc>
        <w:tc>
          <w:tcPr>
            <w:tcW w:w="1142" w:type="dxa"/>
            <w:shd w:val="clear" w:color="auto" w:fill="auto"/>
            <w:vAlign w:val="bottom"/>
          </w:tcPr>
          <w:p w14:paraId="568B3FB6" w14:textId="77777777" w:rsidR="00610E35" w:rsidRPr="000A42FC" w:rsidRDefault="00610E35">
            <w:pPr>
              <w:pStyle w:val="08-Tabelageral"/>
              <w:ind w:left="113"/>
              <w:rPr>
                <w:rFonts w:cs="Arial"/>
                <w:bCs/>
                <w:szCs w:val="14"/>
              </w:rPr>
            </w:pPr>
            <w:r w:rsidRPr="000A42FC">
              <w:rPr>
                <w:rFonts w:cs="Arial"/>
                <w:bCs/>
                <w:szCs w:val="14"/>
              </w:rPr>
              <w:t>9.227</w:t>
            </w:r>
          </w:p>
        </w:tc>
      </w:tr>
      <w:tr w:rsidR="00610E35" w:rsidRPr="000A42FC" w14:paraId="70124C76" w14:textId="77777777">
        <w:trPr>
          <w:trHeight w:val="238"/>
        </w:trPr>
        <w:tc>
          <w:tcPr>
            <w:tcW w:w="1985" w:type="dxa"/>
            <w:shd w:val="clear" w:color="auto" w:fill="auto"/>
          </w:tcPr>
          <w:p w14:paraId="2F6FC017" w14:textId="77777777" w:rsidR="00610E35" w:rsidRPr="000A42FC" w:rsidRDefault="00610E35">
            <w:pPr>
              <w:pStyle w:val="070-TabelaPadro"/>
              <w:ind w:left="113"/>
              <w:jc w:val="left"/>
              <w:rPr>
                <w:lang w:eastAsia="en-US"/>
              </w:rPr>
            </w:pPr>
            <w:r w:rsidRPr="000A42FC">
              <w:rPr>
                <w:lang w:eastAsia="en-US"/>
              </w:rPr>
              <w:t>Ações a distribuir</w:t>
            </w:r>
          </w:p>
        </w:tc>
        <w:tc>
          <w:tcPr>
            <w:tcW w:w="906" w:type="dxa"/>
            <w:shd w:val="clear" w:color="auto" w:fill="auto"/>
          </w:tcPr>
          <w:p w14:paraId="6D29060C" w14:textId="77777777" w:rsidR="00610E35" w:rsidRPr="000A42FC" w:rsidRDefault="00610E35">
            <w:pPr>
              <w:pStyle w:val="08-Tabelageral"/>
              <w:ind w:left="113"/>
              <w:rPr>
                <w:rFonts w:cs="Arial"/>
                <w:bCs/>
                <w:szCs w:val="14"/>
              </w:rPr>
            </w:pPr>
            <w:r w:rsidRPr="000A42FC">
              <w:rPr>
                <w:rFonts w:cs="Arial"/>
                <w:bCs/>
                <w:szCs w:val="14"/>
                <w:lang w:eastAsia="en-US"/>
              </w:rPr>
              <w:t>03.2028</w:t>
            </w:r>
          </w:p>
        </w:tc>
        <w:tc>
          <w:tcPr>
            <w:tcW w:w="1362" w:type="dxa"/>
            <w:shd w:val="clear" w:color="auto" w:fill="auto"/>
          </w:tcPr>
          <w:p w14:paraId="59D9F670" w14:textId="77777777" w:rsidR="00610E35" w:rsidRPr="000A42FC" w:rsidRDefault="00610E35">
            <w:pPr>
              <w:pStyle w:val="08-Tabelageral"/>
              <w:ind w:left="113"/>
              <w:rPr>
                <w:rFonts w:cs="Arial"/>
                <w:bCs/>
                <w:szCs w:val="14"/>
              </w:rPr>
            </w:pPr>
            <w:r w:rsidRPr="000A42FC">
              <w:rPr>
                <w:rFonts w:cs="Arial"/>
                <w:bCs/>
                <w:szCs w:val="14"/>
                <w:lang w:eastAsia="en-US"/>
              </w:rPr>
              <w:t>--</w:t>
            </w:r>
          </w:p>
        </w:tc>
        <w:tc>
          <w:tcPr>
            <w:tcW w:w="1417" w:type="dxa"/>
            <w:shd w:val="clear" w:color="auto" w:fill="auto"/>
          </w:tcPr>
          <w:p w14:paraId="19D01F1A" w14:textId="77777777" w:rsidR="00610E35" w:rsidRPr="000A42FC" w:rsidRDefault="00610E35">
            <w:pPr>
              <w:pStyle w:val="08-Tabelageral"/>
              <w:ind w:left="113"/>
              <w:rPr>
                <w:rFonts w:cs="Arial"/>
                <w:bCs/>
                <w:szCs w:val="14"/>
              </w:rPr>
            </w:pPr>
            <w:r w:rsidRPr="000A42FC">
              <w:rPr>
                <w:rFonts w:cs="Arial"/>
                <w:bCs/>
                <w:szCs w:val="14"/>
                <w:lang w:eastAsia="en-US"/>
              </w:rPr>
              <w:t>--</w:t>
            </w:r>
          </w:p>
        </w:tc>
        <w:tc>
          <w:tcPr>
            <w:tcW w:w="1413" w:type="dxa"/>
            <w:shd w:val="clear" w:color="auto" w:fill="auto"/>
          </w:tcPr>
          <w:p w14:paraId="6045D7F3" w14:textId="77777777" w:rsidR="00610E35" w:rsidRPr="000A42FC" w:rsidRDefault="00610E35">
            <w:pPr>
              <w:pStyle w:val="08-Tabelageral"/>
              <w:ind w:left="113"/>
              <w:rPr>
                <w:rFonts w:cs="Arial"/>
                <w:bCs/>
                <w:szCs w:val="14"/>
              </w:rPr>
            </w:pPr>
            <w:r w:rsidRPr="000A42FC">
              <w:rPr>
                <w:rFonts w:cs="Arial"/>
                <w:bCs/>
                <w:szCs w:val="14"/>
                <w:lang w:eastAsia="en-US"/>
              </w:rPr>
              <w:t>--</w:t>
            </w:r>
          </w:p>
        </w:tc>
        <w:tc>
          <w:tcPr>
            <w:tcW w:w="1414" w:type="dxa"/>
            <w:shd w:val="clear" w:color="auto" w:fill="auto"/>
          </w:tcPr>
          <w:p w14:paraId="727A6542" w14:textId="77777777" w:rsidR="00610E35" w:rsidRPr="000A42FC" w:rsidRDefault="00610E35">
            <w:pPr>
              <w:pStyle w:val="08-Tabelageral"/>
              <w:ind w:left="113"/>
              <w:rPr>
                <w:rFonts w:cs="Arial"/>
                <w:bCs/>
                <w:szCs w:val="14"/>
              </w:rPr>
            </w:pPr>
            <w:r w:rsidRPr="000A42FC">
              <w:rPr>
                <w:rFonts w:cs="Arial"/>
                <w:bCs/>
                <w:szCs w:val="14"/>
              </w:rPr>
              <w:t>2.706</w:t>
            </w:r>
          </w:p>
        </w:tc>
        <w:tc>
          <w:tcPr>
            <w:tcW w:w="1142" w:type="dxa"/>
            <w:shd w:val="clear" w:color="auto" w:fill="auto"/>
            <w:vAlign w:val="bottom"/>
          </w:tcPr>
          <w:p w14:paraId="5C8B88F7" w14:textId="77777777" w:rsidR="00610E35" w:rsidRPr="000A42FC" w:rsidRDefault="00610E35">
            <w:pPr>
              <w:pStyle w:val="08-Tabelageral"/>
              <w:ind w:left="113"/>
              <w:rPr>
                <w:rFonts w:cs="Arial"/>
                <w:bCs/>
                <w:szCs w:val="14"/>
              </w:rPr>
            </w:pPr>
            <w:r w:rsidRPr="000A42FC">
              <w:rPr>
                <w:rFonts w:cs="Arial"/>
                <w:bCs/>
                <w:szCs w:val="14"/>
              </w:rPr>
              <w:t>2.706</w:t>
            </w:r>
          </w:p>
        </w:tc>
      </w:tr>
      <w:tr w:rsidR="00610E35" w:rsidRPr="000A42FC" w14:paraId="698CAAD2" w14:textId="77777777">
        <w:trPr>
          <w:trHeight w:val="238"/>
        </w:trPr>
        <w:tc>
          <w:tcPr>
            <w:tcW w:w="1985" w:type="dxa"/>
            <w:shd w:val="clear" w:color="auto" w:fill="auto"/>
          </w:tcPr>
          <w:p w14:paraId="090C37D1" w14:textId="77777777" w:rsidR="00610E35" w:rsidRPr="000A42FC" w:rsidRDefault="00610E35">
            <w:pPr>
              <w:pStyle w:val="070-TabelaPadro"/>
              <w:ind w:left="113"/>
              <w:jc w:val="left"/>
              <w:rPr>
                <w:lang w:eastAsia="en-US"/>
              </w:rPr>
            </w:pPr>
            <w:r w:rsidRPr="000A42FC">
              <w:rPr>
                <w:lang w:eastAsia="en-US"/>
              </w:rPr>
              <w:t>Ações a distribuir</w:t>
            </w:r>
          </w:p>
        </w:tc>
        <w:tc>
          <w:tcPr>
            <w:tcW w:w="906" w:type="dxa"/>
            <w:shd w:val="clear" w:color="auto" w:fill="auto"/>
          </w:tcPr>
          <w:p w14:paraId="34C60499" w14:textId="77777777" w:rsidR="00610E35" w:rsidRPr="000A42FC" w:rsidRDefault="00610E35">
            <w:pPr>
              <w:pStyle w:val="08-Tabelageral"/>
              <w:ind w:left="113"/>
              <w:rPr>
                <w:rFonts w:cs="Arial"/>
                <w:bCs/>
                <w:szCs w:val="14"/>
                <w:lang w:eastAsia="en-US"/>
              </w:rPr>
            </w:pPr>
            <w:r w:rsidRPr="000A42FC">
              <w:rPr>
                <w:rFonts w:cs="Arial"/>
                <w:bCs/>
                <w:szCs w:val="14"/>
                <w:lang w:eastAsia="en-US"/>
              </w:rPr>
              <w:t>03.2029</w:t>
            </w:r>
          </w:p>
        </w:tc>
        <w:tc>
          <w:tcPr>
            <w:tcW w:w="1362" w:type="dxa"/>
            <w:shd w:val="clear" w:color="auto" w:fill="auto"/>
          </w:tcPr>
          <w:p w14:paraId="2BAB39D9" w14:textId="77777777" w:rsidR="00610E35" w:rsidRPr="000A42FC" w:rsidRDefault="00610E35">
            <w:pPr>
              <w:pStyle w:val="08-Tabelageral"/>
              <w:ind w:left="113"/>
              <w:rPr>
                <w:rFonts w:cs="Arial"/>
                <w:bCs/>
                <w:szCs w:val="14"/>
                <w:lang w:eastAsia="en-US"/>
              </w:rPr>
            </w:pPr>
            <w:r w:rsidRPr="000A42FC">
              <w:rPr>
                <w:rFonts w:cs="Arial"/>
                <w:bCs/>
                <w:szCs w:val="14"/>
                <w:lang w:eastAsia="en-US"/>
              </w:rPr>
              <w:t>--</w:t>
            </w:r>
          </w:p>
        </w:tc>
        <w:tc>
          <w:tcPr>
            <w:tcW w:w="1417" w:type="dxa"/>
            <w:shd w:val="clear" w:color="auto" w:fill="auto"/>
          </w:tcPr>
          <w:p w14:paraId="62D7129F" w14:textId="77777777" w:rsidR="00610E35" w:rsidRPr="000A42FC" w:rsidRDefault="00610E35">
            <w:pPr>
              <w:pStyle w:val="08-Tabelageral"/>
              <w:ind w:left="113"/>
              <w:rPr>
                <w:rFonts w:cs="Arial"/>
                <w:bCs/>
                <w:szCs w:val="14"/>
                <w:lang w:eastAsia="en-US"/>
              </w:rPr>
            </w:pPr>
            <w:r w:rsidRPr="000A42FC">
              <w:rPr>
                <w:rFonts w:cs="Arial"/>
                <w:bCs/>
                <w:szCs w:val="14"/>
                <w:lang w:eastAsia="en-US"/>
              </w:rPr>
              <w:t>--</w:t>
            </w:r>
          </w:p>
        </w:tc>
        <w:tc>
          <w:tcPr>
            <w:tcW w:w="1413" w:type="dxa"/>
            <w:shd w:val="clear" w:color="auto" w:fill="auto"/>
          </w:tcPr>
          <w:p w14:paraId="6FF240F7" w14:textId="77777777" w:rsidR="00610E35" w:rsidRPr="000A42FC" w:rsidRDefault="00610E35">
            <w:pPr>
              <w:pStyle w:val="08-Tabelageral"/>
              <w:ind w:left="113"/>
              <w:rPr>
                <w:rFonts w:cs="Arial"/>
                <w:bCs/>
                <w:szCs w:val="14"/>
                <w:lang w:eastAsia="en-US"/>
              </w:rPr>
            </w:pPr>
            <w:r w:rsidRPr="000A42FC">
              <w:rPr>
                <w:rFonts w:cs="Arial"/>
                <w:bCs/>
                <w:szCs w:val="14"/>
                <w:lang w:eastAsia="en-US"/>
              </w:rPr>
              <w:t>--</w:t>
            </w:r>
          </w:p>
        </w:tc>
        <w:tc>
          <w:tcPr>
            <w:tcW w:w="1414" w:type="dxa"/>
            <w:shd w:val="clear" w:color="auto" w:fill="auto"/>
          </w:tcPr>
          <w:p w14:paraId="3BB33074" w14:textId="77777777" w:rsidR="00610E35" w:rsidRPr="000A42FC" w:rsidRDefault="00610E35">
            <w:pPr>
              <w:pStyle w:val="08-Tabelageral"/>
              <w:ind w:left="113"/>
              <w:rPr>
                <w:rFonts w:cs="Arial"/>
                <w:bCs/>
                <w:szCs w:val="14"/>
              </w:rPr>
            </w:pPr>
            <w:r w:rsidRPr="000A42FC">
              <w:rPr>
                <w:rFonts w:cs="Arial"/>
                <w:bCs/>
                <w:szCs w:val="14"/>
              </w:rPr>
              <w:t>1.631</w:t>
            </w:r>
          </w:p>
        </w:tc>
        <w:tc>
          <w:tcPr>
            <w:tcW w:w="1142" w:type="dxa"/>
            <w:shd w:val="clear" w:color="auto" w:fill="auto"/>
            <w:vAlign w:val="bottom"/>
          </w:tcPr>
          <w:p w14:paraId="64569B32" w14:textId="77777777" w:rsidR="00610E35" w:rsidRPr="000A42FC" w:rsidRDefault="00610E35">
            <w:pPr>
              <w:pStyle w:val="08-Tabelageral"/>
              <w:ind w:left="113"/>
              <w:rPr>
                <w:rFonts w:cs="Arial"/>
                <w:bCs/>
                <w:szCs w:val="14"/>
              </w:rPr>
            </w:pPr>
            <w:r w:rsidRPr="000A42FC">
              <w:rPr>
                <w:rFonts w:cs="Arial"/>
                <w:bCs/>
                <w:szCs w:val="14"/>
              </w:rPr>
              <w:t>1.631</w:t>
            </w:r>
          </w:p>
        </w:tc>
      </w:tr>
      <w:tr w:rsidR="00610E35" w:rsidRPr="00D25D79" w14:paraId="05436BBF" w14:textId="77777777">
        <w:trPr>
          <w:trHeight w:val="238"/>
        </w:trPr>
        <w:tc>
          <w:tcPr>
            <w:tcW w:w="1985" w:type="dxa"/>
            <w:tcBorders>
              <w:bottom w:val="single" w:sz="2" w:space="0" w:color="1F3864" w:themeColor="accent1" w:themeShade="80"/>
            </w:tcBorders>
            <w:shd w:val="clear" w:color="auto" w:fill="auto"/>
          </w:tcPr>
          <w:p w14:paraId="54823C70" w14:textId="77777777" w:rsidR="00610E35" w:rsidRPr="000A42FC" w:rsidRDefault="00610E35">
            <w:pPr>
              <w:pStyle w:val="070-TabelaPadro"/>
              <w:jc w:val="left"/>
              <w:rPr>
                <w:b/>
              </w:rPr>
            </w:pPr>
            <w:r w:rsidRPr="000A42FC">
              <w:rPr>
                <w:b/>
                <w:lang w:eastAsia="en-US"/>
              </w:rPr>
              <w:t>Total de ações a distribuir</w:t>
            </w:r>
          </w:p>
        </w:tc>
        <w:tc>
          <w:tcPr>
            <w:tcW w:w="906" w:type="dxa"/>
            <w:tcBorders>
              <w:bottom w:val="single" w:sz="2" w:space="0" w:color="1F3864" w:themeColor="accent1" w:themeShade="80"/>
            </w:tcBorders>
            <w:shd w:val="clear" w:color="auto" w:fill="auto"/>
          </w:tcPr>
          <w:p w14:paraId="23558216" w14:textId="77777777" w:rsidR="00610E35" w:rsidRPr="000A42FC" w:rsidRDefault="00610E35">
            <w:pPr>
              <w:pStyle w:val="08-Tabelageral"/>
              <w:ind w:left="113"/>
              <w:rPr>
                <w:rFonts w:cs="Arial"/>
                <w:b/>
                <w:szCs w:val="14"/>
              </w:rPr>
            </w:pPr>
          </w:p>
        </w:tc>
        <w:tc>
          <w:tcPr>
            <w:tcW w:w="1362" w:type="dxa"/>
            <w:tcBorders>
              <w:bottom w:val="single" w:sz="2" w:space="0" w:color="1F3864" w:themeColor="accent1" w:themeShade="80"/>
            </w:tcBorders>
            <w:shd w:val="clear" w:color="auto" w:fill="auto"/>
          </w:tcPr>
          <w:p w14:paraId="226C40F6" w14:textId="77777777" w:rsidR="00610E35" w:rsidRPr="000A42FC" w:rsidRDefault="00610E35">
            <w:pPr>
              <w:pStyle w:val="08-Tabelageral"/>
              <w:ind w:left="113"/>
              <w:rPr>
                <w:rFonts w:cs="Arial"/>
                <w:b/>
                <w:szCs w:val="14"/>
              </w:rPr>
            </w:pPr>
            <w:r w:rsidRPr="000A42FC">
              <w:rPr>
                <w:rFonts w:cs="Arial"/>
                <w:b/>
                <w:szCs w:val="14"/>
              </w:rPr>
              <w:t>4.487</w:t>
            </w:r>
          </w:p>
        </w:tc>
        <w:tc>
          <w:tcPr>
            <w:tcW w:w="1417" w:type="dxa"/>
            <w:tcBorders>
              <w:bottom w:val="single" w:sz="2" w:space="0" w:color="1F3864" w:themeColor="accent1" w:themeShade="80"/>
            </w:tcBorders>
            <w:shd w:val="clear" w:color="auto" w:fill="auto"/>
          </w:tcPr>
          <w:p w14:paraId="2E04F556" w14:textId="77777777" w:rsidR="00610E35" w:rsidRPr="000A42FC" w:rsidRDefault="00610E35">
            <w:pPr>
              <w:pStyle w:val="08-Tabelageral"/>
              <w:ind w:left="113"/>
              <w:rPr>
                <w:rFonts w:cs="Arial"/>
                <w:b/>
                <w:szCs w:val="14"/>
              </w:rPr>
            </w:pPr>
            <w:r w:rsidRPr="000A42FC">
              <w:rPr>
                <w:rFonts w:cs="Arial"/>
                <w:b/>
                <w:szCs w:val="14"/>
              </w:rPr>
              <w:t>10.074</w:t>
            </w:r>
          </w:p>
        </w:tc>
        <w:tc>
          <w:tcPr>
            <w:tcW w:w="1413" w:type="dxa"/>
            <w:tcBorders>
              <w:bottom w:val="single" w:sz="2" w:space="0" w:color="1F3864" w:themeColor="accent1" w:themeShade="80"/>
            </w:tcBorders>
            <w:shd w:val="clear" w:color="auto" w:fill="auto"/>
          </w:tcPr>
          <w:p w14:paraId="0F44A12A" w14:textId="77777777" w:rsidR="00610E35" w:rsidRPr="000A42FC" w:rsidRDefault="00610E35">
            <w:pPr>
              <w:pStyle w:val="08-Tabelageral"/>
              <w:ind w:left="113"/>
              <w:rPr>
                <w:rFonts w:cs="Arial"/>
                <w:b/>
                <w:szCs w:val="14"/>
              </w:rPr>
            </w:pPr>
            <w:r w:rsidRPr="000A42FC">
              <w:rPr>
                <w:rFonts w:cs="Arial"/>
                <w:b/>
                <w:szCs w:val="14"/>
              </w:rPr>
              <w:t>16.314</w:t>
            </w:r>
          </w:p>
        </w:tc>
        <w:tc>
          <w:tcPr>
            <w:tcW w:w="1414" w:type="dxa"/>
            <w:tcBorders>
              <w:bottom w:val="single" w:sz="2" w:space="0" w:color="1F3864" w:themeColor="accent1" w:themeShade="80"/>
            </w:tcBorders>
            <w:shd w:val="clear" w:color="auto" w:fill="auto"/>
          </w:tcPr>
          <w:p w14:paraId="56E76F38" w14:textId="77777777" w:rsidR="00610E35" w:rsidRPr="000A42FC" w:rsidRDefault="00610E35">
            <w:pPr>
              <w:pStyle w:val="08-Tabelageral"/>
              <w:ind w:left="113"/>
              <w:rPr>
                <w:rFonts w:cs="Arial"/>
                <w:b/>
                <w:szCs w:val="14"/>
              </w:rPr>
            </w:pPr>
            <w:r w:rsidRPr="000A42FC">
              <w:rPr>
                <w:rFonts w:cs="Arial"/>
                <w:b/>
                <w:szCs w:val="14"/>
              </w:rPr>
              <w:t>21.659</w:t>
            </w:r>
          </w:p>
        </w:tc>
        <w:tc>
          <w:tcPr>
            <w:tcW w:w="1142" w:type="dxa"/>
            <w:tcBorders>
              <w:bottom w:val="single" w:sz="2" w:space="0" w:color="1F3864" w:themeColor="accent1" w:themeShade="80"/>
            </w:tcBorders>
            <w:shd w:val="clear" w:color="auto" w:fill="auto"/>
          </w:tcPr>
          <w:p w14:paraId="07A2A292" w14:textId="77777777" w:rsidR="00610E35" w:rsidRPr="00D25D79" w:rsidRDefault="00610E35">
            <w:pPr>
              <w:pStyle w:val="08-Tabelageral"/>
              <w:ind w:left="113"/>
              <w:rPr>
                <w:rFonts w:cs="Arial"/>
                <w:b/>
                <w:szCs w:val="14"/>
              </w:rPr>
            </w:pPr>
            <w:r w:rsidRPr="000A42FC">
              <w:rPr>
                <w:rFonts w:cs="Arial"/>
                <w:b/>
                <w:szCs w:val="14"/>
              </w:rPr>
              <w:t>52.534</w:t>
            </w:r>
          </w:p>
        </w:tc>
      </w:tr>
    </w:tbl>
    <w:p w14:paraId="0689346A" w14:textId="77777777" w:rsidR="00610E35" w:rsidRPr="005C4AF7" w:rsidRDefault="00610E35" w:rsidP="00610E35">
      <w:pPr>
        <w:pStyle w:val="01-Textonormal"/>
        <w:rPr>
          <w:b/>
          <w:color w:val="1F3864" w:themeColor="accent1" w:themeShade="80"/>
        </w:rPr>
      </w:pPr>
      <w:r w:rsidRPr="005C4AF7">
        <w:rPr>
          <w:b/>
          <w:color w:val="1F3864" w:themeColor="accent1" w:themeShade="80"/>
        </w:rPr>
        <w:t>f.3) Programa de Recompra</w:t>
      </w:r>
    </w:p>
    <w:p w14:paraId="58AC788F" w14:textId="77777777" w:rsidR="00610E35" w:rsidRPr="005C4AF7" w:rsidRDefault="00610E35" w:rsidP="00610E35">
      <w:pPr>
        <w:pStyle w:val="05-Textonormal"/>
        <w:keepNext/>
      </w:pPr>
      <w:r w:rsidRPr="005C4AF7">
        <w:t xml:space="preserve">Em 04 de agosto de 2023, foi aprovado pelo Conselho de Administração a abertura de um Programa de Recompra de Ações de Emissão da Companhia, destinado à aquisição de até 64.249 mil ações ordinárias, para manutenção em tesouraria e posterior alienação ou cancelamento, visando maximizar a geração de valor aos acionistas. O prazo do programa é de </w:t>
      </w:r>
      <w:r w:rsidRPr="005C4AF7">
        <w:br/>
        <w:t xml:space="preserve">18 meses. Em 2023 foram adquiridas 19.884 mil ações. No primeiro semestre de 2024 foram adquiridas mais </w:t>
      </w:r>
      <w:bookmarkStart w:id="129" w:name="_Hlk173245507"/>
      <w:r w:rsidRPr="005C4AF7">
        <w:t>35.708</w:t>
      </w:r>
      <w:bookmarkEnd w:id="129"/>
      <w:r w:rsidRPr="005C4AF7">
        <w:t xml:space="preserve"> mil ações, totalizando </w:t>
      </w:r>
      <w:bookmarkStart w:id="130" w:name="_Hlk173247823"/>
      <w:r w:rsidRPr="005C4AF7">
        <w:t xml:space="preserve">55.592 </w:t>
      </w:r>
      <w:bookmarkEnd w:id="130"/>
      <w:r w:rsidRPr="005C4AF7">
        <w:t xml:space="preserve">mil ações. </w:t>
      </w:r>
      <w:bookmarkStart w:id="131" w:name="_Hlk180168927"/>
      <w:r w:rsidRPr="005C4AF7">
        <w:t xml:space="preserve">No </w:t>
      </w:r>
      <w:r>
        <w:t>segundo semestre</w:t>
      </w:r>
      <w:r w:rsidRPr="005C4AF7">
        <w:t xml:space="preserve"> não houve novas aquisições.</w:t>
      </w:r>
      <w:bookmarkEnd w:id="131"/>
    </w:p>
    <w:tbl>
      <w:tblPr>
        <w:tblpPr w:leftFromText="141" w:rightFromText="141" w:vertAnchor="text" w:tblpY="1"/>
        <w:tblOverlap w:val="never"/>
        <w:tblW w:w="9639" w:type="dxa"/>
        <w:tblBorders>
          <w:top w:val="single" w:sz="2" w:space="0" w:color="9CC2E5" w:themeColor="accent5" w:themeTint="99"/>
          <w:bottom w:val="single" w:sz="2" w:space="0" w:color="9CC2E5" w:themeColor="accent5" w:themeTint="99"/>
        </w:tblBorders>
        <w:shd w:val="clear" w:color="auto" w:fill="DEEAF6" w:themeFill="accent5" w:themeFillTint="33"/>
        <w:tblLook w:val="04A0" w:firstRow="1" w:lastRow="0" w:firstColumn="1" w:lastColumn="0" w:noHBand="0" w:noVBand="1"/>
      </w:tblPr>
      <w:tblGrid>
        <w:gridCol w:w="8168"/>
        <w:gridCol w:w="1471"/>
      </w:tblGrid>
      <w:tr w:rsidR="00610E35" w:rsidRPr="005C4AF7" w14:paraId="6CE289D1" w14:textId="77777777">
        <w:trPr>
          <w:trHeight w:val="238"/>
        </w:trPr>
        <w:tc>
          <w:tcPr>
            <w:tcW w:w="8168" w:type="dxa"/>
            <w:tcBorders>
              <w:top w:val="single" w:sz="2" w:space="0" w:color="1F3864" w:themeColor="accent1" w:themeShade="80"/>
              <w:bottom w:val="single" w:sz="2" w:space="0" w:color="1F3864" w:themeColor="accent1" w:themeShade="80"/>
            </w:tcBorders>
            <w:shd w:val="clear" w:color="auto" w:fill="auto"/>
          </w:tcPr>
          <w:p w14:paraId="6B99ECAC" w14:textId="77777777" w:rsidR="00610E35" w:rsidRPr="00920F78" w:rsidRDefault="00610E35">
            <w:pPr>
              <w:pStyle w:val="08-Tabelageral"/>
              <w:ind w:left="113"/>
              <w:jc w:val="center"/>
              <w:rPr>
                <w:b/>
                <w:bCs/>
                <w:szCs w:val="14"/>
              </w:rPr>
            </w:pPr>
            <w:r w:rsidRPr="00920F78">
              <w:rPr>
                <w:b/>
              </w:rPr>
              <w:t>Programa</w:t>
            </w:r>
            <w:r w:rsidRPr="00920F78">
              <w:rPr>
                <w:b/>
                <w:bCs/>
                <w:szCs w:val="14"/>
              </w:rPr>
              <w:t xml:space="preserve"> de Recompra de Ações</w:t>
            </w:r>
          </w:p>
        </w:tc>
        <w:tc>
          <w:tcPr>
            <w:tcW w:w="1471" w:type="dxa"/>
            <w:tcBorders>
              <w:top w:val="single" w:sz="2" w:space="0" w:color="1F3864" w:themeColor="accent1" w:themeShade="80"/>
              <w:bottom w:val="single" w:sz="2" w:space="0" w:color="1F3864" w:themeColor="accent1" w:themeShade="80"/>
            </w:tcBorders>
            <w:shd w:val="clear" w:color="auto" w:fill="auto"/>
          </w:tcPr>
          <w:p w14:paraId="0B1983D0" w14:textId="77777777" w:rsidR="00610E35" w:rsidRPr="00920F78" w:rsidRDefault="00610E35">
            <w:pPr>
              <w:pStyle w:val="08-Tabelageral"/>
              <w:ind w:left="113"/>
              <w:rPr>
                <w:rFonts w:cs="Arial"/>
                <w:szCs w:val="14"/>
              </w:rPr>
            </w:pPr>
          </w:p>
        </w:tc>
      </w:tr>
      <w:tr w:rsidR="00610E35" w:rsidRPr="005C4AF7" w14:paraId="0BC7CF12" w14:textId="77777777">
        <w:trPr>
          <w:trHeight w:val="238"/>
        </w:trPr>
        <w:tc>
          <w:tcPr>
            <w:tcW w:w="8168" w:type="dxa"/>
            <w:tcBorders>
              <w:top w:val="single" w:sz="2" w:space="0" w:color="1F3864" w:themeColor="accent1" w:themeShade="80"/>
              <w:bottom w:val="nil"/>
            </w:tcBorders>
            <w:shd w:val="clear" w:color="auto" w:fill="auto"/>
          </w:tcPr>
          <w:p w14:paraId="49CE0D2A" w14:textId="77777777" w:rsidR="00610E35" w:rsidRPr="00920F78" w:rsidRDefault="00610E35">
            <w:pPr>
              <w:pStyle w:val="08-Tabelageral"/>
              <w:jc w:val="left"/>
              <w:rPr>
                <w:b/>
                <w:bCs/>
                <w:kern w:val="2"/>
                <w:szCs w:val="14"/>
              </w:rPr>
            </w:pPr>
            <w:r w:rsidRPr="00920F78">
              <w:rPr>
                <w:b/>
                <w:bCs/>
                <w:szCs w:val="14"/>
              </w:rPr>
              <w:t>Quantidade de ações recompradas</w:t>
            </w:r>
          </w:p>
        </w:tc>
        <w:tc>
          <w:tcPr>
            <w:tcW w:w="1471" w:type="dxa"/>
            <w:tcBorders>
              <w:top w:val="single" w:sz="2" w:space="0" w:color="1F3864" w:themeColor="accent1" w:themeShade="80"/>
              <w:bottom w:val="nil"/>
            </w:tcBorders>
            <w:shd w:val="clear" w:color="auto" w:fill="auto"/>
          </w:tcPr>
          <w:p w14:paraId="00DBD004" w14:textId="77777777" w:rsidR="00610E35" w:rsidRPr="00920F78" w:rsidRDefault="00610E35">
            <w:pPr>
              <w:pStyle w:val="08-Tabelageral"/>
              <w:ind w:left="113"/>
              <w:rPr>
                <w:rFonts w:cs="Arial"/>
                <w:b/>
                <w:bCs/>
                <w:szCs w:val="14"/>
              </w:rPr>
            </w:pPr>
            <w:r w:rsidRPr="00920F78">
              <w:rPr>
                <w:rFonts w:cs="Arial"/>
                <w:b/>
                <w:bCs/>
                <w:szCs w:val="14"/>
              </w:rPr>
              <w:t>55.591.700</w:t>
            </w:r>
          </w:p>
        </w:tc>
      </w:tr>
      <w:tr w:rsidR="00610E35" w:rsidRPr="005C4AF7" w14:paraId="156BC2E3" w14:textId="77777777">
        <w:trPr>
          <w:trHeight w:val="238"/>
        </w:trPr>
        <w:tc>
          <w:tcPr>
            <w:tcW w:w="8168" w:type="dxa"/>
            <w:tcBorders>
              <w:top w:val="nil"/>
              <w:bottom w:val="nil"/>
            </w:tcBorders>
            <w:shd w:val="clear" w:color="auto" w:fill="auto"/>
          </w:tcPr>
          <w:p w14:paraId="0B5FA010" w14:textId="77777777" w:rsidR="00610E35" w:rsidRPr="00920F78" w:rsidRDefault="00610E35">
            <w:pPr>
              <w:pStyle w:val="08-Tabelageral"/>
              <w:ind w:left="113"/>
              <w:jc w:val="left"/>
              <w:rPr>
                <w:szCs w:val="14"/>
              </w:rPr>
            </w:pPr>
            <w:r w:rsidRPr="00920F78">
              <w:rPr>
                <w:szCs w:val="14"/>
              </w:rPr>
              <w:t>2023</w:t>
            </w:r>
          </w:p>
        </w:tc>
        <w:tc>
          <w:tcPr>
            <w:tcW w:w="1471" w:type="dxa"/>
            <w:tcBorders>
              <w:top w:val="nil"/>
              <w:bottom w:val="nil"/>
            </w:tcBorders>
            <w:shd w:val="clear" w:color="auto" w:fill="auto"/>
          </w:tcPr>
          <w:p w14:paraId="6E8C3F78" w14:textId="77777777" w:rsidR="00610E35" w:rsidRPr="00920F78" w:rsidRDefault="00610E35">
            <w:pPr>
              <w:pStyle w:val="08-Tabelageral"/>
              <w:ind w:left="113"/>
              <w:rPr>
                <w:rFonts w:cs="Arial"/>
                <w:szCs w:val="14"/>
              </w:rPr>
            </w:pPr>
            <w:r w:rsidRPr="00920F78">
              <w:rPr>
                <w:rFonts w:cs="Arial"/>
                <w:szCs w:val="14"/>
              </w:rPr>
              <w:t>19.884.100</w:t>
            </w:r>
          </w:p>
        </w:tc>
      </w:tr>
      <w:tr w:rsidR="00610E35" w:rsidRPr="005C4AF7" w14:paraId="525AE0E4" w14:textId="77777777">
        <w:trPr>
          <w:trHeight w:val="238"/>
        </w:trPr>
        <w:tc>
          <w:tcPr>
            <w:tcW w:w="8168" w:type="dxa"/>
            <w:tcBorders>
              <w:top w:val="nil"/>
            </w:tcBorders>
            <w:shd w:val="clear" w:color="auto" w:fill="auto"/>
          </w:tcPr>
          <w:p w14:paraId="62204A11" w14:textId="77777777" w:rsidR="00610E35" w:rsidRPr="00920F78" w:rsidRDefault="00610E35">
            <w:pPr>
              <w:pStyle w:val="08-Tabelageral"/>
              <w:ind w:left="113"/>
              <w:jc w:val="left"/>
              <w:rPr>
                <w:bCs/>
                <w:szCs w:val="14"/>
              </w:rPr>
            </w:pPr>
            <w:r w:rsidRPr="00920F78">
              <w:rPr>
                <w:bCs/>
                <w:kern w:val="2"/>
              </w:rPr>
              <w:t>1º Sem/2024</w:t>
            </w:r>
          </w:p>
        </w:tc>
        <w:tc>
          <w:tcPr>
            <w:tcW w:w="1471" w:type="dxa"/>
            <w:tcBorders>
              <w:top w:val="nil"/>
            </w:tcBorders>
            <w:shd w:val="clear" w:color="auto" w:fill="auto"/>
          </w:tcPr>
          <w:p w14:paraId="0BC65295" w14:textId="77777777" w:rsidR="00610E35" w:rsidRPr="00920F78" w:rsidRDefault="00610E35">
            <w:pPr>
              <w:pStyle w:val="08-Tabelageral"/>
              <w:ind w:left="113"/>
              <w:rPr>
                <w:rFonts w:cs="Arial"/>
                <w:szCs w:val="14"/>
              </w:rPr>
            </w:pPr>
            <w:r w:rsidRPr="00920F78">
              <w:rPr>
                <w:rFonts w:cs="Arial"/>
                <w:szCs w:val="14"/>
              </w:rPr>
              <w:t>35.707.600</w:t>
            </w:r>
          </w:p>
        </w:tc>
      </w:tr>
      <w:tr w:rsidR="00610E35" w:rsidRPr="005C4AF7" w14:paraId="0D4554FF" w14:textId="77777777">
        <w:trPr>
          <w:trHeight w:val="238"/>
        </w:trPr>
        <w:tc>
          <w:tcPr>
            <w:tcW w:w="8168" w:type="dxa"/>
            <w:shd w:val="clear" w:color="auto" w:fill="auto"/>
          </w:tcPr>
          <w:p w14:paraId="03725E9A" w14:textId="77777777" w:rsidR="00610E35" w:rsidRPr="00920F78" w:rsidRDefault="00610E35">
            <w:pPr>
              <w:pStyle w:val="08-Tabelageral"/>
              <w:jc w:val="left"/>
              <w:rPr>
                <w:b/>
                <w:bCs/>
                <w:kern w:val="2"/>
                <w:szCs w:val="14"/>
              </w:rPr>
            </w:pPr>
            <w:r w:rsidRPr="00920F78">
              <w:rPr>
                <w:b/>
                <w:bCs/>
                <w:kern w:val="2"/>
                <w:szCs w:val="14"/>
              </w:rPr>
              <w:t>Preço médio (R$)</w:t>
            </w:r>
          </w:p>
        </w:tc>
        <w:tc>
          <w:tcPr>
            <w:tcW w:w="1471" w:type="dxa"/>
            <w:shd w:val="clear" w:color="auto" w:fill="auto"/>
          </w:tcPr>
          <w:p w14:paraId="55A3F044" w14:textId="77777777" w:rsidR="00610E35" w:rsidRPr="00920F78" w:rsidRDefault="00610E35">
            <w:pPr>
              <w:pStyle w:val="08-Tabelageral"/>
              <w:ind w:left="113"/>
              <w:rPr>
                <w:rFonts w:cs="Arial"/>
                <w:b/>
                <w:bCs/>
                <w:szCs w:val="14"/>
              </w:rPr>
            </w:pPr>
            <w:r w:rsidRPr="00920F78">
              <w:rPr>
                <w:rFonts w:cs="Arial"/>
                <w:b/>
                <w:bCs/>
                <w:szCs w:val="14"/>
              </w:rPr>
              <w:t>32,20</w:t>
            </w:r>
          </w:p>
        </w:tc>
      </w:tr>
      <w:tr w:rsidR="00610E35" w:rsidRPr="00091A72" w14:paraId="7F0F8FE3" w14:textId="77777777">
        <w:trPr>
          <w:trHeight w:val="238"/>
        </w:trPr>
        <w:tc>
          <w:tcPr>
            <w:tcW w:w="8168" w:type="dxa"/>
            <w:tcBorders>
              <w:top w:val="nil"/>
              <w:bottom w:val="single" w:sz="2" w:space="0" w:color="1F3864" w:themeColor="accent1" w:themeShade="80"/>
            </w:tcBorders>
            <w:shd w:val="clear" w:color="auto" w:fill="auto"/>
          </w:tcPr>
          <w:p w14:paraId="37DA6A84" w14:textId="77777777" w:rsidR="00610E35" w:rsidRPr="00920F78" w:rsidRDefault="00610E35">
            <w:pPr>
              <w:pStyle w:val="08-Tabelageral"/>
              <w:jc w:val="left"/>
              <w:rPr>
                <w:b/>
                <w:bCs/>
                <w:szCs w:val="14"/>
              </w:rPr>
            </w:pPr>
            <w:r w:rsidRPr="00920F78">
              <w:rPr>
                <w:b/>
                <w:bCs/>
                <w:kern w:val="2"/>
                <w:szCs w:val="14"/>
              </w:rPr>
              <w:t>Valor total (R$ mil)</w:t>
            </w:r>
          </w:p>
        </w:tc>
        <w:tc>
          <w:tcPr>
            <w:tcW w:w="1471" w:type="dxa"/>
            <w:tcBorders>
              <w:top w:val="nil"/>
              <w:bottom w:val="single" w:sz="2" w:space="0" w:color="1F3864" w:themeColor="accent1" w:themeShade="80"/>
            </w:tcBorders>
            <w:shd w:val="clear" w:color="auto" w:fill="auto"/>
          </w:tcPr>
          <w:p w14:paraId="5135266A" w14:textId="77777777" w:rsidR="00610E35" w:rsidRPr="00920F78" w:rsidRDefault="00610E35">
            <w:pPr>
              <w:pStyle w:val="08-Tabelageral"/>
              <w:ind w:left="113"/>
              <w:rPr>
                <w:rFonts w:cs="Arial"/>
                <w:b/>
                <w:bCs/>
                <w:szCs w:val="14"/>
              </w:rPr>
            </w:pPr>
            <w:r w:rsidRPr="00920F78">
              <w:rPr>
                <w:rFonts w:cs="Arial"/>
                <w:b/>
                <w:bCs/>
                <w:szCs w:val="14"/>
              </w:rPr>
              <w:t>1.790.324</w:t>
            </w:r>
          </w:p>
        </w:tc>
      </w:tr>
    </w:tbl>
    <w:p w14:paraId="13100070" w14:textId="77777777" w:rsidR="00610E35" w:rsidRPr="004B1E10" w:rsidRDefault="00610E35" w:rsidP="00D5649F">
      <w:pPr>
        <w:pStyle w:val="01-Textonormal"/>
        <w:pageBreakBefore/>
        <w:rPr>
          <w:b/>
          <w:color w:val="1F3864" w:themeColor="accent1" w:themeShade="80"/>
        </w:rPr>
      </w:pPr>
      <w:r>
        <w:rPr>
          <w:b/>
          <w:color w:val="1F3864" w:themeColor="accent1" w:themeShade="80"/>
        </w:rPr>
        <w:lastRenderedPageBreak/>
        <w:t>f</w:t>
      </w:r>
      <w:r w:rsidRPr="004B1E10">
        <w:rPr>
          <w:b/>
          <w:color w:val="1F3864" w:themeColor="accent1" w:themeShade="80"/>
        </w:rPr>
        <w:t>.</w:t>
      </w:r>
      <w:r>
        <w:rPr>
          <w:b/>
          <w:color w:val="1F3864" w:themeColor="accent1" w:themeShade="80"/>
        </w:rPr>
        <w:t>4</w:t>
      </w:r>
      <w:r w:rsidRPr="004B1E10">
        <w:rPr>
          <w:b/>
          <w:color w:val="1F3864" w:themeColor="accent1" w:themeShade="80"/>
        </w:rPr>
        <w:t>) Programa de Premiação de Funcionário</w:t>
      </w:r>
      <w:r>
        <w:rPr>
          <w:b/>
          <w:color w:val="1F3864" w:themeColor="accent1" w:themeShade="80"/>
        </w:rPr>
        <w:t>s</w:t>
      </w:r>
    </w:p>
    <w:p w14:paraId="20EEF764" w14:textId="77777777" w:rsidR="00074A55" w:rsidRPr="009A2594" w:rsidRDefault="00074A55" w:rsidP="00074A55">
      <w:pPr>
        <w:spacing w:before="120" w:after="120"/>
        <w:jc w:val="both"/>
        <w:rPr>
          <w:rFonts w:ascii="Arial" w:hAnsi="Arial" w:cs="Arial"/>
          <w:sz w:val="18"/>
          <w:szCs w:val="18"/>
        </w:rPr>
      </w:pPr>
      <w:r w:rsidRPr="009A2594">
        <w:rPr>
          <w:rFonts w:ascii="Arial" w:hAnsi="Arial" w:cs="Arial"/>
          <w:sz w:val="18"/>
          <w:szCs w:val="18"/>
        </w:rPr>
        <w:t xml:space="preserve">Em 18 de dezembro de 2019 o Conselho de Administração aprovou o Programa de Premiação de Funcionários, que tem por objetivo reconhecer funcionários da BB Seguros de cargos não-estatutários, com desempenho destacado na Comissão de Desenvolvimento e Carreira. Considerando a nova redação do § 4º do art. 457 da CLT, alterado pela </w:t>
      </w:r>
      <w:r>
        <w:rPr>
          <w:rFonts w:ascii="Arial" w:hAnsi="Arial" w:cs="Arial"/>
          <w:sz w:val="18"/>
          <w:szCs w:val="18"/>
        </w:rPr>
        <w:br/>
      </w:r>
      <w:r w:rsidRPr="009A2594">
        <w:rPr>
          <w:rFonts w:ascii="Arial" w:hAnsi="Arial" w:cs="Arial"/>
          <w:sz w:val="18"/>
          <w:szCs w:val="18"/>
        </w:rPr>
        <w:t>Lei nº 13.467/2017, o programa é enquadrado como premiação e não há incidência de encargos trabalhistas e previdenciários.</w:t>
      </w:r>
    </w:p>
    <w:p w14:paraId="0A956CFB" w14:textId="77777777" w:rsidR="00074A55" w:rsidRPr="009A2594" w:rsidRDefault="00074A55" w:rsidP="00074A55">
      <w:pPr>
        <w:spacing w:before="120" w:after="120"/>
        <w:jc w:val="both"/>
        <w:rPr>
          <w:rFonts w:ascii="Arial" w:hAnsi="Arial" w:cs="Arial"/>
          <w:sz w:val="18"/>
          <w:szCs w:val="18"/>
        </w:rPr>
      </w:pPr>
      <w:r w:rsidRPr="009A2594">
        <w:rPr>
          <w:rFonts w:ascii="Arial" w:hAnsi="Arial" w:cs="Arial"/>
          <w:sz w:val="18"/>
          <w:szCs w:val="18"/>
        </w:rPr>
        <w:t>Em 25 de outubro de 2024 o Conselho de Administração aprovou atualização das regras do programa, que manteve o mesmo objetivo e o mesmo enquadramento legal.</w:t>
      </w:r>
    </w:p>
    <w:p w14:paraId="21828EC2" w14:textId="77777777" w:rsidR="00074A55" w:rsidRPr="009A2594" w:rsidRDefault="00074A55" w:rsidP="00074A55">
      <w:pPr>
        <w:spacing w:before="120" w:after="120"/>
        <w:jc w:val="both"/>
        <w:rPr>
          <w:rFonts w:ascii="Arial" w:hAnsi="Arial" w:cs="Arial"/>
          <w:sz w:val="18"/>
          <w:szCs w:val="18"/>
        </w:rPr>
      </w:pPr>
      <w:r w:rsidRPr="009A2594">
        <w:rPr>
          <w:rFonts w:ascii="Arial" w:hAnsi="Arial" w:cs="Arial"/>
          <w:sz w:val="18"/>
          <w:szCs w:val="18"/>
        </w:rPr>
        <w:t>A ativação do programa ocorre anualmente e está condicionada ao atingimento das pontuações definidas no acordo de trabalho da Companhia, refletindo no percentual de funcionários premiados, o qual pode ser de 40% ou 50% de acordo com o desempenho previsto no respectivo acordo. O público-alvo pode variar entre 40% ou 50% (de acordo com o desempenho no acordo de trabalho) e compreende funcionários por cargo, no caso de funções gerenciais ou equivalentes, e por cargo e por diretoria, no caso de funções técnicas. O critério de escolha dos funcionários envolve avaliação de competências técnicas e comportamentais, atingimento de metas e estilo de gestão. O crédito do prêmio é realizado 100% (cem por cento) em espécie, após devido recolhimento de Imposto de Renda, em parcela única, em até 30 dias após a divulgação dos resultados da Comissão de Desenvolvimento e Carreira.</w:t>
      </w:r>
    </w:p>
    <w:p w14:paraId="7765BC79" w14:textId="77777777" w:rsidR="00610E35" w:rsidRPr="00CF1197" w:rsidRDefault="00610E35" w:rsidP="00610E35">
      <w:pPr>
        <w:pStyle w:val="01-Textonormal"/>
        <w:rPr>
          <w:b/>
          <w:color w:val="1F3864" w:themeColor="accent1" w:themeShade="80"/>
        </w:rPr>
      </w:pPr>
      <w:r w:rsidRPr="00CF1197">
        <w:rPr>
          <w:b/>
          <w:color w:val="1F3864" w:themeColor="accent1" w:themeShade="80"/>
        </w:rPr>
        <w:t>g) Outros Resultados Abrangentes Acumulados</w:t>
      </w:r>
    </w:p>
    <w:p w14:paraId="14FC665F" w14:textId="77777777" w:rsidR="00610E35" w:rsidRPr="00144B50" w:rsidRDefault="00610E35" w:rsidP="00610E35">
      <w:pPr>
        <w:pStyle w:val="05-Textonormal"/>
        <w:rPr>
          <w:rFonts w:cs="Arial"/>
        </w:rPr>
      </w:pPr>
      <w:bookmarkStart w:id="132" w:name="_Hlk173329864"/>
      <w:r w:rsidRPr="00E53BFE">
        <w:rPr>
          <w:rFonts w:cs="Arial"/>
        </w:rPr>
        <w:t xml:space="preserve">O saldo negativo registrado em Outros Resultados Abrangentes Acumulados, no montante de R$ </w:t>
      </w:r>
      <w:bookmarkStart w:id="133" w:name="_Hlk165296182"/>
      <w:r>
        <w:rPr>
          <w:rFonts w:cs="Arial"/>
        </w:rPr>
        <w:t>744.605</w:t>
      </w:r>
      <w:r w:rsidRPr="00E53BFE">
        <w:rPr>
          <w:rFonts w:cs="Arial"/>
        </w:rPr>
        <w:t xml:space="preserve"> </w:t>
      </w:r>
      <w:bookmarkEnd w:id="133"/>
      <w:r w:rsidRPr="00E53BFE">
        <w:rPr>
          <w:rFonts w:cs="Arial"/>
        </w:rPr>
        <w:t xml:space="preserve">mil (R$ </w:t>
      </w:r>
      <w:bookmarkStart w:id="134" w:name="_Hlk165296194"/>
      <w:r w:rsidRPr="00E53BFE">
        <w:rPr>
          <w:rFonts w:cs="Arial"/>
        </w:rPr>
        <w:t xml:space="preserve">197.821 </w:t>
      </w:r>
      <w:bookmarkEnd w:id="134"/>
      <w:r w:rsidRPr="00E53BFE">
        <w:rPr>
          <w:rFonts w:cs="Arial"/>
        </w:rPr>
        <w:t>mil negativo em 31.12.2023), é composto principalmente pelos valores a seguir:</w:t>
      </w:r>
    </w:p>
    <w:p w14:paraId="48BCD2D1" w14:textId="3F59F422" w:rsidR="002248FD" w:rsidRPr="00E40AED" w:rsidRDefault="002248FD" w:rsidP="002248FD">
      <w:pPr>
        <w:pStyle w:val="05-Textonormal"/>
        <w:rPr>
          <w:rFonts w:cs="Arial"/>
          <w:highlight w:val="yellow"/>
        </w:rPr>
      </w:pPr>
      <w:r w:rsidRPr="00E53BFE">
        <w:rPr>
          <w:rFonts w:cs="Arial"/>
        </w:rPr>
        <w:t xml:space="preserve">i </w:t>
      </w:r>
      <w:r w:rsidRPr="006D0308">
        <w:rPr>
          <w:rFonts w:cs="Arial"/>
        </w:rPr>
        <w:t xml:space="preserve">- </w:t>
      </w:r>
      <w:r w:rsidR="00370D76" w:rsidRPr="006D0308">
        <w:rPr>
          <w:rFonts w:cs="Arial"/>
        </w:rPr>
        <w:t xml:space="preserve">R$ </w:t>
      </w:r>
      <w:r w:rsidR="00370D76" w:rsidRPr="00EA51A9">
        <w:rPr>
          <w:rFonts w:cs="Arial"/>
        </w:rPr>
        <w:t>311.420 mil negativo, relativos</w:t>
      </w:r>
      <w:r w:rsidR="00370D76">
        <w:rPr>
          <w:rFonts w:cs="Arial"/>
        </w:rPr>
        <w:t xml:space="preserve"> à desvalorização resultante</w:t>
      </w:r>
      <w:r w:rsidR="00370D76" w:rsidRPr="00EA51A9">
        <w:rPr>
          <w:rFonts w:cs="Arial"/>
        </w:rPr>
        <w:t xml:space="preserve"> </w:t>
      </w:r>
      <w:r w:rsidR="00370D76">
        <w:rPr>
          <w:rFonts w:cs="Arial"/>
        </w:rPr>
        <w:t>d</w:t>
      </w:r>
      <w:r w:rsidR="00370D76" w:rsidRPr="00EA51A9">
        <w:rPr>
          <w:rFonts w:cs="Arial"/>
        </w:rPr>
        <w:t>o ajuste ao valor de mercado dos títulos classificados como Valor Justo por meio de Outros Resultados Abrangentes (VJORA) das investidas, pelo valor líquido dos efeitos tributários. Na Brasilprev ocorreu</w:t>
      </w:r>
      <w:r w:rsidR="00172BD8">
        <w:rPr>
          <w:rFonts w:cs="Arial"/>
        </w:rPr>
        <w:t xml:space="preserve"> a</w:t>
      </w:r>
      <w:r w:rsidR="00370D76" w:rsidRPr="00EA51A9">
        <w:rPr>
          <w:rFonts w:cs="Arial"/>
        </w:rPr>
        <w:t xml:space="preserve"> reclassificação d</w:t>
      </w:r>
      <w:r w:rsidR="00370D76">
        <w:rPr>
          <w:rFonts w:cs="Arial"/>
        </w:rPr>
        <w:t>e</w:t>
      </w:r>
      <w:r w:rsidR="00370D76" w:rsidRPr="00EA51A9">
        <w:rPr>
          <w:rFonts w:cs="Arial"/>
        </w:rPr>
        <w:t xml:space="preserve"> ativos financeiros em janeiro/2024, da categoria de Custo Amortizado para VJORA, em decorrência dos efeitos trazidos pela Circular SUSEP 678/2022.</w:t>
      </w:r>
    </w:p>
    <w:p w14:paraId="5E5A2B4E" w14:textId="77777777" w:rsidR="00610E35" w:rsidRPr="00D25D79" w:rsidRDefault="00610E35" w:rsidP="00610E35">
      <w:pPr>
        <w:pStyle w:val="05-Textonormal"/>
        <w:rPr>
          <w:rFonts w:cs="Arial"/>
        </w:rPr>
      </w:pPr>
      <w:proofErr w:type="spellStart"/>
      <w:r w:rsidRPr="006D0308">
        <w:rPr>
          <w:rFonts w:cs="Arial"/>
        </w:rPr>
        <w:t>ii</w:t>
      </w:r>
      <w:proofErr w:type="spellEnd"/>
      <w:r w:rsidRPr="006D0308">
        <w:rPr>
          <w:rFonts w:cs="Arial"/>
        </w:rPr>
        <w:t xml:space="preserve"> - </w:t>
      </w:r>
      <w:bookmarkStart w:id="135" w:name="_Hlk165370793"/>
      <w:r w:rsidRPr="006D0308">
        <w:rPr>
          <w:rFonts w:cs="Arial"/>
        </w:rPr>
        <w:t>R</w:t>
      </w:r>
      <w:bookmarkStart w:id="136" w:name="_Hlk165371272"/>
      <w:r w:rsidRPr="006D0308">
        <w:rPr>
          <w:rFonts w:cs="Arial"/>
        </w:rPr>
        <w:t xml:space="preserve">$ </w:t>
      </w:r>
      <w:bookmarkStart w:id="137" w:name="_Hlk165296322"/>
      <w:r w:rsidRPr="006D0308">
        <w:rPr>
          <w:rFonts w:cs="Arial"/>
        </w:rPr>
        <w:t>433</w:t>
      </w:r>
      <w:r w:rsidRPr="00EA51A9">
        <w:rPr>
          <w:rFonts w:cs="Arial"/>
        </w:rPr>
        <w:t xml:space="preserve">.305 </w:t>
      </w:r>
      <w:bookmarkEnd w:id="137"/>
      <w:r w:rsidRPr="00EA51A9">
        <w:rPr>
          <w:rFonts w:cs="Arial"/>
        </w:rPr>
        <w:t xml:space="preserve">mil negativo, </w:t>
      </w:r>
      <w:bookmarkStart w:id="138" w:name="_Hlk173329631"/>
      <w:r w:rsidRPr="00EA51A9">
        <w:rPr>
          <w:rFonts w:cs="Arial"/>
        </w:rPr>
        <w:t>relativos aos efeitos do CPC 50, referentes, principalmente, às variações de taxas de juros que impactam os passivos dos produtos classificados como Modelo Geral (BBA) nas empresas Brasilprev e BB MAPFRE.</w:t>
      </w:r>
      <w:bookmarkEnd w:id="138"/>
    </w:p>
    <w:bookmarkEnd w:id="121"/>
    <w:bookmarkEnd w:id="135"/>
    <w:bookmarkEnd w:id="136"/>
    <w:p w14:paraId="58430273" w14:textId="4663E0E5" w:rsidR="00B56685" w:rsidRPr="00BF2AAF" w:rsidRDefault="00610E35" w:rsidP="00B56685">
      <w:pPr>
        <w:pStyle w:val="05-Textonormal"/>
        <w:rPr>
          <w:rFonts w:cs="Arial"/>
        </w:rPr>
      </w:pPr>
      <w:r w:rsidRPr="00D25D79">
        <w:rPr>
          <w:rFonts w:cs="Arial"/>
        </w:rPr>
        <w:t>A BB Seguridade não possui instrumentos financeiros classificados como Valor Justo por meio de Outros Resultados Abrangentes. Os valores constantes em suas demonstrações contábeis são reflexos dos valores existentes nas empresas em que a BB Seguros detém participação.</w:t>
      </w:r>
      <w:bookmarkEnd w:id="122"/>
      <w:bookmarkEnd w:id="132"/>
    </w:p>
    <w:p w14:paraId="113DB62F" w14:textId="5352E687" w:rsidR="007D4AB0" w:rsidRDefault="00AB09B4" w:rsidP="00480676">
      <w:pPr>
        <w:pStyle w:val="Ttulo1"/>
        <w:spacing w:line="259" w:lineRule="auto"/>
        <w:jc w:val="both"/>
        <w:rPr>
          <w:rFonts w:ascii="Arial" w:hAnsi="Arial" w:cs="Arial"/>
          <w:b/>
          <w:color w:val="1F3864" w:themeColor="accent1" w:themeShade="80"/>
          <w:sz w:val="20"/>
          <w:szCs w:val="20"/>
        </w:rPr>
      </w:pPr>
      <w:bookmarkStart w:id="139" w:name="_Toc189757092"/>
      <w:r w:rsidRPr="00BF2AAF">
        <w:rPr>
          <w:rFonts w:ascii="Arial" w:hAnsi="Arial" w:cs="Arial"/>
          <w:b/>
          <w:color w:val="1F3864" w:themeColor="accent1" w:themeShade="80"/>
          <w:sz w:val="20"/>
          <w:szCs w:val="20"/>
        </w:rPr>
        <w:t>26</w:t>
      </w:r>
      <w:r w:rsidR="007D4AB0" w:rsidRPr="00BF2AAF">
        <w:rPr>
          <w:rFonts w:ascii="Arial" w:hAnsi="Arial" w:cs="Arial"/>
          <w:b/>
          <w:color w:val="1F3864" w:themeColor="accent1" w:themeShade="80"/>
          <w:sz w:val="20"/>
          <w:szCs w:val="20"/>
        </w:rPr>
        <w:t xml:space="preserve"> – PARTES RELACIONADAS</w:t>
      </w:r>
      <w:bookmarkEnd w:id="139"/>
      <w:r w:rsidR="007D4AB0" w:rsidRPr="00BF2AAF">
        <w:rPr>
          <w:rFonts w:ascii="Arial" w:hAnsi="Arial" w:cs="Arial"/>
          <w:b/>
          <w:color w:val="1F3864" w:themeColor="accent1" w:themeShade="80"/>
          <w:sz w:val="20"/>
          <w:szCs w:val="20"/>
        </w:rPr>
        <w:t xml:space="preserve"> </w:t>
      </w:r>
    </w:p>
    <w:p w14:paraId="007C3A9E" w14:textId="77777777" w:rsidR="008B4634" w:rsidRDefault="008B4634" w:rsidP="008B4634">
      <w:pPr>
        <w:pStyle w:val="05-Textonormal"/>
      </w:pPr>
      <w:bookmarkStart w:id="140" w:name="_Hlk165301324"/>
      <w:bookmarkStart w:id="141" w:name="_Hlk179996590"/>
      <w:r>
        <w:t>A BB Seguridade possui política de transações com partes relacionadas aprovada pelo Conselho de Administração e divulgada ao mercado, que orienta o comportamento da BB Seguridade e suas controladas, funcionários, administradores e acionistas em relação às transações com partes relacionadas.</w:t>
      </w:r>
    </w:p>
    <w:p w14:paraId="38E16F34" w14:textId="77777777" w:rsidR="008B4634" w:rsidRPr="0029229A" w:rsidRDefault="008B4634" w:rsidP="008B4634">
      <w:pPr>
        <w:pStyle w:val="05-Textonormal"/>
      </w:pPr>
      <w:r>
        <w:t>Conforme previsto na política, as transações com partes relacionadas são realizadas a preços e taxas usuais de mercado.</w:t>
      </w:r>
    </w:p>
    <w:p w14:paraId="3B73F363" w14:textId="77777777" w:rsidR="008B4634" w:rsidRDefault="008B4634" w:rsidP="008B4634">
      <w:pPr>
        <w:pStyle w:val="05-Textonormal"/>
      </w:pPr>
      <w:bookmarkStart w:id="142" w:name="_Hlk148625953"/>
      <w:bookmarkEnd w:id="140"/>
      <w:r w:rsidRPr="008C1864">
        <w:t xml:space="preserve">A BB Seguridade possui convênio </w:t>
      </w:r>
      <w:r>
        <w:t xml:space="preserve">de rateio e ressarcimento </w:t>
      </w:r>
      <w:r w:rsidRPr="008C1864">
        <w:t xml:space="preserve">com o controlador Banco do Brasil, firmado em 20 de dezembro de 2012, com prazo de vigência de 20 anos, tendo sido atualizado, por meio de aditivo, em 24 de julho de 2023. A BB Seguridade ressarce ao Banco as despesas e custos diretos e indiretos apuradas por critério de rateio, decorrentes da utilização do quadro de pessoal e dos recursos materiais, tecnológicos e administrativos necessários à manutenção das atividades e à comercialização de produtos no canal bancário. </w:t>
      </w:r>
    </w:p>
    <w:p w14:paraId="6A4CE591" w14:textId="77777777" w:rsidR="008B4634" w:rsidRDefault="008B4634" w:rsidP="008B4634">
      <w:pPr>
        <w:pStyle w:val="05-Textonormal2"/>
      </w:pPr>
      <w:r w:rsidRPr="00CB1D0C">
        <w:t xml:space="preserve">A </w:t>
      </w:r>
      <w:r>
        <w:t xml:space="preserve">BB Seguridade também possui convênio com suas controladas </w:t>
      </w:r>
      <w:r w:rsidRPr="00CB1D0C">
        <w:t xml:space="preserve">BB </w:t>
      </w:r>
      <w:r>
        <w:t xml:space="preserve">Corretora e a BB Seguros, firmados em 15 de junho de 2016, com prazo de vigência de 20 anos, tendo sido atualizado, por meio de aditivo, em 06 de dezembro de 2017. A BB Corretora e a BB Seguros ressarcem à BB Seguridade as </w:t>
      </w:r>
      <w:r w:rsidRPr="00CB1D0C">
        <w:t xml:space="preserve">despesas e custos diretos e indiretos </w:t>
      </w:r>
      <w:r>
        <w:t xml:space="preserve">apuradas por critério de rateio, </w:t>
      </w:r>
      <w:r w:rsidRPr="00CB1D0C">
        <w:t>decorrentes da utilização do quadro de pessoal, do espaço físico</w:t>
      </w:r>
      <w:r>
        <w:t xml:space="preserve"> e</w:t>
      </w:r>
      <w:r w:rsidRPr="00CB1D0C">
        <w:t xml:space="preserve"> dos recursos materiais, tecnológicos e administrativos necessários à manutenção das atividades</w:t>
      </w:r>
      <w:r>
        <w:t>.</w:t>
      </w:r>
    </w:p>
    <w:p w14:paraId="230FEC41" w14:textId="77777777" w:rsidR="008B4634" w:rsidRPr="00086A48" w:rsidRDefault="008B4634" w:rsidP="00D5649F">
      <w:pPr>
        <w:pStyle w:val="05-Textonormal"/>
        <w:pageBreakBefore/>
      </w:pPr>
      <w:r w:rsidRPr="00086A48">
        <w:lastRenderedPageBreak/>
        <w:t>Os referidos convênios visam capturar sinergias decorrentes do compartilhamento de recursos e a economicidade na sua utilização, a partir dos critérios de rateio definidos com base em metodologias de apuração previstas no referido convênio, observando a efetiva utilização dos recursos. Os valores do rateio são apurados e pagos mensalmente.</w:t>
      </w:r>
    </w:p>
    <w:p w14:paraId="34E747C4" w14:textId="77777777" w:rsidR="008B4634" w:rsidRPr="007869F5" w:rsidRDefault="008B4634" w:rsidP="008B4634">
      <w:pPr>
        <w:pStyle w:val="05-Textonormal"/>
      </w:pPr>
      <w:r w:rsidRPr="007869F5">
        <w:t>O quadro a seguir apresenta os custos com remunerações e outros benefícios atribuídos ao Pessoal</w:t>
      </w:r>
      <w:r>
        <w:t>-</w:t>
      </w:r>
      <w:r w:rsidRPr="007869F5">
        <w:t>Chave da Administração da BB Seguridade, formado pela Diretoria Executiva, Comitê de Auditoria</w:t>
      </w:r>
      <w:r>
        <w:t>, Comitê de Transações com Partes Relacionadas, Comitê de Riscos e de Capital</w:t>
      </w:r>
      <w:r w:rsidRPr="007869F5">
        <w:t xml:space="preserve"> e Conselho de Administração e os custos atribuídos ao Conselho Fiscal:</w:t>
      </w:r>
    </w:p>
    <w:p w14:paraId="27B8EEFD" w14:textId="77777777" w:rsidR="008B4634" w:rsidRPr="00DE5A2B" w:rsidRDefault="008B4634" w:rsidP="008B4634">
      <w:pPr>
        <w:pStyle w:val="05-Textonormal"/>
        <w:spacing w:before="0" w:after="0" w:line="240" w:lineRule="auto"/>
        <w:jc w:val="right"/>
        <w:rPr>
          <w:rFonts w:cs="Arial"/>
          <w:b/>
          <w:sz w:val="14"/>
          <w:szCs w:val="14"/>
        </w:rPr>
      </w:pPr>
      <w:r w:rsidRPr="00DE5A2B">
        <w:rPr>
          <w:rFonts w:cs="Arial"/>
          <w:b/>
          <w:sz w:val="14"/>
          <w:szCs w:val="14"/>
        </w:rPr>
        <w:t>R$ mil</w:t>
      </w: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545"/>
        <w:gridCol w:w="567"/>
        <w:gridCol w:w="815"/>
        <w:gridCol w:w="1385"/>
        <w:gridCol w:w="284"/>
        <w:gridCol w:w="1627"/>
        <w:gridCol w:w="1416"/>
      </w:tblGrid>
      <w:tr w:rsidR="00E84E4D" w:rsidRPr="00204C30" w14:paraId="14D7567B" w14:textId="77777777" w:rsidTr="00B52F4D">
        <w:trPr>
          <w:trHeight w:val="227"/>
          <w:jc w:val="center"/>
        </w:trPr>
        <w:tc>
          <w:tcPr>
            <w:tcW w:w="6312" w:type="dxa"/>
            <w:gridSpan w:val="4"/>
            <w:tcBorders>
              <w:top w:val="single" w:sz="2" w:space="0" w:color="1F3864" w:themeColor="accent1" w:themeShade="80"/>
              <w:bottom w:val="single" w:sz="2" w:space="0" w:color="1F3864" w:themeColor="accent1" w:themeShade="80"/>
            </w:tcBorders>
            <w:shd w:val="clear" w:color="auto" w:fill="auto"/>
          </w:tcPr>
          <w:p w14:paraId="7CB53001" w14:textId="77777777" w:rsidR="00E84E4D" w:rsidRPr="00204C30" w:rsidRDefault="00E84E4D" w:rsidP="00B52F4D">
            <w:pPr>
              <w:keepNext/>
              <w:keepLines/>
              <w:spacing w:before="40" w:after="40"/>
              <w:jc w:val="right"/>
              <w:rPr>
                <w:rFonts w:ascii="Arial" w:hAnsi="Arial" w:cs="Arial"/>
                <w:b/>
                <w:spacing w:val="-2"/>
                <w:sz w:val="14"/>
                <w:szCs w:val="14"/>
              </w:rPr>
            </w:pPr>
          </w:p>
        </w:tc>
        <w:tc>
          <w:tcPr>
            <w:tcW w:w="284" w:type="dxa"/>
            <w:tcBorders>
              <w:top w:val="single" w:sz="2" w:space="0" w:color="1F3864" w:themeColor="accent1" w:themeShade="80"/>
              <w:bottom w:val="single" w:sz="2" w:space="0" w:color="1F3864" w:themeColor="accent1" w:themeShade="80"/>
            </w:tcBorders>
            <w:shd w:val="clear" w:color="auto" w:fill="auto"/>
          </w:tcPr>
          <w:p w14:paraId="4DFF9D3C" w14:textId="77777777" w:rsidR="00E84E4D" w:rsidRPr="00204C30" w:rsidRDefault="00E84E4D" w:rsidP="00B52F4D">
            <w:pPr>
              <w:keepNext/>
              <w:keepLines/>
              <w:spacing w:before="40" w:after="40"/>
              <w:jc w:val="right"/>
              <w:rPr>
                <w:rFonts w:ascii="Arial" w:hAnsi="Arial" w:cs="Arial"/>
                <w:b/>
                <w:spacing w:val="-2"/>
                <w:sz w:val="14"/>
                <w:szCs w:val="14"/>
              </w:rPr>
            </w:pPr>
          </w:p>
        </w:tc>
        <w:tc>
          <w:tcPr>
            <w:tcW w:w="1627" w:type="dxa"/>
            <w:tcBorders>
              <w:top w:val="single" w:sz="2" w:space="0" w:color="1F3864" w:themeColor="accent1" w:themeShade="80"/>
              <w:bottom w:val="single" w:sz="2" w:space="0" w:color="1F3864" w:themeColor="accent1" w:themeShade="80"/>
            </w:tcBorders>
            <w:shd w:val="clear" w:color="auto" w:fill="auto"/>
          </w:tcPr>
          <w:p w14:paraId="623FDED6" w14:textId="77777777" w:rsidR="00E84E4D" w:rsidRPr="00A22394" w:rsidRDefault="00E84E4D" w:rsidP="00B52F4D">
            <w:pPr>
              <w:keepNext/>
              <w:keepLines/>
              <w:spacing w:before="40" w:after="40"/>
              <w:jc w:val="right"/>
              <w:rPr>
                <w:rFonts w:ascii="Arial" w:hAnsi="Arial" w:cs="Arial"/>
                <w:b/>
                <w:spacing w:val="-2"/>
                <w:sz w:val="14"/>
                <w:szCs w:val="14"/>
              </w:rPr>
            </w:pPr>
            <w:r w:rsidRPr="00A22394">
              <w:rPr>
                <w:rFonts w:ascii="Arial" w:hAnsi="Arial" w:cs="Arial"/>
                <w:b/>
                <w:spacing w:val="-2"/>
                <w:sz w:val="14"/>
                <w:szCs w:val="14"/>
              </w:rPr>
              <w:t xml:space="preserve"> Exercício 2024</w:t>
            </w:r>
          </w:p>
        </w:tc>
        <w:tc>
          <w:tcPr>
            <w:tcW w:w="1416" w:type="dxa"/>
            <w:tcBorders>
              <w:top w:val="single" w:sz="2" w:space="0" w:color="1F3864" w:themeColor="accent1" w:themeShade="80"/>
              <w:bottom w:val="single" w:sz="2" w:space="0" w:color="1F3864" w:themeColor="accent1" w:themeShade="80"/>
            </w:tcBorders>
            <w:shd w:val="clear" w:color="auto" w:fill="auto"/>
          </w:tcPr>
          <w:p w14:paraId="4754A1FE" w14:textId="77777777" w:rsidR="00E84E4D" w:rsidRPr="00D867D7" w:rsidRDefault="00E84E4D" w:rsidP="00B52F4D">
            <w:pPr>
              <w:keepNext/>
              <w:keepLines/>
              <w:spacing w:before="40" w:after="40"/>
              <w:jc w:val="right"/>
              <w:rPr>
                <w:rFonts w:ascii="Arial" w:hAnsi="Arial" w:cs="Arial"/>
                <w:b/>
                <w:spacing w:val="-2"/>
                <w:sz w:val="14"/>
                <w:szCs w:val="14"/>
              </w:rPr>
            </w:pPr>
            <w:r>
              <w:rPr>
                <w:rFonts w:ascii="Arial" w:hAnsi="Arial" w:cs="Arial"/>
                <w:b/>
                <w:spacing w:val="-2"/>
                <w:sz w:val="14"/>
                <w:szCs w:val="14"/>
              </w:rPr>
              <w:t>Exercício 2023</w:t>
            </w:r>
          </w:p>
        </w:tc>
      </w:tr>
      <w:tr w:rsidR="00E84E4D" w:rsidRPr="005A6905" w14:paraId="0408E58D" w14:textId="77777777" w:rsidTr="00B52F4D">
        <w:trPr>
          <w:trHeight w:val="227"/>
          <w:jc w:val="center"/>
        </w:trPr>
        <w:tc>
          <w:tcPr>
            <w:tcW w:w="3545" w:type="dxa"/>
            <w:tcBorders>
              <w:top w:val="single" w:sz="2" w:space="0" w:color="1F3864" w:themeColor="accent1" w:themeShade="80"/>
            </w:tcBorders>
            <w:shd w:val="clear" w:color="auto" w:fill="auto"/>
          </w:tcPr>
          <w:p w14:paraId="241D71EB" w14:textId="77777777" w:rsidR="00E84E4D" w:rsidRPr="005A6905" w:rsidRDefault="00E84E4D" w:rsidP="00B52F4D">
            <w:pPr>
              <w:pStyle w:val="08-Tabelageral"/>
              <w:jc w:val="left"/>
              <w:rPr>
                <w:rFonts w:cs="Arial"/>
                <w:b/>
                <w:szCs w:val="14"/>
              </w:rPr>
            </w:pPr>
            <w:r w:rsidRPr="005A6905">
              <w:rPr>
                <w:rFonts w:cs="Arial"/>
                <w:b/>
                <w:szCs w:val="14"/>
              </w:rPr>
              <w:t>Benefícios de curto prazo</w:t>
            </w:r>
          </w:p>
        </w:tc>
        <w:tc>
          <w:tcPr>
            <w:tcW w:w="567" w:type="dxa"/>
            <w:tcBorders>
              <w:top w:val="single" w:sz="2" w:space="0" w:color="1F3864" w:themeColor="accent1" w:themeShade="80"/>
            </w:tcBorders>
            <w:shd w:val="clear" w:color="auto" w:fill="auto"/>
          </w:tcPr>
          <w:p w14:paraId="18A817EB" w14:textId="77777777" w:rsidR="00E84E4D" w:rsidRPr="005A6905" w:rsidRDefault="00E84E4D" w:rsidP="00B52F4D">
            <w:pPr>
              <w:pStyle w:val="08-Tabelageral"/>
              <w:rPr>
                <w:rFonts w:cs="Arial"/>
                <w:b/>
                <w:szCs w:val="14"/>
              </w:rPr>
            </w:pPr>
          </w:p>
        </w:tc>
        <w:tc>
          <w:tcPr>
            <w:tcW w:w="815" w:type="dxa"/>
            <w:tcBorders>
              <w:top w:val="single" w:sz="2" w:space="0" w:color="1F3864" w:themeColor="accent1" w:themeShade="80"/>
            </w:tcBorders>
            <w:shd w:val="clear" w:color="auto" w:fill="auto"/>
          </w:tcPr>
          <w:p w14:paraId="03AA5A28" w14:textId="77777777" w:rsidR="00E84E4D" w:rsidRPr="005A6905" w:rsidRDefault="00E84E4D" w:rsidP="00B52F4D">
            <w:pPr>
              <w:pStyle w:val="08-Tabelageral"/>
              <w:rPr>
                <w:rFonts w:cs="Arial"/>
                <w:b/>
                <w:szCs w:val="14"/>
              </w:rPr>
            </w:pPr>
          </w:p>
        </w:tc>
        <w:tc>
          <w:tcPr>
            <w:tcW w:w="1385" w:type="dxa"/>
            <w:tcBorders>
              <w:top w:val="single" w:sz="2" w:space="0" w:color="1F3864" w:themeColor="accent1" w:themeShade="80"/>
            </w:tcBorders>
            <w:shd w:val="clear" w:color="auto" w:fill="auto"/>
          </w:tcPr>
          <w:p w14:paraId="39516475" w14:textId="77777777" w:rsidR="00E84E4D" w:rsidRPr="005A6905" w:rsidRDefault="00E84E4D" w:rsidP="00B52F4D">
            <w:pPr>
              <w:pStyle w:val="08-Tabelageral"/>
              <w:rPr>
                <w:rFonts w:cs="Arial"/>
                <w:b/>
                <w:szCs w:val="14"/>
              </w:rPr>
            </w:pPr>
          </w:p>
        </w:tc>
        <w:tc>
          <w:tcPr>
            <w:tcW w:w="284" w:type="dxa"/>
            <w:tcBorders>
              <w:top w:val="single" w:sz="2" w:space="0" w:color="1F3864" w:themeColor="accent1" w:themeShade="80"/>
            </w:tcBorders>
            <w:shd w:val="clear" w:color="auto" w:fill="auto"/>
          </w:tcPr>
          <w:p w14:paraId="0287B1A0" w14:textId="77777777" w:rsidR="00E84E4D" w:rsidRPr="005A6905" w:rsidRDefault="00E84E4D" w:rsidP="00B52F4D">
            <w:pPr>
              <w:pStyle w:val="08-Tabelageral"/>
              <w:rPr>
                <w:rFonts w:cs="Arial"/>
                <w:b/>
                <w:szCs w:val="14"/>
              </w:rPr>
            </w:pPr>
          </w:p>
        </w:tc>
        <w:tc>
          <w:tcPr>
            <w:tcW w:w="1627" w:type="dxa"/>
            <w:tcBorders>
              <w:top w:val="single" w:sz="2" w:space="0" w:color="9CC2E5" w:themeColor="accent5" w:themeTint="99"/>
            </w:tcBorders>
            <w:shd w:val="clear" w:color="auto" w:fill="auto"/>
          </w:tcPr>
          <w:p w14:paraId="2AB607CA" w14:textId="77777777" w:rsidR="00E84E4D" w:rsidRPr="00A22394" w:rsidRDefault="00E84E4D" w:rsidP="00B52F4D">
            <w:pPr>
              <w:pStyle w:val="08-Tabelageral"/>
              <w:rPr>
                <w:b/>
              </w:rPr>
            </w:pPr>
            <w:r w:rsidRPr="00A22394">
              <w:rPr>
                <w:b/>
              </w:rPr>
              <w:t>8.683</w:t>
            </w:r>
          </w:p>
        </w:tc>
        <w:tc>
          <w:tcPr>
            <w:tcW w:w="1416" w:type="dxa"/>
            <w:tcBorders>
              <w:top w:val="single" w:sz="2" w:space="0" w:color="9CC2E5" w:themeColor="accent5" w:themeTint="99"/>
            </w:tcBorders>
            <w:shd w:val="clear" w:color="auto" w:fill="auto"/>
            <w:vAlign w:val="center"/>
          </w:tcPr>
          <w:p w14:paraId="2455A0DC" w14:textId="77777777" w:rsidR="00E84E4D" w:rsidRPr="006F2CD5" w:rsidRDefault="00E84E4D" w:rsidP="00B52F4D">
            <w:pPr>
              <w:pStyle w:val="08-Tabelageral"/>
              <w:rPr>
                <w:b/>
              </w:rPr>
            </w:pPr>
            <w:r w:rsidRPr="00BF2AAF">
              <w:rPr>
                <w:rFonts w:cs="Arial"/>
                <w:b/>
              </w:rPr>
              <w:t>8.858</w:t>
            </w:r>
          </w:p>
        </w:tc>
      </w:tr>
      <w:tr w:rsidR="00E84E4D" w:rsidRPr="005A6905" w14:paraId="2A4C0717" w14:textId="77777777" w:rsidTr="00B52F4D">
        <w:trPr>
          <w:trHeight w:val="227"/>
          <w:jc w:val="center"/>
        </w:trPr>
        <w:tc>
          <w:tcPr>
            <w:tcW w:w="3545" w:type="dxa"/>
            <w:shd w:val="clear" w:color="auto" w:fill="auto"/>
          </w:tcPr>
          <w:p w14:paraId="645B0C97" w14:textId="77777777" w:rsidR="00E84E4D" w:rsidRPr="005A6905" w:rsidRDefault="00E84E4D" w:rsidP="00B52F4D">
            <w:pPr>
              <w:pStyle w:val="08-Tabelageral"/>
              <w:jc w:val="left"/>
              <w:rPr>
                <w:rFonts w:cs="Arial"/>
                <w:b/>
                <w:szCs w:val="14"/>
              </w:rPr>
            </w:pPr>
            <w:r w:rsidRPr="005A6905">
              <w:rPr>
                <w:rFonts w:cs="Arial"/>
                <w:b/>
                <w:szCs w:val="14"/>
              </w:rPr>
              <w:t xml:space="preserve">  Honorários e encargos sociais</w:t>
            </w:r>
          </w:p>
        </w:tc>
        <w:tc>
          <w:tcPr>
            <w:tcW w:w="567" w:type="dxa"/>
            <w:shd w:val="clear" w:color="auto" w:fill="auto"/>
          </w:tcPr>
          <w:p w14:paraId="13FEE9CE" w14:textId="77777777" w:rsidR="00E84E4D" w:rsidRPr="005A6905" w:rsidRDefault="00E84E4D" w:rsidP="00B52F4D">
            <w:pPr>
              <w:pStyle w:val="08-Tabelageral"/>
              <w:rPr>
                <w:rFonts w:cs="Arial"/>
                <w:b/>
                <w:szCs w:val="14"/>
              </w:rPr>
            </w:pPr>
          </w:p>
        </w:tc>
        <w:tc>
          <w:tcPr>
            <w:tcW w:w="815" w:type="dxa"/>
            <w:shd w:val="clear" w:color="auto" w:fill="auto"/>
          </w:tcPr>
          <w:p w14:paraId="355C3B5C" w14:textId="77777777" w:rsidR="00E84E4D" w:rsidRPr="005A6905" w:rsidRDefault="00E84E4D" w:rsidP="00B52F4D">
            <w:pPr>
              <w:pStyle w:val="08-Tabelageral"/>
              <w:rPr>
                <w:rFonts w:cs="Arial"/>
                <w:b/>
                <w:szCs w:val="14"/>
              </w:rPr>
            </w:pPr>
          </w:p>
        </w:tc>
        <w:tc>
          <w:tcPr>
            <w:tcW w:w="1385" w:type="dxa"/>
            <w:shd w:val="clear" w:color="auto" w:fill="auto"/>
          </w:tcPr>
          <w:p w14:paraId="2E5E02C1" w14:textId="77777777" w:rsidR="00E84E4D" w:rsidRPr="005A6905" w:rsidRDefault="00E84E4D" w:rsidP="00B52F4D">
            <w:pPr>
              <w:pStyle w:val="08-Tabelageral"/>
              <w:rPr>
                <w:rFonts w:cs="Arial"/>
                <w:b/>
                <w:szCs w:val="14"/>
              </w:rPr>
            </w:pPr>
          </w:p>
        </w:tc>
        <w:tc>
          <w:tcPr>
            <w:tcW w:w="284" w:type="dxa"/>
            <w:shd w:val="clear" w:color="auto" w:fill="auto"/>
          </w:tcPr>
          <w:p w14:paraId="679C60C8" w14:textId="77777777" w:rsidR="00E84E4D" w:rsidRPr="005A6905" w:rsidRDefault="00E84E4D" w:rsidP="00B52F4D">
            <w:pPr>
              <w:pStyle w:val="08-Tabelageral"/>
              <w:rPr>
                <w:rFonts w:cs="Arial"/>
                <w:b/>
                <w:szCs w:val="14"/>
              </w:rPr>
            </w:pPr>
          </w:p>
        </w:tc>
        <w:tc>
          <w:tcPr>
            <w:tcW w:w="1627" w:type="dxa"/>
            <w:shd w:val="clear" w:color="auto" w:fill="auto"/>
          </w:tcPr>
          <w:p w14:paraId="7539BB1C" w14:textId="77777777" w:rsidR="00E84E4D" w:rsidRPr="006F2CD5" w:rsidRDefault="00E84E4D" w:rsidP="00B52F4D">
            <w:pPr>
              <w:pStyle w:val="08-Tabelageral"/>
              <w:rPr>
                <w:b/>
              </w:rPr>
            </w:pPr>
            <w:r>
              <w:rPr>
                <w:b/>
              </w:rPr>
              <w:t>6.782</w:t>
            </w:r>
          </w:p>
        </w:tc>
        <w:tc>
          <w:tcPr>
            <w:tcW w:w="1416" w:type="dxa"/>
            <w:shd w:val="clear" w:color="auto" w:fill="auto"/>
            <w:vAlign w:val="center"/>
          </w:tcPr>
          <w:p w14:paraId="42CC14F0" w14:textId="77777777" w:rsidR="00E84E4D" w:rsidRPr="006F2CD5" w:rsidRDefault="00E84E4D" w:rsidP="00B52F4D">
            <w:pPr>
              <w:pStyle w:val="08-Tabelageral"/>
              <w:rPr>
                <w:b/>
              </w:rPr>
            </w:pPr>
            <w:r w:rsidRPr="00BF2AAF">
              <w:rPr>
                <w:rFonts w:cs="Arial"/>
                <w:b/>
              </w:rPr>
              <w:t>6.779</w:t>
            </w:r>
          </w:p>
        </w:tc>
      </w:tr>
      <w:tr w:rsidR="00E84E4D" w:rsidRPr="00707744" w14:paraId="3BD39E2B" w14:textId="77777777" w:rsidTr="00B52F4D">
        <w:trPr>
          <w:trHeight w:val="227"/>
          <w:jc w:val="center"/>
        </w:trPr>
        <w:tc>
          <w:tcPr>
            <w:tcW w:w="3545" w:type="dxa"/>
            <w:shd w:val="clear" w:color="auto" w:fill="auto"/>
          </w:tcPr>
          <w:p w14:paraId="41B8D745" w14:textId="77777777" w:rsidR="00E84E4D" w:rsidRPr="00707744" w:rsidRDefault="00E84E4D" w:rsidP="00B52F4D">
            <w:pPr>
              <w:pStyle w:val="08-Tabelageral"/>
              <w:jc w:val="left"/>
              <w:rPr>
                <w:rFonts w:cs="Arial"/>
                <w:szCs w:val="14"/>
              </w:rPr>
            </w:pPr>
            <w:r w:rsidRPr="00707744">
              <w:rPr>
                <w:rFonts w:cs="Arial"/>
                <w:szCs w:val="14"/>
              </w:rPr>
              <w:t xml:space="preserve">     Diretoria Executiva</w:t>
            </w:r>
          </w:p>
        </w:tc>
        <w:tc>
          <w:tcPr>
            <w:tcW w:w="567" w:type="dxa"/>
            <w:shd w:val="clear" w:color="auto" w:fill="auto"/>
          </w:tcPr>
          <w:p w14:paraId="6B274AB4" w14:textId="77777777" w:rsidR="00E84E4D" w:rsidRPr="00707744" w:rsidRDefault="00E84E4D" w:rsidP="00B52F4D">
            <w:pPr>
              <w:pStyle w:val="08-Tabelageral"/>
              <w:rPr>
                <w:rFonts w:cs="Arial"/>
                <w:szCs w:val="14"/>
              </w:rPr>
            </w:pPr>
          </w:p>
        </w:tc>
        <w:tc>
          <w:tcPr>
            <w:tcW w:w="815" w:type="dxa"/>
            <w:shd w:val="clear" w:color="auto" w:fill="auto"/>
          </w:tcPr>
          <w:p w14:paraId="5D69D705" w14:textId="77777777" w:rsidR="00E84E4D" w:rsidRPr="00707744" w:rsidRDefault="00E84E4D" w:rsidP="00B52F4D">
            <w:pPr>
              <w:pStyle w:val="08-Tabelageral"/>
              <w:rPr>
                <w:rFonts w:cs="Arial"/>
                <w:szCs w:val="14"/>
              </w:rPr>
            </w:pPr>
          </w:p>
        </w:tc>
        <w:tc>
          <w:tcPr>
            <w:tcW w:w="1385" w:type="dxa"/>
            <w:shd w:val="clear" w:color="auto" w:fill="auto"/>
          </w:tcPr>
          <w:p w14:paraId="406ACFEE" w14:textId="77777777" w:rsidR="00E84E4D" w:rsidRPr="00707744" w:rsidRDefault="00E84E4D" w:rsidP="00B52F4D">
            <w:pPr>
              <w:pStyle w:val="08-Tabelageral"/>
              <w:rPr>
                <w:rFonts w:cs="Arial"/>
                <w:szCs w:val="14"/>
              </w:rPr>
            </w:pPr>
          </w:p>
        </w:tc>
        <w:tc>
          <w:tcPr>
            <w:tcW w:w="284" w:type="dxa"/>
            <w:shd w:val="clear" w:color="auto" w:fill="auto"/>
          </w:tcPr>
          <w:p w14:paraId="5CB7B3A1" w14:textId="77777777" w:rsidR="00E84E4D" w:rsidRPr="00707744" w:rsidRDefault="00E84E4D" w:rsidP="00B52F4D">
            <w:pPr>
              <w:pStyle w:val="08-Tabelageral"/>
              <w:rPr>
                <w:rFonts w:cs="Arial"/>
                <w:szCs w:val="14"/>
              </w:rPr>
            </w:pPr>
          </w:p>
        </w:tc>
        <w:tc>
          <w:tcPr>
            <w:tcW w:w="1627" w:type="dxa"/>
            <w:shd w:val="clear" w:color="auto" w:fill="auto"/>
          </w:tcPr>
          <w:p w14:paraId="0E72FCFC" w14:textId="77777777" w:rsidR="00E84E4D" w:rsidRPr="00707744" w:rsidRDefault="00E84E4D" w:rsidP="00B52F4D">
            <w:pPr>
              <w:pStyle w:val="08-Tabelageral"/>
            </w:pPr>
            <w:r>
              <w:t>4.670</w:t>
            </w:r>
          </w:p>
        </w:tc>
        <w:tc>
          <w:tcPr>
            <w:tcW w:w="1416" w:type="dxa"/>
            <w:shd w:val="clear" w:color="auto" w:fill="auto"/>
            <w:vAlign w:val="center"/>
          </w:tcPr>
          <w:p w14:paraId="6C600CB0" w14:textId="77777777" w:rsidR="00E84E4D" w:rsidRPr="00707744" w:rsidRDefault="00E84E4D" w:rsidP="00B52F4D">
            <w:pPr>
              <w:pStyle w:val="08-Tabelageral"/>
            </w:pPr>
            <w:r w:rsidRPr="00BF2AAF">
              <w:rPr>
                <w:rFonts w:cs="Arial"/>
              </w:rPr>
              <w:t>4.739</w:t>
            </w:r>
          </w:p>
        </w:tc>
      </w:tr>
      <w:tr w:rsidR="00E84E4D" w:rsidRPr="00707744" w14:paraId="335F14EF" w14:textId="77777777" w:rsidTr="00B52F4D">
        <w:trPr>
          <w:trHeight w:val="227"/>
          <w:jc w:val="center"/>
        </w:trPr>
        <w:tc>
          <w:tcPr>
            <w:tcW w:w="3545" w:type="dxa"/>
            <w:shd w:val="clear" w:color="auto" w:fill="auto"/>
          </w:tcPr>
          <w:p w14:paraId="4067B68E" w14:textId="77777777" w:rsidR="00E84E4D" w:rsidRPr="00707744" w:rsidRDefault="00E84E4D" w:rsidP="00B52F4D">
            <w:pPr>
              <w:pStyle w:val="08-Tabelageral"/>
              <w:jc w:val="left"/>
              <w:rPr>
                <w:rFonts w:cs="Arial"/>
                <w:szCs w:val="14"/>
              </w:rPr>
            </w:pPr>
            <w:r w:rsidRPr="00707744">
              <w:rPr>
                <w:rFonts w:cs="Arial"/>
                <w:szCs w:val="14"/>
              </w:rPr>
              <w:t xml:space="preserve">     Comitê de Auditoria</w:t>
            </w:r>
          </w:p>
        </w:tc>
        <w:tc>
          <w:tcPr>
            <w:tcW w:w="567" w:type="dxa"/>
            <w:shd w:val="clear" w:color="auto" w:fill="auto"/>
          </w:tcPr>
          <w:p w14:paraId="65D344BE" w14:textId="77777777" w:rsidR="00E84E4D" w:rsidRPr="00707744" w:rsidRDefault="00E84E4D" w:rsidP="00B52F4D">
            <w:pPr>
              <w:pStyle w:val="08-Tabelageral"/>
              <w:rPr>
                <w:rFonts w:cs="Arial"/>
                <w:szCs w:val="14"/>
              </w:rPr>
            </w:pPr>
          </w:p>
        </w:tc>
        <w:tc>
          <w:tcPr>
            <w:tcW w:w="815" w:type="dxa"/>
            <w:shd w:val="clear" w:color="auto" w:fill="auto"/>
          </w:tcPr>
          <w:p w14:paraId="75012116" w14:textId="77777777" w:rsidR="00E84E4D" w:rsidRPr="00707744" w:rsidRDefault="00E84E4D" w:rsidP="00B52F4D">
            <w:pPr>
              <w:pStyle w:val="08-Tabelageral"/>
              <w:rPr>
                <w:rFonts w:cs="Arial"/>
                <w:szCs w:val="14"/>
              </w:rPr>
            </w:pPr>
          </w:p>
        </w:tc>
        <w:tc>
          <w:tcPr>
            <w:tcW w:w="1385" w:type="dxa"/>
            <w:shd w:val="clear" w:color="auto" w:fill="auto"/>
          </w:tcPr>
          <w:p w14:paraId="475F30B1" w14:textId="77777777" w:rsidR="00E84E4D" w:rsidRPr="00707744" w:rsidRDefault="00E84E4D" w:rsidP="00B52F4D">
            <w:pPr>
              <w:pStyle w:val="08-Tabelageral"/>
              <w:rPr>
                <w:rFonts w:cs="Arial"/>
                <w:szCs w:val="14"/>
              </w:rPr>
            </w:pPr>
          </w:p>
        </w:tc>
        <w:tc>
          <w:tcPr>
            <w:tcW w:w="284" w:type="dxa"/>
            <w:shd w:val="clear" w:color="auto" w:fill="auto"/>
          </w:tcPr>
          <w:p w14:paraId="29DBDF21" w14:textId="77777777" w:rsidR="00E84E4D" w:rsidRPr="00707744" w:rsidRDefault="00E84E4D" w:rsidP="00B52F4D">
            <w:pPr>
              <w:pStyle w:val="08-Tabelageral"/>
              <w:rPr>
                <w:rFonts w:cs="Arial"/>
                <w:szCs w:val="14"/>
              </w:rPr>
            </w:pPr>
          </w:p>
        </w:tc>
        <w:tc>
          <w:tcPr>
            <w:tcW w:w="1627" w:type="dxa"/>
            <w:shd w:val="clear" w:color="auto" w:fill="auto"/>
          </w:tcPr>
          <w:p w14:paraId="730BACE2" w14:textId="77777777" w:rsidR="00E84E4D" w:rsidRPr="00707744" w:rsidRDefault="00E84E4D" w:rsidP="00B52F4D">
            <w:pPr>
              <w:pStyle w:val="08-Tabelageral"/>
            </w:pPr>
            <w:r>
              <w:t>820</w:t>
            </w:r>
          </w:p>
        </w:tc>
        <w:tc>
          <w:tcPr>
            <w:tcW w:w="1416" w:type="dxa"/>
            <w:shd w:val="clear" w:color="auto" w:fill="auto"/>
            <w:vAlign w:val="center"/>
          </w:tcPr>
          <w:p w14:paraId="21F44746" w14:textId="77777777" w:rsidR="00E84E4D" w:rsidRPr="00707744" w:rsidRDefault="00E84E4D" w:rsidP="00B52F4D">
            <w:pPr>
              <w:pStyle w:val="08-Tabelageral"/>
            </w:pPr>
            <w:r w:rsidRPr="00BF2AAF">
              <w:rPr>
                <w:rFonts w:cs="Arial"/>
              </w:rPr>
              <w:t>784</w:t>
            </w:r>
          </w:p>
        </w:tc>
      </w:tr>
      <w:tr w:rsidR="00E84E4D" w:rsidRPr="00707744" w14:paraId="562EC1CE" w14:textId="77777777" w:rsidTr="00B52F4D">
        <w:trPr>
          <w:trHeight w:val="227"/>
          <w:jc w:val="center"/>
        </w:trPr>
        <w:tc>
          <w:tcPr>
            <w:tcW w:w="3545" w:type="dxa"/>
            <w:shd w:val="clear" w:color="auto" w:fill="auto"/>
          </w:tcPr>
          <w:p w14:paraId="61B2D9C2" w14:textId="77777777" w:rsidR="00E84E4D" w:rsidRPr="00707744" w:rsidRDefault="00E84E4D" w:rsidP="00B52F4D">
            <w:pPr>
              <w:pStyle w:val="08-Tabelageral"/>
              <w:jc w:val="left"/>
              <w:rPr>
                <w:rFonts w:cs="Arial"/>
                <w:szCs w:val="14"/>
              </w:rPr>
            </w:pPr>
            <w:r w:rsidRPr="00707744">
              <w:rPr>
                <w:rFonts w:cs="Arial"/>
                <w:szCs w:val="14"/>
              </w:rPr>
              <w:t xml:space="preserve">     Conselho de Administração</w:t>
            </w:r>
          </w:p>
        </w:tc>
        <w:tc>
          <w:tcPr>
            <w:tcW w:w="567" w:type="dxa"/>
            <w:shd w:val="clear" w:color="auto" w:fill="auto"/>
          </w:tcPr>
          <w:p w14:paraId="2558C583" w14:textId="77777777" w:rsidR="00E84E4D" w:rsidRPr="00707744" w:rsidRDefault="00E84E4D" w:rsidP="00B52F4D">
            <w:pPr>
              <w:pStyle w:val="08-Tabelageral"/>
              <w:rPr>
                <w:rFonts w:cs="Arial"/>
                <w:szCs w:val="14"/>
              </w:rPr>
            </w:pPr>
          </w:p>
        </w:tc>
        <w:tc>
          <w:tcPr>
            <w:tcW w:w="815" w:type="dxa"/>
            <w:shd w:val="clear" w:color="auto" w:fill="auto"/>
          </w:tcPr>
          <w:p w14:paraId="599E0ADB" w14:textId="77777777" w:rsidR="00E84E4D" w:rsidRPr="00707744" w:rsidRDefault="00E84E4D" w:rsidP="00B52F4D">
            <w:pPr>
              <w:pStyle w:val="08-Tabelageral"/>
              <w:rPr>
                <w:rFonts w:cs="Arial"/>
                <w:szCs w:val="14"/>
              </w:rPr>
            </w:pPr>
          </w:p>
        </w:tc>
        <w:tc>
          <w:tcPr>
            <w:tcW w:w="1385" w:type="dxa"/>
            <w:shd w:val="clear" w:color="auto" w:fill="auto"/>
          </w:tcPr>
          <w:p w14:paraId="1F134C5A" w14:textId="77777777" w:rsidR="00E84E4D" w:rsidRPr="00707744" w:rsidRDefault="00E84E4D" w:rsidP="00B52F4D">
            <w:pPr>
              <w:pStyle w:val="08-Tabelageral"/>
              <w:rPr>
                <w:rFonts w:cs="Arial"/>
                <w:szCs w:val="14"/>
              </w:rPr>
            </w:pPr>
          </w:p>
        </w:tc>
        <w:tc>
          <w:tcPr>
            <w:tcW w:w="284" w:type="dxa"/>
            <w:shd w:val="clear" w:color="auto" w:fill="auto"/>
          </w:tcPr>
          <w:p w14:paraId="4264D58A" w14:textId="77777777" w:rsidR="00E84E4D" w:rsidRPr="00707744" w:rsidRDefault="00E84E4D" w:rsidP="00B52F4D">
            <w:pPr>
              <w:pStyle w:val="08-Tabelageral"/>
              <w:rPr>
                <w:rFonts w:cs="Arial"/>
                <w:szCs w:val="14"/>
              </w:rPr>
            </w:pPr>
          </w:p>
        </w:tc>
        <w:tc>
          <w:tcPr>
            <w:tcW w:w="1627" w:type="dxa"/>
            <w:shd w:val="clear" w:color="auto" w:fill="auto"/>
          </w:tcPr>
          <w:p w14:paraId="3160D57E" w14:textId="77777777" w:rsidR="00E84E4D" w:rsidRPr="00707744" w:rsidRDefault="00E84E4D" w:rsidP="00B52F4D">
            <w:pPr>
              <w:pStyle w:val="08-Tabelageral"/>
            </w:pPr>
            <w:r>
              <w:t>352</w:t>
            </w:r>
          </w:p>
        </w:tc>
        <w:tc>
          <w:tcPr>
            <w:tcW w:w="1416" w:type="dxa"/>
            <w:shd w:val="clear" w:color="auto" w:fill="auto"/>
            <w:vAlign w:val="center"/>
          </w:tcPr>
          <w:p w14:paraId="6AEB0BC0" w14:textId="77777777" w:rsidR="00E84E4D" w:rsidRPr="00707744" w:rsidRDefault="00E84E4D" w:rsidP="00B52F4D">
            <w:pPr>
              <w:pStyle w:val="08-Tabelageral"/>
            </w:pPr>
            <w:r w:rsidRPr="00BF2AAF">
              <w:rPr>
                <w:rFonts w:cs="Arial"/>
              </w:rPr>
              <w:t>372</w:t>
            </w:r>
          </w:p>
        </w:tc>
      </w:tr>
      <w:tr w:rsidR="00E84E4D" w:rsidRPr="00707744" w14:paraId="68487B5D" w14:textId="77777777" w:rsidTr="00B52F4D">
        <w:trPr>
          <w:trHeight w:val="227"/>
          <w:jc w:val="center"/>
        </w:trPr>
        <w:tc>
          <w:tcPr>
            <w:tcW w:w="3545" w:type="dxa"/>
            <w:shd w:val="clear" w:color="auto" w:fill="auto"/>
          </w:tcPr>
          <w:p w14:paraId="5ACDDBD1" w14:textId="77777777" w:rsidR="00E84E4D" w:rsidRPr="00707744" w:rsidRDefault="00E84E4D" w:rsidP="00B52F4D">
            <w:pPr>
              <w:pStyle w:val="08-Tabelageral"/>
              <w:jc w:val="left"/>
              <w:rPr>
                <w:rFonts w:cs="Arial"/>
                <w:szCs w:val="14"/>
              </w:rPr>
            </w:pPr>
            <w:r w:rsidRPr="00707744">
              <w:rPr>
                <w:rFonts w:cs="Arial"/>
                <w:szCs w:val="14"/>
              </w:rPr>
              <w:t xml:space="preserve">     Conselho Fiscal</w:t>
            </w:r>
          </w:p>
        </w:tc>
        <w:tc>
          <w:tcPr>
            <w:tcW w:w="567" w:type="dxa"/>
            <w:shd w:val="clear" w:color="auto" w:fill="auto"/>
          </w:tcPr>
          <w:p w14:paraId="2676D4EB" w14:textId="77777777" w:rsidR="00E84E4D" w:rsidRPr="00707744" w:rsidRDefault="00E84E4D" w:rsidP="00B52F4D">
            <w:pPr>
              <w:pStyle w:val="08-Tabelageral"/>
              <w:rPr>
                <w:rFonts w:cs="Arial"/>
                <w:szCs w:val="14"/>
              </w:rPr>
            </w:pPr>
          </w:p>
        </w:tc>
        <w:tc>
          <w:tcPr>
            <w:tcW w:w="815" w:type="dxa"/>
            <w:shd w:val="clear" w:color="auto" w:fill="auto"/>
          </w:tcPr>
          <w:p w14:paraId="37D2F5BE" w14:textId="77777777" w:rsidR="00E84E4D" w:rsidRPr="00707744" w:rsidRDefault="00E84E4D" w:rsidP="00B52F4D">
            <w:pPr>
              <w:pStyle w:val="08-Tabelageral"/>
              <w:rPr>
                <w:rFonts w:cs="Arial"/>
                <w:szCs w:val="14"/>
              </w:rPr>
            </w:pPr>
          </w:p>
        </w:tc>
        <w:tc>
          <w:tcPr>
            <w:tcW w:w="1385" w:type="dxa"/>
            <w:shd w:val="clear" w:color="auto" w:fill="auto"/>
          </w:tcPr>
          <w:p w14:paraId="332A409B" w14:textId="77777777" w:rsidR="00E84E4D" w:rsidRPr="00707744" w:rsidRDefault="00E84E4D" w:rsidP="00B52F4D">
            <w:pPr>
              <w:pStyle w:val="08-Tabelageral"/>
              <w:rPr>
                <w:rFonts w:cs="Arial"/>
                <w:szCs w:val="14"/>
              </w:rPr>
            </w:pPr>
          </w:p>
        </w:tc>
        <w:tc>
          <w:tcPr>
            <w:tcW w:w="284" w:type="dxa"/>
            <w:shd w:val="clear" w:color="auto" w:fill="auto"/>
          </w:tcPr>
          <w:p w14:paraId="76FD5831" w14:textId="77777777" w:rsidR="00E84E4D" w:rsidRPr="00707744" w:rsidRDefault="00E84E4D" w:rsidP="00B52F4D">
            <w:pPr>
              <w:pStyle w:val="08-Tabelageral"/>
              <w:rPr>
                <w:rFonts w:cs="Arial"/>
                <w:szCs w:val="14"/>
              </w:rPr>
            </w:pPr>
          </w:p>
        </w:tc>
        <w:tc>
          <w:tcPr>
            <w:tcW w:w="1627" w:type="dxa"/>
            <w:shd w:val="clear" w:color="auto" w:fill="auto"/>
          </w:tcPr>
          <w:p w14:paraId="702D407E" w14:textId="77777777" w:rsidR="00E84E4D" w:rsidRPr="00707744" w:rsidRDefault="00E84E4D" w:rsidP="00B52F4D">
            <w:pPr>
              <w:pStyle w:val="08-Tabelageral"/>
            </w:pPr>
            <w:r>
              <w:t>285</w:t>
            </w:r>
          </w:p>
        </w:tc>
        <w:tc>
          <w:tcPr>
            <w:tcW w:w="1416" w:type="dxa"/>
            <w:shd w:val="clear" w:color="auto" w:fill="auto"/>
            <w:vAlign w:val="center"/>
          </w:tcPr>
          <w:p w14:paraId="131002CF" w14:textId="77777777" w:rsidR="00E84E4D" w:rsidRPr="00707744" w:rsidRDefault="00E84E4D" w:rsidP="00B52F4D">
            <w:pPr>
              <w:pStyle w:val="08-Tabelageral"/>
            </w:pPr>
            <w:r w:rsidRPr="00BF2AAF">
              <w:rPr>
                <w:rFonts w:cs="Arial"/>
              </w:rPr>
              <w:t>266</w:t>
            </w:r>
          </w:p>
        </w:tc>
      </w:tr>
      <w:tr w:rsidR="00E84E4D" w:rsidRPr="00707744" w14:paraId="7F99FBC5" w14:textId="77777777" w:rsidTr="00B52F4D">
        <w:trPr>
          <w:trHeight w:val="227"/>
          <w:jc w:val="center"/>
        </w:trPr>
        <w:tc>
          <w:tcPr>
            <w:tcW w:w="3545" w:type="dxa"/>
            <w:shd w:val="clear" w:color="auto" w:fill="auto"/>
          </w:tcPr>
          <w:p w14:paraId="3FB19985" w14:textId="77777777" w:rsidR="00E84E4D" w:rsidRPr="00707744" w:rsidRDefault="00E84E4D" w:rsidP="00B52F4D">
            <w:pPr>
              <w:pStyle w:val="08-Tabelageral"/>
              <w:jc w:val="left"/>
              <w:rPr>
                <w:rFonts w:cs="Arial"/>
                <w:szCs w:val="14"/>
              </w:rPr>
            </w:pPr>
            <w:r w:rsidRPr="00707744">
              <w:rPr>
                <w:rFonts w:cs="Arial"/>
                <w:szCs w:val="14"/>
              </w:rPr>
              <w:t xml:space="preserve">     Comitê de Transações com Partes Relacionadas</w:t>
            </w:r>
          </w:p>
        </w:tc>
        <w:tc>
          <w:tcPr>
            <w:tcW w:w="567" w:type="dxa"/>
            <w:shd w:val="clear" w:color="auto" w:fill="auto"/>
          </w:tcPr>
          <w:p w14:paraId="1B5B4B06" w14:textId="77777777" w:rsidR="00E84E4D" w:rsidRPr="00707744" w:rsidRDefault="00E84E4D" w:rsidP="00B52F4D">
            <w:pPr>
              <w:pStyle w:val="08-Tabelageral"/>
              <w:rPr>
                <w:rFonts w:cs="Arial"/>
                <w:szCs w:val="14"/>
              </w:rPr>
            </w:pPr>
          </w:p>
        </w:tc>
        <w:tc>
          <w:tcPr>
            <w:tcW w:w="815" w:type="dxa"/>
            <w:shd w:val="clear" w:color="auto" w:fill="auto"/>
          </w:tcPr>
          <w:p w14:paraId="1859F881" w14:textId="77777777" w:rsidR="00E84E4D" w:rsidRPr="00707744" w:rsidRDefault="00E84E4D" w:rsidP="00B52F4D">
            <w:pPr>
              <w:pStyle w:val="08-Tabelageral"/>
              <w:rPr>
                <w:rFonts w:cs="Arial"/>
                <w:szCs w:val="14"/>
              </w:rPr>
            </w:pPr>
          </w:p>
        </w:tc>
        <w:tc>
          <w:tcPr>
            <w:tcW w:w="1385" w:type="dxa"/>
            <w:shd w:val="clear" w:color="auto" w:fill="auto"/>
          </w:tcPr>
          <w:p w14:paraId="4E9F1FBD" w14:textId="77777777" w:rsidR="00E84E4D" w:rsidRPr="00707744" w:rsidRDefault="00E84E4D" w:rsidP="00B52F4D">
            <w:pPr>
              <w:pStyle w:val="08-Tabelageral"/>
              <w:rPr>
                <w:rFonts w:cs="Arial"/>
                <w:szCs w:val="14"/>
              </w:rPr>
            </w:pPr>
          </w:p>
        </w:tc>
        <w:tc>
          <w:tcPr>
            <w:tcW w:w="284" w:type="dxa"/>
            <w:shd w:val="clear" w:color="auto" w:fill="auto"/>
          </w:tcPr>
          <w:p w14:paraId="49917C50" w14:textId="77777777" w:rsidR="00E84E4D" w:rsidRPr="00707744" w:rsidRDefault="00E84E4D" w:rsidP="00B52F4D">
            <w:pPr>
              <w:pStyle w:val="08-Tabelageral"/>
              <w:rPr>
                <w:rFonts w:cs="Arial"/>
                <w:szCs w:val="14"/>
              </w:rPr>
            </w:pPr>
          </w:p>
        </w:tc>
        <w:tc>
          <w:tcPr>
            <w:tcW w:w="1627" w:type="dxa"/>
            <w:shd w:val="clear" w:color="auto" w:fill="auto"/>
          </w:tcPr>
          <w:p w14:paraId="6D5ADD0E" w14:textId="77777777" w:rsidR="00E84E4D" w:rsidRPr="00707744" w:rsidRDefault="00E84E4D" w:rsidP="00B52F4D">
            <w:pPr>
              <w:pStyle w:val="08-Tabelageral"/>
            </w:pPr>
            <w:r>
              <w:t>164</w:t>
            </w:r>
          </w:p>
        </w:tc>
        <w:tc>
          <w:tcPr>
            <w:tcW w:w="1416" w:type="dxa"/>
            <w:shd w:val="clear" w:color="auto" w:fill="auto"/>
          </w:tcPr>
          <w:p w14:paraId="51DF53AD" w14:textId="77777777" w:rsidR="00E84E4D" w:rsidRPr="00707744" w:rsidRDefault="00E84E4D" w:rsidP="00B52F4D">
            <w:pPr>
              <w:pStyle w:val="08-Tabelageral"/>
            </w:pPr>
            <w:r w:rsidRPr="00BF2AAF">
              <w:rPr>
                <w:rFonts w:cs="Arial"/>
                <w:szCs w:val="14"/>
              </w:rPr>
              <w:t>153</w:t>
            </w:r>
          </w:p>
        </w:tc>
      </w:tr>
      <w:tr w:rsidR="00E84E4D" w:rsidRPr="00707744" w14:paraId="683C9105" w14:textId="77777777" w:rsidTr="00B52F4D">
        <w:trPr>
          <w:trHeight w:val="227"/>
          <w:jc w:val="center"/>
        </w:trPr>
        <w:tc>
          <w:tcPr>
            <w:tcW w:w="3545" w:type="dxa"/>
            <w:shd w:val="clear" w:color="auto" w:fill="auto"/>
          </w:tcPr>
          <w:p w14:paraId="515CB24C" w14:textId="77777777" w:rsidR="00E84E4D" w:rsidRPr="00707744" w:rsidRDefault="00E84E4D" w:rsidP="00B52F4D">
            <w:pPr>
              <w:pStyle w:val="08-Tabelageral"/>
              <w:jc w:val="left"/>
              <w:rPr>
                <w:rFonts w:cs="Arial"/>
                <w:szCs w:val="14"/>
              </w:rPr>
            </w:pPr>
            <w:r w:rsidRPr="00707744">
              <w:rPr>
                <w:rFonts w:cs="Arial"/>
                <w:szCs w:val="14"/>
              </w:rPr>
              <w:t xml:space="preserve">     Comitê de Riscos e de Capital</w:t>
            </w:r>
          </w:p>
        </w:tc>
        <w:tc>
          <w:tcPr>
            <w:tcW w:w="567" w:type="dxa"/>
            <w:shd w:val="clear" w:color="auto" w:fill="auto"/>
          </w:tcPr>
          <w:p w14:paraId="6C30DFA7" w14:textId="77777777" w:rsidR="00E84E4D" w:rsidRPr="00707744" w:rsidRDefault="00E84E4D" w:rsidP="00B52F4D">
            <w:pPr>
              <w:pStyle w:val="08-Tabelageral"/>
              <w:rPr>
                <w:rFonts w:cs="Arial"/>
                <w:szCs w:val="14"/>
              </w:rPr>
            </w:pPr>
          </w:p>
        </w:tc>
        <w:tc>
          <w:tcPr>
            <w:tcW w:w="815" w:type="dxa"/>
            <w:shd w:val="clear" w:color="auto" w:fill="auto"/>
          </w:tcPr>
          <w:p w14:paraId="2A0105E7" w14:textId="77777777" w:rsidR="00E84E4D" w:rsidRPr="00707744" w:rsidRDefault="00E84E4D" w:rsidP="00B52F4D">
            <w:pPr>
              <w:pStyle w:val="08-Tabelageral"/>
              <w:rPr>
                <w:rFonts w:cs="Arial"/>
                <w:szCs w:val="14"/>
                <w:highlight w:val="yellow"/>
              </w:rPr>
            </w:pPr>
          </w:p>
        </w:tc>
        <w:tc>
          <w:tcPr>
            <w:tcW w:w="1385" w:type="dxa"/>
            <w:shd w:val="clear" w:color="auto" w:fill="auto"/>
          </w:tcPr>
          <w:p w14:paraId="044C28B1" w14:textId="77777777" w:rsidR="00E84E4D" w:rsidRPr="00707744" w:rsidRDefault="00E84E4D" w:rsidP="00B52F4D">
            <w:pPr>
              <w:pStyle w:val="08-Tabelageral"/>
              <w:rPr>
                <w:rFonts w:cs="Arial"/>
                <w:szCs w:val="14"/>
                <w:highlight w:val="yellow"/>
              </w:rPr>
            </w:pPr>
          </w:p>
        </w:tc>
        <w:tc>
          <w:tcPr>
            <w:tcW w:w="284" w:type="dxa"/>
            <w:shd w:val="clear" w:color="auto" w:fill="auto"/>
          </w:tcPr>
          <w:p w14:paraId="78C1C37F" w14:textId="77777777" w:rsidR="00E84E4D" w:rsidRPr="00707744" w:rsidRDefault="00E84E4D" w:rsidP="00B52F4D">
            <w:pPr>
              <w:pStyle w:val="08-Tabelageral"/>
              <w:rPr>
                <w:rFonts w:cs="Arial"/>
                <w:szCs w:val="14"/>
                <w:highlight w:val="yellow"/>
              </w:rPr>
            </w:pPr>
          </w:p>
        </w:tc>
        <w:tc>
          <w:tcPr>
            <w:tcW w:w="1627" w:type="dxa"/>
            <w:shd w:val="clear" w:color="auto" w:fill="auto"/>
          </w:tcPr>
          <w:p w14:paraId="3C75DDFE" w14:textId="77777777" w:rsidR="00E84E4D" w:rsidRPr="00707744" w:rsidRDefault="00E84E4D" w:rsidP="00B52F4D">
            <w:pPr>
              <w:pStyle w:val="08-Tabelageral"/>
            </w:pPr>
            <w:r>
              <w:t>491</w:t>
            </w:r>
          </w:p>
        </w:tc>
        <w:tc>
          <w:tcPr>
            <w:tcW w:w="1416" w:type="dxa"/>
            <w:shd w:val="clear" w:color="auto" w:fill="auto"/>
          </w:tcPr>
          <w:p w14:paraId="10D220AF" w14:textId="77777777" w:rsidR="00E84E4D" w:rsidRPr="00707744" w:rsidRDefault="00E84E4D" w:rsidP="00B52F4D">
            <w:pPr>
              <w:pStyle w:val="08-Tabelageral"/>
              <w:rPr>
                <w:rFonts w:cs="Arial"/>
                <w:szCs w:val="14"/>
              </w:rPr>
            </w:pPr>
            <w:r w:rsidRPr="00BF2AAF">
              <w:rPr>
                <w:rFonts w:cs="Arial"/>
                <w:szCs w:val="14"/>
              </w:rPr>
              <w:t>465</w:t>
            </w:r>
          </w:p>
        </w:tc>
      </w:tr>
      <w:tr w:rsidR="00E84E4D" w:rsidRPr="005A6905" w14:paraId="4BAF8AB3" w14:textId="77777777" w:rsidTr="00B52F4D">
        <w:trPr>
          <w:trHeight w:val="227"/>
          <w:jc w:val="center"/>
        </w:trPr>
        <w:tc>
          <w:tcPr>
            <w:tcW w:w="3545" w:type="dxa"/>
            <w:shd w:val="clear" w:color="auto" w:fill="auto"/>
          </w:tcPr>
          <w:p w14:paraId="7694568A" w14:textId="77777777" w:rsidR="00E84E4D" w:rsidRPr="005A6905" w:rsidRDefault="00E84E4D" w:rsidP="00B52F4D">
            <w:pPr>
              <w:pStyle w:val="08-Tabelageral"/>
              <w:jc w:val="left"/>
              <w:rPr>
                <w:rFonts w:cs="Arial"/>
                <w:b/>
                <w:bCs/>
                <w:szCs w:val="14"/>
              </w:rPr>
            </w:pPr>
            <w:r w:rsidRPr="005A6905">
              <w:rPr>
                <w:rFonts w:cs="Arial"/>
                <w:b/>
                <w:bCs/>
                <w:szCs w:val="14"/>
              </w:rPr>
              <w:t xml:space="preserve">  Remuneração Variável </w:t>
            </w:r>
            <w:r w:rsidRPr="005A6905">
              <w:rPr>
                <w:rFonts w:cs="Arial"/>
                <w:b/>
                <w:bCs/>
                <w:szCs w:val="14"/>
                <w:vertAlign w:val="superscript"/>
              </w:rPr>
              <w:t>(</w:t>
            </w:r>
            <w:r>
              <w:rPr>
                <w:rFonts w:cs="Arial"/>
                <w:b/>
                <w:bCs/>
                <w:szCs w:val="14"/>
                <w:vertAlign w:val="superscript"/>
              </w:rPr>
              <w:t>1)</w:t>
            </w:r>
          </w:p>
        </w:tc>
        <w:tc>
          <w:tcPr>
            <w:tcW w:w="567" w:type="dxa"/>
            <w:shd w:val="clear" w:color="auto" w:fill="auto"/>
          </w:tcPr>
          <w:p w14:paraId="33C8D149" w14:textId="77777777" w:rsidR="00E84E4D" w:rsidRPr="005A6905" w:rsidRDefault="00E84E4D" w:rsidP="00B52F4D">
            <w:pPr>
              <w:pStyle w:val="08-Tabelageral"/>
              <w:rPr>
                <w:rFonts w:cs="Arial"/>
                <w:b/>
                <w:bCs/>
                <w:szCs w:val="14"/>
              </w:rPr>
            </w:pPr>
          </w:p>
        </w:tc>
        <w:tc>
          <w:tcPr>
            <w:tcW w:w="815" w:type="dxa"/>
            <w:shd w:val="clear" w:color="auto" w:fill="auto"/>
          </w:tcPr>
          <w:p w14:paraId="3A11BFC0" w14:textId="77777777" w:rsidR="00E84E4D" w:rsidRPr="005A6905" w:rsidRDefault="00E84E4D" w:rsidP="00B52F4D">
            <w:pPr>
              <w:pStyle w:val="08-Tabelageral"/>
              <w:rPr>
                <w:rFonts w:cs="Arial"/>
                <w:b/>
                <w:bCs/>
                <w:szCs w:val="14"/>
              </w:rPr>
            </w:pPr>
          </w:p>
        </w:tc>
        <w:tc>
          <w:tcPr>
            <w:tcW w:w="1385" w:type="dxa"/>
            <w:shd w:val="clear" w:color="auto" w:fill="auto"/>
          </w:tcPr>
          <w:p w14:paraId="55F6079C" w14:textId="77777777" w:rsidR="00E84E4D" w:rsidRPr="005A6905" w:rsidRDefault="00E84E4D" w:rsidP="00B52F4D">
            <w:pPr>
              <w:pStyle w:val="08-Tabelageral"/>
              <w:rPr>
                <w:rFonts w:cs="Arial"/>
                <w:b/>
                <w:bCs/>
                <w:szCs w:val="14"/>
              </w:rPr>
            </w:pPr>
          </w:p>
        </w:tc>
        <w:tc>
          <w:tcPr>
            <w:tcW w:w="284" w:type="dxa"/>
            <w:shd w:val="clear" w:color="auto" w:fill="auto"/>
          </w:tcPr>
          <w:p w14:paraId="5A8EC3DC" w14:textId="77777777" w:rsidR="00E84E4D" w:rsidRPr="005A6905" w:rsidRDefault="00E84E4D" w:rsidP="00B52F4D">
            <w:pPr>
              <w:pStyle w:val="08-Tabelageral"/>
              <w:rPr>
                <w:rFonts w:cs="Arial"/>
                <w:b/>
                <w:bCs/>
                <w:szCs w:val="14"/>
              </w:rPr>
            </w:pPr>
          </w:p>
        </w:tc>
        <w:tc>
          <w:tcPr>
            <w:tcW w:w="1627" w:type="dxa"/>
            <w:shd w:val="clear" w:color="auto" w:fill="auto"/>
          </w:tcPr>
          <w:p w14:paraId="31FCC71C" w14:textId="77777777" w:rsidR="00E84E4D" w:rsidRPr="006F2CD5" w:rsidRDefault="00E84E4D" w:rsidP="00B52F4D">
            <w:pPr>
              <w:pStyle w:val="08-Tabelageral"/>
              <w:rPr>
                <w:b/>
              </w:rPr>
            </w:pPr>
            <w:r>
              <w:rPr>
                <w:b/>
              </w:rPr>
              <w:t>1.228</w:t>
            </w:r>
          </w:p>
        </w:tc>
        <w:tc>
          <w:tcPr>
            <w:tcW w:w="1416" w:type="dxa"/>
            <w:shd w:val="clear" w:color="auto" w:fill="auto"/>
          </w:tcPr>
          <w:p w14:paraId="496F3E22" w14:textId="77777777" w:rsidR="00E84E4D" w:rsidRPr="006F2CD5" w:rsidRDefault="00E84E4D" w:rsidP="00B52F4D">
            <w:pPr>
              <w:pStyle w:val="08-Tabelageral"/>
              <w:rPr>
                <w:b/>
              </w:rPr>
            </w:pPr>
            <w:r w:rsidRPr="00BF2AAF">
              <w:rPr>
                <w:rFonts w:cs="Arial"/>
                <w:b/>
              </w:rPr>
              <w:t>1.407</w:t>
            </w:r>
          </w:p>
        </w:tc>
      </w:tr>
      <w:tr w:rsidR="00E84E4D" w:rsidRPr="005A6905" w14:paraId="55120BB5" w14:textId="77777777" w:rsidTr="00B52F4D">
        <w:trPr>
          <w:trHeight w:val="227"/>
          <w:jc w:val="center"/>
        </w:trPr>
        <w:tc>
          <w:tcPr>
            <w:tcW w:w="3545" w:type="dxa"/>
            <w:shd w:val="clear" w:color="auto" w:fill="auto"/>
          </w:tcPr>
          <w:p w14:paraId="2868C188" w14:textId="77777777" w:rsidR="00E84E4D" w:rsidRPr="005A6905" w:rsidRDefault="00E84E4D" w:rsidP="00B52F4D">
            <w:pPr>
              <w:pStyle w:val="08-Tabelageral"/>
              <w:jc w:val="left"/>
              <w:rPr>
                <w:rFonts w:cs="Arial"/>
                <w:b/>
                <w:bCs/>
                <w:szCs w:val="14"/>
              </w:rPr>
            </w:pPr>
            <w:r w:rsidRPr="005A6905">
              <w:rPr>
                <w:rFonts w:cs="Arial"/>
                <w:b/>
                <w:bCs/>
                <w:szCs w:val="14"/>
              </w:rPr>
              <w:t xml:space="preserve">  Outros </w:t>
            </w:r>
            <w:r w:rsidRPr="005A6905">
              <w:rPr>
                <w:rFonts w:cs="Arial"/>
                <w:b/>
                <w:bCs/>
                <w:szCs w:val="14"/>
                <w:vertAlign w:val="superscript"/>
              </w:rPr>
              <w:t>(</w:t>
            </w:r>
            <w:r>
              <w:rPr>
                <w:rFonts w:cs="Arial"/>
                <w:b/>
                <w:bCs/>
                <w:szCs w:val="14"/>
                <w:vertAlign w:val="superscript"/>
              </w:rPr>
              <w:t>2</w:t>
            </w:r>
            <w:r w:rsidRPr="005A6905">
              <w:rPr>
                <w:rFonts w:cs="Arial"/>
                <w:b/>
                <w:bCs/>
                <w:szCs w:val="14"/>
                <w:vertAlign w:val="superscript"/>
              </w:rPr>
              <w:t>)</w:t>
            </w:r>
          </w:p>
        </w:tc>
        <w:tc>
          <w:tcPr>
            <w:tcW w:w="567" w:type="dxa"/>
            <w:shd w:val="clear" w:color="auto" w:fill="auto"/>
          </w:tcPr>
          <w:p w14:paraId="55D54357" w14:textId="77777777" w:rsidR="00E84E4D" w:rsidRPr="005A6905" w:rsidRDefault="00E84E4D" w:rsidP="00B52F4D">
            <w:pPr>
              <w:pStyle w:val="08-Tabelageral"/>
              <w:rPr>
                <w:rFonts w:cs="Arial"/>
                <w:b/>
                <w:bCs/>
                <w:szCs w:val="14"/>
              </w:rPr>
            </w:pPr>
          </w:p>
        </w:tc>
        <w:tc>
          <w:tcPr>
            <w:tcW w:w="815" w:type="dxa"/>
            <w:shd w:val="clear" w:color="auto" w:fill="auto"/>
          </w:tcPr>
          <w:p w14:paraId="71853EA3" w14:textId="77777777" w:rsidR="00E84E4D" w:rsidRPr="005A6905" w:rsidRDefault="00E84E4D" w:rsidP="00B52F4D">
            <w:pPr>
              <w:pStyle w:val="08-Tabelageral"/>
              <w:rPr>
                <w:rFonts w:cs="Arial"/>
                <w:b/>
                <w:bCs/>
                <w:szCs w:val="14"/>
              </w:rPr>
            </w:pPr>
          </w:p>
        </w:tc>
        <w:tc>
          <w:tcPr>
            <w:tcW w:w="1385" w:type="dxa"/>
            <w:shd w:val="clear" w:color="auto" w:fill="auto"/>
          </w:tcPr>
          <w:p w14:paraId="1FC0F1D9" w14:textId="77777777" w:rsidR="00E84E4D" w:rsidRPr="005A6905" w:rsidRDefault="00E84E4D" w:rsidP="00B52F4D">
            <w:pPr>
              <w:pStyle w:val="08-Tabelageral"/>
              <w:rPr>
                <w:rFonts w:cs="Arial"/>
                <w:b/>
                <w:bCs/>
                <w:szCs w:val="14"/>
              </w:rPr>
            </w:pPr>
          </w:p>
        </w:tc>
        <w:tc>
          <w:tcPr>
            <w:tcW w:w="284" w:type="dxa"/>
            <w:shd w:val="clear" w:color="auto" w:fill="auto"/>
          </w:tcPr>
          <w:p w14:paraId="480AC469" w14:textId="77777777" w:rsidR="00E84E4D" w:rsidRPr="005A6905" w:rsidRDefault="00E84E4D" w:rsidP="00B52F4D">
            <w:pPr>
              <w:pStyle w:val="08-Tabelageral"/>
              <w:rPr>
                <w:rFonts w:cs="Arial"/>
                <w:b/>
                <w:bCs/>
                <w:szCs w:val="14"/>
              </w:rPr>
            </w:pPr>
          </w:p>
        </w:tc>
        <w:tc>
          <w:tcPr>
            <w:tcW w:w="1627" w:type="dxa"/>
            <w:shd w:val="clear" w:color="auto" w:fill="auto"/>
          </w:tcPr>
          <w:p w14:paraId="601DBAEC" w14:textId="77777777" w:rsidR="00E84E4D" w:rsidRPr="006F2CD5" w:rsidRDefault="00E84E4D" w:rsidP="00B52F4D">
            <w:pPr>
              <w:pStyle w:val="08-Tabelageral"/>
              <w:rPr>
                <w:b/>
              </w:rPr>
            </w:pPr>
            <w:r>
              <w:rPr>
                <w:b/>
              </w:rPr>
              <w:t>673</w:t>
            </w:r>
          </w:p>
        </w:tc>
        <w:tc>
          <w:tcPr>
            <w:tcW w:w="1416" w:type="dxa"/>
            <w:shd w:val="clear" w:color="auto" w:fill="auto"/>
          </w:tcPr>
          <w:p w14:paraId="6F98D436" w14:textId="77777777" w:rsidR="00E84E4D" w:rsidRPr="006F2CD5" w:rsidRDefault="00E84E4D" w:rsidP="00B52F4D">
            <w:pPr>
              <w:pStyle w:val="08-Tabelageral"/>
              <w:rPr>
                <w:b/>
              </w:rPr>
            </w:pPr>
            <w:r w:rsidRPr="00BF2AAF">
              <w:rPr>
                <w:rFonts w:cs="Arial"/>
                <w:b/>
              </w:rPr>
              <w:t>672</w:t>
            </w:r>
          </w:p>
        </w:tc>
      </w:tr>
      <w:tr w:rsidR="00E84E4D" w:rsidRPr="005A6905" w14:paraId="59E474F6" w14:textId="77777777" w:rsidTr="00B52F4D">
        <w:trPr>
          <w:trHeight w:val="227"/>
          <w:jc w:val="center"/>
        </w:trPr>
        <w:tc>
          <w:tcPr>
            <w:tcW w:w="3545" w:type="dxa"/>
            <w:tcBorders>
              <w:bottom w:val="nil"/>
            </w:tcBorders>
            <w:shd w:val="clear" w:color="auto" w:fill="auto"/>
          </w:tcPr>
          <w:p w14:paraId="305814C4" w14:textId="77777777" w:rsidR="00E84E4D" w:rsidRPr="005A6905" w:rsidRDefault="00E84E4D" w:rsidP="00B52F4D">
            <w:pPr>
              <w:pStyle w:val="08-Tabelageral"/>
              <w:jc w:val="left"/>
              <w:rPr>
                <w:rFonts w:cs="Arial"/>
                <w:b/>
                <w:bCs/>
                <w:szCs w:val="14"/>
              </w:rPr>
            </w:pPr>
            <w:r w:rsidRPr="005A6905">
              <w:rPr>
                <w:rFonts w:cs="Arial"/>
                <w:b/>
                <w:bCs/>
                <w:szCs w:val="14"/>
              </w:rPr>
              <w:t xml:space="preserve">Remuneração Baseada em Ações </w:t>
            </w:r>
            <w:r w:rsidRPr="005A6905">
              <w:rPr>
                <w:rFonts w:cs="Arial"/>
                <w:b/>
                <w:bCs/>
                <w:szCs w:val="14"/>
                <w:vertAlign w:val="superscript"/>
              </w:rPr>
              <w:t>(</w:t>
            </w:r>
            <w:r>
              <w:rPr>
                <w:rFonts w:cs="Arial"/>
                <w:b/>
                <w:bCs/>
                <w:szCs w:val="14"/>
                <w:vertAlign w:val="superscript"/>
              </w:rPr>
              <w:t>3</w:t>
            </w:r>
            <w:r w:rsidRPr="005A6905">
              <w:rPr>
                <w:rFonts w:cs="Arial"/>
                <w:b/>
                <w:bCs/>
                <w:szCs w:val="14"/>
                <w:vertAlign w:val="superscript"/>
              </w:rPr>
              <w:t>)</w:t>
            </w:r>
          </w:p>
        </w:tc>
        <w:tc>
          <w:tcPr>
            <w:tcW w:w="567" w:type="dxa"/>
            <w:tcBorders>
              <w:bottom w:val="nil"/>
            </w:tcBorders>
            <w:shd w:val="clear" w:color="auto" w:fill="auto"/>
          </w:tcPr>
          <w:p w14:paraId="3E218044" w14:textId="77777777" w:rsidR="00E84E4D" w:rsidRPr="005A6905" w:rsidRDefault="00E84E4D" w:rsidP="00B52F4D">
            <w:pPr>
              <w:pStyle w:val="08-Tabelageral"/>
              <w:rPr>
                <w:rFonts w:cs="Arial"/>
                <w:b/>
                <w:bCs/>
                <w:szCs w:val="14"/>
              </w:rPr>
            </w:pPr>
          </w:p>
        </w:tc>
        <w:tc>
          <w:tcPr>
            <w:tcW w:w="815" w:type="dxa"/>
            <w:tcBorders>
              <w:bottom w:val="nil"/>
            </w:tcBorders>
            <w:shd w:val="clear" w:color="auto" w:fill="auto"/>
          </w:tcPr>
          <w:p w14:paraId="26427B1C" w14:textId="77777777" w:rsidR="00E84E4D" w:rsidRPr="005A6905" w:rsidRDefault="00E84E4D" w:rsidP="00B52F4D">
            <w:pPr>
              <w:pStyle w:val="08-Tabelageral"/>
              <w:rPr>
                <w:rFonts w:cs="Arial"/>
                <w:b/>
                <w:bCs/>
                <w:szCs w:val="14"/>
              </w:rPr>
            </w:pPr>
          </w:p>
        </w:tc>
        <w:tc>
          <w:tcPr>
            <w:tcW w:w="1385" w:type="dxa"/>
            <w:tcBorders>
              <w:bottom w:val="nil"/>
            </w:tcBorders>
            <w:shd w:val="clear" w:color="auto" w:fill="auto"/>
          </w:tcPr>
          <w:p w14:paraId="5F79A2CF" w14:textId="77777777" w:rsidR="00E84E4D" w:rsidRPr="005A6905" w:rsidRDefault="00E84E4D" w:rsidP="00B52F4D">
            <w:pPr>
              <w:pStyle w:val="08-Tabelageral"/>
              <w:rPr>
                <w:rFonts w:cs="Arial"/>
                <w:b/>
                <w:bCs/>
                <w:szCs w:val="14"/>
              </w:rPr>
            </w:pPr>
          </w:p>
        </w:tc>
        <w:tc>
          <w:tcPr>
            <w:tcW w:w="284" w:type="dxa"/>
            <w:tcBorders>
              <w:bottom w:val="nil"/>
            </w:tcBorders>
            <w:shd w:val="clear" w:color="auto" w:fill="auto"/>
          </w:tcPr>
          <w:p w14:paraId="5867BD88" w14:textId="77777777" w:rsidR="00E84E4D" w:rsidRPr="005A6905" w:rsidRDefault="00E84E4D" w:rsidP="00B52F4D">
            <w:pPr>
              <w:pStyle w:val="08-Tabelageral"/>
              <w:rPr>
                <w:rFonts w:cs="Arial"/>
                <w:b/>
                <w:bCs/>
                <w:szCs w:val="14"/>
              </w:rPr>
            </w:pPr>
          </w:p>
        </w:tc>
        <w:tc>
          <w:tcPr>
            <w:tcW w:w="1627" w:type="dxa"/>
            <w:tcBorders>
              <w:bottom w:val="nil"/>
            </w:tcBorders>
            <w:shd w:val="clear" w:color="auto" w:fill="auto"/>
          </w:tcPr>
          <w:p w14:paraId="1EDEFE8C" w14:textId="77777777" w:rsidR="00E84E4D" w:rsidRPr="006F2CD5" w:rsidRDefault="00E84E4D" w:rsidP="00B52F4D">
            <w:pPr>
              <w:pStyle w:val="08-Tabelageral"/>
              <w:rPr>
                <w:b/>
              </w:rPr>
            </w:pPr>
            <w:r>
              <w:rPr>
                <w:b/>
              </w:rPr>
              <w:t>1.222</w:t>
            </w:r>
          </w:p>
        </w:tc>
        <w:tc>
          <w:tcPr>
            <w:tcW w:w="1416" w:type="dxa"/>
            <w:tcBorders>
              <w:bottom w:val="nil"/>
            </w:tcBorders>
            <w:shd w:val="clear" w:color="auto" w:fill="auto"/>
          </w:tcPr>
          <w:p w14:paraId="6BD8092A" w14:textId="77777777" w:rsidR="00E84E4D" w:rsidRPr="006F2CD5" w:rsidRDefault="00E84E4D" w:rsidP="00B52F4D">
            <w:pPr>
              <w:pStyle w:val="08-Tabelageral"/>
              <w:rPr>
                <w:b/>
              </w:rPr>
            </w:pPr>
            <w:r w:rsidRPr="00BF2AAF">
              <w:rPr>
                <w:rFonts w:cs="Arial"/>
                <w:b/>
              </w:rPr>
              <w:t>1.124</w:t>
            </w:r>
          </w:p>
        </w:tc>
      </w:tr>
      <w:tr w:rsidR="00E84E4D" w:rsidRPr="005A6905" w14:paraId="6685BED4" w14:textId="77777777" w:rsidTr="00B52F4D">
        <w:trPr>
          <w:trHeight w:val="227"/>
          <w:jc w:val="center"/>
        </w:trPr>
        <w:tc>
          <w:tcPr>
            <w:tcW w:w="3545" w:type="dxa"/>
            <w:tcBorders>
              <w:top w:val="nil"/>
              <w:bottom w:val="single" w:sz="4" w:space="0" w:color="1F3864" w:themeColor="accent1" w:themeShade="80"/>
            </w:tcBorders>
            <w:shd w:val="clear" w:color="auto" w:fill="auto"/>
          </w:tcPr>
          <w:p w14:paraId="2C67E001" w14:textId="77777777" w:rsidR="00E84E4D" w:rsidRPr="005A6905" w:rsidRDefault="00E84E4D" w:rsidP="00B52F4D">
            <w:pPr>
              <w:pStyle w:val="08-Tabelageral"/>
              <w:jc w:val="left"/>
              <w:rPr>
                <w:rFonts w:cs="Arial"/>
                <w:b/>
                <w:bCs/>
                <w:szCs w:val="14"/>
              </w:rPr>
            </w:pPr>
            <w:r w:rsidRPr="005A6905">
              <w:rPr>
                <w:rFonts w:cs="Arial"/>
                <w:b/>
                <w:bCs/>
                <w:szCs w:val="14"/>
              </w:rPr>
              <w:t>Total</w:t>
            </w:r>
          </w:p>
        </w:tc>
        <w:tc>
          <w:tcPr>
            <w:tcW w:w="567" w:type="dxa"/>
            <w:tcBorders>
              <w:top w:val="nil"/>
              <w:bottom w:val="single" w:sz="4" w:space="0" w:color="1F3864" w:themeColor="accent1" w:themeShade="80"/>
            </w:tcBorders>
            <w:shd w:val="clear" w:color="auto" w:fill="auto"/>
          </w:tcPr>
          <w:p w14:paraId="280949A7" w14:textId="77777777" w:rsidR="00E84E4D" w:rsidRPr="005A6905" w:rsidRDefault="00E84E4D" w:rsidP="00B52F4D">
            <w:pPr>
              <w:pStyle w:val="08-Tabelageral"/>
              <w:rPr>
                <w:rFonts w:cs="Arial"/>
                <w:b/>
                <w:bCs/>
                <w:szCs w:val="14"/>
              </w:rPr>
            </w:pPr>
          </w:p>
        </w:tc>
        <w:tc>
          <w:tcPr>
            <w:tcW w:w="815" w:type="dxa"/>
            <w:tcBorders>
              <w:top w:val="nil"/>
              <w:bottom w:val="single" w:sz="4" w:space="0" w:color="1F3864" w:themeColor="accent1" w:themeShade="80"/>
            </w:tcBorders>
            <w:shd w:val="clear" w:color="auto" w:fill="auto"/>
          </w:tcPr>
          <w:p w14:paraId="075B437E" w14:textId="77777777" w:rsidR="00E84E4D" w:rsidRPr="005A6905" w:rsidRDefault="00E84E4D" w:rsidP="00B52F4D">
            <w:pPr>
              <w:pStyle w:val="08-Tabelageral"/>
              <w:rPr>
                <w:rFonts w:cs="Arial"/>
                <w:b/>
                <w:bCs/>
                <w:szCs w:val="14"/>
              </w:rPr>
            </w:pPr>
          </w:p>
        </w:tc>
        <w:tc>
          <w:tcPr>
            <w:tcW w:w="1385" w:type="dxa"/>
            <w:tcBorders>
              <w:top w:val="nil"/>
              <w:bottom w:val="single" w:sz="4" w:space="0" w:color="1F3864" w:themeColor="accent1" w:themeShade="80"/>
            </w:tcBorders>
            <w:shd w:val="clear" w:color="auto" w:fill="auto"/>
          </w:tcPr>
          <w:p w14:paraId="5338F89D" w14:textId="77777777" w:rsidR="00E84E4D" w:rsidRPr="005A6905" w:rsidRDefault="00E84E4D" w:rsidP="00B52F4D">
            <w:pPr>
              <w:pStyle w:val="08-Tabelageral"/>
              <w:rPr>
                <w:rFonts w:cs="Arial"/>
                <w:b/>
                <w:bCs/>
                <w:szCs w:val="14"/>
              </w:rPr>
            </w:pPr>
          </w:p>
        </w:tc>
        <w:tc>
          <w:tcPr>
            <w:tcW w:w="284" w:type="dxa"/>
            <w:tcBorders>
              <w:top w:val="nil"/>
              <w:bottom w:val="single" w:sz="4" w:space="0" w:color="1F3864" w:themeColor="accent1" w:themeShade="80"/>
            </w:tcBorders>
            <w:shd w:val="clear" w:color="auto" w:fill="auto"/>
          </w:tcPr>
          <w:p w14:paraId="4BA66F95" w14:textId="77777777" w:rsidR="00E84E4D" w:rsidRPr="005A6905" w:rsidRDefault="00E84E4D" w:rsidP="00B52F4D">
            <w:pPr>
              <w:pStyle w:val="08-Tabelageral"/>
              <w:rPr>
                <w:rFonts w:cs="Arial"/>
                <w:b/>
                <w:bCs/>
                <w:szCs w:val="14"/>
              </w:rPr>
            </w:pPr>
          </w:p>
        </w:tc>
        <w:tc>
          <w:tcPr>
            <w:tcW w:w="1627" w:type="dxa"/>
            <w:tcBorders>
              <w:top w:val="nil"/>
              <w:bottom w:val="single" w:sz="4" w:space="0" w:color="1F3864" w:themeColor="accent1" w:themeShade="80"/>
            </w:tcBorders>
            <w:shd w:val="clear" w:color="auto" w:fill="auto"/>
          </w:tcPr>
          <w:p w14:paraId="4B138B15" w14:textId="77777777" w:rsidR="00E84E4D" w:rsidRPr="006F2CD5" w:rsidRDefault="00E84E4D" w:rsidP="00B52F4D">
            <w:pPr>
              <w:pStyle w:val="08-Tabelageral"/>
              <w:rPr>
                <w:b/>
              </w:rPr>
            </w:pPr>
            <w:r>
              <w:rPr>
                <w:b/>
              </w:rPr>
              <w:t>9.905</w:t>
            </w:r>
          </w:p>
        </w:tc>
        <w:tc>
          <w:tcPr>
            <w:tcW w:w="1416" w:type="dxa"/>
            <w:tcBorders>
              <w:top w:val="nil"/>
              <w:bottom w:val="single" w:sz="4" w:space="0" w:color="1F3864" w:themeColor="accent1" w:themeShade="80"/>
            </w:tcBorders>
            <w:shd w:val="clear" w:color="auto" w:fill="auto"/>
          </w:tcPr>
          <w:p w14:paraId="47CB8A4E" w14:textId="77777777" w:rsidR="00E84E4D" w:rsidRPr="006F2CD5" w:rsidRDefault="00E84E4D" w:rsidP="00B52F4D">
            <w:pPr>
              <w:pStyle w:val="08-Tabelageral"/>
              <w:rPr>
                <w:b/>
              </w:rPr>
            </w:pPr>
            <w:r w:rsidRPr="00BF2AAF">
              <w:rPr>
                <w:rFonts w:cs="Arial"/>
                <w:b/>
              </w:rPr>
              <w:t>9.982</w:t>
            </w:r>
          </w:p>
        </w:tc>
      </w:tr>
    </w:tbl>
    <w:p w14:paraId="33F6CBD2" w14:textId="77777777" w:rsidR="00E84E4D" w:rsidRPr="00E823FF" w:rsidRDefault="00E84E4D" w:rsidP="002C3B56">
      <w:pPr>
        <w:pStyle w:val="paragraph"/>
        <w:numPr>
          <w:ilvl w:val="0"/>
          <w:numId w:val="32"/>
        </w:numPr>
        <w:spacing w:before="0" w:beforeAutospacing="0" w:after="60" w:afterAutospacing="0"/>
        <w:ind w:left="284" w:hanging="284"/>
        <w:jc w:val="both"/>
        <w:textAlignment w:val="baseline"/>
        <w:rPr>
          <w:rStyle w:val="normaltextrun"/>
          <w:rFonts w:ascii="Arial" w:eastAsia="MS Mincho" w:hAnsi="Arial" w:cs="Arial"/>
          <w:sz w:val="14"/>
          <w:szCs w:val="14"/>
        </w:rPr>
      </w:pPr>
      <w:r w:rsidRPr="00E823FF">
        <w:rPr>
          <w:rFonts w:ascii="Arial" w:hAnsi="Arial" w:cs="Arial"/>
          <w:sz w:val="14"/>
          <w:szCs w:val="14"/>
        </w:rPr>
        <w:t>Refere-se ao valor em espécie para quitação do Programa de Remuneração Variável dos Administradores (PRVA) de 2023 e ao adiantamento em espécie do PRVA de 2024. Os valores são brutos, antes da dedução do Imposto de Renda.</w:t>
      </w:r>
    </w:p>
    <w:p w14:paraId="1DF5F3FC" w14:textId="77777777" w:rsidR="008B4634" w:rsidRPr="00E823FF" w:rsidRDefault="008B4634" w:rsidP="002C3B56">
      <w:pPr>
        <w:pStyle w:val="paragraph"/>
        <w:numPr>
          <w:ilvl w:val="0"/>
          <w:numId w:val="32"/>
        </w:numPr>
        <w:spacing w:before="0" w:beforeAutospacing="0" w:after="60" w:afterAutospacing="0"/>
        <w:ind w:left="284" w:hanging="284"/>
        <w:jc w:val="both"/>
        <w:textAlignment w:val="baseline"/>
        <w:rPr>
          <w:rStyle w:val="eop"/>
          <w:rFonts w:ascii="Arial" w:hAnsi="Arial" w:cs="Arial"/>
          <w:sz w:val="14"/>
          <w:szCs w:val="14"/>
        </w:rPr>
      </w:pPr>
      <w:r w:rsidRPr="00E823FF">
        <w:rPr>
          <w:rStyle w:val="normaltextrun"/>
          <w:rFonts w:ascii="Arial" w:eastAsia="MS Mincho" w:hAnsi="Arial" w:cs="Arial"/>
          <w:sz w:val="14"/>
          <w:szCs w:val="14"/>
        </w:rPr>
        <w:t>Benefícios considerados: assistência médica, avaliação de saúde (ações de promoção e prevenção em saúde ocupacional), seguro de vida, vantagem de remoção (custeio parcial de despesas em caso de remoção para outras localidades), auxílio moradia e previdência complementar dos administradores.</w:t>
      </w:r>
      <w:r w:rsidRPr="00E823FF">
        <w:rPr>
          <w:rStyle w:val="eop"/>
          <w:rFonts w:ascii="Arial" w:hAnsi="Arial" w:cs="Arial"/>
          <w:sz w:val="14"/>
          <w:szCs w:val="14"/>
        </w:rPr>
        <w:t> </w:t>
      </w:r>
    </w:p>
    <w:p w14:paraId="7F9DC2F7" w14:textId="77777777" w:rsidR="00E84E4D" w:rsidRPr="00E823FF" w:rsidRDefault="00E84E4D" w:rsidP="002C3B56">
      <w:pPr>
        <w:pStyle w:val="paragraph"/>
        <w:numPr>
          <w:ilvl w:val="0"/>
          <w:numId w:val="32"/>
        </w:numPr>
        <w:spacing w:before="0" w:beforeAutospacing="0" w:after="0" w:afterAutospacing="0"/>
        <w:ind w:left="284" w:hanging="284"/>
        <w:jc w:val="both"/>
        <w:textAlignment w:val="baseline"/>
        <w:rPr>
          <w:rFonts w:ascii="Arial" w:hAnsi="Arial" w:cs="Arial"/>
          <w:sz w:val="14"/>
          <w:szCs w:val="14"/>
        </w:rPr>
      </w:pPr>
      <w:r w:rsidRPr="00E823FF">
        <w:rPr>
          <w:rStyle w:val="normaltextrun"/>
          <w:rFonts w:ascii="Arial" w:eastAsia="MS Mincho" w:hAnsi="Arial" w:cs="Arial"/>
          <w:sz w:val="14"/>
          <w:szCs w:val="14"/>
        </w:rPr>
        <w:t>Refere-se ao custo das ações relativas às parcelas dos programas de pagamentos baseados em ações de 2019, 2020, 2021, 2022 e 2023. </w:t>
      </w:r>
      <w:r w:rsidRPr="00E823FF">
        <w:rPr>
          <w:rStyle w:val="eop"/>
          <w:rFonts w:ascii="Arial" w:hAnsi="Arial" w:cs="Arial"/>
          <w:sz w:val="14"/>
          <w:szCs w:val="14"/>
        </w:rPr>
        <w:t> Valor bruto, antes do desconto referente ao Imposto de Renda.</w:t>
      </w:r>
    </w:p>
    <w:p w14:paraId="624D7550" w14:textId="77777777" w:rsidR="008B4634" w:rsidRDefault="008B4634" w:rsidP="008B4634">
      <w:pPr>
        <w:pStyle w:val="05-Textonormal2"/>
      </w:pPr>
      <w:r w:rsidRPr="00ED0DAC">
        <w:t>De acordo com a política de remuneração variável da BB Seguridade Participações, estabelecida em conformidade com a Lei 6.404/76, artigo 152 e o CPC 10</w:t>
      </w:r>
      <w:r>
        <w:t xml:space="preserve"> (R1) [IFRS 2]</w:t>
      </w:r>
      <w:r w:rsidRPr="00ED0DAC">
        <w:t xml:space="preserve"> – Pagamento Baseado em Ações, parte da remuneração variável da Diretoria Executiva é paga em ações.</w:t>
      </w:r>
    </w:p>
    <w:p w14:paraId="509A7A5E" w14:textId="77777777" w:rsidR="008B4634" w:rsidRPr="00ED0DAC" w:rsidRDefault="008B4634" w:rsidP="008B4634">
      <w:pPr>
        <w:pStyle w:val="05-Textonormal2"/>
      </w:pPr>
      <w:r w:rsidRPr="00ED0DAC">
        <w:t>A BB Seguridade não oferece benefícios pós-emprego ao Pessoal</w:t>
      </w:r>
      <w:r>
        <w:t>-</w:t>
      </w:r>
      <w:r w:rsidRPr="00ED0DAC">
        <w:t xml:space="preserve">Chave da Administração e nem aos seus funcionários. </w:t>
      </w:r>
    </w:p>
    <w:p w14:paraId="51554F19" w14:textId="77777777" w:rsidR="008B4634" w:rsidRPr="00ED0DAC" w:rsidRDefault="008B4634" w:rsidP="008B4634">
      <w:pPr>
        <w:pStyle w:val="05-Textonormal2"/>
      </w:pPr>
      <w:r w:rsidRPr="00ED0DAC">
        <w:t>Os custos correntes com pessoal são ressarcidos ao controlador Banco do Brasil S.A., no âmbito do convênio de cessão de funcionários, no período em que estiverem alocados às atividades da Companhia.</w:t>
      </w:r>
    </w:p>
    <w:p w14:paraId="50C861F3" w14:textId="77777777" w:rsidR="008B4634" w:rsidRPr="00ED0DAC" w:rsidRDefault="008B4634" w:rsidP="008B4634">
      <w:pPr>
        <w:pStyle w:val="05-Textonormal2"/>
      </w:pPr>
      <w:r w:rsidRPr="00ED0DAC">
        <w:t xml:space="preserve">O Grupo BB Seguridade realiza transações bancárias com o seu controlador, Banco do Brasil S.A., como depósitos em conta corrente, </w:t>
      </w:r>
      <w:bookmarkStart w:id="143" w:name="_Hlk165301376"/>
      <w:r>
        <w:t xml:space="preserve">utilização de </w:t>
      </w:r>
      <w:r w:rsidRPr="00ED0DAC">
        <w:t>cartões empresariais</w:t>
      </w:r>
      <w:r>
        <w:t xml:space="preserve"> emitidos pelo Banco</w:t>
      </w:r>
      <w:bookmarkEnd w:id="143"/>
      <w:r w:rsidRPr="00ED0DAC">
        <w:t>, aplicações financeiras, prestação de serviços e de garantias</w:t>
      </w:r>
      <w:r>
        <w:t>.</w:t>
      </w:r>
    </w:p>
    <w:p w14:paraId="32628863" w14:textId="77777777" w:rsidR="008B4634" w:rsidRDefault="008B4634" w:rsidP="008B4634">
      <w:pPr>
        <w:pStyle w:val="05-Textonormal2"/>
      </w:pPr>
      <w:r w:rsidRPr="00ED0DAC">
        <w:t>O Grupo BB Seguridade não concede empréstimos a</w:t>
      </w:r>
      <w:r>
        <w:t>o Pessoal-Chave da administração.</w:t>
      </w:r>
    </w:p>
    <w:p w14:paraId="09170108" w14:textId="77777777" w:rsidR="008B4634" w:rsidRDefault="008B4634" w:rsidP="00D5649F">
      <w:pPr>
        <w:pStyle w:val="05-Textonormal2"/>
      </w:pPr>
      <w:r>
        <w:t>A Controlada BB Corretora possui contratos de comercialização para os produtos de seguridade no canal bancário com todas as investidas operacionais da BB Seguridade, sendo os principais elencados a seguir:</w:t>
      </w:r>
    </w:p>
    <w:p w14:paraId="528F32D2" w14:textId="61B7BFAD" w:rsidR="008B4634" w:rsidRPr="002B4486" w:rsidRDefault="008B4634" w:rsidP="002C3B56">
      <w:pPr>
        <w:pStyle w:val="05-Textonormal2"/>
        <w:numPr>
          <w:ilvl w:val="0"/>
          <w:numId w:val="27"/>
        </w:numPr>
        <w:ind w:left="426" w:hanging="142"/>
      </w:pPr>
      <w:bookmarkStart w:id="144" w:name="_Hlk181191395"/>
      <w:proofErr w:type="spellStart"/>
      <w:r>
        <w:rPr>
          <w:rStyle w:val="normaltextrun"/>
          <w:rFonts w:eastAsia="MS Mincho" w:cs="Arial"/>
          <w:color w:val="000000"/>
          <w:shd w:val="clear" w:color="auto" w:fill="FFFFFF"/>
        </w:rPr>
        <w:t>Brasilseg</w:t>
      </w:r>
      <w:proofErr w:type="spellEnd"/>
      <w:r>
        <w:rPr>
          <w:rStyle w:val="normaltextrun"/>
          <w:rFonts w:eastAsia="MS Mincho" w:cs="Arial"/>
          <w:color w:val="000000"/>
          <w:shd w:val="clear" w:color="auto" w:fill="FFFFFF"/>
        </w:rPr>
        <w:t xml:space="preserve"> Companhia de Seguros e Aliança do Brasil Seguros S.A.</w:t>
      </w:r>
      <w:bookmarkEnd w:id="144"/>
      <w:r>
        <w:rPr>
          <w:rStyle w:val="normaltextrun"/>
          <w:rFonts w:eastAsia="MS Mincho" w:cs="Arial"/>
          <w:color w:val="000000"/>
          <w:shd w:val="clear" w:color="auto" w:fill="FFFFFF"/>
        </w:rPr>
        <w:t>, controladas da BB MAPFRE Participações S.A., para comercialização de seguros, com último aditivo assinado em 29/12/2022, com vigência até 30/06/2031, podendo ser renovado por períodos subsequentes de 5 anos, condicionado à vigência dos documentos da parceria entre o Grupo BB Seguridade e o Grupo MAPFRE.</w:t>
      </w:r>
    </w:p>
    <w:p w14:paraId="5A9D94DA" w14:textId="77777777" w:rsidR="008B4634" w:rsidRPr="002B4486" w:rsidRDefault="008B4634" w:rsidP="002C3B56">
      <w:pPr>
        <w:pStyle w:val="05-Textonormal2"/>
        <w:numPr>
          <w:ilvl w:val="0"/>
          <w:numId w:val="27"/>
        </w:numPr>
        <w:ind w:left="426" w:hanging="142"/>
      </w:pPr>
      <w:r w:rsidRPr="002B4486">
        <w:t>Brasilprev Seguros e Previdência S.A., para comercialização de planos de previdência privada, assinado em 06/10/1999, pelo prazo de 5 anos, prorrogáveis automaticamente por iguais períodos.</w:t>
      </w:r>
    </w:p>
    <w:p w14:paraId="6A6464FB" w14:textId="77777777" w:rsidR="008B4634" w:rsidRPr="002B4486" w:rsidRDefault="008B4634" w:rsidP="002C3B56">
      <w:pPr>
        <w:pStyle w:val="05-Textonormal2"/>
        <w:numPr>
          <w:ilvl w:val="0"/>
          <w:numId w:val="27"/>
        </w:numPr>
        <w:ind w:left="426" w:hanging="142"/>
      </w:pPr>
      <w:proofErr w:type="spellStart"/>
      <w:r w:rsidRPr="002B4486">
        <w:t>Brasilcap</w:t>
      </w:r>
      <w:proofErr w:type="spellEnd"/>
      <w:r w:rsidRPr="002B4486">
        <w:t xml:space="preserve"> Capitalização S.A., para comercialização de títulos de capitalização, assinado em 14/07/1999, pelo prazo de 5 anos, prorrogáveis automaticamente por iguais períodos.</w:t>
      </w:r>
    </w:p>
    <w:p w14:paraId="2882DFB4" w14:textId="77777777" w:rsidR="008B4634" w:rsidRPr="00ED0DAC" w:rsidRDefault="008B4634" w:rsidP="00D5649F">
      <w:pPr>
        <w:pStyle w:val="05-Textonormal2"/>
        <w:pageBreakBefore/>
      </w:pPr>
      <w:r w:rsidRPr="00ED0DAC">
        <w:lastRenderedPageBreak/>
        <w:t xml:space="preserve">Apresentamos </w:t>
      </w:r>
      <w:r>
        <w:t xml:space="preserve">a seguir </w:t>
      </w:r>
      <w:r w:rsidRPr="00ED0DAC">
        <w:t>as principais operações com partes relacionadas vigentes entre as empresas do Grupo BB Seguridade:</w:t>
      </w:r>
    </w:p>
    <w:p w14:paraId="3FCCD328" w14:textId="77777777" w:rsidR="008B4634" w:rsidRPr="00971822" w:rsidRDefault="008B4634" w:rsidP="002C3B56">
      <w:pPr>
        <w:pStyle w:val="03-SubttulodeNota"/>
        <w:numPr>
          <w:ilvl w:val="0"/>
          <w:numId w:val="26"/>
        </w:numPr>
        <w:ind w:left="284" w:hanging="284"/>
        <w:rPr>
          <w:color w:val="1F3864" w:themeColor="accent1" w:themeShade="80"/>
          <w:sz w:val="18"/>
          <w:szCs w:val="18"/>
        </w:rPr>
      </w:pPr>
      <w:r w:rsidRPr="00971822">
        <w:rPr>
          <w:color w:val="1F3864" w:themeColor="accent1" w:themeShade="80"/>
          <w:sz w:val="18"/>
          <w:szCs w:val="18"/>
        </w:rPr>
        <w:t>Sumário das Transações com Partes Relacionadas</w:t>
      </w:r>
    </w:p>
    <w:p w14:paraId="2FCD8C69" w14:textId="77777777" w:rsidR="008B4634" w:rsidRPr="00971822" w:rsidRDefault="008B4634" w:rsidP="008B4634">
      <w:pPr>
        <w:pStyle w:val="03-SubttulodeNota"/>
        <w:rPr>
          <w:color w:val="1F3864" w:themeColor="accent1" w:themeShade="80"/>
          <w:sz w:val="18"/>
          <w:szCs w:val="18"/>
        </w:rPr>
      </w:pPr>
      <w:r w:rsidRPr="00971822">
        <w:rPr>
          <w:color w:val="1F3864" w:themeColor="accent1" w:themeShade="80"/>
          <w:sz w:val="18"/>
          <w:szCs w:val="18"/>
        </w:rPr>
        <w:t xml:space="preserve">BB Seguridade – Controlador </w:t>
      </w:r>
    </w:p>
    <w:p w14:paraId="7B905AAD" w14:textId="77777777" w:rsidR="008B4634" w:rsidRPr="00676763" w:rsidRDefault="008B4634" w:rsidP="008B4634">
      <w:pPr>
        <w:pStyle w:val="01-TtulodeNota"/>
        <w:spacing w:before="0" w:after="0"/>
        <w:jc w:val="right"/>
        <w:rPr>
          <w:sz w:val="14"/>
          <w:szCs w:val="14"/>
        </w:rPr>
      </w:pPr>
      <w:r w:rsidRPr="00676763">
        <w:rPr>
          <w:sz w:val="14"/>
          <w:szCs w:val="14"/>
        </w:rPr>
        <w:t>R$ mil</w:t>
      </w:r>
    </w:p>
    <w:tbl>
      <w:tblPr>
        <w:tblW w:w="9639" w:type="dxa"/>
        <w:jc w:val="center"/>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1126"/>
        <w:gridCol w:w="3049"/>
        <w:gridCol w:w="1339"/>
        <w:gridCol w:w="1339"/>
        <w:gridCol w:w="1339"/>
        <w:gridCol w:w="1447"/>
      </w:tblGrid>
      <w:tr w:rsidR="008B4634" w:rsidRPr="00BF68E2" w14:paraId="486CDD5D" w14:textId="77777777" w:rsidTr="00106C06">
        <w:trPr>
          <w:trHeight w:val="238"/>
          <w:jc w:val="center"/>
        </w:trPr>
        <w:tc>
          <w:tcPr>
            <w:tcW w:w="1126" w:type="dxa"/>
            <w:tcBorders>
              <w:top w:val="single" w:sz="2" w:space="0" w:color="1F3864" w:themeColor="accent1" w:themeShade="80"/>
              <w:bottom w:val="nil"/>
            </w:tcBorders>
            <w:shd w:val="clear" w:color="auto" w:fill="auto"/>
          </w:tcPr>
          <w:p w14:paraId="6BF3AA70" w14:textId="77777777" w:rsidR="008B4634" w:rsidRPr="00BF68E2" w:rsidRDefault="008B4634" w:rsidP="00106C06">
            <w:pPr>
              <w:pStyle w:val="08-Tabelageral"/>
              <w:rPr>
                <w:b/>
              </w:rPr>
            </w:pPr>
          </w:p>
        </w:tc>
        <w:tc>
          <w:tcPr>
            <w:tcW w:w="3049" w:type="dxa"/>
            <w:tcBorders>
              <w:top w:val="single" w:sz="2" w:space="0" w:color="1F3864" w:themeColor="accent1" w:themeShade="80"/>
              <w:bottom w:val="nil"/>
            </w:tcBorders>
            <w:shd w:val="clear" w:color="auto" w:fill="auto"/>
          </w:tcPr>
          <w:p w14:paraId="7DDE73CF" w14:textId="77777777" w:rsidR="008B4634" w:rsidRPr="00BF68E2" w:rsidRDefault="008B4634" w:rsidP="00106C06">
            <w:pPr>
              <w:pStyle w:val="08-Tabelageral"/>
              <w:rPr>
                <w:b/>
              </w:rPr>
            </w:pPr>
          </w:p>
        </w:tc>
        <w:tc>
          <w:tcPr>
            <w:tcW w:w="2678" w:type="dxa"/>
            <w:gridSpan w:val="2"/>
            <w:tcBorders>
              <w:top w:val="single" w:sz="2" w:space="0" w:color="1F3864" w:themeColor="accent1" w:themeShade="80"/>
              <w:bottom w:val="single" w:sz="2" w:space="0" w:color="1F3864" w:themeColor="accent1" w:themeShade="80"/>
            </w:tcBorders>
            <w:shd w:val="clear" w:color="auto" w:fill="auto"/>
          </w:tcPr>
          <w:p w14:paraId="5A0DC668" w14:textId="77777777" w:rsidR="008B4634" w:rsidRPr="00BF68E2" w:rsidRDefault="008B4634" w:rsidP="00106C06">
            <w:pPr>
              <w:pStyle w:val="08-Tabelageral"/>
              <w:jc w:val="center"/>
              <w:rPr>
                <w:b/>
                <w:bCs/>
              </w:rPr>
            </w:pPr>
            <w:r>
              <w:rPr>
                <w:b/>
              </w:rPr>
              <w:t>31</w:t>
            </w:r>
            <w:r w:rsidRPr="00BF68E2">
              <w:rPr>
                <w:b/>
              </w:rPr>
              <w:t>.</w:t>
            </w:r>
            <w:r>
              <w:rPr>
                <w:b/>
              </w:rPr>
              <w:t>12</w:t>
            </w:r>
            <w:r w:rsidRPr="00BF68E2">
              <w:rPr>
                <w:b/>
              </w:rPr>
              <w:t>.202</w:t>
            </w:r>
            <w:r>
              <w:rPr>
                <w:b/>
              </w:rPr>
              <w:t>4</w:t>
            </w:r>
          </w:p>
        </w:tc>
        <w:tc>
          <w:tcPr>
            <w:tcW w:w="2786" w:type="dxa"/>
            <w:gridSpan w:val="2"/>
            <w:tcBorders>
              <w:top w:val="single" w:sz="2" w:space="0" w:color="1F3864" w:themeColor="accent1" w:themeShade="80"/>
              <w:bottom w:val="single" w:sz="2" w:space="0" w:color="1F3864" w:themeColor="accent1" w:themeShade="80"/>
            </w:tcBorders>
            <w:shd w:val="clear" w:color="auto" w:fill="auto"/>
          </w:tcPr>
          <w:p w14:paraId="5D816782" w14:textId="77777777" w:rsidR="008B4634" w:rsidRPr="00BF68E2" w:rsidRDefault="008B4634" w:rsidP="00106C06">
            <w:pPr>
              <w:pStyle w:val="08-Tabelageral"/>
              <w:jc w:val="center"/>
              <w:rPr>
                <w:b/>
              </w:rPr>
            </w:pPr>
            <w:r w:rsidRPr="006E66C7">
              <w:rPr>
                <w:b/>
              </w:rPr>
              <w:t>31.12.202</w:t>
            </w:r>
            <w:r>
              <w:rPr>
                <w:b/>
              </w:rPr>
              <w:t>3</w:t>
            </w:r>
          </w:p>
        </w:tc>
      </w:tr>
      <w:tr w:rsidR="008B4634" w:rsidRPr="00BF68E2" w14:paraId="6C06164C" w14:textId="77777777" w:rsidTr="00106C06">
        <w:trPr>
          <w:trHeight w:val="238"/>
          <w:jc w:val="center"/>
        </w:trPr>
        <w:tc>
          <w:tcPr>
            <w:tcW w:w="4175" w:type="dxa"/>
            <w:gridSpan w:val="2"/>
            <w:tcBorders>
              <w:top w:val="nil"/>
              <w:bottom w:val="single" w:sz="2" w:space="0" w:color="1F3864" w:themeColor="accent1" w:themeShade="80"/>
            </w:tcBorders>
            <w:shd w:val="clear" w:color="auto" w:fill="auto"/>
          </w:tcPr>
          <w:p w14:paraId="13750B49" w14:textId="77777777" w:rsidR="008B4634" w:rsidRPr="00BF68E2" w:rsidRDefault="008B4634" w:rsidP="00106C06">
            <w:pPr>
              <w:pStyle w:val="08-Tabelageral"/>
              <w:rPr>
                <w:b/>
                <w:szCs w:val="12"/>
              </w:rPr>
            </w:pPr>
          </w:p>
        </w:tc>
        <w:tc>
          <w:tcPr>
            <w:tcW w:w="1339" w:type="dxa"/>
            <w:tcBorders>
              <w:top w:val="single" w:sz="2" w:space="0" w:color="1F3864" w:themeColor="accent1" w:themeShade="80"/>
              <w:bottom w:val="single" w:sz="2" w:space="0" w:color="1F3864" w:themeColor="accent1" w:themeShade="80"/>
            </w:tcBorders>
            <w:shd w:val="clear" w:color="auto" w:fill="auto"/>
          </w:tcPr>
          <w:p w14:paraId="0C3EA279" w14:textId="77777777" w:rsidR="008B4634" w:rsidRPr="00BF68E2" w:rsidRDefault="008B4634" w:rsidP="00106C06">
            <w:pPr>
              <w:pStyle w:val="08-Tabelageral"/>
              <w:rPr>
                <w:b/>
                <w:szCs w:val="12"/>
              </w:rPr>
            </w:pPr>
            <w:r>
              <w:rPr>
                <w:b/>
                <w:szCs w:val="12"/>
              </w:rPr>
              <w:t>Banco do Brasil</w:t>
            </w:r>
          </w:p>
        </w:tc>
        <w:tc>
          <w:tcPr>
            <w:tcW w:w="1339" w:type="dxa"/>
            <w:tcBorders>
              <w:top w:val="single" w:sz="2" w:space="0" w:color="1F3864" w:themeColor="accent1" w:themeShade="80"/>
              <w:bottom w:val="single" w:sz="2" w:space="0" w:color="1F3864" w:themeColor="accent1" w:themeShade="80"/>
            </w:tcBorders>
            <w:shd w:val="clear" w:color="auto" w:fill="auto"/>
          </w:tcPr>
          <w:p w14:paraId="59EBC336" w14:textId="77777777" w:rsidR="008B4634" w:rsidRPr="00BF68E2" w:rsidRDefault="008B4634" w:rsidP="00106C06">
            <w:pPr>
              <w:pStyle w:val="08-Tabelageral"/>
              <w:rPr>
                <w:b/>
                <w:szCs w:val="12"/>
              </w:rPr>
            </w:pPr>
            <w:r w:rsidRPr="00BF68E2">
              <w:rPr>
                <w:b/>
                <w:szCs w:val="12"/>
              </w:rPr>
              <w:t xml:space="preserve">Controladas </w:t>
            </w:r>
            <w:r w:rsidRPr="00BF68E2">
              <w:rPr>
                <w:b/>
                <w:szCs w:val="12"/>
                <w:vertAlign w:val="superscript"/>
              </w:rPr>
              <w:t>(</w:t>
            </w:r>
            <w:r>
              <w:rPr>
                <w:b/>
                <w:szCs w:val="12"/>
                <w:vertAlign w:val="superscript"/>
              </w:rPr>
              <w:t>1</w:t>
            </w:r>
            <w:r w:rsidRPr="00BF68E2">
              <w:rPr>
                <w:b/>
                <w:szCs w:val="12"/>
                <w:vertAlign w:val="superscript"/>
              </w:rPr>
              <w:t>)</w:t>
            </w:r>
          </w:p>
        </w:tc>
        <w:tc>
          <w:tcPr>
            <w:tcW w:w="1339" w:type="dxa"/>
            <w:tcBorders>
              <w:top w:val="single" w:sz="2" w:space="0" w:color="1F3864" w:themeColor="accent1" w:themeShade="80"/>
              <w:bottom w:val="single" w:sz="2" w:space="0" w:color="1F3864" w:themeColor="accent1" w:themeShade="80"/>
            </w:tcBorders>
            <w:shd w:val="clear" w:color="auto" w:fill="auto"/>
          </w:tcPr>
          <w:p w14:paraId="44ACE4DB" w14:textId="77777777" w:rsidR="008B4634" w:rsidRPr="00BF68E2" w:rsidRDefault="008B4634" w:rsidP="00106C06">
            <w:pPr>
              <w:pStyle w:val="08-Tabelageral"/>
              <w:rPr>
                <w:b/>
                <w:szCs w:val="12"/>
              </w:rPr>
            </w:pPr>
            <w:r>
              <w:rPr>
                <w:b/>
                <w:szCs w:val="12"/>
              </w:rPr>
              <w:t>Banco do Brasil</w:t>
            </w:r>
          </w:p>
        </w:tc>
        <w:tc>
          <w:tcPr>
            <w:tcW w:w="1447" w:type="dxa"/>
            <w:tcBorders>
              <w:top w:val="single" w:sz="2" w:space="0" w:color="1F3864" w:themeColor="accent1" w:themeShade="80"/>
              <w:bottom w:val="single" w:sz="2" w:space="0" w:color="1F3864" w:themeColor="accent1" w:themeShade="80"/>
            </w:tcBorders>
            <w:shd w:val="clear" w:color="auto" w:fill="auto"/>
          </w:tcPr>
          <w:p w14:paraId="37D47129" w14:textId="77777777" w:rsidR="008B4634" w:rsidRPr="00BF68E2" w:rsidRDefault="008B4634" w:rsidP="00106C06">
            <w:pPr>
              <w:pStyle w:val="08-Tabelageral"/>
              <w:rPr>
                <w:b/>
                <w:szCs w:val="12"/>
              </w:rPr>
            </w:pPr>
            <w:r w:rsidRPr="00BF68E2">
              <w:rPr>
                <w:b/>
                <w:szCs w:val="12"/>
              </w:rPr>
              <w:t xml:space="preserve">Controladas </w:t>
            </w:r>
            <w:r w:rsidRPr="00BF68E2">
              <w:rPr>
                <w:b/>
                <w:szCs w:val="12"/>
                <w:vertAlign w:val="superscript"/>
              </w:rPr>
              <w:t>(</w:t>
            </w:r>
            <w:r>
              <w:rPr>
                <w:b/>
                <w:szCs w:val="12"/>
                <w:vertAlign w:val="superscript"/>
              </w:rPr>
              <w:t>1</w:t>
            </w:r>
            <w:r w:rsidRPr="00BF68E2">
              <w:rPr>
                <w:b/>
                <w:szCs w:val="12"/>
                <w:vertAlign w:val="superscript"/>
              </w:rPr>
              <w:t>)</w:t>
            </w:r>
          </w:p>
        </w:tc>
      </w:tr>
      <w:tr w:rsidR="008B4634" w:rsidRPr="00B169AD" w14:paraId="5BB07A9F" w14:textId="77777777" w:rsidTr="00106C06">
        <w:trPr>
          <w:trHeight w:val="238"/>
          <w:jc w:val="center"/>
        </w:trPr>
        <w:tc>
          <w:tcPr>
            <w:tcW w:w="4175" w:type="dxa"/>
            <w:gridSpan w:val="2"/>
            <w:tcBorders>
              <w:top w:val="single" w:sz="2" w:space="0" w:color="1F3864" w:themeColor="accent1" w:themeShade="80"/>
            </w:tcBorders>
            <w:shd w:val="clear" w:color="auto" w:fill="auto"/>
          </w:tcPr>
          <w:p w14:paraId="40924ABC" w14:textId="77777777" w:rsidR="008B4634" w:rsidRPr="00B169AD" w:rsidRDefault="008B4634" w:rsidP="00106C06">
            <w:pPr>
              <w:pStyle w:val="08-Tabelageral"/>
              <w:jc w:val="left"/>
              <w:rPr>
                <w:b/>
              </w:rPr>
            </w:pPr>
            <w:r w:rsidRPr="00B169AD">
              <w:rPr>
                <w:b/>
              </w:rPr>
              <w:t>Ativos</w:t>
            </w:r>
          </w:p>
        </w:tc>
        <w:tc>
          <w:tcPr>
            <w:tcW w:w="1339" w:type="dxa"/>
            <w:tcBorders>
              <w:top w:val="single" w:sz="2" w:space="0" w:color="1F3864" w:themeColor="accent1" w:themeShade="80"/>
            </w:tcBorders>
            <w:shd w:val="clear" w:color="auto" w:fill="auto"/>
          </w:tcPr>
          <w:p w14:paraId="4749E224" w14:textId="77777777" w:rsidR="008B4634" w:rsidRPr="00B169AD" w:rsidRDefault="008B4634" w:rsidP="00106C06">
            <w:pPr>
              <w:pStyle w:val="08-Tabelageral"/>
              <w:rPr>
                <w:b/>
                <w:szCs w:val="14"/>
              </w:rPr>
            </w:pPr>
          </w:p>
        </w:tc>
        <w:tc>
          <w:tcPr>
            <w:tcW w:w="1339" w:type="dxa"/>
            <w:tcBorders>
              <w:top w:val="single" w:sz="2" w:space="0" w:color="1F3864" w:themeColor="accent1" w:themeShade="80"/>
            </w:tcBorders>
            <w:shd w:val="clear" w:color="auto" w:fill="auto"/>
          </w:tcPr>
          <w:p w14:paraId="787562BB" w14:textId="77777777" w:rsidR="008B4634" w:rsidRPr="00B169AD" w:rsidRDefault="008B4634" w:rsidP="00106C06">
            <w:pPr>
              <w:pStyle w:val="08-Tabelageral"/>
              <w:rPr>
                <w:b/>
                <w:szCs w:val="14"/>
              </w:rPr>
            </w:pPr>
          </w:p>
        </w:tc>
        <w:tc>
          <w:tcPr>
            <w:tcW w:w="1339" w:type="dxa"/>
            <w:tcBorders>
              <w:top w:val="single" w:sz="2" w:space="0" w:color="1F3864" w:themeColor="accent1" w:themeShade="80"/>
            </w:tcBorders>
            <w:shd w:val="clear" w:color="auto" w:fill="auto"/>
          </w:tcPr>
          <w:p w14:paraId="4A59901A" w14:textId="77777777" w:rsidR="008B4634" w:rsidRPr="00B169AD" w:rsidRDefault="008B4634" w:rsidP="00106C06">
            <w:pPr>
              <w:pStyle w:val="08-Tabelageral"/>
              <w:rPr>
                <w:b/>
              </w:rPr>
            </w:pPr>
          </w:p>
        </w:tc>
        <w:tc>
          <w:tcPr>
            <w:tcW w:w="1447" w:type="dxa"/>
            <w:tcBorders>
              <w:top w:val="single" w:sz="2" w:space="0" w:color="1F3864" w:themeColor="accent1" w:themeShade="80"/>
            </w:tcBorders>
            <w:shd w:val="clear" w:color="auto" w:fill="auto"/>
          </w:tcPr>
          <w:p w14:paraId="68FA0C23" w14:textId="77777777" w:rsidR="008B4634" w:rsidRPr="00B169AD" w:rsidRDefault="008B4634" w:rsidP="00106C06">
            <w:pPr>
              <w:pStyle w:val="08-Tabelageral"/>
              <w:rPr>
                <w:b/>
              </w:rPr>
            </w:pPr>
          </w:p>
        </w:tc>
      </w:tr>
      <w:tr w:rsidR="008B4634" w:rsidRPr="001D6BE8" w14:paraId="261896A0" w14:textId="77777777" w:rsidTr="00106C06">
        <w:trPr>
          <w:trHeight w:val="238"/>
          <w:jc w:val="center"/>
        </w:trPr>
        <w:tc>
          <w:tcPr>
            <w:tcW w:w="4175" w:type="dxa"/>
            <w:gridSpan w:val="2"/>
            <w:shd w:val="clear" w:color="auto" w:fill="auto"/>
          </w:tcPr>
          <w:p w14:paraId="1C5D12C9" w14:textId="77777777" w:rsidR="008B4634" w:rsidRPr="00687402" w:rsidRDefault="008B4634" w:rsidP="00106C06">
            <w:pPr>
              <w:pStyle w:val="08-Tabelageral"/>
              <w:jc w:val="left"/>
              <w:rPr>
                <w:b/>
              </w:rPr>
            </w:pPr>
            <w:r w:rsidRPr="00687402">
              <w:t>Caixa e equivalentes de caixa</w:t>
            </w:r>
          </w:p>
        </w:tc>
        <w:tc>
          <w:tcPr>
            <w:tcW w:w="1339" w:type="dxa"/>
            <w:shd w:val="clear" w:color="auto" w:fill="auto"/>
          </w:tcPr>
          <w:p w14:paraId="39A66783" w14:textId="77777777" w:rsidR="008B4634" w:rsidRPr="001D1B75" w:rsidRDefault="008B4634" w:rsidP="00106C06">
            <w:pPr>
              <w:pStyle w:val="08-Tabelageral"/>
            </w:pPr>
            <w:r w:rsidRPr="000E3DE4">
              <w:t>335.647</w:t>
            </w:r>
          </w:p>
        </w:tc>
        <w:tc>
          <w:tcPr>
            <w:tcW w:w="1339" w:type="dxa"/>
            <w:shd w:val="clear" w:color="auto" w:fill="auto"/>
          </w:tcPr>
          <w:p w14:paraId="3FDDD2CC" w14:textId="77777777" w:rsidR="008B4634" w:rsidRPr="001D1B75" w:rsidRDefault="008B4634" w:rsidP="00106C06">
            <w:pPr>
              <w:pStyle w:val="08-Tabelageral"/>
            </w:pPr>
            <w:r>
              <w:t>--</w:t>
            </w:r>
          </w:p>
        </w:tc>
        <w:tc>
          <w:tcPr>
            <w:tcW w:w="1339" w:type="dxa"/>
            <w:shd w:val="clear" w:color="auto" w:fill="auto"/>
          </w:tcPr>
          <w:p w14:paraId="3BECBD84" w14:textId="77777777" w:rsidR="008B4634" w:rsidRPr="001D1B75" w:rsidRDefault="008B4634" w:rsidP="00106C06">
            <w:pPr>
              <w:pStyle w:val="08-Tabelageral"/>
            </w:pPr>
            <w:r>
              <w:t>645.070</w:t>
            </w:r>
          </w:p>
        </w:tc>
        <w:tc>
          <w:tcPr>
            <w:tcW w:w="1447" w:type="dxa"/>
            <w:shd w:val="clear" w:color="auto" w:fill="auto"/>
          </w:tcPr>
          <w:p w14:paraId="042F4FE4" w14:textId="77777777" w:rsidR="008B4634" w:rsidRPr="001D1B75" w:rsidRDefault="008B4634" w:rsidP="00106C06">
            <w:pPr>
              <w:pStyle w:val="08-Tabelageral"/>
            </w:pPr>
            <w:r>
              <w:t>--</w:t>
            </w:r>
          </w:p>
        </w:tc>
      </w:tr>
      <w:tr w:rsidR="008B4634" w:rsidRPr="00E177EF" w14:paraId="228FE3D5" w14:textId="77777777" w:rsidTr="00106C06">
        <w:trPr>
          <w:trHeight w:val="238"/>
          <w:jc w:val="center"/>
        </w:trPr>
        <w:tc>
          <w:tcPr>
            <w:tcW w:w="4175" w:type="dxa"/>
            <w:gridSpan w:val="2"/>
            <w:shd w:val="clear" w:color="auto" w:fill="auto"/>
          </w:tcPr>
          <w:p w14:paraId="185745D4" w14:textId="77777777" w:rsidR="008B4634" w:rsidRPr="00687402" w:rsidRDefault="008B4634" w:rsidP="00106C06">
            <w:pPr>
              <w:pStyle w:val="08-Tabelageral"/>
              <w:jc w:val="left"/>
              <w:rPr>
                <w:b/>
              </w:rPr>
            </w:pPr>
            <w:r>
              <w:t>Dividendos</w:t>
            </w:r>
          </w:p>
        </w:tc>
        <w:tc>
          <w:tcPr>
            <w:tcW w:w="1339" w:type="dxa"/>
            <w:shd w:val="clear" w:color="auto" w:fill="auto"/>
          </w:tcPr>
          <w:p w14:paraId="671E975A" w14:textId="77777777" w:rsidR="008B4634" w:rsidRPr="001D1B75" w:rsidRDefault="008B4634" w:rsidP="00106C06">
            <w:pPr>
              <w:pStyle w:val="08-Tabelageral"/>
            </w:pPr>
            <w:r>
              <w:t>--</w:t>
            </w:r>
          </w:p>
        </w:tc>
        <w:tc>
          <w:tcPr>
            <w:tcW w:w="1339" w:type="dxa"/>
            <w:shd w:val="clear" w:color="auto" w:fill="auto"/>
          </w:tcPr>
          <w:p w14:paraId="1BA14086" w14:textId="06029864" w:rsidR="008B4634" w:rsidRPr="00BB4301" w:rsidRDefault="008B4634" w:rsidP="00106C06">
            <w:pPr>
              <w:pStyle w:val="08-Tabelageral"/>
              <w:rPr>
                <w:rFonts w:cs="Arial"/>
                <w:color w:val="000000"/>
                <w:szCs w:val="14"/>
              </w:rPr>
            </w:pPr>
            <w:r w:rsidRPr="000E3DE4">
              <w:rPr>
                <w:rFonts w:cs="Arial"/>
                <w:color w:val="000000"/>
                <w:szCs w:val="14"/>
              </w:rPr>
              <w:t>4.145.40</w:t>
            </w:r>
            <w:r w:rsidR="0088185E">
              <w:rPr>
                <w:rFonts w:cs="Arial"/>
                <w:color w:val="000000"/>
                <w:szCs w:val="14"/>
              </w:rPr>
              <w:t>2</w:t>
            </w:r>
          </w:p>
        </w:tc>
        <w:tc>
          <w:tcPr>
            <w:tcW w:w="1339" w:type="dxa"/>
            <w:shd w:val="clear" w:color="auto" w:fill="auto"/>
          </w:tcPr>
          <w:p w14:paraId="14350C94" w14:textId="77777777" w:rsidR="008B4634" w:rsidRPr="001D1B75" w:rsidRDefault="008B4634" w:rsidP="00106C06">
            <w:pPr>
              <w:pStyle w:val="08-Tabelageral"/>
            </w:pPr>
            <w:r>
              <w:t>--</w:t>
            </w:r>
          </w:p>
        </w:tc>
        <w:tc>
          <w:tcPr>
            <w:tcW w:w="1447" w:type="dxa"/>
            <w:shd w:val="clear" w:color="auto" w:fill="auto"/>
          </w:tcPr>
          <w:p w14:paraId="52305092" w14:textId="77777777" w:rsidR="008B4634" w:rsidRPr="001D1B75" w:rsidRDefault="008B4634" w:rsidP="00106C06">
            <w:pPr>
              <w:pStyle w:val="08-Tabelageral"/>
            </w:pPr>
            <w:r>
              <w:rPr>
                <w:rFonts w:cs="Arial"/>
                <w:color w:val="000000"/>
                <w:szCs w:val="14"/>
              </w:rPr>
              <w:t>2.362.126</w:t>
            </w:r>
          </w:p>
        </w:tc>
      </w:tr>
      <w:tr w:rsidR="008B4634" w:rsidRPr="007A0C63" w14:paraId="2D979BA7" w14:textId="77777777" w:rsidTr="00106C06">
        <w:trPr>
          <w:trHeight w:val="238"/>
          <w:jc w:val="center"/>
        </w:trPr>
        <w:tc>
          <w:tcPr>
            <w:tcW w:w="4175" w:type="dxa"/>
            <w:gridSpan w:val="2"/>
            <w:shd w:val="clear" w:color="auto" w:fill="auto"/>
          </w:tcPr>
          <w:p w14:paraId="05242059" w14:textId="77777777" w:rsidR="008B4634" w:rsidRPr="007A0C63" w:rsidRDefault="008B4634" w:rsidP="00106C06">
            <w:pPr>
              <w:pStyle w:val="08-Tabelageral"/>
              <w:jc w:val="left"/>
              <w:rPr>
                <w:b/>
              </w:rPr>
            </w:pPr>
            <w:r w:rsidRPr="007A0C63">
              <w:t>Valores a receber de sociedades ligadas</w:t>
            </w:r>
          </w:p>
        </w:tc>
        <w:tc>
          <w:tcPr>
            <w:tcW w:w="1339" w:type="dxa"/>
            <w:shd w:val="clear" w:color="auto" w:fill="auto"/>
          </w:tcPr>
          <w:p w14:paraId="55F9B220" w14:textId="77777777" w:rsidR="008B4634" w:rsidRPr="007A0C63" w:rsidRDefault="008B4634" w:rsidP="00106C06">
            <w:pPr>
              <w:pStyle w:val="08-Tabelageral"/>
            </w:pPr>
            <w:r>
              <w:t>--</w:t>
            </w:r>
          </w:p>
        </w:tc>
        <w:tc>
          <w:tcPr>
            <w:tcW w:w="1339" w:type="dxa"/>
            <w:shd w:val="clear" w:color="auto" w:fill="auto"/>
          </w:tcPr>
          <w:p w14:paraId="67334D84" w14:textId="77777777" w:rsidR="008B4634" w:rsidRPr="007A0C63" w:rsidRDefault="008B4634" w:rsidP="00106C06">
            <w:pPr>
              <w:pStyle w:val="08-Tabelageral"/>
            </w:pPr>
            <w:r w:rsidRPr="000E3DE4">
              <w:t>10.799</w:t>
            </w:r>
          </w:p>
        </w:tc>
        <w:tc>
          <w:tcPr>
            <w:tcW w:w="1339" w:type="dxa"/>
            <w:shd w:val="clear" w:color="auto" w:fill="auto"/>
          </w:tcPr>
          <w:p w14:paraId="36319D44" w14:textId="77777777" w:rsidR="008B4634" w:rsidRPr="007A0C63" w:rsidRDefault="008B4634" w:rsidP="00106C06">
            <w:pPr>
              <w:pStyle w:val="08-Tabelageral"/>
            </w:pPr>
            <w:r>
              <w:t>--</w:t>
            </w:r>
          </w:p>
        </w:tc>
        <w:tc>
          <w:tcPr>
            <w:tcW w:w="1447" w:type="dxa"/>
            <w:shd w:val="clear" w:color="auto" w:fill="auto"/>
          </w:tcPr>
          <w:p w14:paraId="286B0B27" w14:textId="77777777" w:rsidR="008B4634" w:rsidRPr="007A0C63" w:rsidRDefault="008B4634" w:rsidP="00106C06">
            <w:pPr>
              <w:pStyle w:val="08-Tabelageral"/>
            </w:pPr>
            <w:r>
              <w:t>10.417</w:t>
            </w:r>
          </w:p>
        </w:tc>
      </w:tr>
      <w:tr w:rsidR="008B4634" w:rsidRPr="00B169AD" w14:paraId="55AB6F4F" w14:textId="77777777" w:rsidTr="00106C06">
        <w:trPr>
          <w:trHeight w:val="238"/>
          <w:jc w:val="center"/>
        </w:trPr>
        <w:tc>
          <w:tcPr>
            <w:tcW w:w="4175" w:type="dxa"/>
            <w:gridSpan w:val="2"/>
            <w:shd w:val="clear" w:color="auto" w:fill="auto"/>
          </w:tcPr>
          <w:p w14:paraId="2C3B3042" w14:textId="77777777" w:rsidR="008B4634" w:rsidRPr="00B169AD" w:rsidRDefault="008B4634" w:rsidP="00106C06">
            <w:pPr>
              <w:pStyle w:val="08-Tabelageral"/>
              <w:jc w:val="left"/>
              <w:rPr>
                <w:b/>
              </w:rPr>
            </w:pPr>
            <w:r w:rsidRPr="00B169AD">
              <w:rPr>
                <w:b/>
              </w:rPr>
              <w:t>Passivos</w:t>
            </w:r>
          </w:p>
        </w:tc>
        <w:tc>
          <w:tcPr>
            <w:tcW w:w="1339" w:type="dxa"/>
            <w:shd w:val="clear" w:color="auto" w:fill="auto"/>
          </w:tcPr>
          <w:p w14:paraId="75B71E9A" w14:textId="77777777" w:rsidR="008B4634" w:rsidRPr="00B169AD" w:rsidRDefault="008B4634" w:rsidP="00106C06">
            <w:pPr>
              <w:pStyle w:val="08-Tabelageral"/>
              <w:rPr>
                <w:b/>
              </w:rPr>
            </w:pPr>
          </w:p>
        </w:tc>
        <w:tc>
          <w:tcPr>
            <w:tcW w:w="1339" w:type="dxa"/>
            <w:shd w:val="clear" w:color="auto" w:fill="auto"/>
          </w:tcPr>
          <w:p w14:paraId="0D1DF6DB" w14:textId="77777777" w:rsidR="008B4634" w:rsidRPr="00B169AD" w:rsidRDefault="008B4634" w:rsidP="00106C06">
            <w:pPr>
              <w:pStyle w:val="08-Tabelageral"/>
              <w:rPr>
                <w:b/>
              </w:rPr>
            </w:pPr>
          </w:p>
        </w:tc>
        <w:tc>
          <w:tcPr>
            <w:tcW w:w="1339" w:type="dxa"/>
            <w:shd w:val="clear" w:color="auto" w:fill="auto"/>
          </w:tcPr>
          <w:p w14:paraId="5193DB3E" w14:textId="77777777" w:rsidR="008B4634" w:rsidRPr="00B169AD" w:rsidRDefault="008B4634" w:rsidP="00106C06">
            <w:pPr>
              <w:pStyle w:val="08-Tabelageral"/>
              <w:rPr>
                <w:b/>
              </w:rPr>
            </w:pPr>
          </w:p>
        </w:tc>
        <w:tc>
          <w:tcPr>
            <w:tcW w:w="1447" w:type="dxa"/>
            <w:shd w:val="clear" w:color="auto" w:fill="auto"/>
          </w:tcPr>
          <w:p w14:paraId="304EAF64" w14:textId="77777777" w:rsidR="008B4634" w:rsidRPr="00B169AD" w:rsidRDefault="008B4634" w:rsidP="00106C06">
            <w:pPr>
              <w:pStyle w:val="08-Tabelageral"/>
              <w:rPr>
                <w:b/>
              </w:rPr>
            </w:pPr>
          </w:p>
        </w:tc>
      </w:tr>
      <w:tr w:rsidR="008B4634" w:rsidRPr="001D6BE8" w14:paraId="22FFCA1D" w14:textId="77777777" w:rsidTr="00106C06">
        <w:trPr>
          <w:trHeight w:val="238"/>
          <w:jc w:val="center"/>
        </w:trPr>
        <w:tc>
          <w:tcPr>
            <w:tcW w:w="4175" w:type="dxa"/>
            <w:gridSpan w:val="2"/>
            <w:tcBorders>
              <w:bottom w:val="nil"/>
            </w:tcBorders>
            <w:shd w:val="clear" w:color="auto" w:fill="auto"/>
          </w:tcPr>
          <w:p w14:paraId="2CDA1DB1" w14:textId="77777777" w:rsidR="008B4634" w:rsidRPr="00687402" w:rsidRDefault="008B4634" w:rsidP="00106C06">
            <w:pPr>
              <w:pStyle w:val="08-Tabelageral"/>
              <w:jc w:val="left"/>
              <w:rPr>
                <w:b/>
              </w:rPr>
            </w:pPr>
            <w:r>
              <w:t>Obrigações sociais e estatutárias</w:t>
            </w:r>
          </w:p>
        </w:tc>
        <w:tc>
          <w:tcPr>
            <w:tcW w:w="1339" w:type="dxa"/>
            <w:tcBorders>
              <w:bottom w:val="nil"/>
            </w:tcBorders>
            <w:shd w:val="clear" w:color="auto" w:fill="auto"/>
            <w:vAlign w:val="center"/>
          </w:tcPr>
          <w:p w14:paraId="46B1C9AB" w14:textId="77777777" w:rsidR="008B4634" w:rsidRPr="001D1B75" w:rsidRDefault="008B4634" w:rsidP="00106C06">
            <w:pPr>
              <w:pStyle w:val="08-Tabelageral"/>
            </w:pPr>
            <w:r w:rsidRPr="000E3DE4">
              <w:t>2.922.517</w:t>
            </w:r>
          </w:p>
        </w:tc>
        <w:tc>
          <w:tcPr>
            <w:tcW w:w="1339" w:type="dxa"/>
            <w:tcBorders>
              <w:bottom w:val="nil"/>
            </w:tcBorders>
            <w:shd w:val="clear" w:color="auto" w:fill="auto"/>
          </w:tcPr>
          <w:p w14:paraId="2D929211" w14:textId="77777777" w:rsidR="008B4634" w:rsidRPr="001D1B75" w:rsidRDefault="008B4634" w:rsidP="00106C06">
            <w:pPr>
              <w:pStyle w:val="08-Tabelageral"/>
            </w:pPr>
            <w:r>
              <w:t>--</w:t>
            </w:r>
          </w:p>
        </w:tc>
        <w:tc>
          <w:tcPr>
            <w:tcW w:w="1339" w:type="dxa"/>
            <w:tcBorders>
              <w:bottom w:val="nil"/>
            </w:tcBorders>
            <w:shd w:val="clear" w:color="auto" w:fill="auto"/>
            <w:vAlign w:val="center"/>
          </w:tcPr>
          <w:p w14:paraId="6AFA740F" w14:textId="77777777" w:rsidR="008B4634" w:rsidRPr="001D1B75" w:rsidRDefault="008B4634" w:rsidP="00106C06">
            <w:pPr>
              <w:pStyle w:val="08-Tabelageral"/>
            </w:pPr>
            <w:r>
              <w:t>1.626.642</w:t>
            </w:r>
          </w:p>
        </w:tc>
        <w:tc>
          <w:tcPr>
            <w:tcW w:w="1447" w:type="dxa"/>
            <w:tcBorders>
              <w:bottom w:val="nil"/>
            </w:tcBorders>
            <w:shd w:val="clear" w:color="auto" w:fill="auto"/>
          </w:tcPr>
          <w:p w14:paraId="25435425" w14:textId="77777777" w:rsidR="008B4634" w:rsidRPr="001D1B75" w:rsidRDefault="008B4634" w:rsidP="00106C06">
            <w:pPr>
              <w:pStyle w:val="08-Tabelageral"/>
            </w:pPr>
            <w:r>
              <w:t>--</w:t>
            </w:r>
          </w:p>
        </w:tc>
      </w:tr>
      <w:tr w:rsidR="008B4634" w:rsidRPr="00E177EF" w14:paraId="187D8866" w14:textId="77777777" w:rsidTr="00106C06">
        <w:trPr>
          <w:trHeight w:val="238"/>
          <w:jc w:val="center"/>
        </w:trPr>
        <w:tc>
          <w:tcPr>
            <w:tcW w:w="4175" w:type="dxa"/>
            <w:gridSpan w:val="2"/>
            <w:tcBorders>
              <w:top w:val="nil"/>
              <w:bottom w:val="single" w:sz="2" w:space="0" w:color="1F3864" w:themeColor="accent1" w:themeShade="80"/>
            </w:tcBorders>
            <w:shd w:val="clear" w:color="auto" w:fill="auto"/>
          </w:tcPr>
          <w:p w14:paraId="49F976A1" w14:textId="77777777" w:rsidR="008B4634" w:rsidRPr="00687402" w:rsidRDefault="008B4634" w:rsidP="00106C06">
            <w:pPr>
              <w:pStyle w:val="08-Tabelageral"/>
              <w:jc w:val="left"/>
              <w:rPr>
                <w:b/>
              </w:rPr>
            </w:pPr>
            <w:r>
              <w:t>Valores a pagar a sociedades ligadas</w:t>
            </w:r>
          </w:p>
        </w:tc>
        <w:tc>
          <w:tcPr>
            <w:tcW w:w="1339" w:type="dxa"/>
            <w:tcBorders>
              <w:top w:val="nil"/>
              <w:bottom w:val="single" w:sz="2" w:space="0" w:color="1F3864" w:themeColor="accent1" w:themeShade="80"/>
            </w:tcBorders>
            <w:shd w:val="clear" w:color="auto" w:fill="auto"/>
            <w:vAlign w:val="center"/>
          </w:tcPr>
          <w:p w14:paraId="0248CBE5" w14:textId="77777777" w:rsidR="008B4634" w:rsidRPr="001D1B75" w:rsidRDefault="008B4634" w:rsidP="00106C06">
            <w:pPr>
              <w:pStyle w:val="08-Tabelageral"/>
            </w:pPr>
            <w:r w:rsidRPr="000E3DE4">
              <w:t>9.730</w:t>
            </w:r>
          </w:p>
        </w:tc>
        <w:tc>
          <w:tcPr>
            <w:tcW w:w="1339" w:type="dxa"/>
            <w:tcBorders>
              <w:top w:val="nil"/>
              <w:bottom w:val="single" w:sz="2" w:space="0" w:color="1F3864" w:themeColor="accent1" w:themeShade="80"/>
            </w:tcBorders>
            <w:shd w:val="clear" w:color="auto" w:fill="auto"/>
          </w:tcPr>
          <w:p w14:paraId="3DC2B5A8" w14:textId="77777777" w:rsidR="008B4634" w:rsidRPr="001D1B75" w:rsidRDefault="008B4634" w:rsidP="00106C06">
            <w:pPr>
              <w:pStyle w:val="08-Tabelageral"/>
            </w:pPr>
            <w:r>
              <w:t>--</w:t>
            </w:r>
          </w:p>
        </w:tc>
        <w:tc>
          <w:tcPr>
            <w:tcW w:w="1339" w:type="dxa"/>
            <w:tcBorders>
              <w:top w:val="nil"/>
              <w:bottom w:val="single" w:sz="2" w:space="0" w:color="1F3864" w:themeColor="accent1" w:themeShade="80"/>
            </w:tcBorders>
            <w:shd w:val="clear" w:color="auto" w:fill="auto"/>
            <w:vAlign w:val="center"/>
          </w:tcPr>
          <w:p w14:paraId="71BFC0FA" w14:textId="77777777" w:rsidR="008B4634" w:rsidRPr="001D1B75" w:rsidRDefault="008B4634" w:rsidP="00106C06">
            <w:pPr>
              <w:pStyle w:val="08-Tabelageral"/>
            </w:pPr>
            <w:r>
              <w:t>9.203</w:t>
            </w:r>
          </w:p>
        </w:tc>
        <w:tc>
          <w:tcPr>
            <w:tcW w:w="1447" w:type="dxa"/>
            <w:tcBorders>
              <w:top w:val="nil"/>
              <w:bottom w:val="single" w:sz="2" w:space="0" w:color="1F3864" w:themeColor="accent1" w:themeShade="80"/>
            </w:tcBorders>
            <w:shd w:val="clear" w:color="auto" w:fill="auto"/>
          </w:tcPr>
          <w:p w14:paraId="645B2A95" w14:textId="77777777" w:rsidR="008B4634" w:rsidRPr="001D1B75" w:rsidRDefault="008B4634" w:rsidP="00106C06">
            <w:pPr>
              <w:pStyle w:val="08-Tabelageral"/>
            </w:pPr>
            <w:r>
              <w:t>--</w:t>
            </w:r>
          </w:p>
        </w:tc>
      </w:tr>
    </w:tbl>
    <w:p w14:paraId="22E6649C" w14:textId="77777777" w:rsidR="008B4634" w:rsidRDefault="008B4634" w:rsidP="008B4634">
      <w:pPr>
        <w:pStyle w:val="01-TtulodeNota"/>
        <w:spacing w:before="0" w:after="0"/>
        <w:jc w:val="right"/>
        <w:rPr>
          <w:sz w:val="14"/>
          <w:szCs w:val="14"/>
        </w:rPr>
      </w:pPr>
    </w:p>
    <w:p w14:paraId="7BAE66F2" w14:textId="77777777" w:rsidR="008B4634" w:rsidRPr="00676763" w:rsidRDefault="008B4634" w:rsidP="008B4634">
      <w:pPr>
        <w:pStyle w:val="01-TtulodeNota"/>
        <w:keepNext/>
        <w:spacing w:after="0"/>
        <w:ind w:left="720"/>
        <w:jc w:val="right"/>
        <w:rPr>
          <w:sz w:val="14"/>
          <w:szCs w:val="14"/>
        </w:rPr>
      </w:pPr>
      <w:r w:rsidRPr="00676763">
        <w:rPr>
          <w:sz w:val="14"/>
          <w:szCs w:val="14"/>
        </w:rPr>
        <w:t>R$ mil</w:t>
      </w:r>
    </w:p>
    <w:tbl>
      <w:tblPr>
        <w:tblW w:w="9639" w:type="dxa"/>
        <w:jc w:val="center"/>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1275"/>
        <w:gridCol w:w="2836"/>
        <w:gridCol w:w="1418"/>
        <w:gridCol w:w="1275"/>
        <w:gridCol w:w="1418"/>
        <w:gridCol w:w="1417"/>
      </w:tblGrid>
      <w:tr w:rsidR="008B4634" w:rsidRPr="00C52004" w14:paraId="509D2420" w14:textId="77777777" w:rsidTr="00FB4938">
        <w:trPr>
          <w:trHeight w:val="238"/>
          <w:jc w:val="center"/>
        </w:trPr>
        <w:tc>
          <w:tcPr>
            <w:tcW w:w="1275" w:type="dxa"/>
            <w:tcBorders>
              <w:top w:val="single" w:sz="2" w:space="0" w:color="1F3864" w:themeColor="accent1" w:themeShade="80"/>
              <w:bottom w:val="nil"/>
            </w:tcBorders>
            <w:shd w:val="clear" w:color="auto" w:fill="auto"/>
          </w:tcPr>
          <w:p w14:paraId="6CB04D8B" w14:textId="77777777" w:rsidR="008B4634" w:rsidRPr="00C52004" w:rsidRDefault="008B4634" w:rsidP="00106C06">
            <w:pPr>
              <w:pStyle w:val="08-Tabelageral"/>
              <w:rPr>
                <w:b/>
                <w:szCs w:val="14"/>
              </w:rPr>
            </w:pPr>
          </w:p>
        </w:tc>
        <w:tc>
          <w:tcPr>
            <w:tcW w:w="2836" w:type="dxa"/>
            <w:tcBorders>
              <w:top w:val="single" w:sz="2" w:space="0" w:color="1F3864" w:themeColor="accent1" w:themeShade="80"/>
              <w:bottom w:val="nil"/>
            </w:tcBorders>
            <w:shd w:val="clear" w:color="auto" w:fill="auto"/>
          </w:tcPr>
          <w:p w14:paraId="429BC29C" w14:textId="77777777" w:rsidR="008B4634" w:rsidRPr="00C52004" w:rsidRDefault="008B4634" w:rsidP="00106C06">
            <w:pPr>
              <w:pStyle w:val="08-Tabelageral"/>
              <w:rPr>
                <w:b/>
                <w:szCs w:val="14"/>
              </w:rPr>
            </w:pPr>
          </w:p>
        </w:tc>
        <w:tc>
          <w:tcPr>
            <w:tcW w:w="2693" w:type="dxa"/>
            <w:gridSpan w:val="2"/>
            <w:tcBorders>
              <w:top w:val="single" w:sz="2" w:space="0" w:color="1F3864" w:themeColor="accent1" w:themeShade="80"/>
              <w:bottom w:val="single" w:sz="2" w:space="0" w:color="1F3864" w:themeColor="accent1" w:themeShade="80"/>
            </w:tcBorders>
            <w:shd w:val="clear" w:color="auto" w:fill="auto"/>
          </w:tcPr>
          <w:p w14:paraId="6C85B0E9" w14:textId="77777777" w:rsidR="008B4634" w:rsidRPr="00C52004" w:rsidRDefault="008B4634" w:rsidP="00106C06">
            <w:pPr>
              <w:pStyle w:val="08-Tabelageral"/>
              <w:jc w:val="center"/>
              <w:rPr>
                <w:b/>
                <w:bCs/>
                <w:szCs w:val="14"/>
              </w:rPr>
            </w:pPr>
            <w:r>
              <w:rPr>
                <w:b/>
                <w:bCs/>
                <w:szCs w:val="14"/>
              </w:rPr>
              <w:t>Exercício 2024</w:t>
            </w:r>
          </w:p>
        </w:tc>
        <w:tc>
          <w:tcPr>
            <w:tcW w:w="2835" w:type="dxa"/>
            <w:gridSpan w:val="2"/>
            <w:tcBorders>
              <w:top w:val="single" w:sz="2" w:space="0" w:color="1F3864" w:themeColor="accent1" w:themeShade="80"/>
              <w:bottom w:val="single" w:sz="2" w:space="0" w:color="1F3864" w:themeColor="accent1" w:themeShade="80"/>
            </w:tcBorders>
            <w:shd w:val="clear" w:color="auto" w:fill="auto"/>
          </w:tcPr>
          <w:p w14:paraId="5FE0DD78" w14:textId="77777777" w:rsidR="008B4634" w:rsidRPr="00C52004" w:rsidRDefault="008B4634" w:rsidP="00106C06">
            <w:pPr>
              <w:pStyle w:val="08-Tabelageral"/>
              <w:jc w:val="center"/>
              <w:rPr>
                <w:b/>
                <w:szCs w:val="14"/>
              </w:rPr>
            </w:pPr>
            <w:r>
              <w:rPr>
                <w:b/>
                <w:bCs/>
                <w:szCs w:val="14"/>
              </w:rPr>
              <w:t>Exercício 2023</w:t>
            </w:r>
          </w:p>
        </w:tc>
      </w:tr>
      <w:tr w:rsidR="008B4634" w:rsidRPr="00C52004" w14:paraId="01BC1CB3" w14:textId="77777777" w:rsidTr="00FB4938">
        <w:trPr>
          <w:trHeight w:val="238"/>
          <w:jc w:val="center"/>
        </w:trPr>
        <w:tc>
          <w:tcPr>
            <w:tcW w:w="4111" w:type="dxa"/>
            <w:gridSpan w:val="2"/>
            <w:tcBorders>
              <w:top w:val="nil"/>
              <w:bottom w:val="single" w:sz="2" w:space="0" w:color="1F3864" w:themeColor="accent1" w:themeShade="80"/>
            </w:tcBorders>
            <w:shd w:val="clear" w:color="auto" w:fill="auto"/>
          </w:tcPr>
          <w:p w14:paraId="377FD02B" w14:textId="77777777" w:rsidR="008B4634" w:rsidRPr="00C52004" w:rsidRDefault="008B4634" w:rsidP="00106C06">
            <w:pPr>
              <w:pStyle w:val="08-Tabelageral"/>
              <w:rPr>
                <w:b/>
                <w:szCs w:val="14"/>
              </w:rPr>
            </w:pPr>
          </w:p>
        </w:tc>
        <w:tc>
          <w:tcPr>
            <w:tcW w:w="1418" w:type="dxa"/>
            <w:tcBorders>
              <w:top w:val="single" w:sz="2" w:space="0" w:color="1F3864" w:themeColor="accent1" w:themeShade="80"/>
              <w:bottom w:val="single" w:sz="2" w:space="0" w:color="1F3864" w:themeColor="accent1" w:themeShade="80"/>
            </w:tcBorders>
            <w:shd w:val="clear" w:color="auto" w:fill="auto"/>
          </w:tcPr>
          <w:p w14:paraId="3D61D4B8" w14:textId="77777777" w:rsidR="008B4634" w:rsidRPr="00C52004" w:rsidRDefault="008B4634" w:rsidP="00106C06">
            <w:pPr>
              <w:pStyle w:val="08-Tabelageral"/>
              <w:rPr>
                <w:b/>
                <w:szCs w:val="14"/>
              </w:rPr>
            </w:pPr>
            <w:r>
              <w:rPr>
                <w:b/>
                <w:szCs w:val="14"/>
              </w:rPr>
              <w:t>Banco do Brasil</w:t>
            </w:r>
          </w:p>
        </w:tc>
        <w:tc>
          <w:tcPr>
            <w:tcW w:w="1275" w:type="dxa"/>
            <w:tcBorders>
              <w:top w:val="single" w:sz="2" w:space="0" w:color="1F3864" w:themeColor="accent1" w:themeShade="80"/>
              <w:bottom w:val="single" w:sz="2" w:space="0" w:color="1F3864" w:themeColor="accent1" w:themeShade="80"/>
            </w:tcBorders>
            <w:shd w:val="clear" w:color="auto" w:fill="auto"/>
          </w:tcPr>
          <w:p w14:paraId="6D2A5B2D" w14:textId="77777777" w:rsidR="008B4634" w:rsidRPr="00C52004" w:rsidRDefault="008B4634" w:rsidP="00106C06">
            <w:pPr>
              <w:pStyle w:val="08-Tabelageral"/>
              <w:rPr>
                <w:b/>
                <w:szCs w:val="14"/>
              </w:rPr>
            </w:pPr>
            <w:r w:rsidRPr="00C52004">
              <w:rPr>
                <w:b/>
                <w:szCs w:val="14"/>
              </w:rPr>
              <w:t xml:space="preserve">Controladas </w:t>
            </w:r>
            <w:r w:rsidRPr="00C52004">
              <w:rPr>
                <w:b/>
                <w:szCs w:val="14"/>
                <w:vertAlign w:val="superscript"/>
              </w:rPr>
              <w:t>(</w:t>
            </w:r>
            <w:r>
              <w:rPr>
                <w:b/>
                <w:szCs w:val="14"/>
                <w:vertAlign w:val="superscript"/>
              </w:rPr>
              <w:t>1</w:t>
            </w:r>
            <w:r w:rsidRPr="00C52004">
              <w:rPr>
                <w:b/>
                <w:szCs w:val="14"/>
                <w:vertAlign w:val="superscript"/>
              </w:rPr>
              <w:t>)</w:t>
            </w:r>
          </w:p>
        </w:tc>
        <w:tc>
          <w:tcPr>
            <w:tcW w:w="1418" w:type="dxa"/>
            <w:tcBorders>
              <w:top w:val="single" w:sz="2" w:space="0" w:color="1F3864" w:themeColor="accent1" w:themeShade="80"/>
              <w:bottom w:val="single" w:sz="2" w:space="0" w:color="1F3864" w:themeColor="accent1" w:themeShade="80"/>
            </w:tcBorders>
            <w:shd w:val="clear" w:color="auto" w:fill="auto"/>
          </w:tcPr>
          <w:p w14:paraId="0CF8C05E" w14:textId="77777777" w:rsidR="008B4634" w:rsidRPr="00C52004" w:rsidRDefault="008B4634" w:rsidP="00106C06">
            <w:pPr>
              <w:pStyle w:val="08-Tabelageral"/>
              <w:rPr>
                <w:b/>
                <w:szCs w:val="14"/>
              </w:rPr>
            </w:pPr>
            <w:r>
              <w:rPr>
                <w:b/>
                <w:szCs w:val="14"/>
              </w:rPr>
              <w:t>Banco do Brasil</w:t>
            </w:r>
          </w:p>
        </w:tc>
        <w:tc>
          <w:tcPr>
            <w:tcW w:w="1417" w:type="dxa"/>
            <w:tcBorders>
              <w:top w:val="single" w:sz="2" w:space="0" w:color="1F3864" w:themeColor="accent1" w:themeShade="80"/>
              <w:bottom w:val="single" w:sz="2" w:space="0" w:color="1F3864" w:themeColor="accent1" w:themeShade="80"/>
            </w:tcBorders>
            <w:shd w:val="clear" w:color="auto" w:fill="auto"/>
          </w:tcPr>
          <w:p w14:paraId="3DF882BB" w14:textId="77777777" w:rsidR="008B4634" w:rsidRPr="00C52004" w:rsidRDefault="008B4634" w:rsidP="00106C06">
            <w:pPr>
              <w:pStyle w:val="08-Tabelageral"/>
              <w:rPr>
                <w:b/>
                <w:szCs w:val="14"/>
              </w:rPr>
            </w:pPr>
            <w:r w:rsidRPr="00C52004">
              <w:rPr>
                <w:b/>
                <w:szCs w:val="14"/>
              </w:rPr>
              <w:t xml:space="preserve">Controladas </w:t>
            </w:r>
            <w:r w:rsidRPr="00C52004">
              <w:rPr>
                <w:b/>
                <w:szCs w:val="14"/>
                <w:vertAlign w:val="superscript"/>
              </w:rPr>
              <w:t>(</w:t>
            </w:r>
            <w:r>
              <w:rPr>
                <w:b/>
                <w:szCs w:val="14"/>
                <w:vertAlign w:val="superscript"/>
              </w:rPr>
              <w:t>1</w:t>
            </w:r>
            <w:r w:rsidRPr="00C52004">
              <w:rPr>
                <w:b/>
                <w:szCs w:val="14"/>
                <w:vertAlign w:val="superscript"/>
              </w:rPr>
              <w:t>)</w:t>
            </w:r>
          </w:p>
        </w:tc>
      </w:tr>
      <w:tr w:rsidR="008B4634" w:rsidRPr="00C52004" w14:paraId="693AB4C9" w14:textId="77777777" w:rsidTr="00FB4938">
        <w:trPr>
          <w:trHeight w:val="238"/>
          <w:jc w:val="center"/>
        </w:trPr>
        <w:tc>
          <w:tcPr>
            <w:tcW w:w="4111" w:type="dxa"/>
            <w:gridSpan w:val="2"/>
            <w:tcBorders>
              <w:top w:val="single" w:sz="2" w:space="0" w:color="1F3864" w:themeColor="accent1" w:themeShade="80"/>
              <w:bottom w:val="nil"/>
            </w:tcBorders>
            <w:shd w:val="clear" w:color="auto" w:fill="auto"/>
          </w:tcPr>
          <w:p w14:paraId="28A5AD8F" w14:textId="77777777" w:rsidR="008B4634" w:rsidRPr="00C52004" w:rsidRDefault="008B4634" w:rsidP="00106C06">
            <w:pPr>
              <w:pStyle w:val="08-Tabelageral"/>
              <w:jc w:val="both"/>
              <w:rPr>
                <w:b/>
              </w:rPr>
            </w:pPr>
            <w:r w:rsidRPr="00C52004">
              <w:rPr>
                <w:b/>
              </w:rPr>
              <w:t>Resultado</w:t>
            </w:r>
          </w:p>
        </w:tc>
        <w:tc>
          <w:tcPr>
            <w:tcW w:w="1418" w:type="dxa"/>
            <w:tcBorders>
              <w:top w:val="single" w:sz="2" w:space="0" w:color="1F3864" w:themeColor="accent1" w:themeShade="80"/>
              <w:bottom w:val="nil"/>
            </w:tcBorders>
            <w:shd w:val="clear" w:color="auto" w:fill="auto"/>
          </w:tcPr>
          <w:p w14:paraId="77001912" w14:textId="77777777" w:rsidR="008B4634" w:rsidRPr="00C52004" w:rsidRDefault="008B4634" w:rsidP="00106C06">
            <w:pPr>
              <w:pStyle w:val="08-Tabelageral"/>
              <w:rPr>
                <w:b/>
                <w:szCs w:val="14"/>
              </w:rPr>
            </w:pPr>
          </w:p>
        </w:tc>
        <w:tc>
          <w:tcPr>
            <w:tcW w:w="1275" w:type="dxa"/>
            <w:tcBorders>
              <w:top w:val="single" w:sz="2" w:space="0" w:color="1F3864" w:themeColor="accent1" w:themeShade="80"/>
              <w:bottom w:val="nil"/>
            </w:tcBorders>
            <w:shd w:val="clear" w:color="auto" w:fill="auto"/>
          </w:tcPr>
          <w:p w14:paraId="59CEBB61" w14:textId="77777777" w:rsidR="008B4634" w:rsidRPr="00C52004" w:rsidRDefault="008B4634" w:rsidP="00106C06">
            <w:pPr>
              <w:pStyle w:val="08-Tabelageral"/>
              <w:rPr>
                <w:b/>
                <w:szCs w:val="14"/>
              </w:rPr>
            </w:pPr>
          </w:p>
        </w:tc>
        <w:tc>
          <w:tcPr>
            <w:tcW w:w="1418" w:type="dxa"/>
            <w:tcBorders>
              <w:top w:val="single" w:sz="2" w:space="0" w:color="1F3864" w:themeColor="accent1" w:themeShade="80"/>
              <w:bottom w:val="nil"/>
            </w:tcBorders>
            <w:shd w:val="clear" w:color="auto" w:fill="auto"/>
          </w:tcPr>
          <w:p w14:paraId="6AF74B2E" w14:textId="77777777" w:rsidR="008B4634" w:rsidRPr="00C52004" w:rsidRDefault="008B4634" w:rsidP="00106C06">
            <w:pPr>
              <w:pStyle w:val="08-Tabelageral"/>
              <w:rPr>
                <w:b/>
                <w:szCs w:val="14"/>
              </w:rPr>
            </w:pPr>
          </w:p>
        </w:tc>
        <w:tc>
          <w:tcPr>
            <w:tcW w:w="1417" w:type="dxa"/>
            <w:tcBorders>
              <w:top w:val="single" w:sz="2" w:space="0" w:color="1F3864" w:themeColor="accent1" w:themeShade="80"/>
              <w:bottom w:val="nil"/>
            </w:tcBorders>
            <w:shd w:val="clear" w:color="auto" w:fill="auto"/>
          </w:tcPr>
          <w:p w14:paraId="2C0C26D6" w14:textId="77777777" w:rsidR="008B4634" w:rsidRPr="00C52004" w:rsidRDefault="008B4634" w:rsidP="00106C06">
            <w:pPr>
              <w:pStyle w:val="08-Tabelageral"/>
              <w:rPr>
                <w:b/>
                <w:szCs w:val="14"/>
              </w:rPr>
            </w:pPr>
          </w:p>
        </w:tc>
      </w:tr>
      <w:tr w:rsidR="008B4634" w:rsidRPr="00C52004" w14:paraId="0A912E11" w14:textId="77777777" w:rsidTr="00FB4938">
        <w:trPr>
          <w:trHeight w:val="238"/>
          <w:jc w:val="center"/>
        </w:trPr>
        <w:tc>
          <w:tcPr>
            <w:tcW w:w="4111" w:type="dxa"/>
            <w:gridSpan w:val="2"/>
            <w:tcBorders>
              <w:top w:val="nil"/>
            </w:tcBorders>
            <w:shd w:val="clear" w:color="auto" w:fill="auto"/>
          </w:tcPr>
          <w:p w14:paraId="0C366315" w14:textId="77777777" w:rsidR="008B4634" w:rsidRPr="00C52004" w:rsidRDefault="008B4634" w:rsidP="00106C06">
            <w:pPr>
              <w:pStyle w:val="08-Tabelageral"/>
              <w:jc w:val="both"/>
            </w:pPr>
            <w:r w:rsidRPr="00C52004">
              <w:t>Receita de juros de instrumentos financeiros</w:t>
            </w:r>
          </w:p>
        </w:tc>
        <w:tc>
          <w:tcPr>
            <w:tcW w:w="1418" w:type="dxa"/>
            <w:tcBorders>
              <w:top w:val="nil"/>
            </w:tcBorders>
            <w:shd w:val="clear" w:color="auto" w:fill="auto"/>
          </w:tcPr>
          <w:p w14:paraId="1D83CADD" w14:textId="77777777" w:rsidR="008B4634" w:rsidRPr="00C52004" w:rsidRDefault="008B4634" w:rsidP="00106C06">
            <w:pPr>
              <w:pStyle w:val="08-Tabelageral"/>
            </w:pPr>
            <w:r w:rsidRPr="000E3DE4">
              <w:t>42.844</w:t>
            </w:r>
          </w:p>
        </w:tc>
        <w:tc>
          <w:tcPr>
            <w:tcW w:w="1275" w:type="dxa"/>
            <w:tcBorders>
              <w:top w:val="nil"/>
            </w:tcBorders>
            <w:shd w:val="clear" w:color="auto" w:fill="auto"/>
          </w:tcPr>
          <w:p w14:paraId="640A3688" w14:textId="77777777" w:rsidR="008B4634" w:rsidRPr="00C52004" w:rsidRDefault="008B4634" w:rsidP="00106C06">
            <w:pPr>
              <w:pStyle w:val="08-Tabelageral"/>
            </w:pPr>
            <w:r>
              <w:t>--</w:t>
            </w:r>
          </w:p>
        </w:tc>
        <w:tc>
          <w:tcPr>
            <w:tcW w:w="1418" w:type="dxa"/>
            <w:tcBorders>
              <w:top w:val="nil"/>
            </w:tcBorders>
            <w:shd w:val="clear" w:color="auto" w:fill="auto"/>
          </w:tcPr>
          <w:p w14:paraId="76DAECB9" w14:textId="77777777" w:rsidR="008B4634" w:rsidRPr="00C52004" w:rsidRDefault="008B4634" w:rsidP="00106C06">
            <w:pPr>
              <w:pStyle w:val="08-Tabelageral"/>
            </w:pPr>
            <w:r w:rsidRPr="00BF2AAF">
              <w:rPr>
                <w:rFonts w:cs="Arial"/>
              </w:rPr>
              <w:t>44.866</w:t>
            </w:r>
          </w:p>
        </w:tc>
        <w:tc>
          <w:tcPr>
            <w:tcW w:w="1417" w:type="dxa"/>
            <w:tcBorders>
              <w:top w:val="nil"/>
            </w:tcBorders>
            <w:shd w:val="clear" w:color="auto" w:fill="auto"/>
          </w:tcPr>
          <w:p w14:paraId="47B875EF" w14:textId="77777777" w:rsidR="008B4634" w:rsidRPr="00C52004" w:rsidRDefault="008B4634" w:rsidP="00106C06">
            <w:pPr>
              <w:pStyle w:val="08-Tabelageral"/>
            </w:pPr>
            <w:r w:rsidRPr="00BF2AAF">
              <w:rPr>
                <w:rFonts w:cs="Arial"/>
              </w:rPr>
              <w:t>--</w:t>
            </w:r>
          </w:p>
        </w:tc>
      </w:tr>
      <w:tr w:rsidR="008B4634" w:rsidRPr="00C52004" w14:paraId="22F72AE3" w14:textId="77777777" w:rsidTr="00FB4938">
        <w:trPr>
          <w:trHeight w:val="238"/>
          <w:jc w:val="center"/>
        </w:trPr>
        <w:tc>
          <w:tcPr>
            <w:tcW w:w="4111" w:type="dxa"/>
            <w:gridSpan w:val="2"/>
            <w:shd w:val="clear" w:color="auto" w:fill="auto"/>
          </w:tcPr>
          <w:p w14:paraId="7EA0E64A" w14:textId="77777777" w:rsidR="008B4634" w:rsidRPr="00C52004" w:rsidRDefault="008B4634" w:rsidP="00106C06">
            <w:pPr>
              <w:pStyle w:val="08-Tabelageral"/>
              <w:jc w:val="both"/>
            </w:pPr>
            <w:r w:rsidRPr="00C52004">
              <w:t>Despesas com pessoal</w:t>
            </w:r>
          </w:p>
        </w:tc>
        <w:tc>
          <w:tcPr>
            <w:tcW w:w="1418" w:type="dxa"/>
            <w:shd w:val="clear" w:color="auto" w:fill="auto"/>
          </w:tcPr>
          <w:p w14:paraId="7DAF93D9" w14:textId="77777777" w:rsidR="008B4634" w:rsidRPr="00C52004" w:rsidRDefault="008B4634" w:rsidP="00106C06">
            <w:pPr>
              <w:pStyle w:val="08-Tabelageral"/>
            </w:pPr>
            <w:r>
              <w:t>(</w:t>
            </w:r>
            <w:r w:rsidRPr="000E3DE4">
              <w:t>11.853</w:t>
            </w:r>
            <w:r>
              <w:t>)</w:t>
            </w:r>
          </w:p>
        </w:tc>
        <w:tc>
          <w:tcPr>
            <w:tcW w:w="1275" w:type="dxa"/>
            <w:shd w:val="clear" w:color="auto" w:fill="auto"/>
          </w:tcPr>
          <w:p w14:paraId="53C7EC7C" w14:textId="77777777" w:rsidR="008B4634" w:rsidRPr="00C52004" w:rsidRDefault="008B4634" w:rsidP="00106C06">
            <w:pPr>
              <w:pStyle w:val="08-Tabelageral"/>
            </w:pPr>
            <w:r>
              <w:t>--</w:t>
            </w:r>
          </w:p>
        </w:tc>
        <w:tc>
          <w:tcPr>
            <w:tcW w:w="1418" w:type="dxa"/>
            <w:shd w:val="clear" w:color="auto" w:fill="auto"/>
          </w:tcPr>
          <w:p w14:paraId="37C8263E" w14:textId="77777777" w:rsidR="008B4634" w:rsidRPr="00C52004" w:rsidRDefault="008B4634" w:rsidP="00106C06">
            <w:pPr>
              <w:pStyle w:val="08-Tabelageral"/>
            </w:pPr>
            <w:r w:rsidRPr="00BF2AAF">
              <w:rPr>
                <w:rFonts w:cs="Arial"/>
              </w:rPr>
              <w:t>(13.129)</w:t>
            </w:r>
          </w:p>
        </w:tc>
        <w:tc>
          <w:tcPr>
            <w:tcW w:w="1417" w:type="dxa"/>
            <w:shd w:val="clear" w:color="auto" w:fill="auto"/>
          </w:tcPr>
          <w:p w14:paraId="146FE028" w14:textId="77777777" w:rsidR="008B4634" w:rsidRPr="00C52004" w:rsidRDefault="008B4634" w:rsidP="00106C06">
            <w:pPr>
              <w:pStyle w:val="08-Tabelageral"/>
            </w:pPr>
            <w:r w:rsidRPr="00BF2AAF">
              <w:rPr>
                <w:rFonts w:cs="Arial"/>
              </w:rPr>
              <w:t>--</w:t>
            </w:r>
          </w:p>
        </w:tc>
      </w:tr>
      <w:tr w:rsidR="008B4634" w:rsidRPr="00C52004" w14:paraId="69D4EDEC" w14:textId="77777777" w:rsidTr="00FB4938">
        <w:trPr>
          <w:trHeight w:val="238"/>
          <w:jc w:val="center"/>
        </w:trPr>
        <w:tc>
          <w:tcPr>
            <w:tcW w:w="4111" w:type="dxa"/>
            <w:gridSpan w:val="2"/>
            <w:shd w:val="clear" w:color="auto" w:fill="auto"/>
          </w:tcPr>
          <w:p w14:paraId="7F34FD75" w14:textId="77777777" w:rsidR="008B4634" w:rsidRPr="00C52004" w:rsidRDefault="008B4634" w:rsidP="00106C06">
            <w:pPr>
              <w:pStyle w:val="08-Tabelageral"/>
              <w:jc w:val="both"/>
            </w:pPr>
            <w:r w:rsidRPr="00C52004">
              <w:t xml:space="preserve">Despesas administrativas </w:t>
            </w:r>
            <w:r w:rsidRPr="00C52004">
              <w:rPr>
                <w:vertAlign w:val="superscript"/>
              </w:rPr>
              <w:t>(</w:t>
            </w:r>
            <w:r>
              <w:rPr>
                <w:vertAlign w:val="superscript"/>
              </w:rPr>
              <w:t>2</w:t>
            </w:r>
            <w:r w:rsidRPr="00C52004">
              <w:rPr>
                <w:vertAlign w:val="superscript"/>
              </w:rPr>
              <w:t>)</w:t>
            </w:r>
          </w:p>
        </w:tc>
        <w:tc>
          <w:tcPr>
            <w:tcW w:w="1418" w:type="dxa"/>
            <w:shd w:val="clear" w:color="auto" w:fill="auto"/>
          </w:tcPr>
          <w:p w14:paraId="2EEC7E25" w14:textId="77777777" w:rsidR="008B4634" w:rsidRPr="00C52004" w:rsidRDefault="008B4634" w:rsidP="00106C06">
            <w:pPr>
              <w:pStyle w:val="08-Tabelageral"/>
            </w:pPr>
            <w:r>
              <w:t>(</w:t>
            </w:r>
            <w:r w:rsidRPr="000E3DE4">
              <w:t>1.327</w:t>
            </w:r>
            <w:r>
              <w:t>)</w:t>
            </w:r>
          </w:p>
        </w:tc>
        <w:tc>
          <w:tcPr>
            <w:tcW w:w="1275" w:type="dxa"/>
            <w:shd w:val="clear" w:color="auto" w:fill="auto"/>
          </w:tcPr>
          <w:p w14:paraId="41B02908" w14:textId="77777777" w:rsidR="008B4634" w:rsidRPr="00C52004" w:rsidRDefault="008B4634" w:rsidP="00106C06">
            <w:pPr>
              <w:pStyle w:val="08-Tabelageral"/>
            </w:pPr>
            <w:r>
              <w:t>--</w:t>
            </w:r>
          </w:p>
        </w:tc>
        <w:tc>
          <w:tcPr>
            <w:tcW w:w="1418" w:type="dxa"/>
            <w:shd w:val="clear" w:color="auto" w:fill="auto"/>
          </w:tcPr>
          <w:p w14:paraId="1E22FEB6" w14:textId="77777777" w:rsidR="008B4634" w:rsidRPr="00C52004" w:rsidRDefault="008B4634" w:rsidP="00106C06">
            <w:pPr>
              <w:pStyle w:val="08-Tabelageral"/>
            </w:pPr>
            <w:r w:rsidRPr="00BF2AAF">
              <w:rPr>
                <w:rFonts w:cs="Arial"/>
              </w:rPr>
              <w:t>(1.963)</w:t>
            </w:r>
          </w:p>
        </w:tc>
        <w:tc>
          <w:tcPr>
            <w:tcW w:w="1417" w:type="dxa"/>
            <w:shd w:val="clear" w:color="auto" w:fill="auto"/>
          </w:tcPr>
          <w:p w14:paraId="3F9247AF" w14:textId="77777777" w:rsidR="008B4634" w:rsidRPr="00C52004" w:rsidRDefault="008B4634" w:rsidP="00106C06">
            <w:pPr>
              <w:pStyle w:val="08-Tabelageral"/>
            </w:pPr>
            <w:r w:rsidRPr="00BF2AAF">
              <w:rPr>
                <w:rFonts w:cs="Arial"/>
              </w:rPr>
              <w:t>--</w:t>
            </w:r>
          </w:p>
        </w:tc>
      </w:tr>
      <w:tr w:rsidR="008B4634" w:rsidRPr="00C52004" w14:paraId="012C40A6" w14:textId="77777777" w:rsidTr="004C6765">
        <w:trPr>
          <w:trHeight w:val="238"/>
          <w:jc w:val="center"/>
        </w:trPr>
        <w:tc>
          <w:tcPr>
            <w:tcW w:w="4111" w:type="dxa"/>
            <w:gridSpan w:val="2"/>
            <w:tcBorders>
              <w:bottom w:val="nil"/>
            </w:tcBorders>
            <w:shd w:val="clear" w:color="auto" w:fill="auto"/>
          </w:tcPr>
          <w:p w14:paraId="28B85F69" w14:textId="77777777" w:rsidR="008B4634" w:rsidRPr="00C52004" w:rsidRDefault="008B4634" w:rsidP="00106C06">
            <w:pPr>
              <w:pStyle w:val="08-Tabelageral"/>
              <w:jc w:val="both"/>
            </w:pPr>
            <w:r>
              <w:t>Variações monetárias ativas</w:t>
            </w:r>
          </w:p>
        </w:tc>
        <w:tc>
          <w:tcPr>
            <w:tcW w:w="1418" w:type="dxa"/>
            <w:tcBorders>
              <w:bottom w:val="nil"/>
            </w:tcBorders>
            <w:shd w:val="clear" w:color="auto" w:fill="auto"/>
          </w:tcPr>
          <w:p w14:paraId="44310F78" w14:textId="77777777" w:rsidR="008B4634" w:rsidRPr="00C52004" w:rsidRDefault="008B4634" w:rsidP="00106C06">
            <w:pPr>
              <w:pStyle w:val="08-Tabelageral"/>
            </w:pPr>
            <w:r>
              <w:t>--</w:t>
            </w:r>
          </w:p>
        </w:tc>
        <w:tc>
          <w:tcPr>
            <w:tcW w:w="1275" w:type="dxa"/>
            <w:tcBorders>
              <w:bottom w:val="nil"/>
            </w:tcBorders>
            <w:shd w:val="clear" w:color="auto" w:fill="auto"/>
          </w:tcPr>
          <w:p w14:paraId="292B3DA5" w14:textId="77777777" w:rsidR="008B4634" w:rsidRPr="00C52004" w:rsidRDefault="008B4634" w:rsidP="00106C06">
            <w:pPr>
              <w:pStyle w:val="08-Tabelageral"/>
            </w:pPr>
            <w:r w:rsidRPr="000E3DE4">
              <w:t>33.904</w:t>
            </w:r>
          </w:p>
        </w:tc>
        <w:tc>
          <w:tcPr>
            <w:tcW w:w="1418" w:type="dxa"/>
            <w:tcBorders>
              <w:bottom w:val="nil"/>
            </w:tcBorders>
            <w:shd w:val="clear" w:color="auto" w:fill="auto"/>
          </w:tcPr>
          <w:p w14:paraId="7AE8AE9E" w14:textId="77777777" w:rsidR="008B4634" w:rsidRDefault="008B4634" w:rsidP="00106C06">
            <w:pPr>
              <w:pStyle w:val="08-Tabelageral"/>
            </w:pPr>
            <w:r w:rsidRPr="00BF2AAF">
              <w:rPr>
                <w:rFonts w:cs="Arial"/>
              </w:rPr>
              <w:t>--</w:t>
            </w:r>
          </w:p>
        </w:tc>
        <w:tc>
          <w:tcPr>
            <w:tcW w:w="1417" w:type="dxa"/>
            <w:tcBorders>
              <w:bottom w:val="nil"/>
            </w:tcBorders>
            <w:shd w:val="clear" w:color="auto" w:fill="auto"/>
          </w:tcPr>
          <w:p w14:paraId="4B7FCEC5" w14:textId="77777777" w:rsidR="008B4634" w:rsidRDefault="008B4634" w:rsidP="00106C06">
            <w:pPr>
              <w:pStyle w:val="08-Tabelageral"/>
            </w:pPr>
            <w:r w:rsidRPr="00BF2AAF">
              <w:rPr>
                <w:rFonts w:cs="Arial"/>
              </w:rPr>
              <w:t>77.483</w:t>
            </w:r>
          </w:p>
        </w:tc>
      </w:tr>
      <w:tr w:rsidR="008B4634" w:rsidRPr="00C52004" w14:paraId="74D838BF" w14:textId="77777777" w:rsidTr="004C6765">
        <w:trPr>
          <w:trHeight w:val="238"/>
          <w:jc w:val="center"/>
        </w:trPr>
        <w:tc>
          <w:tcPr>
            <w:tcW w:w="4111" w:type="dxa"/>
            <w:gridSpan w:val="2"/>
            <w:tcBorders>
              <w:top w:val="nil"/>
              <w:bottom w:val="single" w:sz="2" w:space="0" w:color="222A35" w:themeColor="text2" w:themeShade="80"/>
            </w:tcBorders>
            <w:shd w:val="clear" w:color="auto" w:fill="auto"/>
          </w:tcPr>
          <w:p w14:paraId="19B8D50F" w14:textId="77777777" w:rsidR="008B4634" w:rsidRDefault="008B4634" w:rsidP="00106C06">
            <w:pPr>
              <w:pStyle w:val="08-Tabelageral"/>
              <w:jc w:val="both"/>
            </w:pPr>
            <w:r>
              <w:t>Variações monetárias passivas</w:t>
            </w:r>
          </w:p>
        </w:tc>
        <w:tc>
          <w:tcPr>
            <w:tcW w:w="1418" w:type="dxa"/>
            <w:tcBorders>
              <w:top w:val="nil"/>
              <w:bottom w:val="single" w:sz="2" w:space="0" w:color="222A35" w:themeColor="text2" w:themeShade="80"/>
            </w:tcBorders>
            <w:shd w:val="clear" w:color="auto" w:fill="auto"/>
          </w:tcPr>
          <w:p w14:paraId="62D24F21" w14:textId="77777777" w:rsidR="008B4634" w:rsidRPr="00C52004" w:rsidRDefault="008B4634" w:rsidP="00106C06">
            <w:pPr>
              <w:pStyle w:val="08-Tabelageral"/>
            </w:pPr>
            <w:r>
              <w:t>(</w:t>
            </w:r>
            <w:r w:rsidRPr="000E3DE4">
              <w:t>25.425</w:t>
            </w:r>
            <w:r>
              <w:t>)</w:t>
            </w:r>
          </w:p>
        </w:tc>
        <w:tc>
          <w:tcPr>
            <w:tcW w:w="1275" w:type="dxa"/>
            <w:tcBorders>
              <w:top w:val="nil"/>
              <w:bottom w:val="single" w:sz="2" w:space="0" w:color="222A35" w:themeColor="text2" w:themeShade="80"/>
            </w:tcBorders>
            <w:shd w:val="clear" w:color="auto" w:fill="auto"/>
          </w:tcPr>
          <w:p w14:paraId="3932908C" w14:textId="77777777" w:rsidR="008B4634" w:rsidRPr="00C52004" w:rsidRDefault="008B4634" w:rsidP="00106C06">
            <w:pPr>
              <w:pStyle w:val="08-Tabelageral"/>
            </w:pPr>
            <w:r>
              <w:t>--</w:t>
            </w:r>
          </w:p>
        </w:tc>
        <w:tc>
          <w:tcPr>
            <w:tcW w:w="1418" w:type="dxa"/>
            <w:tcBorders>
              <w:top w:val="nil"/>
              <w:bottom w:val="single" w:sz="2" w:space="0" w:color="222A35" w:themeColor="text2" w:themeShade="80"/>
            </w:tcBorders>
            <w:shd w:val="clear" w:color="auto" w:fill="auto"/>
          </w:tcPr>
          <w:p w14:paraId="63E02E10" w14:textId="77777777" w:rsidR="008B4634" w:rsidRDefault="008B4634" w:rsidP="00106C06">
            <w:pPr>
              <w:pStyle w:val="08-Tabelageral"/>
            </w:pPr>
            <w:r w:rsidRPr="00BF2AAF">
              <w:rPr>
                <w:rFonts w:cs="Arial"/>
              </w:rPr>
              <w:t>(51.198)</w:t>
            </w:r>
          </w:p>
        </w:tc>
        <w:tc>
          <w:tcPr>
            <w:tcW w:w="1417" w:type="dxa"/>
            <w:tcBorders>
              <w:top w:val="nil"/>
              <w:bottom w:val="single" w:sz="2" w:space="0" w:color="222A35" w:themeColor="text2" w:themeShade="80"/>
            </w:tcBorders>
            <w:shd w:val="clear" w:color="auto" w:fill="auto"/>
          </w:tcPr>
          <w:p w14:paraId="2A540889" w14:textId="77777777" w:rsidR="008B4634" w:rsidRDefault="008B4634" w:rsidP="00106C06">
            <w:pPr>
              <w:pStyle w:val="08-Tabelageral"/>
            </w:pPr>
            <w:r w:rsidRPr="00BF2AAF">
              <w:rPr>
                <w:rFonts w:cs="Arial"/>
              </w:rPr>
              <w:t>--</w:t>
            </w:r>
          </w:p>
        </w:tc>
      </w:tr>
    </w:tbl>
    <w:p w14:paraId="2605F472" w14:textId="77777777" w:rsidR="008B4634" w:rsidRPr="00C36A31" w:rsidRDefault="008B4634" w:rsidP="002C3B56">
      <w:pPr>
        <w:pStyle w:val="07-Legenda"/>
        <w:numPr>
          <w:ilvl w:val="0"/>
          <w:numId w:val="28"/>
        </w:numPr>
        <w:tabs>
          <w:tab w:val="clear" w:pos="284"/>
          <w:tab w:val="left" w:pos="142"/>
        </w:tabs>
        <w:spacing w:before="0" w:after="60"/>
        <w:ind w:left="425" w:hanging="357"/>
      </w:pPr>
      <w:r>
        <w:t>BB Seguros e BB Corretora.</w:t>
      </w:r>
    </w:p>
    <w:p w14:paraId="4D7F7309" w14:textId="77777777" w:rsidR="008B4634" w:rsidRDefault="008B4634" w:rsidP="002C3B56">
      <w:pPr>
        <w:pStyle w:val="07-Legenda"/>
        <w:numPr>
          <w:ilvl w:val="0"/>
          <w:numId w:val="28"/>
        </w:numPr>
        <w:tabs>
          <w:tab w:val="clear" w:pos="284"/>
          <w:tab w:val="left" w:pos="142"/>
        </w:tabs>
        <w:spacing w:before="0" w:after="60"/>
        <w:ind w:left="425" w:hanging="357"/>
      </w:pPr>
      <w:r w:rsidRPr="00C36A31">
        <w:t>Refere-se às despesas conforme contrato de compartilhamento de dados de clientes, utilização de quadro de pessoal, da rede de distribuição e dos recursos materiais tecnológicos e administrativos, celebrado entre o Banco do Brasil,</w:t>
      </w:r>
      <w:r>
        <w:t xml:space="preserve"> BB Seguridade, </w:t>
      </w:r>
      <w:r w:rsidRPr="00C36A31">
        <w:t>BB Corretora e BB Seguros.</w:t>
      </w:r>
    </w:p>
    <w:p w14:paraId="2D6CEDE6" w14:textId="77777777" w:rsidR="008B4634" w:rsidRDefault="008B4634" w:rsidP="008B4634">
      <w:pPr>
        <w:pStyle w:val="07-Legenda"/>
        <w:tabs>
          <w:tab w:val="clear" w:pos="284"/>
          <w:tab w:val="left" w:pos="142"/>
        </w:tabs>
        <w:spacing w:before="0"/>
        <w:ind w:firstLine="0"/>
      </w:pPr>
    </w:p>
    <w:p w14:paraId="46EF4AEC" w14:textId="77777777" w:rsidR="008B4634" w:rsidRPr="00971822" w:rsidRDefault="008B4634" w:rsidP="008B4634">
      <w:pPr>
        <w:pStyle w:val="03-SubttulodeNota"/>
        <w:rPr>
          <w:color w:val="1F3864" w:themeColor="accent1" w:themeShade="80"/>
          <w:sz w:val="18"/>
          <w:szCs w:val="18"/>
        </w:rPr>
      </w:pPr>
      <w:r w:rsidRPr="00971822">
        <w:rPr>
          <w:color w:val="1F3864" w:themeColor="accent1" w:themeShade="80"/>
          <w:sz w:val="18"/>
          <w:szCs w:val="18"/>
        </w:rPr>
        <w:t>BB Seguridade – Consolidado</w:t>
      </w:r>
    </w:p>
    <w:p w14:paraId="651A2CAE" w14:textId="77777777" w:rsidR="008B4634" w:rsidRPr="00676763" w:rsidRDefault="008B4634" w:rsidP="008B4634">
      <w:pPr>
        <w:pStyle w:val="01-TtulodeNota"/>
        <w:spacing w:before="0" w:after="0"/>
        <w:jc w:val="right"/>
        <w:rPr>
          <w:sz w:val="14"/>
          <w:szCs w:val="14"/>
        </w:rPr>
      </w:pPr>
      <w:r w:rsidRPr="00676763">
        <w:rPr>
          <w:sz w:val="14"/>
          <w:szCs w:val="14"/>
        </w:rPr>
        <w:t>R$ mil</w:t>
      </w:r>
    </w:p>
    <w:tbl>
      <w:tblPr>
        <w:tblW w:w="5000" w:type="pct"/>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543"/>
        <w:gridCol w:w="284"/>
        <w:gridCol w:w="1560"/>
        <w:gridCol w:w="1133"/>
        <w:gridCol w:w="283"/>
        <w:gridCol w:w="1419"/>
        <w:gridCol w:w="1416"/>
      </w:tblGrid>
      <w:tr w:rsidR="008B4634" w:rsidRPr="00C52004" w14:paraId="47371EBB" w14:textId="77777777" w:rsidTr="00FB4938">
        <w:trPr>
          <w:trHeight w:val="238"/>
          <w:jc w:val="center"/>
        </w:trPr>
        <w:tc>
          <w:tcPr>
            <w:tcW w:w="3543" w:type="dxa"/>
            <w:tcBorders>
              <w:top w:val="single" w:sz="2" w:space="0" w:color="1F3864" w:themeColor="accent1" w:themeShade="80"/>
              <w:bottom w:val="nil"/>
            </w:tcBorders>
            <w:shd w:val="clear" w:color="auto" w:fill="auto"/>
            <w:vAlign w:val="center"/>
          </w:tcPr>
          <w:p w14:paraId="3830ED19" w14:textId="77777777" w:rsidR="008B4634" w:rsidRPr="00C52004" w:rsidRDefault="008B4634" w:rsidP="00106C06">
            <w:pPr>
              <w:pStyle w:val="08-Tabelageral"/>
              <w:jc w:val="center"/>
              <w:rPr>
                <w:b/>
              </w:rPr>
            </w:pPr>
          </w:p>
        </w:tc>
        <w:tc>
          <w:tcPr>
            <w:tcW w:w="284" w:type="dxa"/>
            <w:tcBorders>
              <w:top w:val="single" w:sz="2" w:space="0" w:color="1F3864" w:themeColor="accent1" w:themeShade="80"/>
              <w:bottom w:val="nil"/>
            </w:tcBorders>
            <w:shd w:val="clear" w:color="auto" w:fill="auto"/>
            <w:vAlign w:val="center"/>
          </w:tcPr>
          <w:p w14:paraId="4804A269" w14:textId="77777777" w:rsidR="008B4634" w:rsidRPr="00C52004" w:rsidRDefault="008B4634" w:rsidP="00106C06">
            <w:pPr>
              <w:pStyle w:val="08-Tabelageral"/>
              <w:jc w:val="center"/>
              <w:rPr>
                <w:b/>
              </w:rPr>
            </w:pPr>
          </w:p>
        </w:tc>
        <w:tc>
          <w:tcPr>
            <w:tcW w:w="2693" w:type="dxa"/>
            <w:gridSpan w:val="2"/>
            <w:tcBorders>
              <w:top w:val="single" w:sz="2" w:space="0" w:color="1F3864" w:themeColor="accent1" w:themeShade="80"/>
              <w:bottom w:val="single" w:sz="2" w:space="0" w:color="9CC2E5" w:themeColor="accent5" w:themeTint="99"/>
            </w:tcBorders>
            <w:shd w:val="clear" w:color="auto" w:fill="auto"/>
            <w:vAlign w:val="center"/>
          </w:tcPr>
          <w:p w14:paraId="74D7772C" w14:textId="77777777" w:rsidR="008B4634" w:rsidRPr="00C52004" w:rsidRDefault="008B4634" w:rsidP="00106C06">
            <w:pPr>
              <w:pStyle w:val="08-Tabelageral"/>
              <w:jc w:val="center"/>
              <w:rPr>
                <w:b/>
                <w:bCs/>
              </w:rPr>
            </w:pPr>
            <w:r>
              <w:rPr>
                <w:b/>
              </w:rPr>
              <w:t>31.12.</w:t>
            </w:r>
            <w:r w:rsidRPr="00C52004">
              <w:rPr>
                <w:b/>
              </w:rPr>
              <w:t>202</w:t>
            </w:r>
            <w:r>
              <w:rPr>
                <w:b/>
              </w:rPr>
              <w:t>4</w:t>
            </w:r>
          </w:p>
        </w:tc>
        <w:tc>
          <w:tcPr>
            <w:tcW w:w="283" w:type="dxa"/>
            <w:tcBorders>
              <w:top w:val="single" w:sz="2" w:space="0" w:color="1F3864" w:themeColor="accent1" w:themeShade="80"/>
              <w:bottom w:val="single" w:sz="2" w:space="0" w:color="9CC2E5" w:themeColor="accent5" w:themeTint="99"/>
            </w:tcBorders>
            <w:shd w:val="clear" w:color="auto" w:fill="auto"/>
          </w:tcPr>
          <w:p w14:paraId="0903DBCF" w14:textId="77777777" w:rsidR="008B4634" w:rsidRPr="00C52004" w:rsidRDefault="008B4634" w:rsidP="00106C06">
            <w:pPr>
              <w:pStyle w:val="08-Tabelageral"/>
              <w:jc w:val="left"/>
              <w:rPr>
                <w:b/>
              </w:rPr>
            </w:pPr>
          </w:p>
        </w:tc>
        <w:tc>
          <w:tcPr>
            <w:tcW w:w="2835" w:type="dxa"/>
            <w:gridSpan w:val="2"/>
            <w:tcBorders>
              <w:top w:val="single" w:sz="2" w:space="0" w:color="1F3864" w:themeColor="accent1" w:themeShade="80"/>
              <w:bottom w:val="single" w:sz="2" w:space="0" w:color="9CC2E5" w:themeColor="accent5" w:themeTint="99"/>
            </w:tcBorders>
            <w:shd w:val="clear" w:color="auto" w:fill="auto"/>
            <w:vAlign w:val="center"/>
          </w:tcPr>
          <w:p w14:paraId="74143B62" w14:textId="77777777" w:rsidR="008B4634" w:rsidRPr="00C52004" w:rsidRDefault="008B4634" w:rsidP="00106C06">
            <w:pPr>
              <w:pStyle w:val="08-Tabelageral"/>
              <w:jc w:val="center"/>
              <w:rPr>
                <w:b/>
              </w:rPr>
            </w:pPr>
            <w:r w:rsidRPr="006E66C7">
              <w:rPr>
                <w:b/>
              </w:rPr>
              <w:t>31.12.202</w:t>
            </w:r>
            <w:r>
              <w:rPr>
                <w:b/>
              </w:rPr>
              <w:t>3</w:t>
            </w:r>
          </w:p>
        </w:tc>
      </w:tr>
      <w:tr w:rsidR="008B4634" w:rsidRPr="00C52004" w14:paraId="441130B1" w14:textId="77777777" w:rsidTr="00FB4938">
        <w:trPr>
          <w:trHeight w:val="238"/>
          <w:jc w:val="center"/>
        </w:trPr>
        <w:tc>
          <w:tcPr>
            <w:tcW w:w="3827" w:type="dxa"/>
            <w:gridSpan w:val="2"/>
            <w:tcBorders>
              <w:top w:val="nil"/>
              <w:bottom w:val="single" w:sz="2" w:space="0" w:color="1F3864" w:themeColor="accent1" w:themeShade="80"/>
            </w:tcBorders>
            <w:shd w:val="clear" w:color="auto" w:fill="auto"/>
            <w:vAlign w:val="center"/>
          </w:tcPr>
          <w:p w14:paraId="28A2B6CA" w14:textId="77777777" w:rsidR="008B4634" w:rsidRPr="00C52004" w:rsidRDefault="008B4634" w:rsidP="00106C06">
            <w:pPr>
              <w:pStyle w:val="08-Tabelageral"/>
              <w:jc w:val="center"/>
              <w:rPr>
                <w:b/>
                <w:sz w:val="12"/>
                <w:szCs w:val="12"/>
              </w:rPr>
            </w:pPr>
          </w:p>
        </w:tc>
        <w:tc>
          <w:tcPr>
            <w:tcW w:w="1560" w:type="dxa"/>
            <w:tcBorders>
              <w:top w:val="single" w:sz="2" w:space="0" w:color="1F3864" w:themeColor="accent1" w:themeShade="80"/>
              <w:bottom w:val="single" w:sz="2" w:space="0" w:color="1F3864" w:themeColor="accent1" w:themeShade="80"/>
            </w:tcBorders>
            <w:shd w:val="clear" w:color="auto" w:fill="auto"/>
            <w:vAlign w:val="center"/>
          </w:tcPr>
          <w:p w14:paraId="054B2878" w14:textId="77777777" w:rsidR="008B4634" w:rsidRPr="00C52004" w:rsidRDefault="008B4634" w:rsidP="00106C06">
            <w:pPr>
              <w:pStyle w:val="08-Tabelageral"/>
              <w:rPr>
                <w:b/>
                <w:szCs w:val="12"/>
              </w:rPr>
            </w:pPr>
            <w:r>
              <w:rPr>
                <w:b/>
                <w:szCs w:val="12"/>
              </w:rPr>
              <w:t>Banco do Brasil</w:t>
            </w:r>
          </w:p>
        </w:tc>
        <w:tc>
          <w:tcPr>
            <w:tcW w:w="1133" w:type="dxa"/>
            <w:tcBorders>
              <w:top w:val="single" w:sz="2" w:space="0" w:color="1F3864" w:themeColor="accent1" w:themeShade="80"/>
              <w:bottom w:val="single" w:sz="2" w:space="0" w:color="1F3864" w:themeColor="accent1" w:themeShade="80"/>
            </w:tcBorders>
            <w:shd w:val="clear" w:color="auto" w:fill="auto"/>
            <w:vAlign w:val="center"/>
          </w:tcPr>
          <w:p w14:paraId="2F5C4934" w14:textId="77777777" w:rsidR="008B4634" w:rsidRPr="00C52004" w:rsidRDefault="008B4634" w:rsidP="00106C06">
            <w:pPr>
              <w:pStyle w:val="08-Tabelageral"/>
              <w:rPr>
                <w:b/>
                <w:szCs w:val="12"/>
              </w:rPr>
            </w:pPr>
            <w:r w:rsidRPr="00C52004">
              <w:rPr>
                <w:b/>
                <w:szCs w:val="12"/>
              </w:rPr>
              <w:t xml:space="preserve">Empresas Investidas </w:t>
            </w:r>
            <w:r w:rsidRPr="00C52004">
              <w:rPr>
                <w:b/>
                <w:szCs w:val="12"/>
                <w:vertAlign w:val="superscript"/>
              </w:rPr>
              <w:t>(</w:t>
            </w:r>
            <w:r>
              <w:rPr>
                <w:b/>
                <w:szCs w:val="12"/>
                <w:vertAlign w:val="superscript"/>
              </w:rPr>
              <w:t>1</w:t>
            </w:r>
            <w:r w:rsidRPr="00C52004">
              <w:rPr>
                <w:b/>
                <w:szCs w:val="12"/>
                <w:vertAlign w:val="superscript"/>
              </w:rPr>
              <w:t>)</w:t>
            </w:r>
          </w:p>
        </w:tc>
        <w:tc>
          <w:tcPr>
            <w:tcW w:w="283" w:type="dxa"/>
            <w:tcBorders>
              <w:top w:val="single" w:sz="2" w:space="0" w:color="1F3864" w:themeColor="accent1" w:themeShade="80"/>
              <w:bottom w:val="single" w:sz="2" w:space="0" w:color="1F3864" w:themeColor="accent1" w:themeShade="80"/>
            </w:tcBorders>
            <w:shd w:val="clear" w:color="auto" w:fill="auto"/>
            <w:vAlign w:val="center"/>
          </w:tcPr>
          <w:p w14:paraId="02711FEB" w14:textId="77777777" w:rsidR="008B4634" w:rsidRPr="00A63017" w:rsidRDefault="008B4634" w:rsidP="00106C06">
            <w:pPr>
              <w:pStyle w:val="08-Tabelageral"/>
              <w:rPr>
                <w:b/>
                <w:szCs w:val="12"/>
              </w:rPr>
            </w:pPr>
          </w:p>
        </w:tc>
        <w:tc>
          <w:tcPr>
            <w:tcW w:w="1419" w:type="dxa"/>
            <w:tcBorders>
              <w:top w:val="single" w:sz="2" w:space="0" w:color="1F3864" w:themeColor="accent1" w:themeShade="80"/>
              <w:bottom w:val="single" w:sz="2" w:space="0" w:color="1F3864" w:themeColor="accent1" w:themeShade="80"/>
            </w:tcBorders>
            <w:shd w:val="clear" w:color="auto" w:fill="auto"/>
            <w:vAlign w:val="center"/>
          </w:tcPr>
          <w:p w14:paraId="48E22D8C" w14:textId="77777777" w:rsidR="008B4634" w:rsidRPr="00C52004" w:rsidRDefault="008B4634" w:rsidP="00106C06">
            <w:pPr>
              <w:pStyle w:val="08-Tabelageral"/>
              <w:rPr>
                <w:b/>
                <w:szCs w:val="12"/>
              </w:rPr>
            </w:pPr>
            <w:r>
              <w:rPr>
                <w:b/>
                <w:szCs w:val="12"/>
              </w:rPr>
              <w:t>Banco do Brasil</w:t>
            </w:r>
          </w:p>
        </w:tc>
        <w:tc>
          <w:tcPr>
            <w:tcW w:w="1416" w:type="dxa"/>
            <w:tcBorders>
              <w:top w:val="single" w:sz="2" w:space="0" w:color="1F3864" w:themeColor="accent1" w:themeShade="80"/>
              <w:bottom w:val="single" w:sz="2" w:space="0" w:color="1F3864" w:themeColor="accent1" w:themeShade="80"/>
            </w:tcBorders>
            <w:shd w:val="clear" w:color="auto" w:fill="auto"/>
            <w:vAlign w:val="center"/>
          </w:tcPr>
          <w:p w14:paraId="27FA3006" w14:textId="77777777" w:rsidR="008B4634" w:rsidRPr="00C52004" w:rsidRDefault="008B4634" w:rsidP="00106C06">
            <w:pPr>
              <w:pStyle w:val="08-Tabelageral"/>
              <w:rPr>
                <w:b/>
                <w:szCs w:val="12"/>
              </w:rPr>
            </w:pPr>
            <w:r w:rsidRPr="00C52004">
              <w:rPr>
                <w:b/>
                <w:szCs w:val="12"/>
              </w:rPr>
              <w:t xml:space="preserve">Empresas Investidas </w:t>
            </w:r>
            <w:r w:rsidRPr="00C52004">
              <w:rPr>
                <w:b/>
                <w:szCs w:val="12"/>
                <w:vertAlign w:val="superscript"/>
              </w:rPr>
              <w:t>(</w:t>
            </w:r>
            <w:r>
              <w:rPr>
                <w:b/>
                <w:szCs w:val="12"/>
                <w:vertAlign w:val="superscript"/>
              </w:rPr>
              <w:t>1</w:t>
            </w:r>
            <w:r w:rsidRPr="00C52004">
              <w:rPr>
                <w:b/>
                <w:szCs w:val="12"/>
                <w:vertAlign w:val="superscript"/>
              </w:rPr>
              <w:t>)</w:t>
            </w:r>
          </w:p>
        </w:tc>
      </w:tr>
      <w:tr w:rsidR="008B4634" w:rsidRPr="00C52004" w14:paraId="3037BD46" w14:textId="77777777" w:rsidTr="00FB4938">
        <w:trPr>
          <w:trHeight w:val="238"/>
          <w:jc w:val="center"/>
        </w:trPr>
        <w:tc>
          <w:tcPr>
            <w:tcW w:w="3827" w:type="dxa"/>
            <w:gridSpan w:val="2"/>
            <w:tcBorders>
              <w:top w:val="single" w:sz="2" w:space="0" w:color="1F3864" w:themeColor="accent1" w:themeShade="80"/>
              <w:bottom w:val="nil"/>
            </w:tcBorders>
            <w:shd w:val="clear" w:color="auto" w:fill="auto"/>
          </w:tcPr>
          <w:p w14:paraId="6285E053" w14:textId="77777777" w:rsidR="008B4634" w:rsidRPr="00C52004" w:rsidRDefault="008B4634" w:rsidP="00106C06">
            <w:pPr>
              <w:pStyle w:val="08-Tabelageral"/>
              <w:jc w:val="left"/>
              <w:rPr>
                <w:b/>
              </w:rPr>
            </w:pPr>
            <w:r w:rsidRPr="00C52004">
              <w:rPr>
                <w:b/>
              </w:rPr>
              <w:t>Ativos</w:t>
            </w:r>
          </w:p>
        </w:tc>
        <w:tc>
          <w:tcPr>
            <w:tcW w:w="1560" w:type="dxa"/>
            <w:tcBorders>
              <w:top w:val="single" w:sz="2" w:space="0" w:color="1F3864" w:themeColor="accent1" w:themeShade="80"/>
              <w:bottom w:val="nil"/>
            </w:tcBorders>
            <w:shd w:val="clear" w:color="auto" w:fill="auto"/>
            <w:vAlign w:val="center"/>
          </w:tcPr>
          <w:p w14:paraId="44FBAAD1" w14:textId="77777777" w:rsidR="008B4634" w:rsidRPr="00C52004" w:rsidRDefault="008B4634" w:rsidP="00106C06">
            <w:pPr>
              <w:pStyle w:val="08-Tabelageral"/>
              <w:rPr>
                <w:b/>
                <w:szCs w:val="14"/>
              </w:rPr>
            </w:pPr>
          </w:p>
        </w:tc>
        <w:tc>
          <w:tcPr>
            <w:tcW w:w="1133" w:type="dxa"/>
            <w:tcBorders>
              <w:top w:val="single" w:sz="2" w:space="0" w:color="1F3864" w:themeColor="accent1" w:themeShade="80"/>
              <w:bottom w:val="nil"/>
            </w:tcBorders>
            <w:shd w:val="clear" w:color="auto" w:fill="auto"/>
            <w:vAlign w:val="center"/>
          </w:tcPr>
          <w:p w14:paraId="05D4E587" w14:textId="77777777" w:rsidR="008B4634" w:rsidRPr="00C52004" w:rsidRDefault="008B4634" w:rsidP="00106C06">
            <w:pPr>
              <w:pStyle w:val="08-Tabelageral"/>
              <w:rPr>
                <w:b/>
                <w:szCs w:val="14"/>
              </w:rPr>
            </w:pPr>
          </w:p>
        </w:tc>
        <w:tc>
          <w:tcPr>
            <w:tcW w:w="283" w:type="dxa"/>
            <w:tcBorders>
              <w:top w:val="single" w:sz="2" w:space="0" w:color="1F3864" w:themeColor="accent1" w:themeShade="80"/>
              <w:bottom w:val="nil"/>
            </w:tcBorders>
            <w:shd w:val="clear" w:color="auto" w:fill="auto"/>
            <w:vAlign w:val="center"/>
          </w:tcPr>
          <w:p w14:paraId="5376181A" w14:textId="77777777" w:rsidR="008B4634" w:rsidRPr="00A63017" w:rsidRDefault="008B4634" w:rsidP="00106C06">
            <w:pPr>
              <w:pStyle w:val="08-Tabelageral"/>
              <w:rPr>
                <w:b/>
              </w:rPr>
            </w:pPr>
          </w:p>
        </w:tc>
        <w:tc>
          <w:tcPr>
            <w:tcW w:w="1419" w:type="dxa"/>
            <w:tcBorders>
              <w:top w:val="single" w:sz="2" w:space="0" w:color="1F3864" w:themeColor="accent1" w:themeShade="80"/>
              <w:bottom w:val="nil"/>
            </w:tcBorders>
            <w:shd w:val="clear" w:color="auto" w:fill="auto"/>
            <w:vAlign w:val="center"/>
          </w:tcPr>
          <w:p w14:paraId="74876FCA" w14:textId="77777777" w:rsidR="008B4634" w:rsidRPr="00C52004" w:rsidRDefault="008B4634" w:rsidP="00106C06">
            <w:pPr>
              <w:pStyle w:val="08-Tabelageral"/>
              <w:rPr>
                <w:b/>
              </w:rPr>
            </w:pPr>
          </w:p>
        </w:tc>
        <w:tc>
          <w:tcPr>
            <w:tcW w:w="1416" w:type="dxa"/>
            <w:tcBorders>
              <w:top w:val="single" w:sz="2" w:space="0" w:color="1F3864" w:themeColor="accent1" w:themeShade="80"/>
              <w:bottom w:val="nil"/>
            </w:tcBorders>
            <w:shd w:val="clear" w:color="auto" w:fill="auto"/>
            <w:vAlign w:val="center"/>
          </w:tcPr>
          <w:p w14:paraId="0AD88A21" w14:textId="77777777" w:rsidR="008B4634" w:rsidRPr="00C52004" w:rsidRDefault="008B4634" w:rsidP="00106C06">
            <w:pPr>
              <w:pStyle w:val="08-Tabelageral"/>
              <w:rPr>
                <w:b/>
              </w:rPr>
            </w:pPr>
          </w:p>
        </w:tc>
      </w:tr>
      <w:tr w:rsidR="008B4634" w:rsidRPr="00C52004" w14:paraId="6F3D659F" w14:textId="77777777" w:rsidTr="00FB4938">
        <w:trPr>
          <w:trHeight w:val="238"/>
          <w:jc w:val="center"/>
        </w:trPr>
        <w:tc>
          <w:tcPr>
            <w:tcW w:w="3827" w:type="dxa"/>
            <w:gridSpan w:val="2"/>
            <w:tcBorders>
              <w:top w:val="nil"/>
            </w:tcBorders>
            <w:shd w:val="clear" w:color="auto" w:fill="auto"/>
          </w:tcPr>
          <w:p w14:paraId="6565037D" w14:textId="77777777" w:rsidR="008B4634" w:rsidRPr="00C52004" w:rsidRDefault="008B4634" w:rsidP="00106C06">
            <w:pPr>
              <w:pStyle w:val="08-Tabelageral"/>
              <w:jc w:val="left"/>
            </w:pPr>
            <w:r w:rsidRPr="00C52004">
              <w:t>Caixa e equivalentes de caixa</w:t>
            </w:r>
          </w:p>
        </w:tc>
        <w:tc>
          <w:tcPr>
            <w:tcW w:w="1560" w:type="dxa"/>
            <w:tcBorders>
              <w:top w:val="nil"/>
            </w:tcBorders>
            <w:shd w:val="clear" w:color="auto" w:fill="auto"/>
            <w:vAlign w:val="center"/>
          </w:tcPr>
          <w:p w14:paraId="6F43C32D" w14:textId="77777777" w:rsidR="008B4634" w:rsidRPr="001E5BDD" w:rsidRDefault="008B4634" w:rsidP="00106C06">
            <w:pPr>
              <w:pStyle w:val="08-Tabelageral"/>
            </w:pPr>
            <w:r w:rsidRPr="00FA6B96">
              <w:t>7.789.875</w:t>
            </w:r>
          </w:p>
        </w:tc>
        <w:tc>
          <w:tcPr>
            <w:tcW w:w="1133" w:type="dxa"/>
            <w:tcBorders>
              <w:top w:val="nil"/>
            </w:tcBorders>
            <w:shd w:val="clear" w:color="auto" w:fill="auto"/>
            <w:vAlign w:val="center"/>
          </w:tcPr>
          <w:p w14:paraId="15A37D5A" w14:textId="77777777" w:rsidR="008B4634" w:rsidRPr="001E5BDD" w:rsidRDefault="008B4634" w:rsidP="00106C06">
            <w:pPr>
              <w:pStyle w:val="08-Tabelageral"/>
            </w:pPr>
            <w:r>
              <w:t>--</w:t>
            </w:r>
          </w:p>
        </w:tc>
        <w:tc>
          <w:tcPr>
            <w:tcW w:w="283" w:type="dxa"/>
            <w:tcBorders>
              <w:top w:val="nil"/>
            </w:tcBorders>
            <w:shd w:val="clear" w:color="auto" w:fill="auto"/>
            <w:vAlign w:val="center"/>
          </w:tcPr>
          <w:p w14:paraId="3C0C9DAB" w14:textId="77777777" w:rsidR="008B4634" w:rsidRPr="001E5BDD" w:rsidRDefault="008B4634" w:rsidP="00106C06">
            <w:pPr>
              <w:pStyle w:val="08-Tabelageral"/>
            </w:pPr>
          </w:p>
        </w:tc>
        <w:tc>
          <w:tcPr>
            <w:tcW w:w="1419" w:type="dxa"/>
            <w:tcBorders>
              <w:top w:val="nil"/>
            </w:tcBorders>
            <w:shd w:val="clear" w:color="auto" w:fill="auto"/>
            <w:vAlign w:val="center"/>
          </w:tcPr>
          <w:p w14:paraId="4B0976E5" w14:textId="77777777" w:rsidR="008B4634" w:rsidRPr="001E5BDD" w:rsidRDefault="008B4634" w:rsidP="00106C06">
            <w:pPr>
              <w:pStyle w:val="08-Tabelageral"/>
            </w:pPr>
            <w:r>
              <w:t>4.752.742</w:t>
            </w:r>
          </w:p>
        </w:tc>
        <w:tc>
          <w:tcPr>
            <w:tcW w:w="1416" w:type="dxa"/>
            <w:tcBorders>
              <w:top w:val="nil"/>
            </w:tcBorders>
            <w:shd w:val="clear" w:color="auto" w:fill="auto"/>
            <w:vAlign w:val="center"/>
          </w:tcPr>
          <w:p w14:paraId="45231DDC" w14:textId="77777777" w:rsidR="008B4634" w:rsidRPr="001E5BDD" w:rsidRDefault="008B4634" w:rsidP="00106C06">
            <w:pPr>
              <w:pStyle w:val="08-Tabelageral"/>
            </w:pPr>
            <w:r>
              <w:t>--</w:t>
            </w:r>
          </w:p>
        </w:tc>
      </w:tr>
      <w:tr w:rsidR="008B4634" w:rsidRPr="00C52004" w14:paraId="585AA190" w14:textId="77777777" w:rsidTr="00FB4938">
        <w:trPr>
          <w:trHeight w:val="238"/>
          <w:jc w:val="center"/>
        </w:trPr>
        <w:tc>
          <w:tcPr>
            <w:tcW w:w="3827" w:type="dxa"/>
            <w:gridSpan w:val="2"/>
            <w:shd w:val="clear" w:color="auto" w:fill="auto"/>
          </w:tcPr>
          <w:p w14:paraId="217089C3" w14:textId="77777777" w:rsidR="008B4634" w:rsidRPr="00A82CB8" w:rsidRDefault="008B4634" w:rsidP="00106C06">
            <w:pPr>
              <w:pStyle w:val="08-Tabelageral"/>
              <w:jc w:val="left"/>
            </w:pPr>
            <w:r>
              <w:t>Dividendos a receber</w:t>
            </w:r>
          </w:p>
        </w:tc>
        <w:tc>
          <w:tcPr>
            <w:tcW w:w="1560" w:type="dxa"/>
            <w:shd w:val="clear" w:color="auto" w:fill="auto"/>
            <w:vAlign w:val="center"/>
          </w:tcPr>
          <w:p w14:paraId="7561C133" w14:textId="77777777" w:rsidR="008B4634" w:rsidRPr="001E5BDD" w:rsidRDefault="008B4634" w:rsidP="00106C06">
            <w:pPr>
              <w:pStyle w:val="08-Tabelageral"/>
            </w:pPr>
            <w:r>
              <w:t>--</w:t>
            </w:r>
          </w:p>
        </w:tc>
        <w:tc>
          <w:tcPr>
            <w:tcW w:w="1133" w:type="dxa"/>
            <w:shd w:val="clear" w:color="auto" w:fill="auto"/>
            <w:vAlign w:val="center"/>
          </w:tcPr>
          <w:p w14:paraId="423DA6AE" w14:textId="77777777" w:rsidR="008B4634" w:rsidRPr="001E5BDD" w:rsidRDefault="008B4634" w:rsidP="00106C06">
            <w:pPr>
              <w:pStyle w:val="08-Tabelageral"/>
            </w:pPr>
            <w:r w:rsidRPr="00FA6B96">
              <w:t>97.446</w:t>
            </w:r>
          </w:p>
        </w:tc>
        <w:tc>
          <w:tcPr>
            <w:tcW w:w="283" w:type="dxa"/>
            <w:shd w:val="clear" w:color="auto" w:fill="auto"/>
            <w:vAlign w:val="center"/>
          </w:tcPr>
          <w:p w14:paraId="52304371" w14:textId="77777777" w:rsidR="008B4634" w:rsidRPr="001E5BDD" w:rsidRDefault="008B4634" w:rsidP="00106C06">
            <w:pPr>
              <w:pStyle w:val="08-Tabelageral"/>
            </w:pPr>
          </w:p>
        </w:tc>
        <w:tc>
          <w:tcPr>
            <w:tcW w:w="1419" w:type="dxa"/>
            <w:shd w:val="clear" w:color="auto" w:fill="auto"/>
            <w:vAlign w:val="center"/>
          </w:tcPr>
          <w:p w14:paraId="209824EA" w14:textId="77777777" w:rsidR="008B4634" w:rsidRPr="001E5BDD" w:rsidRDefault="008B4634" w:rsidP="00106C06">
            <w:pPr>
              <w:pStyle w:val="08-Tabelageral"/>
            </w:pPr>
            <w:r>
              <w:t>--</w:t>
            </w:r>
          </w:p>
        </w:tc>
        <w:tc>
          <w:tcPr>
            <w:tcW w:w="1416" w:type="dxa"/>
            <w:shd w:val="clear" w:color="auto" w:fill="auto"/>
            <w:vAlign w:val="center"/>
          </w:tcPr>
          <w:p w14:paraId="07CCD6D7" w14:textId="77777777" w:rsidR="008B4634" w:rsidRPr="001E5BDD" w:rsidRDefault="008B4634" w:rsidP="00106C06">
            <w:pPr>
              <w:pStyle w:val="08-Tabelageral"/>
            </w:pPr>
            <w:r>
              <w:t>444</w:t>
            </w:r>
          </w:p>
        </w:tc>
      </w:tr>
      <w:tr w:rsidR="008B4634" w:rsidRPr="00C52004" w14:paraId="5EF41B0F" w14:textId="77777777" w:rsidTr="00FB4938">
        <w:trPr>
          <w:trHeight w:val="238"/>
          <w:jc w:val="center"/>
        </w:trPr>
        <w:tc>
          <w:tcPr>
            <w:tcW w:w="3827" w:type="dxa"/>
            <w:gridSpan w:val="2"/>
            <w:shd w:val="clear" w:color="auto" w:fill="auto"/>
          </w:tcPr>
          <w:p w14:paraId="27F4F8A4" w14:textId="77777777" w:rsidR="008B4634" w:rsidRPr="00A82CB8" w:rsidRDefault="008B4634" w:rsidP="00106C06">
            <w:pPr>
              <w:pStyle w:val="08-Tabelageral"/>
              <w:jc w:val="left"/>
            </w:pPr>
            <w:r w:rsidRPr="00A82CB8">
              <w:t>Comissões a receber</w:t>
            </w:r>
          </w:p>
        </w:tc>
        <w:tc>
          <w:tcPr>
            <w:tcW w:w="1560" w:type="dxa"/>
            <w:shd w:val="clear" w:color="auto" w:fill="auto"/>
            <w:vAlign w:val="center"/>
          </w:tcPr>
          <w:p w14:paraId="7BF3718F" w14:textId="77777777" w:rsidR="008B4634" w:rsidRPr="001E5BDD" w:rsidRDefault="008B4634" w:rsidP="00106C06">
            <w:pPr>
              <w:pStyle w:val="08-Tabelageral"/>
            </w:pPr>
            <w:r>
              <w:t>--</w:t>
            </w:r>
          </w:p>
        </w:tc>
        <w:tc>
          <w:tcPr>
            <w:tcW w:w="1133" w:type="dxa"/>
            <w:shd w:val="clear" w:color="auto" w:fill="auto"/>
            <w:vAlign w:val="center"/>
          </w:tcPr>
          <w:p w14:paraId="45586DD0" w14:textId="77777777" w:rsidR="008B4634" w:rsidRPr="001E5BDD" w:rsidRDefault="008B4634" w:rsidP="00106C06">
            <w:pPr>
              <w:pStyle w:val="08-Tabelageral"/>
            </w:pPr>
            <w:r w:rsidRPr="00FA6B96">
              <w:t>2.591.329</w:t>
            </w:r>
          </w:p>
        </w:tc>
        <w:tc>
          <w:tcPr>
            <w:tcW w:w="283" w:type="dxa"/>
            <w:shd w:val="clear" w:color="auto" w:fill="auto"/>
            <w:vAlign w:val="center"/>
          </w:tcPr>
          <w:p w14:paraId="6C79AFEF" w14:textId="77777777" w:rsidR="008B4634" w:rsidRPr="001E5BDD" w:rsidRDefault="008B4634" w:rsidP="00106C06">
            <w:pPr>
              <w:pStyle w:val="08-Tabelageral"/>
            </w:pPr>
          </w:p>
        </w:tc>
        <w:tc>
          <w:tcPr>
            <w:tcW w:w="1419" w:type="dxa"/>
            <w:shd w:val="clear" w:color="auto" w:fill="auto"/>
            <w:vAlign w:val="center"/>
          </w:tcPr>
          <w:p w14:paraId="135F48D5" w14:textId="77777777" w:rsidR="008B4634" w:rsidRPr="001E5BDD" w:rsidRDefault="008B4634" w:rsidP="00106C06">
            <w:pPr>
              <w:pStyle w:val="08-Tabelageral"/>
            </w:pPr>
            <w:r>
              <w:t>--</w:t>
            </w:r>
          </w:p>
        </w:tc>
        <w:tc>
          <w:tcPr>
            <w:tcW w:w="1416" w:type="dxa"/>
            <w:shd w:val="clear" w:color="auto" w:fill="auto"/>
            <w:vAlign w:val="center"/>
          </w:tcPr>
          <w:p w14:paraId="4979C129" w14:textId="77777777" w:rsidR="008B4634" w:rsidRPr="001E5BDD" w:rsidRDefault="008B4634" w:rsidP="00106C06">
            <w:pPr>
              <w:pStyle w:val="08-Tabelageral"/>
            </w:pPr>
            <w:r>
              <w:t>2.097.779</w:t>
            </w:r>
          </w:p>
        </w:tc>
      </w:tr>
      <w:tr w:rsidR="008B4634" w:rsidRPr="00830646" w14:paraId="2B85374D" w14:textId="77777777" w:rsidTr="00FB4938">
        <w:trPr>
          <w:trHeight w:val="238"/>
          <w:jc w:val="center"/>
        </w:trPr>
        <w:tc>
          <w:tcPr>
            <w:tcW w:w="3827" w:type="dxa"/>
            <w:gridSpan w:val="2"/>
            <w:shd w:val="clear" w:color="auto" w:fill="auto"/>
          </w:tcPr>
          <w:p w14:paraId="55BEEE22" w14:textId="77777777" w:rsidR="008B4634" w:rsidRPr="00830646" w:rsidRDefault="008B4634" w:rsidP="00106C06">
            <w:pPr>
              <w:pStyle w:val="08-Tabelageral"/>
              <w:jc w:val="left"/>
              <w:rPr>
                <w:bCs/>
              </w:rPr>
            </w:pPr>
            <w:r w:rsidRPr="00830646">
              <w:rPr>
                <w:bCs/>
              </w:rPr>
              <w:t>Valores a receber sociedades ligadas</w:t>
            </w:r>
            <w:r w:rsidRPr="00830646">
              <w:rPr>
                <w:bCs/>
              </w:rPr>
              <w:tab/>
            </w:r>
          </w:p>
        </w:tc>
        <w:tc>
          <w:tcPr>
            <w:tcW w:w="1560" w:type="dxa"/>
            <w:shd w:val="clear" w:color="auto" w:fill="auto"/>
            <w:vAlign w:val="center"/>
          </w:tcPr>
          <w:p w14:paraId="18C26678" w14:textId="77777777" w:rsidR="008B4634" w:rsidRPr="00830646" w:rsidRDefault="008B4634" w:rsidP="00106C06">
            <w:pPr>
              <w:pStyle w:val="08-Tabelageral"/>
              <w:rPr>
                <w:bCs/>
              </w:rPr>
            </w:pPr>
            <w:r>
              <w:rPr>
                <w:bCs/>
              </w:rPr>
              <w:t>--</w:t>
            </w:r>
          </w:p>
        </w:tc>
        <w:tc>
          <w:tcPr>
            <w:tcW w:w="1133" w:type="dxa"/>
            <w:shd w:val="clear" w:color="auto" w:fill="auto"/>
            <w:vAlign w:val="center"/>
          </w:tcPr>
          <w:p w14:paraId="74E1D472" w14:textId="77777777" w:rsidR="008B4634" w:rsidRPr="00830646" w:rsidRDefault="008B4634" w:rsidP="00106C06">
            <w:pPr>
              <w:pStyle w:val="08-Tabelageral"/>
              <w:rPr>
                <w:bCs/>
              </w:rPr>
            </w:pPr>
            <w:r w:rsidRPr="00830646">
              <w:rPr>
                <w:bCs/>
              </w:rPr>
              <w:t>2.993</w:t>
            </w:r>
          </w:p>
        </w:tc>
        <w:tc>
          <w:tcPr>
            <w:tcW w:w="283" w:type="dxa"/>
            <w:shd w:val="clear" w:color="auto" w:fill="auto"/>
            <w:vAlign w:val="center"/>
          </w:tcPr>
          <w:p w14:paraId="16A004DD" w14:textId="77777777" w:rsidR="008B4634" w:rsidRPr="00830646" w:rsidRDefault="008B4634" w:rsidP="00106C06">
            <w:pPr>
              <w:pStyle w:val="08-Tabelageral"/>
              <w:rPr>
                <w:bCs/>
              </w:rPr>
            </w:pPr>
          </w:p>
        </w:tc>
        <w:tc>
          <w:tcPr>
            <w:tcW w:w="1419" w:type="dxa"/>
            <w:shd w:val="clear" w:color="auto" w:fill="auto"/>
            <w:vAlign w:val="center"/>
          </w:tcPr>
          <w:p w14:paraId="13E7580C" w14:textId="77777777" w:rsidR="008B4634" w:rsidRPr="00830646" w:rsidRDefault="008B4634" w:rsidP="00106C06">
            <w:pPr>
              <w:pStyle w:val="08-Tabelageral"/>
              <w:rPr>
                <w:bCs/>
              </w:rPr>
            </w:pPr>
            <w:r>
              <w:rPr>
                <w:bCs/>
              </w:rPr>
              <w:t>--</w:t>
            </w:r>
          </w:p>
        </w:tc>
        <w:tc>
          <w:tcPr>
            <w:tcW w:w="1416" w:type="dxa"/>
            <w:shd w:val="clear" w:color="auto" w:fill="auto"/>
            <w:vAlign w:val="center"/>
          </w:tcPr>
          <w:p w14:paraId="2D297BF5" w14:textId="77777777" w:rsidR="008B4634" w:rsidRPr="00830646" w:rsidRDefault="008B4634" w:rsidP="00106C06">
            <w:pPr>
              <w:pStyle w:val="08-Tabelageral"/>
              <w:rPr>
                <w:bCs/>
              </w:rPr>
            </w:pPr>
            <w:r>
              <w:rPr>
                <w:bCs/>
              </w:rPr>
              <w:t>--</w:t>
            </w:r>
          </w:p>
        </w:tc>
      </w:tr>
      <w:tr w:rsidR="008B4634" w:rsidRPr="00C52004" w14:paraId="219710E5" w14:textId="77777777" w:rsidTr="00FB4938">
        <w:trPr>
          <w:trHeight w:val="238"/>
          <w:jc w:val="center"/>
        </w:trPr>
        <w:tc>
          <w:tcPr>
            <w:tcW w:w="3827" w:type="dxa"/>
            <w:gridSpan w:val="2"/>
            <w:shd w:val="clear" w:color="auto" w:fill="auto"/>
          </w:tcPr>
          <w:p w14:paraId="30A761E3" w14:textId="77777777" w:rsidR="008B4634" w:rsidRPr="00A82CB8" w:rsidRDefault="008B4634" w:rsidP="00106C06">
            <w:pPr>
              <w:pStyle w:val="08-Tabelageral"/>
              <w:jc w:val="left"/>
              <w:rPr>
                <w:b/>
              </w:rPr>
            </w:pPr>
            <w:r w:rsidRPr="00A82CB8">
              <w:rPr>
                <w:b/>
              </w:rPr>
              <w:t>Passivos</w:t>
            </w:r>
          </w:p>
        </w:tc>
        <w:tc>
          <w:tcPr>
            <w:tcW w:w="1560" w:type="dxa"/>
            <w:shd w:val="clear" w:color="auto" w:fill="auto"/>
            <w:vAlign w:val="center"/>
          </w:tcPr>
          <w:p w14:paraId="2062FDEF" w14:textId="77777777" w:rsidR="008B4634" w:rsidRPr="001E5BDD" w:rsidRDefault="008B4634" w:rsidP="00106C06">
            <w:pPr>
              <w:pStyle w:val="08-Tabelageral"/>
            </w:pPr>
          </w:p>
        </w:tc>
        <w:tc>
          <w:tcPr>
            <w:tcW w:w="1133" w:type="dxa"/>
            <w:shd w:val="clear" w:color="auto" w:fill="auto"/>
            <w:vAlign w:val="center"/>
          </w:tcPr>
          <w:p w14:paraId="10B483B5" w14:textId="77777777" w:rsidR="008B4634" w:rsidRPr="001E5BDD" w:rsidRDefault="008B4634" w:rsidP="00106C06">
            <w:pPr>
              <w:pStyle w:val="08-Tabelageral"/>
            </w:pPr>
          </w:p>
        </w:tc>
        <w:tc>
          <w:tcPr>
            <w:tcW w:w="283" w:type="dxa"/>
            <w:shd w:val="clear" w:color="auto" w:fill="auto"/>
            <w:vAlign w:val="center"/>
          </w:tcPr>
          <w:p w14:paraId="782D6DF9" w14:textId="77777777" w:rsidR="008B4634" w:rsidRPr="001E5BDD" w:rsidRDefault="008B4634" w:rsidP="00106C06">
            <w:pPr>
              <w:pStyle w:val="08-Tabelageral"/>
            </w:pPr>
          </w:p>
        </w:tc>
        <w:tc>
          <w:tcPr>
            <w:tcW w:w="1419" w:type="dxa"/>
            <w:shd w:val="clear" w:color="auto" w:fill="auto"/>
            <w:vAlign w:val="center"/>
          </w:tcPr>
          <w:p w14:paraId="01E0E4A5" w14:textId="77777777" w:rsidR="008B4634" w:rsidRPr="001E5BDD" w:rsidRDefault="008B4634" w:rsidP="00106C06">
            <w:pPr>
              <w:pStyle w:val="08-Tabelageral"/>
            </w:pPr>
          </w:p>
        </w:tc>
        <w:tc>
          <w:tcPr>
            <w:tcW w:w="1416" w:type="dxa"/>
            <w:shd w:val="clear" w:color="auto" w:fill="auto"/>
            <w:vAlign w:val="center"/>
          </w:tcPr>
          <w:p w14:paraId="2BB032BC" w14:textId="77777777" w:rsidR="008B4634" w:rsidRPr="001E5BDD" w:rsidRDefault="008B4634" w:rsidP="00106C06">
            <w:pPr>
              <w:pStyle w:val="08-Tabelageral"/>
            </w:pPr>
          </w:p>
        </w:tc>
      </w:tr>
      <w:tr w:rsidR="008B4634" w:rsidRPr="00C52004" w14:paraId="450BAFC3" w14:textId="77777777" w:rsidTr="00FB4938">
        <w:trPr>
          <w:trHeight w:val="238"/>
          <w:jc w:val="center"/>
        </w:trPr>
        <w:tc>
          <w:tcPr>
            <w:tcW w:w="3827" w:type="dxa"/>
            <w:gridSpan w:val="2"/>
            <w:shd w:val="clear" w:color="auto" w:fill="auto"/>
          </w:tcPr>
          <w:p w14:paraId="3B6FED52" w14:textId="77777777" w:rsidR="008B4634" w:rsidRPr="00A82CB8" w:rsidRDefault="008B4634" w:rsidP="00106C06">
            <w:pPr>
              <w:pStyle w:val="08-Tabelageral"/>
              <w:jc w:val="left"/>
            </w:pPr>
            <w:r w:rsidRPr="00A82CB8">
              <w:t>Obrigações sociais e estatutárias</w:t>
            </w:r>
          </w:p>
        </w:tc>
        <w:tc>
          <w:tcPr>
            <w:tcW w:w="1560" w:type="dxa"/>
            <w:shd w:val="clear" w:color="auto" w:fill="auto"/>
            <w:vAlign w:val="center"/>
          </w:tcPr>
          <w:p w14:paraId="4FF02B3E" w14:textId="77777777" w:rsidR="008B4634" w:rsidRPr="001E5BDD" w:rsidRDefault="008B4634" w:rsidP="00106C06">
            <w:pPr>
              <w:pStyle w:val="08-Tabelageral"/>
            </w:pPr>
            <w:r w:rsidRPr="00FA6B96">
              <w:t>2.922.517</w:t>
            </w:r>
          </w:p>
        </w:tc>
        <w:tc>
          <w:tcPr>
            <w:tcW w:w="1133" w:type="dxa"/>
            <w:shd w:val="clear" w:color="auto" w:fill="auto"/>
            <w:vAlign w:val="center"/>
          </w:tcPr>
          <w:p w14:paraId="4BB7DC2A" w14:textId="77777777" w:rsidR="008B4634" w:rsidRPr="001E5BDD" w:rsidRDefault="008B4634" w:rsidP="00106C06">
            <w:pPr>
              <w:pStyle w:val="08-Tabelageral"/>
            </w:pPr>
            <w:r>
              <w:t>--</w:t>
            </w:r>
          </w:p>
        </w:tc>
        <w:tc>
          <w:tcPr>
            <w:tcW w:w="283" w:type="dxa"/>
            <w:shd w:val="clear" w:color="auto" w:fill="auto"/>
            <w:vAlign w:val="center"/>
          </w:tcPr>
          <w:p w14:paraId="67860DA6" w14:textId="77777777" w:rsidR="008B4634" w:rsidRPr="001E5BDD" w:rsidRDefault="008B4634" w:rsidP="00106C06">
            <w:pPr>
              <w:pStyle w:val="08-Tabelageral"/>
            </w:pPr>
          </w:p>
        </w:tc>
        <w:tc>
          <w:tcPr>
            <w:tcW w:w="1419" w:type="dxa"/>
            <w:shd w:val="clear" w:color="auto" w:fill="auto"/>
            <w:vAlign w:val="center"/>
          </w:tcPr>
          <w:p w14:paraId="1CC683B5" w14:textId="77777777" w:rsidR="008B4634" w:rsidRPr="001E5BDD" w:rsidRDefault="008B4634" w:rsidP="00106C06">
            <w:pPr>
              <w:pStyle w:val="08-Tabelageral"/>
            </w:pPr>
            <w:r>
              <w:t>1.626.642</w:t>
            </w:r>
          </w:p>
        </w:tc>
        <w:tc>
          <w:tcPr>
            <w:tcW w:w="1416" w:type="dxa"/>
            <w:shd w:val="clear" w:color="auto" w:fill="auto"/>
            <w:vAlign w:val="center"/>
          </w:tcPr>
          <w:p w14:paraId="06B76789" w14:textId="77777777" w:rsidR="008B4634" w:rsidRPr="001E5BDD" w:rsidRDefault="008B4634" w:rsidP="00106C06">
            <w:pPr>
              <w:pStyle w:val="08-Tabelageral"/>
            </w:pPr>
            <w:r>
              <w:t>--</w:t>
            </w:r>
          </w:p>
        </w:tc>
      </w:tr>
      <w:tr w:rsidR="008B4634" w:rsidRPr="00C52004" w14:paraId="0F790AD0" w14:textId="77777777" w:rsidTr="00FB4938">
        <w:trPr>
          <w:trHeight w:val="238"/>
          <w:jc w:val="center"/>
        </w:trPr>
        <w:tc>
          <w:tcPr>
            <w:tcW w:w="3827" w:type="dxa"/>
            <w:gridSpan w:val="2"/>
            <w:tcBorders>
              <w:bottom w:val="nil"/>
            </w:tcBorders>
            <w:shd w:val="clear" w:color="auto" w:fill="auto"/>
          </w:tcPr>
          <w:p w14:paraId="6C62A022" w14:textId="77777777" w:rsidR="008B4634" w:rsidRPr="00A82CB8" w:rsidRDefault="008B4634" w:rsidP="00106C06">
            <w:pPr>
              <w:pStyle w:val="08-Tabelageral"/>
              <w:jc w:val="left"/>
            </w:pPr>
            <w:r w:rsidRPr="00A82CB8">
              <w:t>Valores a pagar a sociedades ligadas</w:t>
            </w:r>
            <w:r>
              <w:t xml:space="preserve"> </w:t>
            </w:r>
            <w:r w:rsidRPr="0043462E">
              <w:rPr>
                <w:vertAlign w:val="superscript"/>
              </w:rPr>
              <w:t>(</w:t>
            </w:r>
            <w:r>
              <w:rPr>
                <w:vertAlign w:val="superscript"/>
              </w:rPr>
              <w:t>2</w:t>
            </w:r>
            <w:r w:rsidRPr="0043462E">
              <w:rPr>
                <w:vertAlign w:val="superscript"/>
              </w:rPr>
              <w:t>)</w:t>
            </w:r>
          </w:p>
        </w:tc>
        <w:tc>
          <w:tcPr>
            <w:tcW w:w="1560" w:type="dxa"/>
            <w:tcBorders>
              <w:bottom w:val="nil"/>
            </w:tcBorders>
            <w:shd w:val="clear" w:color="auto" w:fill="auto"/>
            <w:vAlign w:val="center"/>
          </w:tcPr>
          <w:p w14:paraId="1EA61F75" w14:textId="77777777" w:rsidR="008B4634" w:rsidRPr="001E5BDD" w:rsidRDefault="008B4634" w:rsidP="00106C06">
            <w:pPr>
              <w:pStyle w:val="08-Tabelageral"/>
            </w:pPr>
            <w:r w:rsidRPr="00FA6B96">
              <w:t>22.968</w:t>
            </w:r>
          </w:p>
        </w:tc>
        <w:tc>
          <w:tcPr>
            <w:tcW w:w="1133" w:type="dxa"/>
            <w:tcBorders>
              <w:bottom w:val="nil"/>
            </w:tcBorders>
            <w:shd w:val="clear" w:color="auto" w:fill="auto"/>
            <w:vAlign w:val="center"/>
          </w:tcPr>
          <w:p w14:paraId="66117C94" w14:textId="77777777" w:rsidR="008B4634" w:rsidRPr="001E5BDD" w:rsidRDefault="008B4634" w:rsidP="00106C06">
            <w:pPr>
              <w:pStyle w:val="08-Tabelageral"/>
            </w:pPr>
            <w:r w:rsidRPr="00FA6B96">
              <w:t>36.079</w:t>
            </w:r>
          </w:p>
        </w:tc>
        <w:tc>
          <w:tcPr>
            <w:tcW w:w="283" w:type="dxa"/>
            <w:tcBorders>
              <w:bottom w:val="nil"/>
            </w:tcBorders>
            <w:shd w:val="clear" w:color="auto" w:fill="auto"/>
            <w:vAlign w:val="center"/>
          </w:tcPr>
          <w:p w14:paraId="47E538FE" w14:textId="77777777" w:rsidR="008B4634" w:rsidRPr="001E5BDD" w:rsidRDefault="008B4634" w:rsidP="00106C06">
            <w:pPr>
              <w:pStyle w:val="08-Tabelageral"/>
            </w:pPr>
          </w:p>
        </w:tc>
        <w:tc>
          <w:tcPr>
            <w:tcW w:w="1419" w:type="dxa"/>
            <w:tcBorders>
              <w:bottom w:val="nil"/>
            </w:tcBorders>
            <w:shd w:val="clear" w:color="auto" w:fill="auto"/>
            <w:vAlign w:val="center"/>
          </w:tcPr>
          <w:p w14:paraId="3FC85272" w14:textId="77777777" w:rsidR="008B4634" w:rsidRPr="001E5BDD" w:rsidRDefault="008B4634" w:rsidP="00106C06">
            <w:pPr>
              <w:pStyle w:val="08-Tabelageral"/>
            </w:pPr>
            <w:r>
              <w:t>29.430</w:t>
            </w:r>
          </w:p>
        </w:tc>
        <w:tc>
          <w:tcPr>
            <w:tcW w:w="1416" w:type="dxa"/>
            <w:tcBorders>
              <w:bottom w:val="nil"/>
            </w:tcBorders>
            <w:shd w:val="clear" w:color="auto" w:fill="auto"/>
            <w:vAlign w:val="center"/>
          </w:tcPr>
          <w:p w14:paraId="030FC805" w14:textId="77777777" w:rsidR="008B4634" w:rsidRPr="001E5BDD" w:rsidRDefault="008B4634" w:rsidP="00106C06">
            <w:pPr>
              <w:pStyle w:val="08-Tabelageral"/>
            </w:pPr>
            <w:r>
              <w:t>58.792</w:t>
            </w:r>
          </w:p>
        </w:tc>
      </w:tr>
      <w:tr w:rsidR="008B4634" w:rsidRPr="00C52004" w14:paraId="6987EAFE" w14:textId="77777777" w:rsidTr="00FB4938">
        <w:trPr>
          <w:trHeight w:val="238"/>
          <w:jc w:val="center"/>
        </w:trPr>
        <w:tc>
          <w:tcPr>
            <w:tcW w:w="3827" w:type="dxa"/>
            <w:gridSpan w:val="2"/>
            <w:tcBorders>
              <w:top w:val="nil"/>
              <w:bottom w:val="single" w:sz="2" w:space="0" w:color="1F3864" w:themeColor="accent1" w:themeShade="80"/>
            </w:tcBorders>
            <w:shd w:val="clear" w:color="auto" w:fill="auto"/>
          </w:tcPr>
          <w:p w14:paraId="31A07A60" w14:textId="77777777" w:rsidR="008B4634" w:rsidRPr="00A82CB8" w:rsidRDefault="008B4634" w:rsidP="00106C06">
            <w:pPr>
              <w:pStyle w:val="08-Tabelageral"/>
              <w:jc w:val="left"/>
            </w:pPr>
            <w:r w:rsidRPr="00A82CB8">
              <w:t>Comissões a apropriar</w:t>
            </w:r>
          </w:p>
        </w:tc>
        <w:tc>
          <w:tcPr>
            <w:tcW w:w="1560" w:type="dxa"/>
            <w:tcBorders>
              <w:top w:val="nil"/>
              <w:bottom w:val="single" w:sz="2" w:space="0" w:color="1F3864" w:themeColor="accent1" w:themeShade="80"/>
            </w:tcBorders>
            <w:shd w:val="clear" w:color="auto" w:fill="auto"/>
            <w:vAlign w:val="center"/>
          </w:tcPr>
          <w:p w14:paraId="748370D1" w14:textId="77777777" w:rsidR="008B4634" w:rsidRPr="001E5BDD" w:rsidRDefault="008B4634" w:rsidP="00106C06">
            <w:pPr>
              <w:pStyle w:val="08-Tabelageral"/>
            </w:pPr>
            <w:r>
              <w:t>--</w:t>
            </w:r>
          </w:p>
        </w:tc>
        <w:tc>
          <w:tcPr>
            <w:tcW w:w="1133" w:type="dxa"/>
            <w:tcBorders>
              <w:top w:val="nil"/>
              <w:bottom w:val="single" w:sz="2" w:space="0" w:color="1F3864" w:themeColor="accent1" w:themeShade="80"/>
            </w:tcBorders>
            <w:shd w:val="clear" w:color="auto" w:fill="auto"/>
            <w:vAlign w:val="center"/>
          </w:tcPr>
          <w:p w14:paraId="718BE7C0" w14:textId="77777777" w:rsidR="008B4634" w:rsidRPr="001E5BDD" w:rsidRDefault="008B4634" w:rsidP="00106C06">
            <w:pPr>
              <w:pStyle w:val="08-Tabelageral"/>
            </w:pPr>
            <w:r w:rsidRPr="00FA6B96">
              <w:t>5.897.562</w:t>
            </w:r>
          </w:p>
        </w:tc>
        <w:tc>
          <w:tcPr>
            <w:tcW w:w="283" w:type="dxa"/>
            <w:tcBorders>
              <w:top w:val="nil"/>
              <w:bottom w:val="single" w:sz="2" w:space="0" w:color="1F3864" w:themeColor="accent1" w:themeShade="80"/>
            </w:tcBorders>
            <w:shd w:val="clear" w:color="auto" w:fill="auto"/>
            <w:vAlign w:val="center"/>
          </w:tcPr>
          <w:p w14:paraId="1F46AB43" w14:textId="77777777" w:rsidR="008B4634" w:rsidRPr="001E5BDD" w:rsidRDefault="008B4634" w:rsidP="00106C06">
            <w:pPr>
              <w:pStyle w:val="08-Tabelageral"/>
            </w:pPr>
          </w:p>
        </w:tc>
        <w:tc>
          <w:tcPr>
            <w:tcW w:w="1419" w:type="dxa"/>
            <w:tcBorders>
              <w:top w:val="nil"/>
              <w:bottom w:val="single" w:sz="2" w:space="0" w:color="1F3864" w:themeColor="accent1" w:themeShade="80"/>
            </w:tcBorders>
            <w:shd w:val="clear" w:color="auto" w:fill="auto"/>
            <w:vAlign w:val="center"/>
          </w:tcPr>
          <w:p w14:paraId="7524DC37" w14:textId="77777777" w:rsidR="008B4634" w:rsidRPr="001E5BDD" w:rsidRDefault="008B4634" w:rsidP="00106C06">
            <w:pPr>
              <w:pStyle w:val="08-Tabelageral"/>
            </w:pPr>
            <w:r>
              <w:t>--</w:t>
            </w:r>
          </w:p>
        </w:tc>
        <w:tc>
          <w:tcPr>
            <w:tcW w:w="1416" w:type="dxa"/>
            <w:tcBorders>
              <w:top w:val="nil"/>
              <w:bottom w:val="single" w:sz="2" w:space="0" w:color="1F3864" w:themeColor="accent1" w:themeShade="80"/>
            </w:tcBorders>
            <w:shd w:val="clear" w:color="auto" w:fill="auto"/>
            <w:vAlign w:val="center"/>
          </w:tcPr>
          <w:p w14:paraId="222110A2" w14:textId="77777777" w:rsidR="008B4634" w:rsidRPr="001E5BDD" w:rsidRDefault="008B4634" w:rsidP="00106C06">
            <w:pPr>
              <w:pStyle w:val="08-Tabelageral"/>
            </w:pPr>
            <w:r>
              <w:t>4.571.572</w:t>
            </w:r>
          </w:p>
        </w:tc>
      </w:tr>
    </w:tbl>
    <w:p w14:paraId="1E4F11CE" w14:textId="77777777" w:rsidR="008B4634" w:rsidRDefault="008B4634" w:rsidP="008B4634">
      <w:pPr>
        <w:pStyle w:val="01-TtulodeNota"/>
        <w:spacing w:before="0" w:after="0"/>
        <w:rPr>
          <w:sz w:val="14"/>
          <w:szCs w:val="14"/>
        </w:rPr>
      </w:pPr>
    </w:p>
    <w:p w14:paraId="5A6AC528" w14:textId="77777777" w:rsidR="008B4634" w:rsidRPr="00676763" w:rsidRDefault="008B4634" w:rsidP="008B4634">
      <w:pPr>
        <w:pStyle w:val="01-TtulodeNota"/>
        <w:keepNext/>
        <w:spacing w:after="0"/>
        <w:jc w:val="right"/>
        <w:rPr>
          <w:sz w:val="14"/>
          <w:szCs w:val="14"/>
        </w:rPr>
      </w:pPr>
      <w:r w:rsidRPr="00676763">
        <w:rPr>
          <w:sz w:val="14"/>
          <w:szCs w:val="14"/>
        </w:rPr>
        <w:t>R$ mil</w:t>
      </w:r>
    </w:p>
    <w:tbl>
      <w:tblPr>
        <w:tblW w:w="5000" w:type="pct"/>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1133"/>
        <w:gridCol w:w="3262"/>
        <w:gridCol w:w="1275"/>
        <w:gridCol w:w="1134"/>
        <w:gridCol w:w="284"/>
        <w:gridCol w:w="1276"/>
        <w:gridCol w:w="1274"/>
      </w:tblGrid>
      <w:tr w:rsidR="008B4634" w:rsidRPr="00BC397C" w14:paraId="6096230D" w14:textId="77777777" w:rsidTr="00106C06">
        <w:trPr>
          <w:trHeight w:val="238"/>
          <w:jc w:val="center"/>
        </w:trPr>
        <w:tc>
          <w:tcPr>
            <w:tcW w:w="1133" w:type="dxa"/>
            <w:tcBorders>
              <w:top w:val="single" w:sz="2" w:space="0" w:color="1F3864" w:themeColor="accent1" w:themeShade="80"/>
              <w:bottom w:val="nil"/>
            </w:tcBorders>
            <w:shd w:val="clear" w:color="auto" w:fill="auto"/>
          </w:tcPr>
          <w:p w14:paraId="4D1A67A5" w14:textId="77777777" w:rsidR="008B4634" w:rsidRPr="00BC397C" w:rsidRDefault="008B4634" w:rsidP="00106C06">
            <w:pPr>
              <w:pStyle w:val="08-Tabelageral"/>
              <w:rPr>
                <w:b/>
                <w:szCs w:val="14"/>
              </w:rPr>
            </w:pPr>
          </w:p>
        </w:tc>
        <w:tc>
          <w:tcPr>
            <w:tcW w:w="3262" w:type="dxa"/>
            <w:tcBorders>
              <w:top w:val="single" w:sz="2" w:space="0" w:color="1F3864" w:themeColor="accent1" w:themeShade="80"/>
              <w:bottom w:val="nil"/>
            </w:tcBorders>
            <w:shd w:val="clear" w:color="auto" w:fill="auto"/>
          </w:tcPr>
          <w:p w14:paraId="09071629" w14:textId="77777777" w:rsidR="008B4634" w:rsidRPr="00BC397C" w:rsidRDefault="008B4634" w:rsidP="00106C06">
            <w:pPr>
              <w:pStyle w:val="08-Tabelageral"/>
              <w:rPr>
                <w:b/>
                <w:szCs w:val="14"/>
              </w:rPr>
            </w:pPr>
          </w:p>
        </w:tc>
        <w:tc>
          <w:tcPr>
            <w:tcW w:w="2409" w:type="dxa"/>
            <w:gridSpan w:val="2"/>
            <w:tcBorders>
              <w:top w:val="single" w:sz="2" w:space="0" w:color="1F3864" w:themeColor="accent1" w:themeShade="80"/>
              <w:bottom w:val="single" w:sz="2" w:space="0" w:color="1F3864" w:themeColor="accent1" w:themeShade="80"/>
            </w:tcBorders>
            <w:shd w:val="clear" w:color="auto" w:fill="auto"/>
          </w:tcPr>
          <w:p w14:paraId="6FE9E7FA" w14:textId="77777777" w:rsidR="008B4634" w:rsidRDefault="008B4634" w:rsidP="00106C06">
            <w:pPr>
              <w:pStyle w:val="08-Tabelageral"/>
              <w:jc w:val="center"/>
              <w:rPr>
                <w:b/>
                <w:szCs w:val="14"/>
              </w:rPr>
            </w:pPr>
            <w:r>
              <w:rPr>
                <w:b/>
                <w:szCs w:val="14"/>
              </w:rPr>
              <w:t>Exercício 2024</w:t>
            </w:r>
          </w:p>
        </w:tc>
        <w:tc>
          <w:tcPr>
            <w:tcW w:w="284" w:type="dxa"/>
            <w:tcBorders>
              <w:top w:val="single" w:sz="2" w:space="0" w:color="1F3864" w:themeColor="accent1" w:themeShade="80"/>
              <w:bottom w:val="single" w:sz="2" w:space="0" w:color="1F3864" w:themeColor="accent1" w:themeShade="80"/>
            </w:tcBorders>
            <w:shd w:val="clear" w:color="auto" w:fill="auto"/>
          </w:tcPr>
          <w:p w14:paraId="7B754DCA" w14:textId="77777777" w:rsidR="008B4634" w:rsidRDefault="008B4634" w:rsidP="00106C06">
            <w:pPr>
              <w:pStyle w:val="08-Tabelageral"/>
              <w:jc w:val="center"/>
              <w:rPr>
                <w:b/>
                <w:szCs w:val="14"/>
              </w:rPr>
            </w:pPr>
          </w:p>
        </w:tc>
        <w:tc>
          <w:tcPr>
            <w:tcW w:w="2550" w:type="dxa"/>
            <w:gridSpan w:val="2"/>
            <w:tcBorders>
              <w:top w:val="single" w:sz="2" w:space="0" w:color="1F3864" w:themeColor="accent1" w:themeShade="80"/>
              <w:bottom w:val="single" w:sz="2" w:space="0" w:color="1F3864" w:themeColor="accent1" w:themeShade="80"/>
            </w:tcBorders>
            <w:shd w:val="clear" w:color="auto" w:fill="auto"/>
          </w:tcPr>
          <w:p w14:paraId="5E3634D8" w14:textId="77777777" w:rsidR="008B4634" w:rsidRDefault="008B4634" w:rsidP="00106C06">
            <w:pPr>
              <w:pStyle w:val="08-Tabelageral"/>
              <w:jc w:val="center"/>
              <w:rPr>
                <w:b/>
                <w:szCs w:val="14"/>
              </w:rPr>
            </w:pPr>
            <w:r>
              <w:rPr>
                <w:b/>
                <w:bCs/>
                <w:szCs w:val="14"/>
              </w:rPr>
              <w:t>Exercício 2023</w:t>
            </w:r>
          </w:p>
        </w:tc>
      </w:tr>
      <w:tr w:rsidR="008B4634" w:rsidRPr="00BC397C" w14:paraId="54ECD389" w14:textId="77777777" w:rsidTr="00106C06">
        <w:trPr>
          <w:trHeight w:val="238"/>
          <w:jc w:val="center"/>
        </w:trPr>
        <w:tc>
          <w:tcPr>
            <w:tcW w:w="4395" w:type="dxa"/>
            <w:gridSpan w:val="2"/>
            <w:tcBorders>
              <w:top w:val="nil"/>
              <w:bottom w:val="single" w:sz="2" w:space="0" w:color="1F3864" w:themeColor="accent1" w:themeShade="80"/>
            </w:tcBorders>
            <w:shd w:val="clear" w:color="auto" w:fill="auto"/>
            <w:vAlign w:val="center"/>
          </w:tcPr>
          <w:p w14:paraId="7ACB88BA" w14:textId="77777777" w:rsidR="008B4634" w:rsidRPr="00BC397C" w:rsidRDefault="008B4634" w:rsidP="00106C06">
            <w:pPr>
              <w:pStyle w:val="08-Tabelageral"/>
              <w:rPr>
                <w:b/>
                <w:szCs w:val="14"/>
              </w:rPr>
            </w:pPr>
          </w:p>
        </w:tc>
        <w:tc>
          <w:tcPr>
            <w:tcW w:w="1275" w:type="dxa"/>
            <w:tcBorders>
              <w:top w:val="single" w:sz="2" w:space="0" w:color="1F3864" w:themeColor="accent1" w:themeShade="80"/>
              <w:bottom w:val="single" w:sz="2" w:space="0" w:color="1F3864" w:themeColor="accent1" w:themeShade="80"/>
            </w:tcBorders>
            <w:shd w:val="clear" w:color="auto" w:fill="auto"/>
            <w:vAlign w:val="center"/>
          </w:tcPr>
          <w:p w14:paraId="6D49540F" w14:textId="77777777" w:rsidR="008B4634" w:rsidRPr="00BC397C" w:rsidRDefault="008B4634" w:rsidP="00106C06">
            <w:pPr>
              <w:pStyle w:val="08-Tabelageral"/>
              <w:rPr>
                <w:b/>
                <w:szCs w:val="14"/>
              </w:rPr>
            </w:pPr>
            <w:r>
              <w:rPr>
                <w:b/>
                <w:szCs w:val="14"/>
              </w:rPr>
              <w:t>Banco do Brasil</w:t>
            </w:r>
          </w:p>
        </w:tc>
        <w:tc>
          <w:tcPr>
            <w:tcW w:w="1134" w:type="dxa"/>
            <w:tcBorders>
              <w:top w:val="single" w:sz="2" w:space="0" w:color="1F3864" w:themeColor="accent1" w:themeShade="80"/>
              <w:bottom w:val="single" w:sz="2" w:space="0" w:color="1F3864" w:themeColor="accent1" w:themeShade="80"/>
            </w:tcBorders>
            <w:shd w:val="clear" w:color="auto" w:fill="auto"/>
            <w:vAlign w:val="center"/>
          </w:tcPr>
          <w:p w14:paraId="312AB378" w14:textId="77777777" w:rsidR="008B4634" w:rsidRPr="00BC397C" w:rsidRDefault="008B4634" w:rsidP="00106C06">
            <w:pPr>
              <w:pStyle w:val="08-Tabelageral"/>
              <w:rPr>
                <w:b/>
                <w:szCs w:val="14"/>
              </w:rPr>
            </w:pPr>
            <w:r w:rsidRPr="00BC397C">
              <w:rPr>
                <w:b/>
                <w:szCs w:val="14"/>
              </w:rPr>
              <w:t xml:space="preserve">Empresas Investidas </w:t>
            </w:r>
            <w:r w:rsidRPr="00BC397C">
              <w:rPr>
                <w:b/>
                <w:szCs w:val="14"/>
                <w:vertAlign w:val="superscript"/>
              </w:rPr>
              <w:t>(</w:t>
            </w:r>
            <w:r>
              <w:rPr>
                <w:b/>
                <w:szCs w:val="14"/>
                <w:vertAlign w:val="superscript"/>
              </w:rPr>
              <w:t>1</w:t>
            </w:r>
            <w:r w:rsidRPr="00BC397C">
              <w:rPr>
                <w:b/>
                <w:szCs w:val="14"/>
                <w:vertAlign w:val="superscript"/>
              </w:rPr>
              <w:t>)</w:t>
            </w:r>
          </w:p>
        </w:tc>
        <w:tc>
          <w:tcPr>
            <w:tcW w:w="284" w:type="dxa"/>
            <w:tcBorders>
              <w:top w:val="single" w:sz="2" w:space="0" w:color="1F3864" w:themeColor="accent1" w:themeShade="80"/>
              <w:bottom w:val="single" w:sz="2" w:space="0" w:color="1F3864" w:themeColor="accent1" w:themeShade="80"/>
            </w:tcBorders>
            <w:shd w:val="clear" w:color="auto" w:fill="auto"/>
            <w:vAlign w:val="center"/>
          </w:tcPr>
          <w:p w14:paraId="4E33CB59" w14:textId="77777777" w:rsidR="008B4634" w:rsidRPr="00BC397C" w:rsidRDefault="008B4634" w:rsidP="00106C06">
            <w:pPr>
              <w:pStyle w:val="08-Tabelageral"/>
              <w:rPr>
                <w:b/>
                <w:szCs w:val="14"/>
              </w:rPr>
            </w:pPr>
          </w:p>
        </w:tc>
        <w:tc>
          <w:tcPr>
            <w:tcW w:w="1276" w:type="dxa"/>
            <w:tcBorders>
              <w:top w:val="single" w:sz="2" w:space="0" w:color="1F3864" w:themeColor="accent1" w:themeShade="80"/>
              <w:bottom w:val="single" w:sz="2" w:space="0" w:color="1F3864" w:themeColor="accent1" w:themeShade="80"/>
            </w:tcBorders>
            <w:shd w:val="clear" w:color="auto" w:fill="auto"/>
            <w:vAlign w:val="center"/>
          </w:tcPr>
          <w:p w14:paraId="340CFD7C" w14:textId="77777777" w:rsidR="008B4634" w:rsidRPr="00BC397C" w:rsidRDefault="008B4634" w:rsidP="00106C06">
            <w:pPr>
              <w:pStyle w:val="08-Tabelageral"/>
              <w:rPr>
                <w:b/>
                <w:szCs w:val="14"/>
              </w:rPr>
            </w:pPr>
            <w:r>
              <w:rPr>
                <w:b/>
                <w:szCs w:val="14"/>
              </w:rPr>
              <w:t>Banco do Brasil</w:t>
            </w:r>
          </w:p>
        </w:tc>
        <w:tc>
          <w:tcPr>
            <w:tcW w:w="1274" w:type="dxa"/>
            <w:tcBorders>
              <w:top w:val="single" w:sz="2" w:space="0" w:color="1F3864" w:themeColor="accent1" w:themeShade="80"/>
              <w:bottom w:val="single" w:sz="2" w:space="0" w:color="1F3864" w:themeColor="accent1" w:themeShade="80"/>
            </w:tcBorders>
            <w:shd w:val="clear" w:color="auto" w:fill="auto"/>
            <w:vAlign w:val="center"/>
          </w:tcPr>
          <w:p w14:paraId="716543F4" w14:textId="77777777" w:rsidR="008B4634" w:rsidRPr="00BC397C" w:rsidRDefault="008B4634" w:rsidP="00106C06">
            <w:pPr>
              <w:pStyle w:val="08-Tabelageral"/>
              <w:rPr>
                <w:b/>
                <w:szCs w:val="14"/>
              </w:rPr>
            </w:pPr>
            <w:r w:rsidRPr="00BC397C">
              <w:rPr>
                <w:b/>
                <w:szCs w:val="14"/>
              </w:rPr>
              <w:t xml:space="preserve">Empresas Investidas </w:t>
            </w:r>
            <w:r w:rsidRPr="00BC397C">
              <w:rPr>
                <w:b/>
                <w:szCs w:val="14"/>
                <w:vertAlign w:val="superscript"/>
              </w:rPr>
              <w:t>(</w:t>
            </w:r>
            <w:r>
              <w:rPr>
                <w:b/>
                <w:szCs w:val="14"/>
                <w:vertAlign w:val="superscript"/>
              </w:rPr>
              <w:t>1</w:t>
            </w:r>
            <w:r w:rsidRPr="00BC397C">
              <w:rPr>
                <w:b/>
                <w:szCs w:val="14"/>
                <w:vertAlign w:val="superscript"/>
              </w:rPr>
              <w:t>)</w:t>
            </w:r>
          </w:p>
        </w:tc>
      </w:tr>
      <w:tr w:rsidR="008B4634" w:rsidRPr="00BC397C" w14:paraId="7B52CBF6" w14:textId="77777777" w:rsidTr="00106C06">
        <w:trPr>
          <w:trHeight w:val="238"/>
          <w:jc w:val="center"/>
        </w:trPr>
        <w:tc>
          <w:tcPr>
            <w:tcW w:w="4395" w:type="dxa"/>
            <w:gridSpan w:val="2"/>
            <w:tcBorders>
              <w:top w:val="single" w:sz="2" w:space="0" w:color="1F3864" w:themeColor="accent1" w:themeShade="80"/>
              <w:bottom w:val="nil"/>
            </w:tcBorders>
            <w:shd w:val="clear" w:color="auto" w:fill="auto"/>
          </w:tcPr>
          <w:p w14:paraId="1C7C1E31" w14:textId="77777777" w:rsidR="008B4634" w:rsidRPr="00BC397C" w:rsidRDefault="008B4634" w:rsidP="00106C06">
            <w:pPr>
              <w:pStyle w:val="08-Tabelageral"/>
              <w:jc w:val="left"/>
              <w:rPr>
                <w:b/>
              </w:rPr>
            </w:pPr>
            <w:r w:rsidRPr="00BC397C">
              <w:rPr>
                <w:b/>
              </w:rPr>
              <w:t>Resultado</w:t>
            </w:r>
          </w:p>
        </w:tc>
        <w:tc>
          <w:tcPr>
            <w:tcW w:w="1275" w:type="dxa"/>
            <w:tcBorders>
              <w:top w:val="single" w:sz="2" w:space="0" w:color="1F3864" w:themeColor="accent1" w:themeShade="80"/>
              <w:bottom w:val="nil"/>
            </w:tcBorders>
            <w:shd w:val="clear" w:color="auto" w:fill="auto"/>
            <w:vAlign w:val="center"/>
          </w:tcPr>
          <w:p w14:paraId="609EF519" w14:textId="77777777" w:rsidR="008B4634" w:rsidRPr="00BC397C" w:rsidRDefault="008B4634" w:rsidP="00106C06">
            <w:pPr>
              <w:pStyle w:val="08-Tabelageral"/>
              <w:rPr>
                <w:b/>
                <w:szCs w:val="14"/>
              </w:rPr>
            </w:pPr>
          </w:p>
        </w:tc>
        <w:tc>
          <w:tcPr>
            <w:tcW w:w="1134" w:type="dxa"/>
            <w:tcBorders>
              <w:top w:val="single" w:sz="2" w:space="0" w:color="1F3864" w:themeColor="accent1" w:themeShade="80"/>
              <w:bottom w:val="nil"/>
            </w:tcBorders>
            <w:shd w:val="clear" w:color="auto" w:fill="auto"/>
            <w:vAlign w:val="center"/>
          </w:tcPr>
          <w:p w14:paraId="4D2D9BDE" w14:textId="77777777" w:rsidR="008B4634" w:rsidRPr="00BC397C" w:rsidRDefault="008B4634" w:rsidP="00106C06">
            <w:pPr>
              <w:pStyle w:val="08-Tabelageral"/>
              <w:rPr>
                <w:b/>
                <w:szCs w:val="14"/>
              </w:rPr>
            </w:pPr>
          </w:p>
        </w:tc>
        <w:tc>
          <w:tcPr>
            <w:tcW w:w="284" w:type="dxa"/>
            <w:tcBorders>
              <w:top w:val="single" w:sz="2" w:space="0" w:color="1F3864" w:themeColor="accent1" w:themeShade="80"/>
              <w:bottom w:val="nil"/>
            </w:tcBorders>
            <w:shd w:val="clear" w:color="auto" w:fill="auto"/>
          </w:tcPr>
          <w:p w14:paraId="69C1810B" w14:textId="77777777" w:rsidR="008B4634" w:rsidRPr="00BC397C" w:rsidRDefault="008B4634" w:rsidP="00106C06">
            <w:pPr>
              <w:pStyle w:val="08-Tabelageral"/>
              <w:rPr>
                <w:b/>
              </w:rPr>
            </w:pPr>
          </w:p>
        </w:tc>
        <w:tc>
          <w:tcPr>
            <w:tcW w:w="1276" w:type="dxa"/>
            <w:tcBorders>
              <w:top w:val="single" w:sz="2" w:space="0" w:color="1F3864" w:themeColor="accent1" w:themeShade="80"/>
              <w:bottom w:val="nil"/>
            </w:tcBorders>
            <w:shd w:val="clear" w:color="auto" w:fill="auto"/>
            <w:vAlign w:val="center"/>
          </w:tcPr>
          <w:p w14:paraId="3F806454" w14:textId="77777777" w:rsidR="008B4634" w:rsidRPr="00BC397C" w:rsidRDefault="008B4634" w:rsidP="00106C06">
            <w:pPr>
              <w:pStyle w:val="08-Tabelageral"/>
              <w:rPr>
                <w:b/>
              </w:rPr>
            </w:pPr>
          </w:p>
        </w:tc>
        <w:tc>
          <w:tcPr>
            <w:tcW w:w="1274" w:type="dxa"/>
            <w:tcBorders>
              <w:top w:val="single" w:sz="2" w:space="0" w:color="1F3864" w:themeColor="accent1" w:themeShade="80"/>
              <w:bottom w:val="nil"/>
            </w:tcBorders>
            <w:shd w:val="clear" w:color="auto" w:fill="auto"/>
            <w:vAlign w:val="center"/>
          </w:tcPr>
          <w:p w14:paraId="3B95C27B" w14:textId="77777777" w:rsidR="008B4634" w:rsidRPr="00BC397C" w:rsidRDefault="008B4634" w:rsidP="00106C06">
            <w:pPr>
              <w:pStyle w:val="08-Tabelageral"/>
              <w:rPr>
                <w:b/>
              </w:rPr>
            </w:pPr>
            <w:r w:rsidRPr="00BC397C">
              <w:rPr>
                <w:b/>
                <w:szCs w:val="14"/>
              </w:rPr>
              <w:t xml:space="preserve"> </w:t>
            </w:r>
          </w:p>
        </w:tc>
      </w:tr>
      <w:tr w:rsidR="008B4634" w:rsidRPr="00BC397C" w14:paraId="2C78AFB7" w14:textId="77777777" w:rsidTr="00106C06">
        <w:trPr>
          <w:trHeight w:val="238"/>
          <w:jc w:val="center"/>
        </w:trPr>
        <w:tc>
          <w:tcPr>
            <w:tcW w:w="4395" w:type="dxa"/>
            <w:gridSpan w:val="2"/>
            <w:tcBorders>
              <w:top w:val="nil"/>
            </w:tcBorders>
            <w:shd w:val="clear" w:color="auto" w:fill="auto"/>
            <w:vAlign w:val="center"/>
          </w:tcPr>
          <w:p w14:paraId="3267900F" w14:textId="77777777" w:rsidR="008B4634" w:rsidRPr="00BC397C" w:rsidRDefault="008B4634" w:rsidP="00106C06">
            <w:pPr>
              <w:pStyle w:val="08-Tabelageral"/>
              <w:jc w:val="left"/>
            </w:pPr>
            <w:r w:rsidRPr="00BC397C">
              <w:t>Receita de juros de instrumentos financeiros</w:t>
            </w:r>
          </w:p>
        </w:tc>
        <w:tc>
          <w:tcPr>
            <w:tcW w:w="1275" w:type="dxa"/>
            <w:tcBorders>
              <w:top w:val="nil"/>
            </w:tcBorders>
            <w:shd w:val="clear" w:color="auto" w:fill="auto"/>
            <w:vAlign w:val="center"/>
          </w:tcPr>
          <w:p w14:paraId="4A0E544F" w14:textId="77777777" w:rsidR="008B4634" w:rsidRPr="00BC397C" w:rsidRDefault="008B4634" w:rsidP="00106C06">
            <w:pPr>
              <w:pStyle w:val="08-Tabelageral"/>
            </w:pPr>
            <w:r w:rsidRPr="00FA6B96">
              <w:t>496.090</w:t>
            </w:r>
          </w:p>
        </w:tc>
        <w:tc>
          <w:tcPr>
            <w:tcW w:w="1134" w:type="dxa"/>
            <w:tcBorders>
              <w:top w:val="nil"/>
            </w:tcBorders>
            <w:shd w:val="clear" w:color="auto" w:fill="auto"/>
            <w:vAlign w:val="center"/>
          </w:tcPr>
          <w:p w14:paraId="22C531C5" w14:textId="77777777" w:rsidR="008B4634" w:rsidRPr="00BC397C" w:rsidRDefault="008B4634" w:rsidP="00106C06">
            <w:pPr>
              <w:pStyle w:val="08-Tabelageral"/>
            </w:pPr>
            <w:r>
              <w:t>--</w:t>
            </w:r>
          </w:p>
        </w:tc>
        <w:tc>
          <w:tcPr>
            <w:tcW w:w="284" w:type="dxa"/>
            <w:tcBorders>
              <w:top w:val="nil"/>
            </w:tcBorders>
            <w:shd w:val="clear" w:color="auto" w:fill="auto"/>
            <w:vAlign w:val="center"/>
          </w:tcPr>
          <w:p w14:paraId="02130898" w14:textId="77777777" w:rsidR="008B4634" w:rsidRDefault="008B4634" w:rsidP="00106C06">
            <w:pPr>
              <w:pStyle w:val="08-Tabelageral"/>
            </w:pPr>
          </w:p>
        </w:tc>
        <w:tc>
          <w:tcPr>
            <w:tcW w:w="1276" w:type="dxa"/>
            <w:tcBorders>
              <w:top w:val="nil"/>
            </w:tcBorders>
            <w:shd w:val="clear" w:color="auto" w:fill="auto"/>
            <w:vAlign w:val="center"/>
          </w:tcPr>
          <w:p w14:paraId="2F3D6146" w14:textId="77777777" w:rsidR="008B4634" w:rsidRPr="00BD4297" w:rsidRDefault="008B4634" w:rsidP="00106C06">
            <w:pPr>
              <w:pStyle w:val="08-Tabelageral"/>
              <w:rPr>
                <w:rFonts w:cs="Arial"/>
                <w:szCs w:val="14"/>
              </w:rPr>
            </w:pPr>
            <w:r w:rsidRPr="00BF2AAF">
              <w:rPr>
                <w:rFonts w:cs="Arial"/>
              </w:rPr>
              <w:t>495.609</w:t>
            </w:r>
          </w:p>
        </w:tc>
        <w:tc>
          <w:tcPr>
            <w:tcW w:w="1274" w:type="dxa"/>
            <w:tcBorders>
              <w:top w:val="nil"/>
            </w:tcBorders>
            <w:shd w:val="clear" w:color="auto" w:fill="auto"/>
            <w:vAlign w:val="center"/>
          </w:tcPr>
          <w:p w14:paraId="60C97ACB" w14:textId="77777777" w:rsidR="008B4634" w:rsidRPr="00BD4297" w:rsidRDefault="008B4634" w:rsidP="00106C06">
            <w:pPr>
              <w:pStyle w:val="08-Tabelageral"/>
              <w:rPr>
                <w:rFonts w:cs="Arial"/>
                <w:szCs w:val="14"/>
              </w:rPr>
            </w:pPr>
            <w:r w:rsidRPr="00BF2AAF">
              <w:rPr>
                <w:rFonts w:cs="Arial"/>
              </w:rPr>
              <w:t>--</w:t>
            </w:r>
          </w:p>
        </w:tc>
      </w:tr>
      <w:tr w:rsidR="008B4634" w:rsidRPr="00BC397C" w14:paraId="715367F2" w14:textId="77777777" w:rsidTr="00106C06">
        <w:trPr>
          <w:trHeight w:val="238"/>
          <w:jc w:val="center"/>
        </w:trPr>
        <w:tc>
          <w:tcPr>
            <w:tcW w:w="4395" w:type="dxa"/>
            <w:gridSpan w:val="2"/>
            <w:shd w:val="clear" w:color="auto" w:fill="auto"/>
            <w:vAlign w:val="center"/>
          </w:tcPr>
          <w:p w14:paraId="2CF9BD86" w14:textId="77777777" w:rsidR="008B4634" w:rsidRPr="00BC397C" w:rsidRDefault="008B4634" w:rsidP="00106C06">
            <w:pPr>
              <w:pStyle w:val="08-Tabelageral"/>
              <w:jc w:val="left"/>
            </w:pPr>
            <w:r w:rsidRPr="00BC397C">
              <w:t>Receita de comissões</w:t>
            </w:r>
          </w:p>
        </w:tc>
        <w:tc>
          <w:tcPr>
            <w:tcW w:w="1275" w:type="dxa"/>
            <w:shd w:val="clear" w:color="auto" w:fill="auto"/>
            <w:vAlign w:val="center"/>
          </w:tcPr>
          <w:p w14:paraId="03E88072" w14:textId="77777777" w:rsidR="008B4634" w:rsidRPr="00BC397C" w:rsidRDefault="008B4634" w:rsidP="00106C06">
            <w:pPr>
              <w:pStyle w:val="08-Tabelageral"/>
            </w:pPr>
            <w:r>
              <w:t>--</w:t>
            </w:r>
          </w:p>
        </w:tc>
        <w:tc>
          <w:tcPr>
            <w:tcW w:w="1134" w:type="dxa"/>
            <w:shd w:val="clear" w:color="auto" w:fill="auto"/>
            <w:vAlign w:val="center"/>
          </w:tcPr>
          <w:p w14:paraId="099442D3" w14:textId="77777777" w:rsidR="008B4634" w:rsidRPr="00BC397C" w:rsidRDefault="008B4634" w:rsidP="00106C06">
            <w:pPr>
              <w:pStyle w:val="08-Tabelageral"/>
            </w:pPr>
            <w:r w:rsidRPr="00FA6B96">
              <w:t>5.370.715</w:t>
            </w:r>
          </w:p>
        </w:tc>
        <w:tc>
          <w:tcPr>
            <w:tcW w:w="284" w:type="dxa"/>
            <w:shd w:val="clear" w:color="auto" w:fill="auto"/>
            <w:vAlign w:val="center"/>
          </w:tcPr>
          <w:p w14:paraId="17D44EFA" w14:textId="77777777" w:rsidR="008B4634" w:rsidRDefault="008B4634" w:rsidP="00106C06">
            <w:pPr>
              <w:pStyle w:val="08-Tabelageral"/>
            </w:pPr>
          </w:p>
        </w:tc>
        <w:tc>
          <w:tcPr>
            <w:tcW w:w="1276" w:type="dxa"/>
            <w:shd w:val="clear" w:color="auto" w:fill="auto"/>
            <w:vAlign w:val="center"/>
          </w:tcPr>
          <w:p w14:paraId="46E69ABF" w14:textId="77777777" w:rsidR="008B4634" w:rsidRPr="00BD4297" w:rsidRDefault="008B4634" w:rsidP="00106C06">
            <w:pPr>
              <w:pStyle w:val="08-Tabelageral"/>
              <w:rPr>
                <w:rFonts w:cs="Arial"/>
                <w:szCs w:val="14"/>
              </w:rPr>
            </w:pPr>
            <w:r w:rsidRPr="00BF2AAF">
              <w:rPr>
                <w:rFonts w:cs="Arial"/>
              </w:rPr>
              <w:t>--</w:t>
            </w:r>
          </w:p>
        </w:tc>
        <w:tc>
          <w:tcPr>
            <w:tcW w:w="1274" w:type="dxa"/>
            <w:shd w:val="clear" w:color="auto" w:fill="auto"/>
            <w:vAlign w:val="center"/>
          </w:tcPr>
          <w:p w14:paraId="17CB67A2" w14:textId="77777777" w:rsidR="008B4634" w:rsidRPr="00BD4297" w:rsidRDefault="008B4634" w:rsidP="00106C06">
            <w:pPr>
              <w:pStyle w:val="08-Tabelageral"/>
              <w:rPr>
                <w:szCs w:val="14"/>
              </w:rPr>
            </w:pPr>
            <w:r w:rsidRPr="00BF2AAF">
              <w:rPr>
                <w:rFonts w:cs="Arial"/>
              </w:rPr>
              <w:t>4.837.790</w:t>
            </w:r>
          </w:p>
        </w:tc>
      </w:tr>
      <w:tr w:rsidR="008B4634" w:rsidRPr="00BC397C" w14:paraId="0B975084" w14:textId="77777777" w:rsidTr="00106C06">
        <w:trPr>
          <w:trHeight w:val="238"/>
          <w:jc w:val="center"/>
        </w:trPr>
        <w:tc>
          <w:tcPr>
            <w:tcW w:w="4395" w:type="dxa"/>
            <w:gridSpan w:val="2"/>
            <w:shd w:val="clear" w:color="auto" w:fill="auto"/>
            <w:vAlign w:val="center"/>
          </w:tcPr>
          <w:p w14:paraId="27C7B4AA" w14:textId="77777777" w:rsidR="008B4634" w:rsidRPr="00BC397C" w:rsidRDefault="008B4634" w:rsidP="00106C06">
            <w:pPr>
              <w:pStyle w:val="08-Tabelageral"/>
              <w:jc w:val="left"/>
            </w:pPr>
            <w:r w:rsidRPr="00BC397C">
              <w:t>Despesas com pessoal</w:t>
            </w:r>
          </w:p>
        </w:tc>
        <w:tc>
          <w:tcPr>
            <w:tcW w:w="1275" w:type="dxa"/>
            <w:shd w:val="clear" w:color="auto" w:fill="auto"/>
            <w:vAlign w:val="center"/>
          </w:tcPr>
          <w:p w14:paraId="336A9A14" w14:textId="77777777" w:rsidR="008B4634" w:rsidRPr="00BC397C" w:rsidRDefault="008B4634" w:rsidP="00106C06">
            <w:pPr>
              <w:pStyle w:val="08-Tabelageral"/>
            </w:pPr>
            <w:r>
              <w:t>(</w:t>
            </w:r>
            <w:r w:rsidRPr="00FA6B96">
              <w:t>89.665</w:t>
            </w:r>
            <w:r>
              <w:t>)</w:t>
            </w:r>
          </w:p>
        </w:tc>
        <w:tc>
          <w:tcPr>
            <w:tcW w:w="1134" w:type="dxa"/>
            <w:shd w:val="clear" w:color="auto" w:fill="auto"/>
            <w:vAlign w:val="center"/>
          </w:tcPr>
          <w:p w14:paraId="1BA5AD36" w14:textId="77777777" w:rsidR="008B4634" w:rsidRPr="00BC397C" w:rsidRDefault="008B4634" w:rsidP="00106C06">
            <w:pPr>
              <w:pStyle w:val="08-Tabelageral"/>
            </w:pPr>
            <w:r>
              <w:t>--</w:t>
            </w:r>
          </w:p>
        </w:tc>
        <w:tc>
          <w:tcPr>
            <w:tcW w:w="284" w:type="dxa"/>
            <w:shd w:val="clear" w:color="auto" w:fill="auto"/>
            <w:vAlign w:val="center"/>
          </w:tcPr>
          <w:p w14:paraId="3DF2B015" w14:textId="77777777" w:rsidR="008B4634" w:rsidRDefault="008B4634" w:rsidP="00106C06">
            <w:pPr>
              <w:pStyle w:val="08-Tabelageral"/>
            </w:pPr>
          </w:p>
        </w:tc>
        <w:tc>
          <w:tcPr>
            <w:tcW w:w="1276" w:type="dxa"/>
            <w:shd w:val="clear" w:color="auto" w:fill="auto"/>
            <w:vAlign w:val="center"/>
          </w:tcPr>
          <w:p w14:paraId="2259E9B3" w14:textId="77777777" w:rsidR="008B4634" w:rsidRPr="00BD4297" w:rsidRDefault="008B4634" w:rsidP="00106C06">
            <w:pPr>
              <w:pStyle w:val="08-Tabelageral"/>
              <w:rPr>
                <w:rFonts w:cs="Arial"/>
                <w:szCs w:val="14"/>
              </w:rPr>
            </w:pPr>
            <w:r w:rsidRPr="00BF2AAF">
              <w:rPr>
                <w:rFonts w:cs="Arial"/>
              </w:rPr>
              <w:t>(86.122)</w:t>
            </w:r>
          </w:p>
        </w:tc>
        <w:tc>
          <w:tcPr>
            <w:tcW w:w="1274" w:type="dxa"/>
            <w:shd w:val="clear" w:color="auto" w:fill="auto"/>
            <w:vAlign w:val="center"/>
          </w:tcPr>
          <w:p w14:paraId="6E674A39" w14:textId="77777777" w:rsidR="008B4634" w:rsidRPr="00BD4297" w:rsidRDefault="008B4634" w:rsidP="00106C06">
            <w:pPr>
              <w:pStyle w:val="08-Tabelageral"/>
              <w:rPr>
                <w:rFonts w:cs="Arial"/>
                <w:szCs w:val="14"/>
              </w:rPr>
            </w:pPr>
            <w:r w:rsidRPr="00BF2AAF">
              <w:rPr>
                <w:rFonts w:cs="Arial"/>
              </w:rPr>
              <w:t>--</w:t>
            </w:r>
          </w:p>
        </w:tc>
      </w:tr>
      <w:tr w:rsidR="008B4634" w:rsidRPr="00BC397C" w14:paraId="2D4301AA" w14:textId="77777777" w:rsidTr="00D81A05">
        <w:trPr>
          <w:trHeight w:val="238"/>
          <w:jc w:val="center"/>
        </w:trPr>
        <w:tc>
          <w:tcPr>
            <w:tcW w:w="4395" w:type="dxa"/>
            <w:gridSpan w:val="2"/>
            <w:tcBorders>
              <w:bottom w:val="nil"/>
            </w:tcBorders>
            <w:shd w:val="clear" w:color="auto" w:fill="auto"/>
            <w:vAlign w:val="center"/>
          </w:tcPr>
          <w:p w14:paraId="46F88955" w14:textId="77777777" w:rsidR="008B4634" w:rsidRPr="00BC397C" w:rsidRDefault="008B4634" w:rsidP="00106C06">
            <w:pPr>
              <w:pStyle w:val="08-Tabelageral"/>
              <w:jc w:val="left"/>
            </w:pPr>
            <w:r w:rsidRPr="00BC397C">
              <w:t>Despesas administrativas diversas/Custos dos serviços prestados</w:t>
            </w:r>
            <w:r>
              <w:t xml:space="preserve"> </w:t>
            </w:r>
            <w:r w:rsidRPr="00BC397C">
              <w:rPr>
                <w:vertAlign w:val="superscript"/>
              </w:rPr>
              <w:t>(</w:t>
            </w:r>
            <w:r>
              <w:rPr>
                <w:vertAlign w:val="superscript"/>
              </w:rPr>
              <w:t>2</w:t>
            </w:r>
            <w:r w:rsidRPr="00BC397C">
              <w:rPr>
                <w:vertAlign w:val="superscript"/>
              </w:rPr>
              <w:t>)</w:t>
            </w:r>
          </w:p>
        </w:tc>
        <w:tc>
          <w:tcPr>
            <w:tcW w:w="1275" w:type="dxa"/>
            <w:tcBorders>
              <w:bottom w:val="nil"/>
            </w:tcBorders>
            <w:shd w:val="clear" w:color="auto" w:fill="auto"/>
            <w:vAlign w:val="center"/>
          </w:tcPr>
          <w:p w14:paraId="47B95041" w14:textId="77777777" w:rsidR="008B4634" w:rsidRPr="00BC397C" w:rsidRDefault="008B4634" w:rsidP="00106C06">
            <w:pPr>
              <w:pStyle w:val="08-Tabelageral"/>
            </w:pPr>
            <w:r>
              <w:t>(</w:t>
            </w:r>
            <w:r w:rsidRPr="00FA6B96">
              <w:t>202.556</w:t>
            </w:r>
            <w:r>
              <w:t>)</w:t>
            </w:r>
          </w:p>
        </w:tc>
        <w:tc>
          <w:tcPr>
            <w:tcW w:w="1134" w:type="dxa"/>
            <w:tcBorders>
              <w:bottom w:val="nil"/>
            </w:tcBorders>
            <w:shd w:val="clear" w:color="auto" w:fill="auto"/>
            <w:vAlign w:val="center"/>
          </w:tcPr>
          <w:p w14:paraId="2B48A74E" w14:textId="77777777" w:rsidR="008B4634" w:rsidRPr="00BC397C" w:rsidRDefault="008B4634" w:rsidP="00106C06">
            <w:pPr>
              <w:pStyle w:val="08-Tabelageral"/>
            </w:pPr>
            <w:r>
              <w:t>--</w:t>
            </w:r>
          </w:p>
        </w:tc>
        <w:tc>
          <w:tcPr>
            <w:tcW w:w="284" w:type="dxa"/>
            <w:tcBorders>
              <w:bottom w:val="nil"/>
            </w:tcBorders>
            <w:shd w:val="clear" w:color="auto" w:fill="auto"/>
            <w:vAlign w:val="center"/>
          </w:tcPr>
          <w:p w14:paraId="1D471F13" w14:textId="77777777" w:rsidR="008B4634" w:rsidRDefault="008B4634" w:rsidP="00106C06">
            <w:pPr>
              <w:pStyle w:val="08-Tabelageral"/>
            </w:pPr>
          </w:p>
        </w:tc>
        <w:tc>
          <w:tcPr>
            <w:tcW w:w="1276" w:type="dxa"/>
            <w:tcBorders>
              <w:bottom w:val="nil"/>
            </w:tcBorders>
            <w:shd w:val="clear" w:color="auto" w:fill="auto"/>
            <w:vAlign w:val="center"/>
          </w:tcPr>
          <w:p w14:paraId="4C7FD72C" w14:textId="77777777" w:rsidR="008B4634" w:rsidRPr="00BD4297" w:rsidRDefault="008B4634" w:rsidP="00106C06">
            <w:pPr>
              <w:pStyle w:val="08-Tabelageral"/>
              <w:rPr>
                <w:rFonts w:cs="Arial"/>
                <w:szCs w:val="14"/>
              </w:rPr>
            </w:pPr>
            <w:r w:rsidRPr="00BF2AAF">
              <w:rPr>
                <w:rFonts w:cs="Arial"/>
              </w:rPr>
              <w:t>(215.368)</w:t>
            </w:r>
          </w:p>
        </w:tc>
        <w:tc>
          <w:tcPr>
            <w:tcW w:w="1274" w:type="dxa"/>
            <w:tcBorders>
              <w:bottom w:val="nil"/>
            </w:tcBorders>
            <w:shd w:val="clear" w:color="auto" w:fill="auto"/>
            <w:vAlign w:val="center"/>
          </w:tcPr>
          <w:p w14:paraId="5F6E8075" w14:textId="77777777" w:rsidR="008B4634" w:rsidRPr="00BD4297" w:rsidRDefault="008B4634" w:rsidP="00106C06">
            <w:pPr>
              <w:pStyle w:val="08-Tabelageral"/>
              <w:rPr>
                <w:rFonts w:cs="Arial"/>
                <w:szCs w:val="14"/>
              </w:rPr>
            </w:pPr>
            <w:r w:rsidRPr="00BF2AAF">
              <w:rPr>
                <w:rFonts w:cs="Arial"/>
              </w:rPr>
              <w:t>--</w:t>
            </w:r>
          </w:p>
        </w:tc>
      </w:tr>
      <w:tr w:rsidR="008B4634" w:rsidRPr="00BC397C" w14:paraId="0E7F17DB" w14:textId="77777777" w:rsidTr="00D81A05">
        <w:trPr>
          <w:trHeight w:val="238"/>
          <w:jc w:val="center"/>
        </w:trPr>
        <w:tc>
          <w:tcPr>
            <w:tcW w:w="4395" w:type="dxa"/>
            <w:gridSpan w:val="2"/>
            <w:tcBorders>
              <w:top w:val="nil"/>
              <w:bottom w:val="single" w:sz="2" w:space="0" w:color="222A35" w:themeColor="text2" w:themeShade="80"/>
            </w:tcBorders>
            <w:shd w:val="clear" w:color="auto" w:fill="auto"/>
            <w:vAlign w:val="center"/>
          </w:tcPr>
          <w:p w14:paraId="7EA3A594" w14:textId="77777777" w:rsidR="008B4634" w:rsidRPr="00BC397C" w:rsidRDefault="008B4634" w:rsidP="00106C06">
            <w:pPr>
              <w:pStyle w:val="08-Tabelageral"/>
              <w:jc w:val="left"/>
            </w:pPr>
            <w:r w:rsidRPr="00BC397C">
              <w:t>Variações monetárias passivas</w:t>
            </w:r>
          </w:p>
        </w:tc>
        <w:tc>
          <w:tcPr>
            <w:tcW w:w="1275" w:type="dxa"/>
            <w:tcBorders>
              <w:top w:val="nil"/>
              <w:bottom w:val="single" w:sz="2" w:space="0" w:color="222A35" w:themeColor="text2" w:themeShade="80"/>
            </w:tcBorders>
            <w:shd w:val="clear" w:color="auto" w:fill="auto"/>
            <w:vAlign w:val="center"/>
          </w:tcPr>
          <w:p w14:paraId="67142243" w14:textId="77777777" w:rsidR="008B4634" w:rsidRPr="00BC397C" w:rsidRDefault="008B4634" w:rsidP="00106C06">
            <w:pPr>
              <w:pStyle w:val="08-Tabelageral"/>
            </w:pPr>
            <w:r>
              <w:t>(</w:t>
            </w:r>
            <w:r w:rsidRPr="00FA6B96">
              <w:t>25.425</w:t>
            </w:r>
            <w:r>
              <w:t>)</w:t>
            </w:r>
          </w:p>
        </w:tc>
        <w:tc>
          <w:tcPr>
            <w:tcW w:w="1134" w:type="dxa"/>
            <w:tcBorders>
              <w:top w:val="nil"/>
              <w:bottom w:val="single" w:sz="2" w:space="0" w:color="222A35" w:themeColor="text2" w:themeShade="80"/>
            </w:tcBorders>
            <w:shd w:val="clear" w:color="auto" w:fill="auto"/>
            <w:vAlign w:val="center"/>
          </w:tcPr>
          <w:p w14:paraId="0A735C27" w14:textId="77777777" w:rsidR="008B4634" w:rsidRPr="00BC397C" w:rsidRDefault="008B4634" w:rsidP="00106C06">
            <w:pPr>
              <w:pStyle w:val="08-Tabelageral"/>
            </w:pPr>
            <w:r>
              <w:t>--</w:t>
            </w:r>
          </w:p>
        </w:tc>
        <w:tc>
          <w:tcPr>
            <w:tcW w:w="284" w:type="dxa"/>
            <w:tcBorders>
              <w:top w:val="nil"/>
              <w:bottom w:val="single" w:sz="2" w:space="0" w:color="222A35" w:themeColor="text2" w:themeShade="80"/>
            </w:tcBorders>
            <w:shd w:val="clear" w:color="auto" w:fill="auto"/>
            <w:vAlign w:val="center"/>
          </w:tcPr>
          <w:p w14:paraId="06A308A8" w14:textId="77777777" w:rsidR="008B4634" w:rsidRDefault="008B4634" w:rsidP="00106C06">
            <w:pPr>
              <w:pStyle w:val="08-Tabelageral"/>
            </w:pPr>
          </w:p>
        </w:tc>
        <w:tc>
          <w:tcPr>
            <w:tcW w:w="1276" w:type="dxa"/>
            <w:tcBorders>
              <w:top w:val="nil"/>
              <w:bottom w:val="single" w:sz="2" w:space="0" w:color="222A35" w:themeColor="text2" w:themeShade="80"/>
            </w:tcBorders>
            <w:shd w:val="clear" w:color="auto" w:fill="auto"/>
            <w:vAlign w:val="center"/>
          </w:tcPr>
          <w:p w14:paraId="378FC942" w14:textId="77777777" w:rsidR="008B4634" w:rsidRPr="00BD4297" w:rsidRDefault="008B4634" w:rsidP="00106C06">
            <w:pPr>
              <w:pStyle w:val="08-Tabelageral"/>
              <w:rPr>
                <w:szCs w:val="14"/>
              </w:rPr>
            </w:pPr>
            <w:r w:rsidRPr="00BF2AAF">
              <w:rPr>
                <w:rFonts w:cs="Arial"/>
              </w:rPr>
              <w:t>(51.198)</w:t>
            </w:r>
          </w:p>
        </w:tc>
        <w:tc>
          <w:tcPr>
            <w:tcW w:w="1274" w:type="dxa"/>
            <w:tcBorders>
              <w:top w:val="nil"/>
              <w:bottom w:val="single" w:sz="2" w:space="0" w:color="222A35" w:themeColor="text2" w:themeShade="80"/>
            </w:tcBorders>
            <w:shd w:val="clear" w:color="auto" w:fill="auto"/>
            <w:vAlign w:val="center"/>
          </w:tcPr>
          <w:p w14:paraId="2228B39B" w14:textId="77777777" w:rsidR="008B4634" w:rsidRPr="00BD4297" w:rsidRDefault="008B4634" w:rsidP="00106C06">
            <w:pPr>
              <w:pStyle w:val="08-Tabelageral"/>
              <w:rPr>
                <w:rFonts w:cs="Arial"/>
                <w:bCs/>
                <w:szCs w:val="14"/>
              </w:rPr>
            </w:pPr>
            <w:r w:rsidRPr="00BF2AAF">
              <w:rPr>
                <w:rFonts w:cs="Arial"/>
              </w:rPr>
              <w:t>--</w:t>
            </w:r>
          </w:p>
        </w:tc>
      </w:tr>
    </w:tbl>
    <w:p w14:paraId="3CC2D82B" w14:textId="5B98BAC8" w:rsidR="008B4634" w:rsidRPr="00C36A31" w:rsidRDefault="008B4634" w:rsidP="002C3B56">
      <w:pPr>
        <w:pStyle w:val="07-Legenda"/>
        <w:numPr>
          <w:ilvl w:val="0"/>
          <w:numId w:val="29"/>
        </w:numPr>
        <w:tabs>
          <w:tab w:val="clear" w:pos="284"/>
          <w:tab w:val="left" w:pos="142"/>
        </w:tabs>
        <w:spacing w:before="0" w:after="60"/>
        <w:ind w:left="425" w:hanging="357"/>
      </w:pPr>
      <w:r>
        <w:t xml:space="preserve">Empresas relacionadas </w:t>
      </w:r>
      <w:proofErr w:type="spellStart"/>
      <w:r>
        <w:rPr>
          <w:rStyle w:val="normaltextrun"/>
          <w:rFonts w:eastAsia="MS Mincho" w:cs="Arial"/>
          <w:color w:val="000000"/>
          <w:shd w:val="clear" w:color="auto" w:fill="FFFFFF"/>
        </w:rPr>
        <w:t>Brasilseg</w:t>
      </w:r>
      <w:proofErr w:type="spellEnd"/>
      <w:r>
        <w:rPr>
          <w:rStyle w:val="normaltextrun"/>
          <w:rFonts w:eastAsia="MS Mincho" w:cs="Arial"/>
          <w:color w:val="000000"/>
          <w:shd w:val="clear" w:color="auto" w:fill="FFFFFF"/>
        </w:rPr>
        <w:t xml:space="preserve"> Companhia de Seguros, Aliança do Brasil Seguros S.A.</w:t>
      </w:r>
      <w:r>
        <w:t xml:space="preserve">, Brasilprev Seguros e Previdência S.A., </w:t>
      </w:r>
      <w:proofErr w:type="spellStart"/>
      <w:r>
        <w:t>Brasilcap</w:t>
      </w:r>
      <w:proofErr w:type="spellEnd"/>
      <w:r>
        <w:t xml:space="preserve"> Capitalização S.A. e a </w:t>
      </w:r>
      <w:proofErr w:type="spellStart"/>
      <w:r>
        <w:t>Brasildental</w:t>
      </w:r>
      <w:proofErr w:type="spellEnd"/>
      <w:r>
        <w:t xml:space="preserve"> Operadora de Planos Odontológicos S.A.</w:t>
      </w:r>
    </w:p>
    <w:p w14:paraId="19EBB886" w14:textId="77777777" w:rsidR="008B4634" w:rsidRDefault="008B4634" w:rsidP="002C3B56">
      <w:pPr>
        <w:pStyle w:val="07-Legenda"/>
        <w:numPr>
          <w:ilvl w:val="0"/>
          <w:numId w:val="29"/>
        </w:numPr>
        <w:tabs>
          <w:tab w:val="clear" w:pos="284"/>
          <w:tab w:val="left" w:pos="142"/>
        </w:tabs>
        <w:spacing w:before="0" w:after="60"/>
        <w:ind w:left="425" w:hanging="357"/>
      </w:pPr>
      <w:r w:rsidRPr="00C36A31">
        <w:t>Refere-se às despesas conforme contrato de compartilhamento de dados de clientes, utilização de quadro de pessoal, da rede de distribuição e dos recursos materiais tecnológicos e administrativos, celebrado entre o Banco do Brasil,</w:t>
      </w:r>
      <w:r>
        <w:t xml:space="preserve"> BB Seguridade, </w:t>
      </w:r>
      <w:r w:rsidRPr="00C36A31">
        <w:t>BB Corretora e BB Seguros.</w:t>
      </w:r>
    </w:p>
    <w:p w14:paraId="7E20BE7B" w14:textId="77777777" w:rsidR="008B4634" w:rsidRPr="00971822" w:rsidRDefault="008B4634" w:rsidP="00D5649F">
      <w:pPr>
        <w:pStyle w:val="03-SubttulodeNota"/>
        <w:pageBreakBefore/>
        <w:numPr>
          <w:ilvl w:val="0"/>
          <w:numId w:val="26"/>
        </w:numPr>
        <w:ind w:left="284" w:hanging="284"/>
        <w:rPr>
          <w:color w:val="1F3864" w:themeColor="accent1" w:themeShade="80"/>
          <w:sz w:val="18"/>
          <w:szCs w:val="18"/>
        </w:rPr>
      </w:pPr>
      <w:r w:rsidRPr="00971822">
        <w:rPr>
          <w:color w:val="1F3864" w:themeColor="accent1" w:themeShade="80"/>
          <w:sz w:val="18"/>
          <w:szCs w:val="18"/>
        </w:rPr>
        <w:lastRenderedPageBreak/>
        <w:t>Convênio de Cessão de Funcionários</w:t>
      </w:r>
    </w:p>
    <w:p w14:paraId="49387F4E" w14:textId="77777777" w:rsidR="008B4634" w:rsidRDefault="008B4634" w:rsidP="008B4634">
      <w:pPr>
        <w:pStyle w:val="05-Textonormal"/>
        <w:rPr>
          <w:rStyle w:val="eop"/>
          <w:rFonts w:cs="Arial"/>
          <w:color w:val="000000"/>
          <w:shd w:val="clear" w:color="auto" w:fill="FFFFFF"/>
        </w:rPr>
      </w:pPr>
      <w:r>
        <w:rPr>
          <w:rStyle w:val="normaltextrun"/>
          <w:rFonts w:eastAsia="MS Mincho" w:cs="Arial"/>
          <w:color w:val="000000"/>
          <w:shd w:val="clear" w:color="auto" w:fill="FFFFFF"/>
        </w:rPr>
        <w:t xml:space="preserve">Em 15.04.2021 e 27.05.2021, foram assinadas novas versões dos convênios de cessão de funcionários do Banco do Brasil S.A. para a BB Seguridade Participações S.A. para o exercício de funções não estatutárias e estatutárias, respectivamente. O Banco do Brasil S.A. continua processando a folha de pagamento dos funcionários cedidos, mediante ressarcimento mensal pela BB Seguridade de todos os custos correntes. </w:t>
      </w:r>
      <w:r w:rsidR="00E84E4D">
        <w:rPr>
          <w:rStyle w:val="normaltextrun"/>
          <w:rFonts w:eastAsia="MS Mincho" w:cs="Arial"/>
          <w:color w:val="000000"/>
          <w:shd w:val="clear" w:color="auto" w:fill="FFFFFF"/>
        </w:rPr>
        <w:t>Em 31.12.2024, havia 188</w:t>
      </w:r>
      <w:r w:rsidRPr="006F2CD5">
        <w:rPr>
          <w:rStyle w:val="normaltextrun"/>
          <w:rFonts w:eastAsia="MS Mincho" w:cs="Arial"/>
          <w:color w:val="000000"/>
          <w:shd w:val="clear" w:color="auto" w:fill="FFFFFF"/>
        </w:rPr>
        <w:t xml:space="preserve"> f</w:t>
      </w:r>
      <w:r>
        <w:rPr>
          <w:rStyle w:val="normaltextrun"/>
          <w:rFonts w:eastAsia="MS Mincho" w:cs="Arial"/>
          <w:color w:val="000000"/>
          <w:shd w:val="clear" w:color="auto" w:fill="FFFFFF"/>
        </w:rPr>
        <w:t>uncionários cedidos (190 em 31.12.2023), considerando os ocupantes de funções não estatutárias e estatuárias (Diretoria Executiva).</w:t>
      </w:r>
      <w:r>
        <w:rPr>
          <w:rStyle w:val="eop"/>
          <w:rFonts w:cs="Arial"/>
          <w:color w:val="000000"/>
          <w:shd w:val="clear" w:color="auto" w:fill="FFFFFF"/>
        </w:rPr>
        <w:t> </w:t>
      </w:r>
    </w:p>
    <w:p w14:paraId="17789F3E" w14:textId="77777777" w:rsidR="008B4634" w:rsidRPr="006009D1" w:rsidRDefault="008B4634" w:rsidP="002C3B56">
      <w:pPr>
        <w:pStyle w:val="03-SubttulodeNota"/>
        <w:keepNext/>
        <w:numPr>
          <w:ilvl w:val="0"/>
          <w:numId w:val="26"/>
        </w:numPr>
        <w:ind w:left="284" w:hanging="284"/>
        <w:rPr>
          <w:color w:val="1F3864" w:themeColor="accent1" w:themeShade="80"/>
          <w:sz w:val="18"/>
          <w:szCs w:val="18"/>
        </w:rPr>
      </w:pPr>
      <w:r w:rsidRPr="006009D1">
        <w:rPr>
          <w:color w:val="1F3864" w:themeColor="accent1" w:themeShade="80"/>
          <w:sz w:val="18"/>
          <w:szCs w:val="18"/>
        </w:rPr>
        <w:t xml:space="preserve">Remuneração paga a Empregados e Administradores </w:t>
      </w:r>
    </w:p>
    <w:p w14:paraId="0981C114" w14:textId="77777777" w:rsidR="008B4634" w:rsidRDefault="008B4634" w:rsidP="008B4634">
      <w:pPr>
        <w:pStyle w:val="05-Textonormal"/>
        <w:keepNext/>
        <w:spacing w:before="0" w:line="240" w:lineRule="auto"/>
        <w:rPr>
          <w:rFonts w:cs="Arial"/>
          <w:lang w:eastAsia="zh-CN"/>
        </w:rPr>
      </w:pPr>
      <w:r w:rsidRPr="0063531C">
        <w:rPr>
          <w:rFonts w:cs="Arial"/>
          <w:lang w:eastAsia="zh-CN"/>
        </w:rPr>
        <w:t>Remuneração mensal paga aos funcionários e à Administração d</w:t>
      </w:r>
      <w:r>
        <w:rPr>
          <w:rFonts w:cs="Arial"/>
          <w:lang w:eastAsia="zh-CN"/>
        </w:rPr>
        <w:t>a BB Seguridade S.A.</w:t>
      </w:r>
    </w:p>
    <w:p w14:paraId="51D8CE8B" w14:textId="77777777" w:rsidR="008B4634" w:rsidRPr="00A872FC" w:rsidRDefault="008B4634" w:rsidP="008B4634">
      <w:pPr>
        <w:pStyle w:val="05-Textonormal"/>
        <w:keepNext/>
        <w:keepLines/>
        <w:spacing w:before="0" w:after="0" w:line="240" w:lineRule="auto"/>
        <w:jc w:val="right"/>
        <w:rPr>
          <w:rFonts w:cs="Arial"/>
          <w:b/>
          <w:sz w:val="14"/>
          <w:szCs w:val="14"/>
        </w:rPr>
      </w:pPr>
      <w:bookmarkStart w:id="145" w:name="_Hlk157608276"/>
      <w:r w:rsidRPr="00A872FC">
        <w:rPr>
          <w:rFonts w:cs="Arial"/>
          <w:b/>
          <w:sz w:val="14"/>
          <w:szCs w:val="14"/>
          <w:lang w:eastAsia="zh-CN"/>
        </w:rPr>
        <w:t>Em Reais</w:t>
      </w:r>
    </w:p>
    <w:bookmarkEnd w:id="145"/>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2986"/>
        <w:gridCol w:w="604"/>
        <w:gridCol w:w="1411"/>
        <w:gridCol w:w="1412"/>
        <w:gridCol w:w="283"/>
        <w:gridCol w:w="1417"/>
        <w:gridCol w:w="1526"/>
      </w:tblGrid>
      <w:tr w:rsidR="00E84E4D" w:rsidRPr="00EC49EB" w14:paraId="4663A166" w14:textId="77777777" w:rsidTr="00B52F4D">
        <w:trPr>
          <w:trHeight w:val="227"/>
          <w:jc w:val="center"/>
        </w:trPr>
        <w:tc>
          <w:tcPr>
            <w:tcW w:w="6413" w:type="dxa"/>
            <w:gridSpan w:val="4"/>
            <w:tcBorders>
              <w:top w:val="single" w:sz="2" w:space="0" w:color="1F3864" w:themeColor="accent1" w:themeShade="80"/>
              <w:bottom w:val="single" w:sz="2" w:space="0" w:color="1F3864" w:themeColor="accent1" w:themeShade="80"/>
            </w:tcBorders>
            <w:shd w:val="clear" w:color="auto" w:fill="auto"/>
            <w:vAlign w:val="center"/>
          </w:tcPr>
          <w:p w14:paraId="05787FC5" w14:textId="77777777" w:rsidR="00E84E4D" w:rsidRPr="00EC49EB" w:rsidRDefault="00E84E4D" w:rsidP="00B52F4D">
            <w:pPr>
              <w:keepNext/>
              <w:keepLines/>
              <w:spacing w:before="40" w:after="40"/>
              <w:jc w:val="right"/>
              <w:rPr>
                <w:rFonts w:ascii="Arial" w:hAnsi="Arial" w:cs="Arial"/>
                <w:b/>
                <w:spacing w:val="-2"/>
                <w:sz w:val="14"/>
                <w:szCs w:val="18"/>
              </w:rPr>
            </w:pPr>
          </w:p>
        </w:tc>
        <w:tc>
          <w:tcPr>
            <w:tcW w:w="283" w:type="dxa"/>
            <w:tcBorders>
              <w:top w:val="single" w:sz="2" w:space="0" w:color="1F3864" w:themeColor="accent1" w:themeShade="80"/>
              <w:bottom w:val="single" w:sz="2" w:space="0" w:color="1F3864" w:themeColor="accent1" w:themeShade="80"/>
            </w:tcBorders>
            <w:shd w:val="clear" w:color="auto" w:fill="auto"/>
            <w:vAlign w:val="center"/>
          </w:tcPr>
          <w:p w14:paraId="7ACA50CD" w14:textId="77777777" w:rsidR="00E84E4D" w:rsidRPr="00EC49EB" w:rsidRDefault="00E84E4D" w:rsidP="00B52F4D">
            <w:pPr>
              <w:keepNext/>
              <w:keepLines/>
              <w:spacing w:before="40" w:after="40"/>
              <w:jc w:val="right"/>
              <w:rPr>
                <w:rFonts w:ascii="Arial" w:hAnsi="Arial" w:cs="Arial"/>
                <w:b/>
                <w:spacing w:val="-2"/>
                <w:sz w:val="14"/>
                <w:szCs w:val="18"/>
              </w:rPr>
            </w:pPr>
          </w:p>
        </w:tc>
        <w:tc>
          <w:tcPr>
            <w:tcW w:w="1417" w:type="dxa"/>
            <w:tcBorders>
              <w:top w:val="single" w:sz="2" w:space="0" w:color="1F3864" w:themeColor="accent1" w:themeShade="80"/>
              <w:bottom w:val="single" w:sz="2" w:space="0" w:color="1F3864" w:themeColor="accent1" w:themeShade="80"/>
            </w:tcBorders>
            <w:shd w:val="clear" w:color="auto" w:fill="auto"/>
            <w:vAlign w:val="center"/>
          </w:tcPr>
          <w:p w14:paraId="3E8AB711" w14:textId="77777777" w:rsidR="00E84E4D" w:rsidRPr="00A22394" w:rsidRDefault="00E84E4D" w:rsidP="00B52F4D">
            <w:pPr>
              <w:keepNext/>
              <w:keepLines/>
              <w:spacing w:before="40" w:after="40"/>
              <w:jc w:val="right"/>
              <w:rPr>
                <w:rFonts w:ascii="Arial" w:hAnsi="Arial" w:cs="Arial"/>
                <w:b/>
                <w:spacing w:val="-2"/>
                <w:sz w:val="14"/>
                <w:szCs w:val="18"/>
              </w:rPr>
            </w:pPr>
            <w:r w:rsidRPr="00A22394">
              <w:rPr>
                <w:rFonts w:ascii="Arial" w:hAnsi="Arial" w:cs="Arial"/>
                <w:b/>
                <w:spacing w:val="-2"/>
                <w:sz w:val="14"/>
                <w:szCs w:val="18"/>
              </w:rPr>
              <w:t>3</w:t>
            </w:r>
            <w:r w:rsidRPr="00A22394">
              <w:rPr>
                <w:rFonts w:ascii="Arial" w:hAnsi="Arial"/>
                <w:b/>
                <w:spacing w:val="-2"/>
                <w:sz w:val="14"/>
                <w:szCs w:val="18"/>
              </w:rPr>
              <w:t>1</w:t>
            </w:r>
            <w:r w:rsidRPr="00A22394">
              <w:rPr>
                <w:rFonts w:ascii="Arial" w:hAnsi="Arial" w:cs="Arial"/>
                <w:b/>
                <w:spacing w:val="-2"/>
                <w:sz w:val="14"/>
                <w:szCs w:val="18"/>
              </w:rPr>
              <w:t>.1</w:t>
            </w:r>
            <w:r w:rsidRPr="00A22394">
              <w:rPr>
                <w:rFonts w:ascii="Arial" w:hAnsi="Arial"/>
                <w:b/>
                <w:spacing w:val="-2"/>
                <w:sz w:val="14"/>
                <w:szCs w:val="18"/>
              </w:rPr>
              <w:t>2</w:t>
            </w:r>
            <w:r w:rsidRPr="00A22394">
              <w:rPr>
                <w:rFonts w:ascii="Arial" w:hAnsi="Arial" w:cs="Arial"/>
                <w:b/>
                <w:spacing w:val="-2"/>
                <w:sz w:val="14"/>
                <w:szCs w:val="18"/>
              </w:rPr>
              <w:t>.2024</w:t>
            </w:r>
          </w:p>
        </w:tc>
        <w:tc>
          <w:tcPr>
            <w:tcW w:w="1526" w:type="dxa"/>
            <w:tcBorders>
              <w:top w:val="single" w:sz="2" w:space="0" w:color="1F3864" w:themeColor="accent1" w:themeShade="80"/>
              <w:bottom w:val="single" w:sz="2" w:space="0" w:color="1F3864" w:themeColor="accent1" w:themeShade="80"/>
            </w:tcBorders>
            <w:shd w:val="clear" w:color="auto" w:fill="auto"/>
            <w:vAlign w:val="center"/>
          </w:tcPr>
          <w:p w14:paraId="6A9DE4E9" w14:textId="77777777" w:rsidR="00E84E4D" w:rsidRPr="00A22394" w:rsidRDefault="00E84E4D" w:rsidP="00B52F4D">
            <w:pPr>
              <w:keepNext/>
              <w:keepLines/>
              <w:spacing w:before="40" w:after="40"/>
              <w:jc w:val="right"/>
              <w:rPr>
                <w:rFonts w:ascii="Arial" w:hAnsi="Arial" w:cs="Arial"/>
                <w:b/>
                <w:spacing w:val="-2"/>
                <w:sz w:val="14"/>
                <w:szCs w:val="18"/>
              </w:rPr>
            </w:pPr>
            <w:r w:rsidRPr="00A22394">
              <w:rPr>
                <w:rFonts w:ascii="Arial" w:hAnsi="Arial" w:cs="Arial"/>
                <w:b/>
                <w:spacing w:val="-2"/>
                <w:sz w:val="14"/>
                <w:szCs w:val="18"/>
              </w:rPr>
              <w:t>31.12.2023</w:t>
            </w:r>
          </w:p>
        </w:tc>
      </w:tr>
      <w:tr w:rsidR="00E84E4D" w:rsidRPr="00257FAD" w14:paraId="15A11C5A" w14:textId="77777777" w:rsidTr="00B52F4D">
        <w:trPr>
          <w:trHeight w:val="227"/>
          <w:jc w:val="center"/>
        </w:trPr>
        <w:tc>
          <w:tcPr>
            <w:tcW w:w="2986" w:type="dxa"/>
            <w:tcBorders>
              <w:top w:val="single" w:sz="2" w:space="0" w:color="1F3864" w:themeColor="accent1" w:themeShade="80"/>
              <w:bottom w:val="nil"/>
            </w:tcBorders>
            <w:shd w:val="clear" w:color="auto" w:fill="auto"/>
          </w:tcPr>
          <w:p w14:paraId="7733AF53" w14:textId="77777777" w:rsidR="00E84E4D" w:rsidRPr="00257FAD" w:rsidRDefault="00E84E4D" w:rsidP="00B52F4D">
            <w:pPr>
              <w:pStyle w:val="08-Tabelageral"/>
              <w:jc w:val="left"/>
              <w:rPr>
                <w:b/>
              </w:rPr>
            </w:pPr>
            <w:bookmarkStart w:id="146" w:name="_Hlk101781084"/>
            <w:r w:rsidRPr="00257FAD">
              <w:rPr>
                <w:b/>
              </w:rPr>
              <w:t>Dirigentes</w:t>
            </w:r>
            <w:r>
              <w:rPr>
                <w:b/>
              </w:rPr>
              <w:t xml:space="preserve"> </w:t>
            </w:r>
            <w:r w:rsidRPr="00600172">
              <w:rPr>
                <w:rFonts w:cs="Arial"/>
                <w:b/>
                <w:bCs/>
                <w:szCs w:val="14"/>
                <w:vertAlign w:val="superscript"/>
              </w:rPr>
              <w:t>(</w:t>
            </w:r>
            <w:r>
              <w:rPr>
                <w:rFonts w:cs="Arial"/>
                <w:b/>
                <w:bCs/>
                <w:szCs w:val="14"/>
                <w:vertAlign w:val="superscript"/>
              </w:rPr>
              <w:t>1</w:t>
            </w:r>
            <w:r w:rsidRPr="00600172">
              <w:rPr>
                <w:rFonts w:cs="Arial"/>
                <w:b/>
                <w:bCs/>
                <w:szCs w:val="14"/>
                <w:vertAlign w:val="superscript"/>
              </w:rPr>
              <w:t>)</w:t>
            </w:r>
            <w:r w:rsidRPr="00257FAD">
              <w:rPr>
                <w:b/>
              </w:rPr>
              <w:t xml:space="preserve"> </w:t>
            </w:r>
          </w:p>
        </w:tc>
        <w:tc>
          <w:tcPr>
            <w:tcW w:w="604" w:type="dxa"/>
            <w:tcBorders>
              <w:top w:val="single" w:sz="2" w:space="0" w:color="1F3864" w:themeColor="accent1" w:themeShade="80"/>
              <w:bottom w:val="nil"/>
            </w:tcBorders>
            <w:shd w:val="clear" w:color="auto" w:fill="auto"/>
          </w:tcPr>
          <w:p w14:paraId="14DA0B3A" w14:textId="77777777" w:rsidR="00E84E4D" w:rsidRPr="00257FAD" w:rsidRDefault="00E84E4D" w:rsidP="00B52F4D">
            <w:pPr>
              <w:pStyle w:val="08-Tabelageral"/>
              <w:rPr>
                <w:b/>
              </w:rPr>
            </w:pPr>
          </w:p>
        </w:tc>
        <w:tc>
          <w:tcPr>
            <w:tcW w:w="1411" w:type="dxa"/>
            <w:tcBorders>
              <w:top w:val="single" w:sz="2" w:space="0" w:color="1F3864" w:themeColor="accent1" w:themeShade="80"/>
              <w:bottom w:val="nil"/>
            </w:tcBorders>
            <w:shd w:val="clear" w:color="auto" w:fill="auto"/>
          </w:tcPr>
          <w:p w14:paraId="0BED5E28" w14:textId="77777777" w:rsidR="00E84E4D" w:rsidRPr="00257FAD" w:rsidRDefault="00E84E4D" w:rsidP="00B52F4D">
            <w:pPr>
              <w:pStyle w:val="08-Tabelageral"/>
              <w:rPr>
                <w:b/>
              </w:rPr>
            </w:pPr>
          </w:p>
        </w:tc>
        <w:tc>
          <w:tcPr>
            <w:tcW w:w="1412" w:type="dxa"/>
            <w:tcBorders>
              <w:top w:val="single" w:sz="2" w:space="0" w:color="1F3864" w:themeColor="accent1" w:themeShade="80"/>
              <w:bottom w:val="nil"/>
            </w:tcBorders>
            <w:shd w:val="clear" w:color="auto" w:fill="auto"/>
            <w:vAlign w:val="center"/>
          </w:tcPr>
          <w:p w14:paraId="2C41CCD8" w14:textId="77777777" w:rsidR="00E84E4D" w:rsidRPr="00257FAD" w:rsidRDefault="00E84E4D" w:rsidP="00B52F4D">
            <w:pPr>
              <w:pStyle w:val="08-Tabelageral"/>
              <w:rPr>
                <w:b/>
              </w:rPr>
            </w:pPr>
          </w:p>
        </w:tc>
        <w:tc>
          <w:tcPr>
            <w:tcW w:w="283" w:type="dxa"/>
            <w:tcBorders>
              <w:top w:val="single" w:sz="2" w:space="0" w:color="1F3864" w:themeColor="accent1" w:themeShade="80"/>
              <w:bottom w:val="nil"/>
            </w:tcBorders>
            <w:shd w:val="clear" w:color="auto" w:fill="auto"/>
          </w:tcPr>
          <w:p w14:paraId="735C49AA" w14:textId="77777777" w:rsidR="00E84E4D" w:rsidRPr="00257FAD" w:rsidRDefault="00E84E4D" w:rsidP="00B52F4D">
            <w:pPr>
              <w:pStyle w:val="08-Tabelageral"/>
              <w:rPr>
                <w:b/>
              </w:rPr>
            </w:pPr>
          </w:p>
        </w:tc>
        <w:tc>
          <w:tcPr>
            <w:tcW w:w="1417" w:type="dxa"/>
            <w:tcBorders>
              <w:top w:val="single" w:sz="2" w:space="0" w:color="1F3864" w:themeColor="accent1" w:themeShade="80"/>
              <w:bottom w:val="nil"/>
            </w:tcBorders>
            <w:shd w:val="clear" w:color="auto" w:fill="auto"/>
            <w:vAlign w:val="center"/>
          </w:tcPr>
          <w:p w14:paraId="3682FEBC" w14:textId="77777777" w:rsidR="00E84E4D" w:rsidRPr="006F2CD5" w:rsidRDefault="00E84E4D" w:rsidP="00B52F4D">
            <w:pPr>
              <w:pStyle w:val="08-Tabelageral"/>
              <w:rPr>
                <w:b/>
              </w:rPr>
            </w:pPr>
          </w:p>
        </w:tc>
        <w:tc>
          <w:tcPr>
            <w:tcW w:w="1526" w:type="dxa"/>
            <w:tcBorders>
              <w:top w:val="single" w:sz="2" w:space="0" w:color="1F3864" w:themeColor="accent1" w:themeShade="80"/>
              <w:bottom w:val="nil"/>
            </w:tcBorders>
            <w:shd w:val="clear" w:color="auto" w:fill="auto"/>
            <w:vAlign w:val="center"/>
          </w:tcPr>
          <w:p w14:paraId="5A73556D" w14:textId="77777777" w:rsidR="00E84E4D" w:rsidRPr="00257FAD" w:rsidRDefault="00E84E4D" w:rsidP="00B52F4D">
            <w:pPr>
              <w:pStyle w:val="08-Tabelageral"/>
              <w:rPr>
                <w:b/>
              </w:rPr>
            </w:pPr>
            <w:r>
              <w:rPr>
                <w:rStyle w:val="eop"/>
                <w:rFonts w:cs="Arial"/>
                <w:szCs w:val="14"/>
              </w:rPr>
              <w:t> </w:t>
            </w:r>
          </w:p>
        </w:tc>
      </w:tr>
      <w:tr w:rsidR="00E84E4D" w:rsidRPr="0049410B" w14:paraId="4BB65F03" w14:textId="77777777" w:rsidTr="00B52F4D">
        <w:trPr>
          <w:trHeight w:val="227"/>
          <w:jc w:val="center"/>
        </w:trPr>
        <w:tc>
          <w:tcPr>
            <w:tcW w:w="2986" w:type="dxa"/>
            <w:tcBorders>
              <w:top w:val="nil"/>
            </w:tcBorders>
            <w:shd w:val="clear" w:color="auto" w:fill="auto"/>
          </w:tcPr>
          <w:p w14:paraId="60C975CB" w14:textId="77777777" w:rsidR="00E84E4D" w:rsidRPr="0078045C" w:rsidRDefault="00E84E4D" w:rsidP="00B52F4D">
            <w:pPr>
              <w:pStyle w:val="08-Tabelageral"/>
              <w:jc w:val="left"/>
              <w:rPr>
                <w:b/>
              </w:rPr>
            </w:pPr>
            <w:r w:rsidRPr="0078045C">
              <w:t>Diretor Presidente</w:t>
            </w:r>
          </w:p>
        </w:tc>
        <w:tc>
          <w:tcPr>
            <w:tcW w:w="604" w:type="dxa"/>
            <w:tcBorders>
              <w:top w:val="nil"/>
            </w:tcBorders>
            <w:shd w:val="clear" w:color="auto" w:fill="auto"/>
          </w:tcPr>
          <w:p w14:paraId="2BB8E96E" w14:textId="77777777" w:rsidR="00E84E4D" w:rsidRPr="0049410B" w:rsidRDefault="00E84E4D" w:rsidP="00B52F4D">
            <w:pPr>
              <w:pStyle w:val="08-Tabelageral"/>
            </w:pPr>
          </w:p>
        </w:tc>
        <w:tc>
          <w:tcPr>
            <w:tcW w:w="1411" w:type="dxa"/>
            <w:tcBorders>
              <w:top w:val="nil"/>
            </w:tcBorders>
            <w:shd w:val="clear" w:color="auto" w:fill="auto"/>
          </w:tcPr>
          <w:p w14:paraId="6FDFDE06" w14:textId="77777777" w:rsidR="00E84E4D" w:rsidRPr="00110D6B" w:rsidRDefault="00E84E4D" w:rsidP="00B52F4D">
            <w:pPr>
              <w:pStyle w:val="08-Tabelageral"/>
            </w:pPr>
          </w:p>
        </w:tc>
        <w:tc>
          <w:tcPr>
            <w:tcW w:w="1412" w:type="dxa"/>
            <w:tcBorders>
              <w:top w:val="nil"/>
            </w:tcBorders>
            <w:shd w:val="clear" w:color="auto" w:fill="auto"/>
          </w:tcPr>
          <w:p w14:paraId="7A558DCD" w14:textId="77777777" w:rsidR="00E84E4D" w:rsidRPr="00BB5EF7" w:rsidRDefault="00E84E4D" w:rsidP="00B52F4D">
            <w:pPr>
              <w:pStyle w:val="08-Tabelageral"/>
            </w:pPr>
          </w:p>
        </w:tc>
        <w:tc>
          <w:tcPr>
            <w:tcW w:w="283" w:type="dxa"/>
            <w:tcBorders>
              <w:top w:val="nil"/>
            </w:tcBorders>
            <w:shd w:val="clear" w:color="auto" w:fill="auto"/>
          </w:tcPr>
          <w:p w14:paraId="3F2DFAF7" w14:textId="77777777" w:rsidR="00E84E4D" w:rsidRPr="0049410B" w:rsidRDefault="00E84E4D" w:rsidP="00B52F4D">
            <w:pPr>
              <w:pStyle w:val="08-Tabelageral"/>
            </w:pPr>
          </w:p>
        </w:tc>
        <w:tc>
          <w:tcPr>
            <w:tcW w:w="1417" w:type="dxa"/>
            <w:tcBorders>
              <w:top w:val="nil"/>
            </w:tcBorders>
            <w:shd w:val="clear" w:color="auto" w:fill="auto"/>
          </w:tcPr>
          <w:p w14:paraId="6201BB8E" w14:textId="77777777" w:rsidR="00E84E4D" w:rsidRPr="006F2CD5" w:rsidRDefault="00E84E4D" w:rsidP="00B52F4D">
            <w:pPr>
              <w:pStyle w:val="08-Tabelageral"/>
            </w:pPr>
            <w:r>
              <w:t>70.205,95</w:t>
            </w:r>
          </w:p>
        </w:tc>
        <w:tc>
          <w:tcPr>
            <w:tcW w:w="1526" w:type="dxa"/>
            <w:tcBorders>
              <w:top w:val="nil"/>
            </w:tcBorders>
            <w:shd w:val="clear" w:color="auto" w:fill="auto"/>
          </w:tcPr>
          <w:p w14:paraId="77853104" w14:textId="77777777" w:rsidR="00E84E4D" w:rsidRPr="00C75209" w:rsidRDefault="00E84E4D" w:rsidP="00B52F4D">
            <w:pPr>
              <w:pStyle w:val="08-Tabelageral"/>
            </w:pPr>
            <w:r w:rsidRPr="00BF2AAF">
              <w:rPr>
                <w:rFonts w:cs="Arial"/>
              </w:rPr>
              <w:t>67.105,66</w:t>
            </w:r>
          </w:p>
        </w:tc>
      </w:tr>
      <w:tr w:rsidR="00E84E4D" w:rsidRPr="0049410B" w14:paraId="176BD209" w14:textId="77777777" w:rsidTr="00B52F4D">
        <w:trPr>
          <w:trHeight w:val="227"/>
          <w:jc w:val="center"/>
        </w:trPr>
        <w:tc>
          <w:tcPr>
            <w:tcW w:w="2986" w:type="dxa"/>
            <w:shd w:val="clear" w:color="auto" w:fill="auto"/>
          </w:tcPr>
          <w:p w14:paraId="2E67D9F8" w14:textId="77777777" w:rsidR="00E84E4D" w:rsidRPr="0078045C" w:rsidRDefault="00E84E4D" w:rsidP="00B52F4D">
            <w:pPr>
              <w:pStyle w:val="08-Tabelageral"/>
              <w:jc w:val="left"/>
              <w:rPr>
                <w:b/>
              </w:rPr>
            </w:pPr>
            <w:r w:rsidRPr="0078045C">
              <w:t>Diretores</w:t>
            </w:r>
          </w:p>
        </w:tc>
        <w:tc>
          <w:tcPr>
            <w:tcW w:w="604" w:type="dxa"/>
            <w:shd w:val="clear" w:color="auto" w:fill="auto"/>
          </w:tcPr>
          <w:p w14:paraId="6121DDCD" w14:textId="77777777" w:rsidR="00E84E4D" w:rsidRPr="0049410B" w:rsidRDefault="00E84E4D" w:rsidP="00B52F4D">
            <w:pPr>
              <w:pStyle w:val="08-Tabelageral"/>
            </w:pPr>
          </w:p>
        </w:tc>
        <w:tc>
          <w:tcPr>
            <w:tcW w:w="1411" w:type="dxa"/>
            <w:shd w:val="clear" w:color="auto" w:fill="auto"/>
          </w:tcPr>
          <w:p w14:paraId="6B46F216" w14:textId="77777777" w:rsidR="00E84E4D" w:rsidRPr="00110D6B" w:rsidRDefault="00E84E4D" w:rsidP="00B52F4D">
            <w:pPr>
              <w:pStyle w:val="08-Tabelageral"/>
            </w:pPr>
          </w:p>
        </w:tc>
        <w:tc>
          <w:tcPr>
            <w:tcW w:w="1412" w:type="dxa"/>
            <w:shd w:val="clear" w:color="auto" w:fill="auto"/>
          </w:tcPr>
          <w:p w14:paraId="1BC2366C" w14:textId="77777777" w:rsidR="00E84E4D" w:rsidRPr="00BB5EF7" w:rsidRDefault="00E84E4D" w:rsidP="00B52F4D">
            <w:pPr>
              <w:pStyle w:val="08-Tabelageral"/>
            </w:pPr>
          </w:p>
        </w:tc>
        <w:tc>
          <w:tcPr>
            <w:tcW w:w="283" w:type="dxa"/>
            <w:shd w:val="clear" w:color="auto" w:fill="auto"/>
          </w:tcPr>
          <w:p w14:paraId="04AE8D9A" w14:textId="77777777" w:rsidR="00E84E4D" w:rsidRPr="0049410B" w:rsidRDefault="00E84E4D" w:rsidP="00B52F4D">
            <w:pPr>
              <w:pStyle w:val="08-Tabelageral"/>
            </w:pPr>
          </w:p>
        </w:tc>
        <w:tc>
          <w:tcPr>
            <w:tcW w:w="1417" w:type="dxa"/>
            <w:shd w:val="clear" w:color="auto" w:fill="auto"/>
          </w:tcPr>
          <w:p w14:paraId="377B018C" w14:textId="77777777" w:rsidR="00E84E4D" w:rsidRPr="006F2CD5" w:rsidRDefault="00E84E4D" w:rsidP="00B52F4D">
            <w:pPr>
              <w:pStyle w:val="08-Tabelageral"/>
            </w:pPr>
            <w:r>
              <w:t>59.500,97</w:t>
            </w:r>
          </w:p>
        </w:tc>
        <w:tc>
          <w:tcPr>
            <w:tcW w:w="1526" w:type="dxa"/>
            <w:shd w:val="clear" w:color="auto" w:fill="auto"/>
          </w:tcPr>
          <w:p w14:paraId="04F71EF8" w14:textId="77777777" w:rsidR="00E84E4D" w:rsidRPr="00C75209" w:rsidRDefault="00E84E4D" w:rsidP="00B52F4D">
            <w:pPr>
              <w:pStyle w:val="08-Tabelageral"/>
            </w:pPr>
            <w:r w:rsidRPr="00BF2AAF">
              <w:rPr>
                <w:rFonts w:cs="Arial"/>
              </w:rPr>
              <w:t>56.873,42</w:t>
            </w:r>
          </w:p>
        </w:tc>
      </w:tr>
      <w:tr w:rsidR="00E84E4D" w:rsidRPr="0049410B" w14:paraId="50464D78" w14:textId="77777777" w:rsidTr="00B52F4D">
        <w:trPr>
          <w:trHeight w:val="227"/>
          <w:jc w:val="center"/>
        </w:trPr>
        <w:tc>
          <w:tcPr>
            <w:tcW w:w="2986" w:type="dxa"/>
            <w:shd w:val="clear" w:color="auto" w:fill="auto"/>
          </w:tcPr>
          <w:p w14:paraId="1E6550C1" w14:textId="77777777" w:rsidR="00E84E4D" w:rsidRPr="0078045C" w:rsidRDefault="00E84E4D" w:rsidP="00B52F4D">
            <w:pPr>
              <w:pStyle w:val="08-Tabelageral"/>
              <w:jc w:val="left"/>
              <w:rPr>
                <w:b/>
              </w:rPr>
            </w:pPr>
          </w:p>
        </w:tc>
        <w:tc>
          <w:tcPr>
            <w:tcW w:w="604" w:type="dxa"/>
            <w:shd w:val="clear" w:color="auto" w:fill="auto"/>
          </w:tcPr>
          <w:p w14:paraId="2FD7B968" w14:textId="77777777" w:rsidR="00E84E4D" w:rsidRPr="0049410B" w:rsidRDefault="00E84E4D" w:rsidP="00B52F4D">
            <w:pPr>
              <w:pStyle w:val="08-Tabelageral"/>
            </w:pPr>
          </w:p>
        </w:tc>
        <w:tc>
          <w:tcPr>
            <w:tcW w:w="1411" w:type="dxa"/>
            <w:shd w:val="clear" w:color="auto" w:fill="auto"/>
          </w:tcPr>
          <w:p w14:paraId="01F09497" w14:textId="77777777" w:rsidR="00E84E4D" w:rsidRPr="00110D6B" w:rsidRDefault="00E84E4D" w:rsidP="00B52F4D">
            <w:pPr>
              <w:pStyle w:val="08-Tabelageral"/>
            </w:pPr>
          </w:p>
        </w:tc>
        <w:tc>
          <w:tcPr>
            <w:tcW w:w="1412" w:type="dxa"/>
            <w:shd w:val="clear" w:color="auto" w:fill="auto"/>
            <w:vAlign w:val="center"/>
          </w:tcPr>
          <w:p w14:paraId="0581151D" w14:textId="77777777" w:rsidR="00E84E4D" w:rsidRPr="00BB5EF7" w:rsidRDefault="00E84E4D" w:rsidP="00B52F4D">
            <w:pPr>
              <w:pStyle w:val="08-Tabelageral"/>
            </w:pPr>
          </w:p>
        </w:tc>
        <w:tc>
          <w:tcPr>
            <w:tcW w:w="283" w:type="dxa"/>
            <w:shd w:val="clear" w:color="auto" w:fill="auto"/>
          </w:tcPr>
          <w:p w14:paraId="4413AC1D" w14:textId="77777777" w:rsidR="00E84E4D" w:rsidRPr="0049410B" w:rsidRDefault="00E84E4D" w:rsidP="00B52F4D">
            <w:pPr>
              <w:pStyle w:val="08-Tabelageral"/>
            </w:pPr>
          </w:p>
        </w:tc>
        <w:tc>
          <w:tcPr>
            <w:tcW w:w="1417" w:type="dxa"/>
            <w:shd w:val="clear" w:color="auto" w:fill="auto"/>
          </w:tcPr>
          <w:p w14:paraId="41BEB64F" w14:textId="77777777" w:rsidR="00E84E4D" w:rsidRPr="006F2CD5" w:rsidRDefault="00E84E4D" w:rsidP="00B52F4D">
            <w:pPr>
              <w:pStyle w:val="08-Tabelageral"/>
            </w:pPr>
          </w:p>
        </w:tc>
        <w:tc>
          <w:tcPr>
            <w:tcW w:w="1526" w:type="dxa"/>
            <w:shd w:val="clear" w:color="auto" w:fill="auto"/>
            <w:vAlign w:val="center"/>
          </w:tcPr>
          <w:p w14:paraId="4C64C0D3" w14:textId="77777777" w:rsidR="00E84E4D" w:rsidRPr="00C75209" w:rsidRDefault="00E84E4D" w:rsidP="00B52F4D">
            <w:pPr>
              <w:pStyle w:val="08-Tabelageral"/>
            </w:pPr>
          </w:p>
        </w:tc>
      </w:tr>
      <w:tr w:rsidR="00E84E4D" w:rsidRPr="00257FAD" w14:paraId="3547F30F" w14:textId="77777777" w:rsidTr="00B52F4D">
        <w:trPr>
          <w:trHeight w:val="227"/>
          <w:jc w:val="center"/>
        </w:trPr>
        <w:tc>
          <w:tcPr>
            <w:tcW w:w="2986" w:type="dxa"/>
            <w:shd w:val="clear" w:color="auto" w:fill="auto"/>
          </w:tcPr>
          <w:p w14:paraId="3416E73C" w14:textId="77777777" w:rsidR="00E84E4D" w:rsidRPr="00257FAD" w:rsidRDefault="00E84E4D" w:rsidP="00B52F4D">
            <w:pPr>
              <w:pStyle w:val="08-Tabelageral"/>
              <w:jc w:val="left"/>
              <w:rPr>
                <w:b/>
              </w:rPr>
            </w:pPr>
            <w:r w:rsidRPr="00257FAD">
              <w:rPr>
                <w:b/>
              </w:rPr>
              <w:t>Conselheiros</w:t>
            </w:r>
            <w:r>
              <w:rPr>
                <w:b/>
              </w:rPr>
              <w:t xml:space="preserve"> </w:t>
            </w:r>
            <w:r w:rsidRPr="00600172">
              <w:rPr>
                <w:rFonts w:cs="Arial"/>
                <w:b/>
                <w:bCs/>
                <w:szCs w:val="14"/>
                <w:vertAlign w:val="superscript"/>
              </w:rPr>
              <w:t>(</w:t>
            </w:r>
            <w:r>
              <w:rPr>
                <w:rFonts w:cs="Arial"/>
                <w:b/>
                <w:bCs/>
                <w:szCs w:val="14"/>
                <w:vertAlign w:val="superscript"/>
              </w:rPr>
              <w:t>2</w:t>
            </w:r>
            <w:r w:rsidRPr="00600172">
              <w:rPr>
                <w:rFonts w:cs="Arial"/>
                <w:b/>
                <w:bCs/>
                <w:szCs w:val="14"/>
                <w:vertAlign w:val="superscript"/>
              </w:rPr>
              <w:t>)</w:t>
            </w:r>
          </w:p>
        </w:tc>
        <w:tc>
          <w:tcPr>
            <w:tcW w:w="604" w:type="dxa"/>
            <w:shd w:val="clear" w:color="auto" w:fill="auto"/>
          </w:tcPr>
          <w:p w14:paraId="6DB1BF30" w14:textId="77777777" w:rsidR="00E84E4D" w:rsidRPr="00257FAD" w:rsidRDefault="00E84E4D" w:rsidP="00B52F4D">
            <w:pPr>
              <w:pStyle w:val="08-Tabelageral"/>
              <w:rPr>
                <w:b/>
              </w:rPr>
            </w:pPr>
          </w:p>
        </w:tc>
        <w:tc>
          <w:tcPr>
            <w:tcW w:w="1411" w:type="dxa"/>
            <w:shd w:val="clear" w:color="auto" w:fill="auto"/>
          </w:tcPr>
          <w:p w14:paraId="57007ED6" w14:textId="77777777" w:rsidR="00E84E4D" w:rsidRPr="00257FAD" w:rsidRDefault="00E84E4D" w:rsidP="00B52F4D">
            <w:pPr>
              <w:pStyle w:val="08-Tabelageral"/>
              <w:rPr>
                <w:b/>
              </w:rPr>
            </w:pPr>
          </w:p>
        </w:tc>
        <w:tc>
          <w:tcPr>
            <w:tcW w:w="1412" w:type="dxa"/>
            <w:shd w:val="clear" w:color="auto" w:fill="auto"/>
            <w:vAlign w:val="center"/>
          </w:tcPr>
          <w:p w14:paraId="490EAEE2" w14:textId="77777777" w:rsidR="00E84E4D" w:rsidRPr="00257FAD" w:rsidRDefault="00E84E4D" w:rsidP="00B52F4D">
            <w:pPr>
              <w:pStyle w:val="08-Tabelageral"/>
              <w:rPr>
                <w:b/>
              </w:rPr>
            </w:pPr>
          </w:p>
        </w:tc>
        <w:tc>
          <w:tcPr>
            <w:tcW w:w="283" w:type="dxa"/>
            <w:shd w:val="clear" w:color="auto" w:fill="auto"/>
          </w:tcPr>
          <w:p w14:paraId="5357F775" w14:textId="77777777" w:rsidR="00E84E4D" w:rsidRPr="00257FAD" w:rsidRDefault="00E84E4D" w:rsidP="00B52F4D">
            <w:pPr>
              <w:pStyle w:val="08-Tabelageral"/>
              <w:rPr>
                <w:b/>
              </w:rPr>
            </w:pPr>
          </w:p>
        </w:tc>
        <w:tc>
          <w:tcPr>
            <w:tcW w:w="1417" w:type="dxa"/>
            <w:shd w:val="clear" w:color="auto" w:fill="auto"/>
          </w:tcPr>
          <w:p w14:paraId="70BD17CC" w14:textId="77777777" w:rsidR="00E84E4D" w:rsidRPr="006F2CD5" w:rsidRDefault="00E84E4D" w:rsidP="00B52F4D">
            <w:pPr>
              <w:pStyle w:val="08-Tabelageral"/>
              <w:rPr>
                <w:b/>
              </w:rPr>
            </w:pPr>
          </w:p>
        </w:tc>
        <w:tc>
          <w:tcPr>
            <w:tcW w:w="1526" w:type="dxa"/>
            <w:shd w:val="clear" w:color="auto" w:fill="auto"/>
            <w:vAlign w:val="center"/>
          </w:tcPr>
          <w:p w14:paraId="2146D437" w14:textId="77777777" w:rsidR="00E84E4D" w:rsidRPr="00257FAD" w:rsidRDefault="00E84E4D" w:rsidP="00B52F4D">
            <w:pPr>
              <w:pStyle w:val="08-Tabelageral"/>
              <w:rPr>
                <w:b/>
              </w:rPr>
            </w:pPr>
          </w:p>
        </w:tc>
      </w:tr>
      <w:tr w:rsidR="00E84E4D" w:rsidRPr="0049410B" w14:paraId="1FC371AE" w14:textId="77777777" w:rsidTr="00B52F4D">
        <w:trPr>
          <w:trHeight w:val="227"/>
          <w:jc w:val="center"/>
        </w:trPr>
        <w:tc>
          <w:tcPr>
            <w:tcW w:w="2986" w:type="dxa"/>
            <w:shd w:val="clear" w:color="auto" w:fill="auto"/>
          </w:tcPr>
          <w:p w14:paraId="24445F51" w14:textId="77777777" w:rsidR="00E84E4D" w:rsidRPr="0078045C" w:rsidRDefault="00E84E4D" w:rsidP="00B52F4D">
            <w:pPr>
              <w:pStyle w:val="08-Tabelageral"/>
              <w:jc w:val="left"/>
              <w:rPr>
                <w:b/>
              </w:rPr>
            </w:pPr>
            <w:r w:rsidRPr="0078045C">
              <w:t>Conselho de Administração</w:t>
            </w:r>
          </w:p>
        </w:tc>
        <w:tc>
          <w:tcPr>
            <w:tcW w:w="604" w:type="dxa"/>
            <w:shd w:val="clear" w:color="auto" w:fill="auto"/>
          </w:tcPr>
          <w:p w14:paraId="6E096A3C" w14:textId="77777777" w:rsidR="00E84E4D" w:rsidRPr="0049410B" w:rsidRDefault="00E84E4D" w:rsidP="00B52F4D">
            <w:pPr>
              <w:pStyle w:val="08-Tabelageral"/>
            </w:pPr>
          </w:p>
        </w:tc>
        <w:tc>
          <w:tcPr>
            <w:tcW w:w="1411" w:type="dxa"/>
            <w:shd w:val="clear" w:color="auto" w:fill="auto"/>
          </w:tcPr>
          <w:p w14:paraId="7A3D6865" w14:textId="77777777" w:rsidR="00E84E4D" w:rsidRPr="00110D6B" w:rsidRDefault="00E84E4D" w:rsidP="00B52F4D">
            <w:pPr>
              <w:pStyle w:val="08-Tabelageral"/>
            </w:pPr>
          </w:p>
        </w:tc>
        <w:tc>
          <w:tcPr>
            <w:tcW w:w="1412" w:type="dxa"/>
            <w:shd w:val="clear" w:color="auto" w:fill="auto"/>
          </w:tcPr>
          <w:p w14:paraId="20DADA69" w14:textId="77777777" w:rsidR="00E84E4D" w:rsidRPr="00BB5EF7" w:rsidRDefault="00E84E4D" w:rsidP="00B52F4D">
            <w:pPr>
              <w:pStyle w:val="08-Tabelageral"/>
            </w:pPr>
          </w:p>
        </w:tc>
        <w:tc>
          <w:tcPr>
            <w:tcW w:w="283" w:type="dxa"/>
            <w:shd w:val="clear" w:color="auto" w:fill="auto"/>
          </w:tcPr>
          <w:p w14:paraId="06F9C165" w14:textId="77777777" w:rsidR="00E84E4D" w:rsidRPr="0049410B" w:rsidRDefault="00E84E4D" w:rsidP="00B52F4D">
            <w:pPr>
              <w:pStyle w:val="08-Tabelageral"/>
            </w:pPr>
          </w:p>
        </w:tc>
        <w:tc>
          <w:tcPr>
            <w:tcW w:w="1417" w:type="dxa"/>
            <w:shd w:val="clear" w:color="auto" w:fill="auto"/>
          </w:tcPr>
          <w:p w14:paraId="367CEB9A" w14:textId="77777777" w:rsidR="00E84E4D" w:rsidRPr="006F2CD5" w:rsidRDefault="00E84E4D" w:rsidP="00B52F4D">
            <w:pPr>
              <w:pStyle w:val="08-Tabelageral"/>
            </w:pPr>
            <w:r>
              <w:t>6.735,87</w:t>
            </w:r>
          </w:p>
        </w:tc>
        <w:tc>
          <w:tcPr>
            <w:tcW w:w="1526" w:type="dxa"/>
            <w:shd w:val="clear" w:color="auto" w:fill="auto"/>
          </w:tcPr>
          <w:p w14:paraId="7167375A" w14:textId="77777777" w:rsidR="00E84E4D" w:rsidRPr="00C75209" w:rsidRDefault="00E84E4D" w:rsidP="00B52F4D">
            <w:pPr>
              <w:pStyle w:val="08-Tabelageral"/>
            </w:pPr>
            <w:r w:rsidRPr="00BF2AAF">
              <w:rPr>
                <w:rFonts w:cs="Arial"/>
              </w:rPr>
              <w:t>6.438,41</w:t>
            </w:r>
          </w:p>
        </w:tc>
      </w:tr>
      <w:tr w:rsidR="00E84E4D" w:rsidRPr="003735AD" w14:paraId="77FABADA" w14:textId="77777777" w:rsidTr="00B52F4D">
        <w:trPr>
          <w:trHeight w:val="227"/>
          <w:jc w:val="center"/>
        </w:trPr>
        <w:tc>
          <w:tcPr>
            <w:tcW w:w="2986" w:type="dxa"/>
            <w:tcBorders>
              <w:bottom w:val="nil"/>
            </w:tcBorders>
            <w:shd w:val="clear" w:color="auto" w:fill="auto"/>
          </w:tcPr>
          <w:p w14:paraId="27ECEEF6" w14:textId="77777777" w:rsidR="00E84E4D" w:rsidRPr="0078045C" w:rsidRDefault="00E84E4D" w:rsidP="00B52F4D">
            <w:pPr>
              <w:pStyle w:val="08-Tabelageral"/>
              <w:jc w:val="left"/>
              <w:rPr>
                <w:b/>
              </w:rPr>
            </w:pPr>
            <w:r w:rsidRPr="0078045C">
              <w:t>Conselho Fiscal</w:t>
            </w:r>
          </w:p>
        </w:tc>
        <w:tc>
          <w:tcPr>
            <w:tcW w:w="604" w:type="dxa"/>
            <w:tcBorders>
              <w:bottom w:val="nil"/>
            </w:tcBorders>
            <w:shd w:val="clear" w:color="auto" w:fill="auto"/>
          </w:tcPr>
          <w:p w14:paraId="47982989" w14:textId="77777777" w:rsidR="00E84E4D" w:rsidRPr="003735AD" w:rsidRDefault="00E84E4D" w:rsidP="00B52F4D">
            <w:pPr>
              <w:pStyle w:val="08-Tabelageral"/>
              <w:rPr>
                <w:b/>
              </w:rPr>
            </w:pPr>
          </w:p>
        </w:tc>
        <w:tc>
          <w:tcPr>
            <w:tcW w:w="1411" w:type="dxa"/>
            <w:tcBorders>
              <w:bottom w:val="nil"/>
            </w:tcBorders>
            <w:shd w:val="clear" w:color="auto" w:fill="auto"/>
          </w:tcPr>
          <w:p w14:paraId="337E4244" w14:textId="77777777" w:rsidR="00E84E4D" w:rsidRPr="003735AD" w:rsidRDefault="00E84E4D" w:rsidP="00B52F4D">
            <w:pPr>
              <w:pStyle w:val="08-Tabelageral"/>
              <w:rPr>
                <w:b/>
              </w:rPr>
            </w:pPr>
          </w:p>
        </w:tc>
        <w:tc>
          <w:tcPr>
            <w:tcW w:w="1412" w:type="dxa"/>
            <w:tcBorders>
              <w:bottom w:val="nil"/>
            </w:tcBorders>
            <w:shd w:val="clear" w:color="auto" w:fill="auto"/>
          </w:tcPr>
          <w:p w14:paraId="0DC0E7D9" w14:textId="77777777" w:rsidR="00E84E4D" w:rsidRPr="003735AD" w:rsidRDefault="00E84E4D" w:rsidP="00B52F4D">
            <w:pPr>
              <w:pStyle w:val="08-Tabelageral"/>
              <w:rPr>
                <w:b/>
              </w:rPr>
            </w:pPr>
          </w:p>
        </w:tc>
        <w:tc>
          <w:tcPr>
            <w:tcW w:w="283" w:type="dxa"/>
            <w:tcBorders>
              <w:bottom w:val="nil"/>
            </w:tcBorders>
            <w:shd w:val="clear" w:color="auto" w:fill="auto"/>
          </w:tcPr>
          <w:p w14:paraId="3C8B2BB3" w14:textId="77777777" w:rsidR="00E84E4D" w:rsidRPr="003735AD" w:rsidRDefault="00E84E4D" w:rsidP="00B52F4D">
            <w:pPr>
              <w:pStyle w:val="08-Tabelageral"/>
              <w:rPr>
                <w:b/>
              </w:rPr>
            </w:pPr>
          </w:p>
        </w:tc>
        <w:tc>
          <w:tcPr>
            <w:tcW w:w="1417" w:type="dxa"/>
            <w:tcBorders>
              <w:bottom w:val="nil"/>
            </w:tcBorders>
            <w:shd w:val="clear" w:color="auto" w:fill="auto"/>
          </w:tcPr>
          <w:p w14:paraId="421850E3" w14:textId="77777777" w:rsidR="00E84E4D" w:rsidRPr="006F2CD5" w:rsidRDefault="00E84E4D" w:rsidP="00B52F4D">
            <w:pPr>
              <w:pStyle w:val="08-Tabelageral"/>
            </w:pPr>
            <w:r>
              <w:t>6.735,87</w:t>
            </w:r>
          </w:p>
        </w:tc>
        <w:tc>
          <w:tcPr>
            <w:tcW w:w="1526" w:type="dxa"/>
            <w:tcBorders>
              <w:bottom w:val="nil"/>
            </w:tcBorders>
            <w:shd w:val="clear" w:color="auto" w:fill="auto"/>
          </w:tcPr>
          <w:p w14:paraId="39E3ECA8" w14:textId="77777777" w:rsidR="00E84E4D" w:rsidRPr="00C75209" w:rsidRDefault="00E84E4D" w:rsidP="00B52F4D">
            <w:pPr>
              <w:pStyle w:val="08-Tabelageral"/>
            </w:pPr>
            <w:r w:rsidRPr="00BF2AAF">
              <w:rPr>
                <w:rFonts w:cs="Arial"/>
              </w:rPr>
              <w:t>6.438,41</w:t>
            </w:r>
          </w:p>
        </w:tc>
      </w:tr>
      <w:tr w:rsidR="00E84E4D" w:rsidRPr="003735AD" w14:paraId="03F32E76" w14:textId="77777777" w:rsidTr="00B52F4D">
        <w:trPr>
          <w:trHeight w:val="227"/>
          <w:jc w:val="center"/>
        </w:trPr>
        <w:tc>
          <w:tcPr>
            <w:tcW w:w="2986" w:type="dxa"/>
            <w:tcBorders>
              <w:top w:val="nil"/>
              <w:bottom w:val="nil"/>
            </w:tcBorders>
            <w:shd w:val="clear" w:color="auto" w:fill="auto"/>
          </w:tcPr>
          <w:p w14:paraId="68DF2485" w14:textId="77777777" w:rsidR="00E84E4D" w:rsidRPr="0078045C" w:rsidRDefault="00E84E4D" w:rsidP="00B52F4D">
            <w:pPr>
              <w:pStyle w:val="08-Tabelageral"/>
              <w:jc w:val="left"/>
              <w:rPr>
                <w:b/>
              </w:rPr>
            </w:pPr>
            <w:r w:rsidRPr="0078045C">
              <w:t>Comitê de Auditoria</w:t>
            </w:r>
          </w:p>
        </w:tc>
        <w:tc>
          <w:tcPr>
            <w:tcW w:w="604" w:type="dxa"/>
            <w:tcBorders>
              <w:top w:val="nil"/>
              <w:bottom w:val="nil"/>
            </w:tcBorders>
            <w:shd w:val="clear" w:color="auto" w:fill="auto"/>
          </w:tcPr>
          <w:p w14:paraId="5388EEBD" w14:textId="77777777" w:rsidR="00E84E4D" w:rsidRPr="003735AD" w:rsidRDefault="00E84E4D" w:rsidP="00B52F4D">
            <w:pPr>
              <w:pStyle w:val="08-Tabelageral"/>
              <w:rPr>
                <w:b/>
                <w:szCs w:val="14"/>
              </w:rPr>
            </w:pPr>
          </w:p>
        </w:tc>
        <w:tc>
          <w:tcPr>
            <w:tcW w:w="1411" w:type="dxa"/>
            <w:tcBorders>
              <w:top w:val="nil"/>
              <w:bottom w:val="nil"/>
            </w:tcBorders>
            <w:shd w:val="clear" w:color="auto" w:fill="auto"/>
          </w:tcPr>
          <w:p w14:paraId="473B9C21" w14:textId="77777777" w:rsidR="00E84E4D" w:rsidRPr="003735AD" w:rsidRDefault="00E84E4D" w:rsidP="00B52F4D">
            <w:pPr>
              <w:pStyle w:val="08-Tabelageral"/>
              <w:rPr>
                <w:b/>
              </w:rPr>
            </w:pPr>
          </w:p>
        </w:tc>
        <w:tc>
          <w:tcPr>
            <w:tcW w:w="1412" w:type="dxa"/>
            <w:tcBorders>
              <w:top w:val="nil"/>
              <w:bottom w:val="nil"/>
            </w:tcBorders>
            <w:shd w:val="clear" w:color="auto" w:fill="auto"/>
          </w:tcPr>
          <w:p w14:paraId="54E1852A" w14:textId="77777777" w:rsidR="00E84E4D" w:rsidRPr="003735AD" w:rsidRDefault="00E84E4D" w:rsidP="00B52F4D">
            <w:pPr>
              <w:pStyle w:val="08-Tabelageral"/>
              <w:rPr>
                <w:b/>
              </w:rPr>
            </w:pPr>
          </w:p>
        </w:tc>
        <w:tc>
          <w:tcPr>
            <w:tcW w:w="283" w:type="dxa"/>
            <w:tcBorders>
              <w:top w:val="nil"/>
              <w:bottom w:val="nil"/>
            </w:tcBorders>
            <w:shd w:val="clear" w:color="auto" w:fill="auto"/>
          </w:tcPr>
          <w:p w14:paraId="6ABE7AAA" w14:textId="77777777" w:rsidR="00E84E4D" w:rsidRPr="003735AD" w:rsidRDefault="00E84E4D" w:rsidP="00B52F4D">
            <w:pPr>
              <w:pStyle w:val="08-Tabelageral"/>
              <w:rPr>
                <w:b/>
                <w:szCs w:val="14"/>
              </w:rPr>
            </w:pPr>
          </w:p>
        </w:tc>
        <w:tc>
          <w:tcPr>
            <w:tcW w:w="1417" w:type="dxa"/>
            <w:tcBorders>
              <w:top w:val="nil"/>
              <w:bottom w:val="nil"/>
            </w:tcBorders>
            <w:shd w:val="clear" w:color="auto" w:fill="auto"/>
          </w:tcPr>
          <w:p w14:paraId="2874C6DE" w14:textId="77777777" w:rsidR="00E84E4D" w:rsidRPr="006F2CD5" w:rsidRDefault="00E84E4D" w:rsidP="00B52F4D">
            <w:pPr>
              <w:pStyle w:val="08-Tabelageral"/>
            </w:pPr>
            <w:r>
              <w:t>11.255,63</w:t>
            </w:r>
          </w:p>
        </w:tc>
        <w:tc>
          <w:tcPr>
            <w:tcW w:w="1526" w:type="dxa"/>
            <w:tcBorders>
              <w:top w:val="nil"/>
              <w:bottom w:val="nil"/>
            </w:tcBorders>
            <w:shd w:val="clear" w:color="auto" w:fill="auto"/>
          </w:tcPr>
          <w:p w14:paraId="22FDF6D6" w14:textId="77777777" w:rsidR="00E84E4D" w:rsidRDefault="00E84E4D" w:rsidP="00B52F4D">
            <w:pPr>
              <w:pStyle w:val="08-Tabelageral"/>
            </w:pPr>
            <w:r w:rsidRPr="00BF2AAF">
              <w:rPr>
                <w:rFonts w:cs="Arial"/>
              </w:rPr>
              <w:t>10.758,58</w:t>
            </w:r>
          </w:p>
        </w:tc>
      </w:tr>
      <w:tr w:rsidR="00E84E4D" w:rsidRPr="003735AD" w14:paraId="6D1FCF42" w14:textId="77777777" w:rsidTr="00B52F4D">
        <w:trPr>
          <w:trHeight w:val="227"/>
          <w:jc w:val="center"/>
        </w:trPr>
        <w:tc>
          <w:tcPr>
            <w:tcW w:w="2986" w:type="dxa"/>
            <w:tcBorders>
              <w:top w:val="nil"/>
              <w:bottom w:val="nil"/>
            </w:tcBorders>
            <w:shd w:val="clear" w:color="auto" w:fill="auto"/>
          </w:tcPr>
          <w:p w14:paraId="234A199E" w14:textId="77777777" w:rsidR="00E84E4D" w:rsidRPr="0078045C" w:rsidRDefault="00E84E4D" w:rsidP="00B52F4D">
            <w:pPr>
              <w:pStyle w:val="08-Tabelageral"/>
              <w:jc w:val="left"/>
            </w:pPr>
            <w:r w:rsidRPr="003B547E">
              <w:t>Comitê de Riscos e de Capital</w:t>
            </w:r>
          </w:p>
        </w:tc>
        <w:tc>
          <w:tcPr>
            <w:tcW w:w="604" w:type="dxa"/>
            <w:tcBorders>
              <w:top w:val="nil"/>
              <w:bottom w:val="nil"/>
            </w:tcBorders>
            <w:shd w:val="clear" w:color="auto" w:fill="auto"/>
          </w:tcPr>
          <w:p w14:paraId="6CC59771" w14:textId="77777777" w:rsidR="00E84E4D" w:rsidRPr="003735AD" w:rsidRDefault="00E84E4D" w:rsidP="00B52F4D">
            <w:pPr>
              <w:pStyle w:val="08-Tabelageral"/>
              <w:rPr>
                <w:b/>
                <w:szCs w:val="14"/>
              </w:rPr>
            </w:pPr>
          </w:p>
        </w:tc>
        <w:tc>
          <w:tcPr>
            <w:tcW w:w="1411" w:type="dxa"/>
            <w:tcBorders>
              <w:top w:val="nil"/>
              <w:bottom w:val="nil"/>
            </w:tcBorders>
            <w:shd w:val="clear" w:color="auto" w:fill="auto"/>
          </w:tcPr>
          <w:p w14:paraId="734FAA1B" w14:textId="77777777" w:rsidR="00E84E4D" w:rsidRPr="003735AD" w:rsidRDefault="00E84E4D" w:rsidP="00B52F4D">
            <w:pPr>
              <w:pStyle w:val="08-Tabelageral"/>
              <w:rPr>
                <w:b/>
              </w:rPr>
            </w:pPr>
          </w:p>
        </w:tc>
        <w:tc>
          <w:tcPr>
            <w:tcW w:w="1412" w:type="dxa"/>
            <w:tcBorders>
              <w:top w:val="nil"/>
              <w:bottom w:val="nil"/>
            </w:tcBorders>
            <w:shd w:val="clear" w:color="auto" w:fill="auto"/>
          </w:tcPr>
          <w:p w14:paraId="523DC8EA" w14:textId="77777777" w:rsidR="00E84E4D" w:rsidRPr="003735AD" w:rsidRDefault="00E84E4D" w:rsidP="00B52F4D">
            <w:pPr>
              <w:pStyle w:val="08-Tabelageral"/>
              <w:rPr>
                <w:b/>
              </w:rPr>
            </w:pPr>
          </w:p>
        </w:tc>
        <w:tc>
          <w:tcPr>
            <w:tcW w:w="283" w:type="dxa"/>
            <w:tcBorders>
              <w:top w:val="nil"/>
              <w:bottom w:val="nil"/>
            </w:tcBorders>
            <w:shd w:val="clear" w:color="auto" w:fill="auto"/>
          </w:tcPr>
          <w:p w14:paraId="2751A3A2" w14:textId="77777777" w:rsidR="00E84E4D" w:rsidRPr="003735AD" w:rsidRDefault="00E84E4D" w:rsidP="00B52F4D">
            <w:pPr>
              <w:pStyle w:val="08-Tabelageral"/>
              <w:rPr>
                <w:b/>
                <w:szCs w:val="14"/>
              </w:rPr>
            </w:pPr>
          </w:p>
        </w:tc>
        <w:tc>
          <w:tcPr>
            <w:tcW w:w="1417" w:type="dxa"/>
            <w:tcBorders>
              <w:top w:val="nil"/>
              <w:bottom w:val="nil"/>
            </w:tcBorders>
            <w:shd w:val="clear" w:color="auto" w:fill="auto"/>
          </w:tcPr>
          <w:p w14:paraId="01FF438A" w14:textId="77777777" w:rsidR="00E84E4D" w:rsidRPr="006F2CD5" w:rsidRDefault="00E84E4D" w:rsidP="00B52F4D">
            <w:pPr>
              <w:pStyle w:val="08-Tabelageral"/>
            </w:pPr>
            <w:r>
              <w:t>11.255,63</w:t>
            </w:r>
          </w:p>
        </w:tc>
        <w:tc>
          <w:tcPr>
            <w:tcW w:w="1526" w:type="dxa"/>
            <w:tcBorders>
              <w:top w:val="nil"/>
              <w:bottom w:val="nil"/>
            </w:tcBorders>
            <w:shd w:val="clear" w:color="auto" w:fill="auto"/>
          </w:tcPr>
          <w:p w14:paraId="38CEB5C3" w14:textId="77777777" w:rsidR="00E84E4D" w:rsidRPr="00483F0F" w:rsidRDefault="00E84E4D" w:rsidP="00B52F4D">
            <w:pPr>
              <w:pStyle w:val="08-Tabelageral"/>
            </w:pPr>
            <w:r w:rsidRPr="00BF2AAF">
              <w:rPr>
                <w:rFonts w:cs="Arial"/>
              </w:rPr>
              <w:t>10.758,58</w:t>
            </w:r>
          </w:p>
        </w:tc>
      </w:tr>
      <w:tr w:rsidR="00E84E4D" w:rsidRPr="003735AD" w14:paraId="304E72DB" w14:textId="77777777" w:rsidTr="00B52F4D">
        <w:trPr>
          <w:trHeight w:val="227"/>
          <w:jc w:val="center"/>
        </w:trPr>
        <w:tc>
          <w:tcPr>
            <w:tcW w:w="2986" w:type="dxa"/>
            <w:tcBorders>
              <w:top w:val="nil"/>
              <w:bottom w:val="nil"/>
            </w:tcBorders>
            <w:shd w:val="clear" w:color="auto" w:fill="auto"/>
          </w:tcPr>
          <w:p w14:paraId="785F0A83" w14:textId="77777777" w:rsidR="00E84E4D" w:rsidRPr="003B547E" w:rsidRDefault="00E84E4D" w:rsidP="00B52F4D">
            <w:pPr>
              <w:pStyle w:val="08-Tabelageral"/>
              <w:jc w:val="left"/>
            </w:pPr>
          </w:p>
        </w:tc>
        <w:tc>
          <w:tcPr>
            <w:tcW w:w="604" w:type="dxa"/>
            <w:tcBorders>
              <w:top w:val="nil"/>
              <w:bottom w:val="nil"/>
            </w:tcBorders>
            <w:shd w:val="clear" w:color="auto" w:fill="auto"/>
          </w:tcPr>
          <w:p w14:paraId="71234763" w14:textId="77777777" w:rsidR="00E84E4D" w:rsidRPr="003735AD" w:rsidRDefault="00E84E4D" w:rsidP="00B52F4D">
            <w:pPr>
              <w:pStyle w:val="08-Tabelageral"/>
              <w:rPr>
                <w:b/>
                <w:szCs w:val="14"/>
              </w:rPr>
            </w:pPr>
          </w:p>
        </w:tc>
        <w:tc>
          <w:tcPr>
            <w:tcW w:w="1411" w:type="dxa"/>
            <w:tcBorders>
              <w:top w:val="nil"/>
              <w:bottom w:val="nil"/>
            </w:tcBorders>
            <w:shd w:val="clear" w:color="auto" w:fill="auto"/>
          </w:tcPr>
          <w:p w14:paraId="71768E48" w14:textId="77777777" w:rsidR="00E84E4D" w:rsidRPr="003735AD" w:rsidRDefault="00E84E4D" w:rsidP="00B52F4D">
            <w:pPr>
              <w:pStyle w:val="08-Tabelageral"/>
              <w:rPr>
                <w:b/>
              </w:rPr>
            </w:pPr>
          </w:p>
        </w:tc>
        <w:tc>
          <w:tcPr>
            <w:tcW w:w="1412" w:type="dxa"/>
            <w:tcBorders>
              <w:top w:val="nil"/>
              <w:bottom w:val="nil"/>
            </w:tcBorders>
            <w:shd w:val="clear" w:color="auto" w:fill="auto"/>
          </w:tcPr>
          <w:p w14:paraId="6C3D60F5" w14:textId="77777777" w:rsidR="00E84E4D" w:rsidRPr="003735AD" w:rsidRDefault="00E84E4D" w:rsidP="00B52F4D">
            <w:pPr>
              <w:pStyle w:val="08-Tabelageral"/>
              <w:rPr>
                <w:b/>
              </w:rPr>
            </w:pPr>
          </w:p>
        </w:tc>
        <w:tc>
          <w:tcPr>
            <w:tcW w:w="283" w:type="dxa"/>
            <w:tcBorders>
              <w:top w:val="nil"/>
              <w:bottom w:val="nil"/>
            </w:tcBorders>
            <w:shd w:val="clear" w:color="auto" w:fill="auto"/>
          </w:tcPr>
          <w:p w14:paraId="09BD7A23" w14:textId="77777777" w:rsidR="00E84E4D" w:rsidRPr="003735AD" w:rsidRDefault="00E84E4D" w:rsidP="00B52F4D">
            <w:pPr>
              <w:pStyle w:val="08-Tabelageral"/>
              <w:rPr>
                <w:b/>
                <w:szCs w:val="14"/>
              </w:rPr>
            </w:pPr>
          </w:p>
        </w:tc>
        <w:tc>
          <w:tcPr>
            <w:tcW w:w="1417" w:type="dxa"/>
            <w:tcBorders>
              <w:top w:val="nil"/>
              <w:bottom w:val="nil"/>
            </w:tcBorders>
            <w:shd w:val="clear" w:color="auto" w:fill="auto"/>
          </w:tcPr>
          <w:p w14:paraId="4503502E" w14:textId="77777777" w:rsidR="00E84E4D" w:rsidRPr="00FC5508" w:rsidRDefault="00E84E4D" w:rsidP="00B52F4D">
            <w:pPr>
              <w:pStyle w:val="08-Tabelageral"/>
            </w:pPr>
          </w:p>
        </w:tc>
        <w:tc>
          <w:tcPr>
            <w:tcW w:w="1526" w:type="dxa"/>
            <w:tcBorders>
              <w:top w:val="nil"/>
              <w:bottom w:val="nil"/>
            </w:tcBorders>
            <w:shd w:val="clear" w:color="auto" w:fill="auto"/>
          </w:tcPr>
          <w:p w14:paraId="2B27C8C8" w14:textId="77777777" w:rsidR="00E84E4D" w:rsidRDefault="00E84E4D" w:rsidP="00B52F4D">
            <w:pPr>
              <w:pStyle w:val="08-Tabelageral"/>
              <w:rPr>
                <w:rStyle w:val="normaltextrun"/>
                <w:rFonts w:eastAsia="MS Mincho" w:cs="Arial"/>
                <w:szCs w:val="14"/>
              </w:rPr>
            </w:pPr>
          </w:p>
        </w:tc>
      </w:tr>
      <w:tr w:rsidR="00E84E4D" w:rsidRPr="003735AD" w14:paraId="48E46711" w14:textId="77777777" w:rsidTr="00B52F4D">
        <w:trPr>
          <w:trHeight w:val="227"/>
          <w:jc w:val="center"/>
        </w:trPr>
        <w:tc>
          <w:tcPr>
            <w:tcW w:w="2986" w:type="dxa"/>
            <w:tcBorders>
              <w:top w:val="nil"/>
              <w:bottom w:val="nil"/>
            </w:tcBorders>
            <w:shd w:val="clear" w:color="auto" w:fill="auto"/>
          </w:tcPr>
          <w:p w14:paraId="4C98F900" w14:textId="77777777" w:rsidR="00E84E4D" w:rsidRPr="003462A4" w:rsidRDefault="00E84E4D" w:rsidP="00B52F4D">
            <w:pPr>
              <w:pStyle w:val="08-Tabelageral"/>
              <w:jc w:val="left"/>
              <w:rPr>
                <w:b/>
                <w:bCs/>
              </w:rPr>
            </w:pPr>
            <w:r w:rsidRPr="003462A4">
              <w:rPr>
                <w:b/>
                <w:bCs/>
              </w:rPr>
              <w:t>Funcionários</w:t>
            </w:r>
          </w:p>
        </w:tc>
        <w:tc>
          <w:tcPr>
            <w:tcW w:w="604" w:type="dxa"/>
            <w:tcBorders>
              <w:top w:val="nil"/>
              <w:bottom w:val="nil"/>
            </w:tcBorders>
            <w:shd w:val="clear" w:color="auto" w:fill="auto"/>
          </w:tcPr>
          <w:p w14:paraId="23954CBE" w14:textId="77777777" w:rsidR="00E84E4D" w:rsidRPr="003735AD" w:rsidRDefault="00E84E4D" w:rsidP="00B52F4D">
            <w:pPr>
              <w:pStyle w:val="08-Tabelageral"/>
              <w:rPr>
                <w:b/>
                <w:szCs w:val="14"/>
              </w:rPr>
            </w:pPr>
          </w:p>
        </w:tc>
        <w:tc>
          <w:tcPr>
            <w:tcW w:w="1411" w:type="dxa"/>
            <w:tcBorders>
              <w:top w:val="nil"/>
              <w:bottom w:val="nil"/>
            </w:tcBorders>
            <w:shd w:val="clear" w:color="auto" w:fill="auto"/>
          </w:tcPr>
          <w:p w14:paraId="31ADE366" w14:textId="77777777" w:rsidR="00E84E4D" w:rsidRPr="003735AD" w:rsidRDefault="00E84E4D" w:rsidP="00B52F4D">
            <w:pPr>
              <w:pStyle w:val="08-Tabelageral"/>
              <w:rPr>
                <w:b/>
              </w:rPr>
            </w:pPr>
          </w:p>
        </w:tc>
        <w:tc>
          <w:tcPr>
            <w:tcW w:w="1412" w:type="dxa"/>
            <w:tcBorders>
              <w:top w:val="nil"/>
              <w:bottom w:val="nil"/>
            </w:tcBorders>
            <w:shd w:val="clear" w:color="auto" w:fill="auto"/>
          </w:tcPr>
          <w:p w14:paraId="76F999BE" w14:textId="77777777" w:rsidR="00E84E4D" w:rsidRPr="003735AD" w:rsidRDefault="00E84E4D" w:rsidP="00B52F4D">
            <w:pPr>
              <w:pStyle w:val="08-Tabelageral"/>
              <w:rPr>
                <w:b/>
              </w:rPr>
            </w:pPr>
          </w:p>
        </w:tc>
        <w:tc>
          <w:tcPr>
            <w:tcW w:w="283" w:type="dxa"/>
            <w:tcBorders>
              <w:top w:val="nil"/>
              <w:bottom w:val="nil"/>
            </w:tcBorders>
            <w:shd w:val="clear" w:color="auto" w:fill="auto"/>
          </w:tcPr>
          <w:p w14:paraId="608BF81F" w14:textId="77777777" w:rsidR="00E84E4D" w:rsidRPr="003735AD" w:rsidRDefault="00E84E4D" w:rsidP="00B52F4D">
            <w:pPr>
              <w:pStyle w:val="08-Tabelageral"/>
              <w:rPr>
                <w:b/>
                <w:szCs w:val="14"/>
              </w:rPr>
            </w:pPr>
          </w:p>
        </w:tc>
        <w:tc>
          <w:tcPr>
            <w:tcW w:w="1417" w:type="dxa"/>
            <w:tcBorders>
              <w:top w:val="nil"/>
              <w:bottom w:val="nil"/>
            </w:tcBorders>
            <w:shd w:val="clear" w:color="auto" w:fill="auto"/>
          </w:tcPr>
          <w:p w14:paraId="74BA9EE4" w14:textId="77777777" w:rsidR="00E84E4D" w:rsidRPr="00FC5508" w:rsidRDefault="00E84E4D" w:rsidP="00B52F4D">
            <w:pPr>
              <w:pStyle w:val="08-Tabelageral"/>
            </w:pPr>
          </w:p>
        </w:tc>
        <w:tc>
          <w:tcPr>
            <w:tcW w:w="1526" w:type="dxa"/>
            <w:tcBorders>
              <w:top w:val="nil"/>
              <w:bottom w:val="nil"/>
            </w:tcBorders>
            <w:shd w:val="clear" w:color="auto" w:fill="auto"/>
          </w:tcPr>
          <w:p w14:paraId="366E84AB" w14:textId="77777777" w:rsidR="00E84E4D" w:rsidRDefault="00E84E4D" w:rsidP="00B52F4D">
            <w:pPr>
              <w:pStyle w:val="08-Tabelageral"/>
              <w:rPr>
                <w:rStyle w:val="normaltextrun"/>
                <w:rFonts w:eastAsia="MS Mincho" w:cs="Arial"/>
                <w:szCs w:val="14"/>
              </w:rPr>
            </w:pPr>
          </w:p>
        </w:tc>
      </w:tr>
      <w:tr w:rsidR="00E84E4D" w:rsidRPr="003735AD" w14:paraId="14A60103" w14:textId="77777777" w:rsidTr="00B52F4D">
        <w:trPr>
          <w:trHeight w:val="227"/>
          <w:jc w:val="center"/>
        </w:trPr>
        <w:tc>
          <w:tcPr>
            <w:tcW w:w="2986" w:type="dxa"/>
            <w:tcBorders>
              <w:top w:val="nil"/>
              <w:bottom w:val="nil"/>
            </w:tcBorders>
            <w:shd w:val="clear" w:color="auto" w:fill="auto"/>
          </w:tcPr>
          <w:p w14:paraId="7D52D3EF" w14:textId="77777777" w:rsidR="00E84E4D" w:rsidRPr="003B547E" w:rsidRDefault="00E84E4D" w:rsidP="00B52F4D">
            <w:pPr>
              <w:pStyle w:val="08-Tabelageral"/>
              <w:jc w:val="left"/>
            </w:pPr>
            <w:r w:rsidRPr="0078045C">
              <w:t xml:space="preserve">Menor salário </w:t>
            </w:r>
          </w:p>
        </w:tc>
        <w:tc>
          <w:tcPr>
            <w:tcW w:w="604" w:type="dxa"/>
            <w:tcBorders>
              <w:top w:val="nil"/>
              <w:bottom w:val="nil"/>
            </w:tcBorders>
            <w:shd w:val="clear" w:color="auto" w:fill="auto"/>
          </w:tcPr>
          <w:p w14:paraId="6D997314" w14:textId="77777777" w:rsidR="00E84E4D" w:rsidRPr="003735AD" w:rsidRDefault="00E84E4D" w:rsidP="00B52F4D">
            <w:pPr>
              <w:pStyle w:val="08-Tabelageral"/>
              <w:rPr>
                <w:b/>
                <w:szCs w:val="14"/>
              </w:rPr>
            </w:pPr>
          </w:p>
        </w:tc>
        <w:tc>
          <w:tcPr>
            <w:tcW w:w="1411" w:type="dxa"/>
            <w:tcBorders>
              <w:top w:val="nil"/>
              <w:bottom w:val="nil"/>
            </w:tcBorders>
            <w:shd w:val="clear" w:color="auto" w:fill="auto"/>
          </w:tcPr>
          <w:p w14:paraId="32E0BED4" w14:textId="77777777" w:rsidR="00E84E4D" w:rsidRPr="003735AD" w:rsidRDefault="00E84E4D" w:rsidP="00B52F4D">
            <w:pPr>
              <w:pStyle w:val="08-Tabelageral"/>
              <w:rPr>
                <w:b/>
              </w:rPr>
            </w:pPr>
          </w:p>
        </w:tc>
        <w:tc>
          <w:tcPr>
            <w:tcW w:w="1412" w:type="dxa"/>
            <w:tcBorders>
              <w:top w:val="nil"/>
              <w:bottom w:val="nil"/>
            </w:tcBorders>
            <w:shd w:val="clear" w:color="auto" w:fill="auto"/>
            <w:vAlign w:val="center"/>
          </w:tcPr>
          <w:p w14:paraId="73058887" w14:textId="77777777" w:rsidR="00E84E4D" w:rsidRPr="003735AD" w:rsidRDefault="00E84E4D" w:rsidP="00B52F4D">
            <w:pPr>
              <w:pStyle w:val="08-Tabelageral"/>
              <w:rPr>
                <w:b/>
              </w:rPr>
            </w:pPr>
          </w:p>
        </w:tc>
        <w:tc>
          <w:tcPr>
            <w:tcW w:w="283" w:type="dxa"/>
            <w:tcBorders>
              <w:top w:val="nil"/>
              <w:bottom w:val="nil"/>
            </w:tcBorders>
            <w:shd w:val="clear" w:color="auto" w:fill="auto"/>
          </w:tcPr>
          <w:p w14:paraId="3653A81E" w14:textId="77777777" w:rsidR="00E84E4D" w:rsidRPr="003735AD" w:rsidRDefault="00E84E4D" w:rsidP="00B52F4D">
            <w:pPr>
              <w:pStyle w:val="08-Tabelageral"/>
              <w:rPr>
                <w:b/>
                <w:szCs w:val="14"/>
              </w:rPr>
            </w:pPr>
          </w:p>
        </w:tc>
        <w:tc>
          <w:tcPr>
            <w:tcW w:w="1417" w:type="dxa"/>
            <w:tcBorders>
              <w:top w:val="nil"/>
              <w:bottom w:val="nil"/>
            </w:tcBorders>
            <w:shd w:val="clear" w:color="auto" w:fill="auto"/>
          </w:tcPr>
          <w:p w14:paraId="42655127" w14:textId="77777777" w:rsidR="00E84E4D" w:rsidRPr="00FC5508" w:rsidRDefault="00E84E4D" w:rsidP="00B52F4D">
            <w:pPr>
              <w:pStyle w:val="08-Tabelageral"/>
            </w:pPr>
            <w:r>
              <w:t>6.337,58</w:t>
            </w:r>
          </w:p>
        </w:tc>
        <w:tc>
          <w:tcPr>
            <w:tcW w:w="1526" w:type="dxa"/>
            <w:tcBorders>
              <w:top w:val="nil"/>
              <w:bottom w:val="nil"/>
            </w:tcBorders>
            <w:shd w:val="clear" w:color="auto" w:fill="auto"/>
            <w:vAlign w:val="center"/>
          </w:tcPr>
          <w:p w14:paraId="43E71F3B" w14:textId="77777777" w:rsidR="00E84E4D" w:rsidRDefault="00E84E4D" w:rsidP="00B52F4D">
            <w:pPr>
              <w:pStyle w:val="08-Tabelageral"/>
              <w:rPr>
                <w:rStyle w:val="normaltextrun"/>
                <w:rFonts w:eastAsia="MS Mincho" w:cs="Arial"/>
                <w:szCs w:val="14"/>
              </w:rPr>
            </w:pPr>
            <w:r w:rsidRPr="00BF2AAF">
              <w:rPr>
                <w:rFonts w:cs="Arial"/>
              </w:rPr>
              <w:t>8.075,41</w:t>
            </w:r>
          </w:p>
        </w:tc>
      </w:tr>
      <w:tr w:rsidR="00E84E4D" w:rsidRPr="003735AD" w14:paraId="048B0E3B" w14:textId="77777777" w:rsidTr="00B52F4D">
        <w:trPr>
          <w:trHeight w:val="227"/>
          <w:jc w:val="center"/>
        </w:trPr>
        <w:tc>
          <w:tcPr>
            <w:tcW w:w="2986" w:type="dxa"/>
            <w:tcBorders>
              <w:top w:val="nil"/>
              <w:bottom w:val="nil"/>
            </w:tcBorders>
            <w:shd w:val="clear" w:color="auto" w:fill="auto"/>
          </w:tcPr>
          <w:p w14:paraId="3F819D1E" w14:textId="77777777" w:rsidR="00E84E4D" w:rsidRPr="003B547E" w:rsidRDefault="00E84E4D" w:rsidP="00B52F4D">
            <w:pPr>
              <w:pStyle w:val="08-Tabelageral"/>
              <w:jc w:val="left"/>
            </w:pPr>
            <w:r w:rsidRPr="0078045C">
              <w:t>Maior salário</w:t>
            </w:r>
          </w:p>
        </w:tc>
        <w:tc>
          <w:tcPr>
            <w:tcW w:w="604" w:type="dxa"/>
            <w:tcBorders>
              <w:top w:val="nil"/>
              <w:bottom w:val="nil"/>
            </w:tcBorders>
            <w:shd w:val="clear" w:color="auto" w:fill="auto"/>
          </w:tcPr>
          <w:p w14:paraId="6A75573F" w14:textId="77777777" w:rsidR="00E84E4D" w:rsidRPr="003735AD" w:rsidRDefault="00E84E4D" w:rsidP="00B52F4D">
            <w:pPr>
              <w:pStyle w:val="08-Tabelageral"/>
              <w:rPr>
                <w:b/>
                <w:szCs w:val="14"/>
              </w:rPr>
            </w:pPr>
          </w:p>
        </w:tc>
        <w:tc>
          <w:tcPr>
            <w:tcW w:w="1411" w:type="dxa"/>
            <w:tcBorders>
              <w:top w:val="nil"/>
              <w:bottom w:val="nil"/>
            </w:tcBorders>
            <w:shd w:val="clear" w:color="auto" w:fill="auto"/>
          </w:tcPr>
          <w:p w14:paraId="32A0F370" w14:textId="77777777" w:rsidR="00E84E4D" w:rsidRPr="003735AD" w:rsidRDefault="00E84E4D" w:rsidP="00B52F4D">
            <w:pPr>
              <w:pStyle w:val="08-Tabelageral"/>
              <w:rPr>
                <w:b/>
              </w:rPr>
            </w:pPr>
          </w:p>
        </w:tc>
        <w:tc>
          <w:tcPr>
            <w:tcW w:w="1412" w:type="dxa"/>
            <w:tcBorders>
              <w:top w:val="nil"/>
              <w:bottom w:val="nil"/>
            </w:tcBorders>
            <w:shd w:val="clear" w:color="auto" w:fill="auto"/>
            <w:vAlign w:val="center"/>
          </w:tcPr>
          <w:p w14:paraId="63A7EA93" w14:textId="77777777" w:rsidR="00E84E4D" w:rsidRPr="003735AD" w:rsidRDefault="00E84E4D" w:rsidP="00B52F4D">
            <w:pPr>
              <w:pStyle w:val="08-Tabelageral"/>
              <w:rPr>
                <w:b/>
              </w:rPr>
            </w:pPr>
          </w:p>
        </w:tc>
        <w:tc>
          <w:tcPr>
            <w:tcW w:w="283" w:type="dxa"/>
            <w:tcBorders>
              <w:top w:val="nil"/>
              <w:bottom w:val="nil"/>
            </w:tcBorders>
            <w:shd w:val="clear" w:color="auto" w:fill="auto"/>
          </w:tcPr>
          <w:p w14:paraId="3BDEEFE8" w14:textId="77777777" w:rsidR="00E84E4D" w:rsidRPr="003735AD" w:rsidRDefault="00E84E4D" w:rsidP="00B52F4D">
            <w:pPr>
              <w:pStyle w:val="08-Tabelageral"/>
              <w:rPr>
                <w:b/>
                <w:szCs w:val="14"/>
              </w:rPr>
            </w:pPr>
          </w:p>
        </w:tc>
        <w:tc>
          <w:tcPr>
            <w:tcW w:w="1417" w:type="dxa"/>
            <w:tcBorders>
              <w:top w:val="nil"/>
              <w:bottom w:val="nil"/>
            </w:tcBorders>
            <w:shd w:val="clear" w:color="auto" w:fill="auto"/>
          </w:tcPr>
          <w:p w14:paraId="72A65D56" w14:textId="77777777" w:rsidR="00E84E4D" w:rsidRPr="00FC5508" w:rsidRDefault="00E84E4D" w:rsidP="00B52F4D">
            <w:pPr>
              <w:pStyle w:val="08-Tabelageral"/>
            </w:pPr>
            <w:r>
              <w:t>50.492,35</w:t>
            </w:r>
          </w:p>
        </w:tc>
        <w:tc>
          <w:tcPr>
            <w:tcW w:w="1526" w:type="dxa"/>
            <w:tcBorders>
              <w:top w:val="nil"/>
              <w:bottom w:val="nil"/>
            </w:tcBorders>
            <w:shd w:val="clear" w:color="auto" w:fill="auto"/>
            <w:vAlign w:val="center"/>
          </w:tcPr>
          <w:p w14:paraId="7357A613" w14:textId="77777777" w:rsidR="00E84E4D" w:rsidRDefault="00E84E4D" w:rsidP="00B52F4D">
            <w:pPr>
              <w:pStyle w:val="08-Tabelageral"/>
              <w:rPr>
                <w:rStyle w:val="normaltextrun"/>
                <w:rFonts w:eastAsia="MS Mincho" w:cs="Arial"/>
                <w:szCs w:val="14"/>
              </w:rPr>
            </w:pPr>
            <w:r w:rsidRPr="00BF2AAF">
              <w:rPr>
                <w:rFonts w:cs="Arial"/>
              </w:rPr>
              <w:t>48.253,43</w:t>
            </w:r>
          </w:p>
        </w:tc>
      </w:tr>
      <w:tr w:rsidR="00E84E4D" w:rsidRPr="003735AD" w14:paraId="4285CC73" w14:textId="77777777" w:rsidTr="00B52F4D">
        <w:trPr>
          <w:trHeight w:val="227"/>
          <w:jc w:val="center"/>
        </w:trPr>
        <w:tc>
          <w:tcPr>
            <w:tcW w:w="2986" w:type="dxa"/>
            <w:tcBorders>
              <w:top w:val="nil"/>
              <w:bottom w:val="single" w:sz="4" w:space="0" w:color="1F3864" w:themeColor="accent1" w:themeShade="80"/>
            </w:tcBorders>
            <w:shd w:val="clear" w:color="auto" w:fill="auto"/>
          </w:tcPr>
          <w:p w14:paraId="65ADB37D" w14:textId="77777777" w:rsidR="00E84E4D" w:rsidRPr="003B547E" w:rsidRDefault="00E84E4D" w:rsidP="00B52F4D">
            <w:pPr>
              <w:pStyle w:val="08-Tabelageral"/>
              <w:jc w:val="left"/>
            </w:pPr>
            <w:r w:rsidRPr="0078045C">
              <w:t>Salário médio</w:t>
            </w:r>
          </w:p>
        </w:tc>
        <w:tc>
          <w:tcPr>
            <w:tcW w:w="604" w:type="dxa"/>
            <w:tcBorders>
              <w:top w:val="nil"/>
              <w:bottom w:val="single" w:sz="4" w:space="0" w:color="1F3864" w:themeColor="accent1" w:themeShade="80"/>
            </w:tcBorders>
            <w:shd w:val="clear" w:color="auto" w:fill="auto"/>
          </w:tcPr>
          <w:p w14:paraId="53CBBC3E" w14:textId="77777777" w:rsidR="00E84E4D" w:rsidRPr="003735AD" w:rsidRDefault="00E84E4D" w:rsidP="00B52F4D">
            <w:pPr>
              <w:pStyle w:val="08-Tabelageral"/>
              <w:rPr>
                <w:b/>
                <w:szCs w:val="14"/>
              </w:rPr>
            </w:pPr>
          </w:p>
        </w:tc>
        <w:tc>
          <w:tcPr>
            <w:tcW w:w="1411" w:type="dxa"/>
            <w:tcBorders>
              <w:top w:val="nil"/>
              <w:bottom w:val="single" w:sz="4" w:space="0" w:color="1F3864" w:themeColor="accent1" w:themeShade="80"/>
            </w:tcBorders>
            <w:shd w:val="clear" w:color="auto" w:fill="auto"/>
          </w:tcPr>
          <w:p w14:paraId="4A017DB3" w14:textId="77777777" w:rsidR="00E84E4D" w:rsidRPr="003735AD" w:rsidRDefault="00E84E4D" w:rsidP="00B52F4D">
            <w:pPr>
              <w:pStyle w:val="08-Tabelageral"/>
              <w:rPr>
                <w:b/>
              </w:rPr>
            </w:pPr>
          </w:p>
        </w:tc>
        <w:tc>
          <w:tcPr>
            <w:tcW w:w="1412" w:type="dxa"/>
            <w:tcBorders>
              <w:top w:val="nil"/>
              <w:bottom w:val="single" w:sz="4" w:space="0" w:color="1F3864" w:themeColor="accent1" w:themeShade="80"/>
            </w:tcBorders>
            <w:shd w:val="clear" w:color="auto" w:fill="auto"/>
            <w:vAlign w:val="center"/>
          </w:tcPr>
          <w:p w14:paraId="36401A70" w14:textId="77777777" w:rsidR="00E84E4D" w:rsidRPr="003735AD" w:rsidRDefault="00E84E4D" w:rsidP="00B52F4D">
            <w:pPr>
              <w:pStyle w:val="08-Tabelageral"/>
              <w:rPr>
                <w:b/>
              </w:rPr>
            </w:pPr>
          </w:p>
        </w:tc>
        <w:tc>
          <w:tcPr>
            <w:tcW w:w="283" w:type="dxa"/>
            <w:tcBorders>
              <w:top w:val="nil"/>
              <w:bottom w:val="single" w:sz="4" w:space="0" w:color="1F3864" w:themeColor="accent1" w:themeShade="80"/>
            </w:tcBorders>
            <w:shd w:val="clear" w:color="auto" w:fill="auto"/>
          </w:tcPr>
          <w:p w14:paraId="54430F6E" w14:textId="77777777" w:rsidR="00E84E4D" w:rsidRPr="003735AD" w:rsidRDefault="00E84E4D" w:rsidP="00B52F4D">
            <w:pPr>
              <w:pStyle w:val="08-Tabelageral"/>
              <w:rPr>
                <w:b/>
                <w:szCs w:val="14"/>
              </w:rPr>
            </w:pPr>
          </w:p>
        </w:tc>
        <w:tc>
          <w:tcPr>
            <w:tcW w:w="1417" w:type="dxa"/>
            <w:tcBorders>
              <w:top w:val="nil"/>
              <w:bottom w:val="single" w:sz="4" w:space="0" w:color="1F3864" w:themeColor="accent1" w:themeShade="80"/>
            </w:tcBorders>
            <w:shd w:val="clear" w:color="auto" w:fill="auto"/>
          </w:tcPr>
          <w:p w14:paraId="2BB3D983" w14:textId="77777777" w:rsidR="00E84E4D" w:rsidRPr="00FC5508" w:rsidRDefault="00E84E4D" w:rsidP="00B52F4D">
            <w:pPr>
              <w:pStyle w:val="08-Tabelageral"/>
            </w:pPr>
            <w:r>
              <w:t>19.902,26</w:t>
            </w:r>
          </w:p>
        </w:tc>
        <w:tc>
          <w:tcPr>
            <w:tcW w:w="1526" w:type="dxa"/>
            <w:tcBorders>
              <w:top w:val="nil"/>
              <w:bottom w:val="single" w:sz="4" w:space="0" w:color="1F3864" w:themeColor="accent1" w:themeShade="80"/>
            </w:tcBorders>
            <w:shd w:val="clear" w:color="auto" w:fill="auto"/>
            <w:vAlign w:val="center"/>
          </w:tcPr>
          <w:p w14:paraId="2DAC354E" w14:textId="77777777" w:rsidR="00E84E4D" w:rsidRDefault="00E84E4D" w:rsidP="00B52F4D">
            <w:pPr>
              <w:pStyle w:val="08-Tabelageral"/>
              <w:rPr>
                <w:rStyle w:val="normaltextrun"/>
                <w:rFonts w:eastAsia="MS Mincho" w:cs="Arial"/>
                <w:szCs w:val="14"/>
              </w:rPr>
            </w:pPr>
            <w:r w:rsidRPr="00BF2AAF">
              <w:rPr>
                <w:rFonts w:cs="Arial"/>
              </w:rPr>
              <w:t>18.502,43</w:t>
            </w:r>
          </w:p>
        </w:tc>
      </w:tr>
    </w:tbl>
    <w:bookmarkEnd w:id="146"/>
    <w:p w14:paraId="22012CD3" w14:textId="77777777" w:rsidR="008B4634" w:rsidRPr="00815253" w:rsidRDefault="008B4634" w:rsidP="002C3B56">
      <w:pPr>
        <w:pStyle w:val="paragraph"/>
        <w:numPr>
          <w:ilvl w:val="0"/>
          <w:numId w:val="30"/>
        </w:numPr>
        <w:spacing w:before="0" w:beforeAutospacing="0" w:after="60" w:afterAutospacing="0"/>
        <w:ind w:left="284" w:hanging="284"/>
        <w:jc w:val="both"/>
        <w:textAlignment w:val="baseline"/>
        <w:rPr>
          <w:rFonts w:ascii="Arial" w:hAnsi="Arial" w:cs="Arial"/>
          <w:sz w:val="14"/>
          <w:szCs w:val="14"/>
        </w:rPr>
      </w:pPr>
      <w:r w:rsidRPr="00815253">
        <w:rPr>
          <w:rStyle w:val="normaltextrun"/>
          <w:rFonts w:ascii="Arial" w:eastAsia="MS Mincho" w:hAnsi="Arial" w:cs="Arial"/>
          <w:sz w:val="14"/>
          <w:szCs w:val="14"/>
        </w:rPr>
        <w:t>Aplicação de reajuste de 4,62% nas remunerações percebidas pelos membros da Diretoria Executiva, aprovado pela Assembleia Geral Ordinária realizada em 30/04/2024. </w:t>
      </w:r>
      <w:r w:rsidRPr="00815253">
        <w:rPr>
          <w:rStyle w:val="eop"/>
          <w:rFonts w:ascii="Arial" w:hAnsi="Arial" w:cs="Arial"/>
          <w:sz w:val="14"/>
          <w:szCs w:val="14"/>
        </w:rPr>
        <w:t> </w:t>
      </w:r>
    </w:p>
    <w:p w14:paraId="22215459" w14:textId="77777777" w:rsidR="008B4634" w:rsidRPr="005B3E8F" w:rsidRDefault="008B4634" w:rsidP="002C3B56">
      <w:pPr>
        <w:pStyle w:val="paragraph"/>
        <w:numPr>
          <w:ilvl w:val="0"/>
          <w:numId w:val="30"/>
        </w:numPr>
        <w:spacing w:before="0" w:beforeAutospacing="0" w:after="60" w:afterAutospacing="0"/>
        <w:ind w:left="284" w:hanging="284"/>
        <w:jc w:val="both"/>
        <w:textAlignment w:val="baseline"/>
        <w:rPr>
          <w:rFonts w:ascii="Arial" w:hAnsi="Arial" w:cs="Arial"/>
          <w:sz w:val="14"/>
          <w:szCs w:val="14"/>
        </w:rPr>
      </w:pPr>
      <w:r w:rsidRPr="00815253">
        <w:rPr>
          <w:rStyle w:val="normaltextrun"/>
          <w:rFonts w:ascii="Arial" w:eastAsia="MS Mincho" w:hAnsi="Arial" w:cs="Arial"/>
          <w:sz w:val="14"/>
          <w:szCs w:val="14"/>
        </w:rPr>
        <w:t>Aplicação de reajuste de 4,62% nas remunerações percebidas pelos membros dos Conselhos e Comitês Estatutários, aprovado pela Assembleia Geral Ordinária realizada em 30/04/2024. </w:t>
      </w:r>
      <w:r w:rsidRPr="00815253">
        <w:rPr>
          <w:rStyle w:val="eop"/>
          <w:rFonts w:ascii="Arial" w:hAnsi="Arial" w:cs="Arial"/>
          <w:sz w:val="14"/>
          <w:szCs w:val="14"/>
        </w:rPr>
        <w:t> </w:t>
      </w:r>
    </w:p>
    <w:p w14:paraId="73ADAEEC" w14:textId="77777777" w:rsidR="008B4634" w:rsidRPr="00971822" w:rsidRDefault="008B4634" w:rsidP="002C3B56">
      <w:pPr>
        <w:pStyle w:val="03-SubttulodeNota"/>
        <w:keepNext/>
        <w:numPr>
          <w:ilvl w:val="0"/>
          <w:numId w:val="26"/>
        </w:numPr>
        <w:ind w:left="284" w:hanging="284"/>
        <w:rPr>
          <w:color w:val="1F3864" w:themeColor="accent1" w:themeShade="80"/>
          <w:sz w:val="18"/>
          <w:szCs w:val="18"/>
        </w:rPr>
      </w:pPr>
      <w:r>
        <w:rPr>
          <w:color w:val="1F3864" w:themeColor="accent1" w:themeShade="80"/>
          <w:sz w:val="18"/>
          <w:szCs w:val="18"/>
        </w:rPr>
        <w:t xml:space="preserve">Remuneração e Benefícios dos </w:t>
      </w:r>
      <w:r w:rsidRPr="00971822">
        <w:rPr>
          <w:color w:val="1F3864" w:themeColor="accent1" w:themeShade="80"/>
          <w:sz w:val="18"/>
          <w:szCs w:val="18"/>
        </w:rPr>
        <w:t>Empregados e</w:t>
      </w:r>
      <w:r>
        <w:rPr>
          <w:color w:val="1F3864" w:themeColor="accent1" w:themeShade="80"/>
          <w:sz w:val="18"/>
          <w:szCs w:val="18"/>
        </w:rPr>
        <w:t xml:space="preserve"> Dirigentes</w:t>
      </w:r>
      <w:r w:rsidRPr="00971822">
        <w:rPr>
          <w:color w:val="1F3864" w:themeColor="accent1" w:themeShade="80"/>
          <w:sz w:val="18"/>
          <w:szCs w:val="18"/>
        </w:rPr>
        <w:t xml:space="preserve"> </w:t>
      </w:r>
    </w:p>
    <w:p w14:paraId="691C96B5" w14:textId="77777777" w:rsidR="008B4634" w:rsidRPr="00A872FC" w:rsidRDefault="008B4634" w:rsidP="008B4634">
      <w:pPr>
        <w:pStyle w:val="05-Textonormal"/>
        <w:keepNext/>
        <w:keepLines/>
        <w:spacing w:before="0" w:after="0" w:line="240" w:lineRule="auto"/>
        <w:jc w:val="right"/>
        <w:rPr>
          <w:rFonts w:cs="Arial"/>
          <w:b/>
          <w:sz w:val="14"/>
          <w:szCs w:val="14"/>
        </w:rPr>
      </w:pPr>
      <w:r w:rsidRPr="00A872FC">
        <w:rPr>
          <w:rFonts w:cs="Arial"/>
          <w:b/>
          <w:sz w:val="14"/>
          <w:szCs w:val="14"/>
          <w:lang w:eastAsia="zh-CN"/>
        </w:rPr>
        <w:t>Em Reais</w:t>
      </w:r>
    </w:p>
    <w:bookmarkEnd w:id="142"/>
    <w:tbl>
      <w:tblPr>
        <w:tblW w:w="5001" w:type="pct"/>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6663"/>
        <w:gridCol w:w="1417"/>
        <w:gridCol w:w="1560"/>
      </w:tblGrid>
      <w:tr w:rsidR="00E84E4D" w:rsidRPr="00EC49EB" w14:paraId="5B6DC65D" w14:textId="77777777" w:rsidTr="00B52F4D">
        <w:trPr>
          <w:trHeight w:val="227"/>
          <w:jc w:val="center"/>
        </w:trPr>
        <w:tc>
          <w:tcPr>
            <w:tcW w:w="3456" w:type="pct"/>
            <w:tcBorders>
              <w:top w:val="single" w:sz="2" w:space="0" w:color="1F3864" w:themeColor="accent1" w:themeShade="80"/>
              <w:bottom w:val="single" w:sz="2" w:space="0" w:color="1F3864" w:themeColor="accent1" w:themeShade="80"/>
            </w:tcBorders>
            <w:shd w:val="clear" w:color="auto" w:fill="auto"/>
            <w:vAlign w:val="center"/>
          </w:tcPr>
          <w:p w14:paraId="08CE8B14" w14:textId="77777777" w:rsidR="00E84E4D" w:rsidRPr="00EC49EB" w:rsidRDefault="00E84E4D" w:rsidP="00B52F4D">
            <w:pPr>
              <w:keepNext/>
              <w:keepLines/>
              <w:spacing w:before="40" w:after="40"/>
              <w:jc w:val="right"/>
              <w:rPr>
                <w:rFonts w:ascii="Arial" w:hAnsi="Arial" w:cs="Arial"/>
                <w:b/>
                <w:spacing w:val="-2"/>
                <w:sz w:val="14"/>
                <w:szCs w:val="18"/>
              </w:rPr>
            </w:pPr>
          </w:p>
        </w:tc>
        <w:tc>
          <w:tcPr>
            <w:tcW w:w="735" w:type="pct"/>
            <w:tcBorders>
              <w:top w:val="single" w:sz="2" w:space="0" w:color="1F3864" w:themeColor="accent1" w:themeShade="80"/>
              <w:bottom w:val="single" w:sz="2" w:space="0" w:color="1F3864" w:themeColor="accent1" w:themeShade="80"/>
            </w:tcBorders>
            <w:shd w:val="clear" w:color="auto" w:fill="auto"/>
            <w:vAlign w:val="center"/>
          </w:tcPr>
          <w:p w14:paraId="76BA3243" w14:textId="77777777" w:rsidR="00E84E4D" w:rsidRPr="00724ED0" w:rsidRDefault="00E84E4D" w:rsidP="00B52F4D">
            <w:pPr>
              <w:keepNext/>
              <w:keepLines/>
              <w:spacing w:before="40" w:after="40"/>
              <w:jc w:val="right"/>
              <w:rPr>
                <w:rFonts w:ascii="Arial" w:hAnsi="Arial" w:cs="Arial"/>
                <w:b/>
                <w:spacing w:val="-2"/>
                <w:sz w:val="14"/>
                <w:szCs w:val="18"/>
              </w:rPr>
            </w:pPr>
            <w:r>
              <w:rPr>
                <w:rFonts w:ascii="Arial" w:hAnsi="Arial" w:cs="Arial"/>
                <w:b/>
                <w:spacing w:val="-2"/>
                <w:sz w:val="14"/>
                <w:szCs w:val="18"/>
              </w:rPr>
              <w:t>3</w:t>
            </w:r>
            <w:r>
              <w:rPr>
                <w:rFonts w:ascii="Arial" w:hAnsi="Arial"/>
                <w:b/>
                <w:spacing w:val="-2"/>
                <w:sz w:val="14"/>
                <w:szCs w:val="18"/>
              </w:rPr>
              <w:t>1</w:t>
            </w:r>
            <w:r w:rsidRPr="00CA6966">
              <w:rPr>
                <w:rFonts w:ascii="Arial" w:hAnsi="Arial" w:cs="Arial"/>
                <w:b/>
                <w:spacing w:val="-2"/>
                <w:sz w:val="14"/>
                <w:szCs w:val="18"/>
              </w:rPr>
              <w:t>.</w:t>
            </w:r>
            <w:r>
              <w:rPr>
                <w:rFonts w:ascii="Arial" w:hAnsi="Arial" w:cs="Arial"/>
                <w:b/>
                <w:spacing w:val="-2"/>
                <w:sz w:val="14"/>
                <w:szCs w:val="18"/>
              </w:rPr>
              <w:t>1</w:t>
            </w:r>
            <w:r>
              <w:rPr>
                <w:rFonts w:ascii="Arial" w:hAnsi="Arial"/>
                <w:b/>
                <w:spacing w:val="-2"/>
                <w:sz w:val="14"/>
                <w:szCs w:val="18"/>
              </w:rPr>
              <w:t>2</w:t>
            </w:r>
            <w:r w:rsidRPr="00CA6966">
              <w:rPr>
                <w:rFonts w:ascii="Arial" w:hAnsi="Arial" w:cs="Arial"/>
                <w:b/>
                <w:spacing w:val="-2"/>
                <w:sz w:val="14"/>
                <w:szCs w:val="18"/>
              </w:rPr>
              <w:t>.2024</w:t>
            </w:r>
          </w:p>
        </w:tc>
        <w:tc>
          <w:tcPr>
            <w:tcW w:w="809" w:type="pct"/>
            <w:tcBorders>
              <w:top w:val="single" w:sz="2" w:space="0" w:color="1F3864" w:themeColor="accent1" w:themeShade="80"/>
              <w:bottom w:val="single" w:sz="2" w:space="0" w:color="1F3864" w:themeColor="accent1" w:themeShade="80"/>
            </w:tcBorders>
            <w:shd w:val="clear" w:color="auto" w:fill="auto"/>
            <w:vAlign w:val="center"/>
          </w:tcPr>
          <w:p w14:paraId="602736CA" w14:textId="77777777" w:rsidR="00E84E4D" w:rsidRPr="006F2CD5" w:rsidRDefault="00E84E4D" w:rsidP="00B52F4D">
            <w:pPr>
              <w:keepNext/>
              <w:keepLines/>
              <w:spacing w:before="40" w:after="40"/>
              <w:jc w:val="right"/>
              <w:rPr>
                <w:rFonts w:ascii="Arial" w:hAnsi="Arial" w:cs="Arial"/>
                <w:b/>
                <w:spacing w:val="-2"/>
                <w:sz w:val="14"/>
                <w:szCs w:val="18"/>
              </w:rPr>
            </w:pPr>
            <w:r>
              <w:rPr>
                <w:rFonts w:ascii="Arial" w:hAnsi="Arial" w:cs="Arial"/>
                <w:b/>
                <w:spacing w:val="-2"/>
                <w:sz w:val="14"/>
                <w:szCs w:val="18"/>
              </w:rPr>
              <w:t>3</w:t>
            </w:r>
            <w:r>
              <w:rPr>
                <w:rFonts w:ascii="Arial" w:hAnsi="Arial"/>
                <w:b/>
                <w:spacing w:val="-2"/>
                <w:sz w:val="14"/>
                <w:szCs w:val="18"/>
              </w:rPr>
              <w:t>1.12.2023</w:t>
            </w:r>
          </w:p>
        </w:tc>
      </w:tr>
      <w:tr w:rsidR="00E84E4D" w:rsidRPr="003735AD" w14:paraId="30545C67" w14:textId="77777777" w:rsidTr="00B52F4D">
        <w:trPr>
          <w:trHeight w:val="20"/>
          <w:jc w:val="center"/>
        </w:trPr>
        <w:tc>
          <w:tcPr>
            <w:tcW w:w="3456" w:type="pct"/>
            <w:tcBorders>
              <w:top w:val="single" w:sz="2" w:space="0" w:color="1F3864" w:themeColor="accent1" w:themeShade="80"/>
            </w:tcBorders>
            <w:shd w:val="clear" w:color="auto" w:fill="auto"/>
          </w:tcPr>
          <w:p w14:paraId="1D5FB59B" w14:textId="77777777" w:rsidR="00E84E4D" w:rsidRPr="008E4882" w:rsidRDefault="00E84E4D" w:rsidP="00B52F4D">
            <w:pPr>
              <w:pStyle w:val="08-Tabelageral"/>
              <w:jc w:val="left"/>
            </w:pPr>
            <w:r w:rsidRPr="00257FAD">
              <w:rPr>
                <w:b/>
              </w:rPr>
              <w:t>Dir</w:t>
            </w:r>
            <w:r>
              <w:rPr>
                <w:b/>
              </w:rPr>
              <w:t>igentes</w:t>
            </w:r>
            <w:r w:rsidRPr="00600172">
              <w:rPr>
                <w:rFonts w:cs="Arial"/>
                <w:b/>
                <w:bCs/>
                <w:szCs w:val="14"/>
                <w:vertAlign w:val="superscript"/>
              </w:rPr>
              <w:t xml:space="preserve"> (</w:t>
            </w:r>
            <w:r>
              <w:rPr>
                <w:rFonts w:cs="Arial"/>
                <w:b/>
                <w:bCs/>
                <w:szCs w:val="14"/>
                <w:vertAlign w:val="superscript"/>
              </w:rPr>
              <w:t>1</w:t>
            </w:r>
            <w:r w:rsidRPr="00600172">
              <w:rPr>
                <w:rFonts w:cs="Arial"/>
                <w:b/>
                <w:bCs/>
                <w:szCs w:val="14"/>
                <w:vertAlign w:val="superscript"/>
              </w:rPr>
              <w:t>)</w:t>
            </w:r>
          </w:p>
        </w:tc>
        <w:tc>
          <w:tcPr>
            <w:tcW w:w="735" w:type="pct"/>
            <w:tcBorders>
              <w:top w:val="single" w:sz="2" w:space="0" w:color="9CC2E5" w:themeColor="accent5" w:themeTint="99"/>
            </w:tcBorders>
            <w:shd w:val="clear" w:color="auto" w:fill="auto"/>
            <w:vAlign w:val="center"/>
          </w:tcPr>
          <w:p w14:paraId="7BC6AA49" w14:textId="77777777" w:rsidR="00E84E4D" w:rsidRPr="002B3532" w:rsidRDefault="00E84E4D" w:rsidP="00B52F4D">
            <w:pPr>
              <w:pStyle w:val="08-Tabelageral"/>
            </w:pPr>
          </w:p>
        </w:tc>
        <w:tc>
          <w:tcPr>
            <w:tcW w:w="809" w:type="pct"/>
            <w:tcBorders>
              <w:top w:val="single" w:sz="2" w:space="0" w:color="9CC2E5" w:themeColor="accent5" w:themeTint="99"/>
            </w:tcBorders>
            <w:shd w:val="clear" w:color="auto" w:fill="auto"/>
            <w:vAlign w:val="center"/>
          </w:tcPr>
          <w:p w14:paraId="0F7FAE74" w14:textId="77777777" w:rsidR="00E84E4D" w:rsidRPr="002B3532" w:rsidRDefault="00E84E4D" w:rsidP="00B52F4D">
            <w:pPr>
              <w:pStyle w:val="08-Tabelageral"/>
            </w:pPr>
          </w:p>
        </w:tc>
      </w:tr>
      <w:tr w:rsidR="00E84E4D" w:rsidRPr="0049410B" w14:paraId="5F0F0F59" w14:textId="77777777" w:rsidTr="00B52F4D">
        <w:trPr>
          <w:trHeight w:val="20"/>
          <w:jc w:val="center"/>
        </w:trPr>
        <w:tc>
          <w:tcPr>
            <w:tcW w:w="3456" w:type="pct"/>
            <w:shd w:val="clear" w:color="auto" w:fill="auto"/>
          </w:tcPr>
          <w:p w14:paraId="2F69A11A" w14:textId="77777777" w:rsidR="00E84E4D" w:rsidRPr="0078045C" w:rsidRDefault="00E84E4D" w:rsidP="00B52F4D">
            <w:pPr>
              <w:pStyle w:val="08-Tabelageral"/>
              <w:jc w:val="left"/>
            </w:pPr>
            <w:r w:rsidRPr="0078045C">
              <w:t xml:space="preserve">Menor </w:t>
            </w:r>
            <w:r>
              <w:t>remuneração</w:t>
            </w:r>
          </w:p>
        </w:tc>
        <w:tc>
          <w:tcPr>
            <w:tcW w:w="735" w:type="pct"/>
            <w:shd w:val="clear" w:color="auto" w:fill="auto"/>
            <w:vAlign w:val="center"/>
          </w:tcPr>
          <w:p w14:paraId="02563971" w14:textId="77777777" w:rsidR="00E84E4D" w:rsidRPr="00135901" w:rsidRDefault="00E84E4D" w:rsidP="00B52F4D">
            <w:pPr>
              <w:pStyle w:val="08-Tabelageral"/>
            </w:pPr>
            <w:r>
              <w:t>108.305,60</w:t>
            </w:r>
          </w:p>
        </w:tc>
        <w:tc>
          <w:tcPr>
            <w:tcW w:w="809" w:type="pct"/>
            <w:shd w:val="clear" w:color="auto" w:fill="auto"/>
            <w:vAlign w:val="center"/>
          </w:tcPr>
          <w:p w14:paraId="40E6531B" w14:textId="77777777" w:rsidR="00E84E4D" w:rsidRPr="002B3532" w:rsidRDefault="00E84E4D" w:rsidP="00B52F4D">
            <w:pPr>
              <w:pStyle w:val="08-Tabelageral"/>
            </w:pPr>
            <w:r w:rsidRPr="00BF2AAF">
              <w:rPr>
                <w:rFonts w:cs="Arial"/>
              </w:rPr>
              <w:t>99.193,09</w:t>
            </w:r>
          </w:p>
        </w:tc>
      </w:tr>
      <w:tr w:rsidR="00E84E4D" w:rsidRPr="0049410B" w14:paraId="2496E3C2" w14:textId="77777777" w:rsidTr="00B52F4D">
        <w:trPr>
          <w:trHeight w:val="20"/>
          <w:jc w:val="center"/>
        </w:trPr>
        <w:tc>
          <w:tcPr>
            <w:tcW w:w="3456" w:type="pct"/>
            <w:shd w:val="clear" w:color="auto" w:fill="auto"/>
          </w:tcPr>
          <w:p w14:paraId="5FCCA052" w14:textId="77777777" w:rsidR="00E84E4D" w:rsidRPr="0078045C" w:rsidRDefault="00E84E4D" w:rsidP="00B52F4D">
            <w:pPr>
              <w:pStyle w:val="08-Tabelageral"/>
              <w:jc w:val="left"/>
              <w:rPr>
                <w:b/>
              </w:rPr>
            </w:pPr>
            <w:r w:rsidRPr="0078045C">
              <w:t xml:space="preserve">Maior </w:t>
            </w:r>
            <w:r>
              <w:t>remuneração</w:t>
            </w:r>
          </w:p>
        </w:tc>
        <w:tc>
          <w:tcPr>
            <w:tcW w:w="735" w:type="pct"/>
            <w:shd w:val="clear" w:color="auto" w:fill="auto"/>
            <w:vAlign w:val="center"/>
          </w:tcPr>
          <w:p w14:paraId="482F6592" w14:textId="77777777" w:rsidR="00E84E4D" w:rsidRPr="002B3532" w:rsidRDefault="00E84E4D" w:rsidP="00B52F4D">
            <w:pPr>
              <w:pStyle w:val="08-Tabelageral"/>
            </w:pPr>
            <w:r>
              <w:t>118.610,93</w:t>
            </w:r>
          </w:p>
        </w:tc>
        <w:tc>
          <w:tcPr>
            <w:tcW w:w="809" w:type="pct"/>
            <w:shd w:val="clear" w:color="auto" w:fill="auto"/>
            <w:vAlign w:val="center"/>
          </w:tcPr>
          <w:p w14:paraId="5D586E93" w14:textId="77777777" w:rsidR="00E84E4D" w:rsidRPr="002B3532" w:rsidRDefault="00E84E4D" w:rsidP="00B52F4D">
            <w:pPr>
              <w:pStyle w:val="08-Tabelageral"/>
            </w:pPr>
            <w:r w:rsidRPr="00BF2AAF">
              <w:rPr>
                <w:rFonts w:cs="Arial"/>
              </w:rPr>
              <w:t>133.341,71</w:t>
            </w:r>
          </w:p>
        </w:tc>
      </w:tr>
      <w:tr w:rsidR="00E84E4D" w:rsidRPr="0049410B" w14:paraId="59C078F0" w14:textId="77777777" w:rsidTr="00B52F4D">
        <w:trPr>
          <w:trHeight w:val="20"/>
          <w:jc w:val="center"/>
        </w:trPr>
        <w:tc>
          <w:tcPr>
            <w:tcW w:w="3456" w:type="pct"/>
            <w:shd w:val="clear" w:color="auto" w:fill="auto"/>
          </w:tcPr>
          <w:p w14:paraId="4BAC4199" w14:textId="77777777" w:rsidR="00E84E4D" w:rsidRPr="0078045C" w:rsidRDefault="00E84E4D" w:rsidP="00B52F4D">
            <w:pPr>
              <w:pStyle w:val="08-Tabelageral"/>
              <w:jc w:val="left"/>
              <w:rPr>
                <w:b/>
              </w:rPr>
            </w:pPr>
            <w:r>
              <w:t>Remuneração média</w:t>
            </w:r>
          </w:p>
        </w:tc>
        <w:tc>
          <w:tcPr>
            <w:tcW w:w="735" w:type="pct"/>
            <w:shd w:val="clear" w:color="auto" w:fill="auto"/>
            <w:vAlign w:val="center"/>
          </w:tcPr>
          <w:p w14:paraId="2A5D664C" w14:textId="77777777" w:rsidR="00E84E4D" w:rsidRPr="002B3532" w:rsidRDefault="00E84E4D" w:rsidP="00B52F4D">
            <w:pPr>
              <w:pStyle w:val="08-Tabelageral"/>
            </w:pPr>
            <w:r>
              <w:t>113.458,56</w:t>
            </w:r>
          </w:p>
        </w:tc>
        <w:tc>
          <w:tcPr>
            <w:tcW w:w="809" w:type="pct"/>
            <w:shd w:val="clear" w:color="auto" w:fill="auto"/>
            <w:vAlign w:val="center"/>
          </w:tcPr>
          <w:p w14:paraId="5C2A31AC" w14:textId="77777777" w:rsidR="00E84E4D" w:rsidRPr="002B3532" w:rsidRDefault="00E84E4D" w:rsidP="00B52F4D">
            <w:pPr>
              <w:pStyle w:val="08-Tabelageral"/>
            </w:pPr>
            <w:r w:rsidRPr="005B3E8F">
              <w:t>114.120,48</w:t>
            </w:r>
          </w:p>
        </w:tc>
      </w:tr>
      <w:tr w:rsidR="00E84E4D" w:rsidRPr="0049410B" w14:paraId="71AC5AA7" w14:textId="77777777" w:rsidTr="00B52F4D">
        <w:trPr>
          <w:trHeight w:val="20"/>
          <w:jc w:val="center"/>
        </w:trPr>
        <w:tc>
          <w:tcPr>
            <w:tcW w:w="3456" w:type="pct"/>
            <w:shd w:val="clear" w:color="auto" w:fill="auto"/>
          </w:tcPr>
          <w:p w14:paraId="47EC66C7" w14:textId="77777777" w:rsidR="00E84E4D" w:rsidRPr="0078045C" w:rsidRDefault="00E84E4D" w:rsidP="00B52F4D">
            <w:pPr>
              <w:pStyle w:val="08-Tabelageral"/>
              <w:jc w:val="left"/>
              <w:rPr>
                <w:b/>
              </w:rPr>
            </w:pPr>
          </w:p>
        </w:tc>
        <w:tc>
          <w:tcPr>
            <w:tcW w:w="735" w:type="pct"/>
            <w:shd w:val="clear" w:color="auto" w:fill="auto"/>
            <w:vAlign w:val="center"/>
          </w:tcPr>
          <w:p w14:paraId="532FC718" w14:textId="77777777" w:rsidR="00E84E4D" w:rsidRPr="002B3532" w:rsidRDefault="00E84E4D" w:rsidP="00B52F4D">
            <w:pPr>
              <w:pStyle w:val="08-Tabelageral"/>
            </w:pPr>
          </w:p>
        </w:tc>
        <w:tc>
          <w:tcPr>
            <w:tcW w:w="809" w:type="pct"/>
            <w:shd w:val="clear" w:color="auto" w:fill="auto"/>
            <w:vAlign w:val="center"/>
          </w:tcPr>
          <w:p w14:paraId="6AF5C5A6" w14:textId="77777777" w:rsidR="00E84E4D" w:rsidRPr="002B3532" w:rsidRDefault="00E84E4D" w:rsidP="00B52F4D">
            <w:pPr>
              <w:pStyle w:val="08-Tabelageral"/>
            </w:pPr>
          </w:p>
        </w:tc>
      </w:tr>
      <w:tr w:rsidR="00E84E4D" w:rsidRPr="00A63FA4" w14:paraId="00499A75" w14:textId="77777777" w:rsidTr="00B52F4D">
        <w:trPr>
          <w:trHeight w:val="20"/>
          <w:jc w:val="center"/>
        </w:trPr>
        <w:tc>
          <w:tcPr>
            <w:tcW w:w="3456" w:type="pct"/>
            <w:shd w:val="clear" w:color="auto" w:fill="auto"/>
          </w:tcPr>
          <w:p w14:paraId="7C1EA17D" w14:textId="77777777" w:rsidR="00E84E4D" w:rsidRPr="009A3D96" w:rsidRDefault="00E84E4D" w:rsidP="00B52F4D">
            <w:pPr>
              <w:pStyle w:val="08-Tabelageral"/>
              <w:jc w:val="left"/>
              <w:rPr>
                <w:b/>
                <w:bCs/>
              </w:rPr>
            </w:pPr>
            <w:r w:rsidRPr="00E6721C">
              <w:rPr>
                <w:b/>
                <w:bCs/>
              </w:rPr>
              <w:t xml:space="preserve">Funcionários </w:t>
            </w:r>
            <w:r w:rsidRPr="00E6721C">
              <w:rPr>
                <w:b/>
                <w:bCs/>
                <w:vertAlign w:val="superscript"/>
              </w:rPr>
              <w:t>(2)</w:t>
            </w:r>
          </w:p>
        </w:tc>
        <w:tc>
          <w:tcPr>
            <w:tcW w:w="735" w:type="pct"/>
            <w:shd w:val="clear" w:color="auto" w:fill="auto"/>
            <w:vAlign w:val="bottom"/>
          </w:tcPr>
          <w:p w14:paraId="3E263D1C" w14:textId="77777777" w:rsidR="00E84E4D" w:rsidRPr="00372909" w:rsidRDefault="00E84E4D" w:rsidP="00B52F4D">
            <w:pPr>
              <w:pStyle w:val="08-Tabelageral"/>
            </w:pPr>
          </w:p>
        </w:tc>
        <w:tc>
          <w:tcPr>
            <w:tcW w:w="809" w:type="pct"/>
            <w:shd w:val="clear" w:color="auto" w:fill="auto"/>
            <w:vAlign w:val="center"/>
          </w:tcPr>
          <w:p w14:paraId="5C032905" w14:textId="77777777" w:rsidR="00E84E4D" w:rsidRPr="002B3532" w:rsidRDefault="00E84E4D" w:rsidP="00B52F4D">
            <w:pPr>
              <w:pStyle w:val="08-Tabelageral"/>
            </w:pPr>
          </w:p>
        </w:tc>
      </w:tr>
      <w:tr w:rsidR="00E84E4D" w:rsidRPr="00A63FA4" w14:paraId="748A52EB" w14:textId="77777777" w:rsidTr="00B52F4D">
        <w:trPr>
          <w:trHeight w:val="20"/>
          <w:jc w:val="center"/>
        </w:trPr>
        <w:tc>
          <w:tcPr>
            <w:tcW w:w="3456" w:type="pct"/>
            <w:shd w:val="clear" w:color="auto" w:fill="auto"/>
          </w:tcPr>
          <w:p w14:paraId="22B734BA" w14:textId="77777777" w:rsidR="00E84E4D" w:rsidRPr="00257FAD" w:rsidRDefault="00E84E4D" w:rsidP="00B52F4D">
            <w:pPr>
              <w:pStyle w:val="08-Tabelageral"/>
              <w:jc w:val="left"/>
              <w:rPr>
                <w:b/>
              </w:rPr>
            </w:pPr>
            <w:r w:rsidRPr="0078045C">
              <w:t xml:space="preserve">Menor </w:t>
            </w:r>
            <w:r>
              <w:t>remuneração</w:t>
            </w:r>
          </w:p>
        </w:tc>
        <w:tc>
          <w:tcPr>
            <w:tcW w:w="735" w:type="pct"/>
            <w:shd w:val="clear" w:color="auto" w:fill="auto"/>
            <w:vAlign w:val="bottom"/>
          </w:tcPr>
          <w:p w14:paraId="696E7C37" w14:textId="77777777" w:rsidR="00E84E4D" w:rsidRPr="002B3532" w:rsidRDefault="00E84E4D" w:rsidP="00B52F4D">
            <w:pPr>
              <w:pStyle w:val="08-Tabelageral"/>
            </w:pPr>
            <w:r>
              <w:t>11.956,95</w:t>
            </w:r>
          </w:p>
        </w:tc>
        <w:tc>
          <w:tcPr>
            <w:tcW w:w="809" w:type="pct"/>
            <w:shd w:val="clear" w:color="auto" w:fill="auto"/>
            <w:vAlign w:val="center"/>
          </w:tcPr>
          <w:p w14:paraId="4EA03E7E" w14:textId="77777777" w:rsidR="00E84E4D" w:rsidRPr="002B3532" w:rsidRDefault="00E84E4D" w:rsidP="00B52F4D">
            <w:pPr>
              <w:pStyle w:val="08-Tabelageral"/>
            </w:pPr>
            <w:r w:rsidRPr="005B3E8F">
              <w:t>10.567,97</w:t>
            </w:r>
          </w:p>
        </w:tc>
      </w:tr>
      <w:tr w:rsidR="00E84E4D" w:rsidRPr="0049410B" w14:paraId="0925AAF4" w14:textId="77777777" w:rsidTr="00B52F4D">
        <w:trPr>
          <w:trHeight w:val="20"/>
          <w:jc w:val="center"/>
        </w:trPr>
        <w:tc>
          <w:tcPr>
            <w:tcW w:w="3456" w:type="pct"/>
            <w:shd w:val="clear" w:color="auto" w:fill="auto"/>
          </w:tcPr>
          <w:p w14:paraId="799BF7D4" w14:textId="77777777" w:rsidR="00E84E4D" w:rsidRPr="0078045C" w:rsidRDefault="00E84E4D" w:rsidP="00B52F4D">
            <w:pPr>
              <w:pStyle w:val="08-Tabelageral"/>
              <w:jc w:val="left"/>
              <w:rPr>
                <w:b/>
              </w:rPr>
            </w:pPr>
            <w:r w:rsidRPr="0078045C">
              <w:t xml:space="preserve">Maior </w:t>
            </w:r>
            <w:r>
              <w:t>remuneração</w:t>
            </w:r>
          </w:p>
        </w:tc>
        <w:tc>
          <w:tcPr>
            <w:tcW w:w="735" w:type="pct"/>
            <w:shd w:val="clear" w:color="auto" w:fill="auto"/>
          </w:tcPr>
          <w:p w14:paraId="6F7F86F5" w14:textId="77777777" w:rsidR="00E84E4D" w:rsidRPr="002B3532" w:rsidRDefault="00E84E4D" w:rsidP="00B52F4D">
            <w:pPr>
              <w:pStyle w:val="08-Tabelageral"/>
            </w:pPr>
            <w:r>
              <w:t>80.083,39</w:t>
            </w:r>
          </w:p>
        </w:tc>
        <w:tc>
          <w:tcPr>
            <w:tcW w:w="809" w:type="pct"/>
            <w:shd w:val="clear" w:color="auto" w:fill="auto"/>
          </w:tcPr>
          <w:p w14:paraId="0A696A74" w14:textId="77777777" w:rsidR="00E84E4D" w:rsidRPr="002B3532" w:rsidRDefault="00E84E4D" w:rsidP="00B52F4D">
            <w:pPr>
              <w:pStyle w:val="08-Tabelageral"/>
            </w:pPr>
            <w:r w:rsidRPr="00BF2AAF">
              <w:rPr>
                <w:rFonts w:cs="Arial"/>
              </w:rPr>
              <w:t>79.225,40</w:t>
            </w:r>
          </w:p>
        </w:tc>
      </w:tr>
      <w:tr w:rsidR="00E84E4D" w:rsidRPr="0049410B" w14:paraId="78DEB5E3" w14:textId="77777777" w:rsidTr="00B91DFB">
        <w:trPr>
          <w:trHeight w:val="20"/>
          <w:jc w:val="center"/>
        </w:trPr>
        <w:tc>
          <w:tcPr>
            <w:tcW w:w="3456" w:type="pct"/>
            <w:tcBorders>
              <w:bottom w:val="nil"/>
            </w:tcBorders>
            <w:shd w:val="clear" w:color="auto" w:fill="auto"/>
          </w:tcPr>
          <w:p w14:paraId="051BF8B5" w14:textId="77777777" w:rsidR="00E84E4D" w:rsidRPr="00372909" w:rsidRDefault="00E84E4D" w:rsidP="00B52F4D">
            <w:pPr>
              <w:pStyle w:val="08-Tabelageral"/>
              <w:jc w:val="left"/>
            </w:pPr>
            <w:r>
              <w:t>Remuneração média</w:t>
            </w:r>
          </w:p>
        </w:tc>
        <w:tc>
          <w:tcPr>
            <w:tcW w:w="735" w:type="pct"/>
            <w:tcBorders>
              <w:bottom w:val="nil"/>
            </w:tcBorders>
            <w:shd w:val="clear" w:color="auto" w:fill="auto"/>
            <w:vAlign w:val="center"/>
          </w:tcPr>
          <w:p w14:paraId="1D20F5B9" w14:textId="77777777" w:rsidR="00E84E4D" w:rsidRPr="002B3532" w:rsidRDefault="00E84E4D" w:rsidP="00B52F4D">
            <w:pPr>
              <w:pStyle w:val="08-Tabelageral"/>
            </w:pPr>
            <w:r>
              <w:t>28.145,07</w:t>
            </w:r>
          </w:p>
        </w:tc>
        <w:tc>
          <w:tcPr>
            <w:tcW w:w="809" w:type="pct"/>
            <w:tcBorders>
              <w:bottom w:val="nil"/>
            </w:tcBorders>
            <w:shd w:val="clear" w:color="auto" w:fill="auto"/>
            <w:vAlign w:val="center"/>
          </w:tcPr>
          <w:p w14:paraId="147F7601" w14:textId="77777777" w:rsidR="00E84E4D" w:rsidRPr="005B3E8F" w:rsidRDefault="00E84E4D" w:rsidP="00B52F4D">
            <w:pPr>
              <w:pStyle w:val="08-Tabelageral"/>
              <w:spacing w:before="0"/>
              <w:rPr>
                <w:rFonts w:cs="Arial"/>
              </w:rPr>
            </w:pPr>
            <w:r w:rsidRPr="00BF2AAF">
              <w:rPr>
                <w:rFonts w:cs="Arial"/>
              </w:rPr>
              <w:t>27.482,67</w:t>
            </w:r>
          </w:p>
        </w:tc>
      </w:tr>
      <w:tr w:rsidR="00E84E4D" w:rsidRPr="0049410B" w14:paraId="4C2A06A2" w14:textId="77777777" w:rsidTr="00B91DFB">
        <w:trPr>
          <w:trHeight w:val="20"/>
          <w:jc w:val="center"/>
        </w:trPr>
        <w:tc>
          <w:tcPr>
            <w:tcW w:w="3456" w:type="pct"/>
            <w:tcBorders>
              <w:top w:val="nil"/>
              <w:bottom w:val="single" w:sz="2" w:space="0" w:color="222A35" w:themeColor="text2" w:themeShade="80"/>
            </w:tcBorders>
            <w:shd w:val="clear" w:color="auto" w:fill="auto"/>
          </w:tcPr>
          <w:p w14:paraId="12F4C825" w14:textId="77777777" w:rsidR="00E84E4D" w:rsidRDefault="00E84E4D" w:rsidP="00B52F4D">
            <w:pPr>
              <w:pStyle w:val="08-Tabelageral"/>
              <w:jc w:val="left"/>
            </w:pPr>
            <w:r w:rsidRPr="00372909">
              <w:t xml:space="preserve">Benefícios </w:t>
            </w:r>
            <w:r w:rsidRPr="00E6721C">
              <w:rPr>
                <w:vertAlign w:val="superscript"/>
              </w:rPr>
              <w:t>(3)</w:t>
            </w:r>
          </w:p>
        </w:tc>
        <w:tc>
          <w:tcPr>
            <w:tcW w:w="735" w:type="pct"/>
            <w:tcBorders>
              <w:top w:val="nil"/>
              <w:bottom w:val="single" w:sz="2" w:space="0" w:color="222A35" w:themeColor="text2" w:themeShade="80"/>
            </w:tcBorders>
            <w:shd w:val="clear" w:color="auto" w:fill="auto"/>
            <w:vAlign w:val="center"/>
          </w:tcPr>
          <w:p w14:paraId="53AEDE86" w14:textId="77777777" w:rsidR="00E84E4D" w:rsidRPr="00372909" w:rsidRDefault="00E84E4D" w:rsidP="00B52F4D">
            <w:pPr>
              <w:pStyle w:val="08-Tabelageral"/>
            </w:pPr>
            <w:r>
              <w:t>5.541,51</w:t>
            </w:r>
          </w:p>
        </w:tc>
        <w:tc>
          <w:tcPr>
            <w:tcW w:w="809" w:type="pct"/>
            <w:tcBorders>
              <w:top w:val="nil"/>
              <w:bottom w:val="single" w:sz="2" w:space="0" w:color="222A35" w:themeColor="text2" w:themeShade="80"/>
            </w:tcBorders>
            <w:shd w:val="clear" w:color="auto" w:fill="auto"/>
            <w:vAlign w:val="center"/>
          </w:tcPr>
          <w:p w14:paraId="769BA586" w14:textId="77777777" w:rsidR="00E84E4D" w:rsidRPr="002B3532" w:rsidRDefault="00E84E4D" w:rsidP="00B52F4D">
            <w:pPr>
              <w:pStyle w:val="08-Tabelageral"/>
            </w:pPr>
            <w:r w:rsidRPr="005B3E8F">
              <w:t>5.042,20</w:t>
            </w:r>
          </w:p>
        </w:tc>
      </w:tr>
    </w:tbl>
    <w:p w14:paraId="034D3F8F" w14:textId="77777777" w:rsidR="008B4634" w:rsidRPr="004A36F9" w:rsidRDefault="008B4634" w:rsidP="002C3B56">
      <w:pPr>
        <w:pStyle w:val="paragraph"/>
        <w:numPr>
          <w:ilvl w:val="0"/>
          <w:numId w:val="31"/>
        </w:numPr>
        <w:spacing w:before="0" w:beforeAutospacing="0" w:after="60" w:afterAutospacing="0"/>
        <w:ind w:left="425" w:hanging="357"/>
        <w:jc w:val="both"/>
        <w:textAlignment w:val="baseline"/>
        <w:rPr>
          <w:rFonts w:ascii="Arial" w:hAnsi="Arial" w:cs="Arial"/>
          <w:sz w:val="14"/>
          <w:szCs w:val="14"/>
        </w:rPr>
      </w:pPr>
      <w:r w:rsidRPr="004A36F9">
        <w:rPr>
          <w:rStyle w:val="normaltextrun"/>
          <w:rFonts w:ascii="Arial" w:eastAsia="MS Mincho" w:hAnsi="Arial" w:cs="Arial"/>
          <w:sz w:val="14"/>
          <w:szCs w:val="14"/>
        </w:rPr>
        <w:t>Remuneração média mensal do período dos Diretores que tenham exercido o cargo durante todos os meses do respectivo período, incluindo o Diretor-Presidente, considerando remuneração variável e os benefícios oferecidos, exceto encargos sociais. </w:t>
      </w:r>
      <w:r w:rsidRPr="004A36F9">
        <w:rPr>
          <w:rStyle w:val="eop"/>
          <w:rFonts w:ascii="Arial" w:hAnsi="Arial" w:cs="Arial"/>
          <w:sz w:val="14"/>
          <w:szCs w:val="14"/>
        </w:rPr>
        <w:t> </w:t>
      </w:r>
    </w:p>
    <w:p w14:paraId="458C0819" w14:textId="77777777" w:rsidR="008B4634" w:rsidRPr="004A36F9" w:rsidRDefault="008B4634" w:rsidP="002C3B56">
      <w:pPr>
        <w:pStyle w:val="paragraph"/>
        <w:numPr>
          <w:ilvl w:val="0"/>
          <w:numId w:val="31"/>
        </w:numPr>
        <w:spacing w:before="0" w:beforeAutospacing="0" w:after="60" w:afterAutospacing="0"/>
        <w:ind w:left="425" w:hanging="357"/>
        <w:jc w:val="both"/>
        <w:textAlignment w:val="baseline"/>
        <w:rPr>
          <w:rFonts w:ascii="Arial" w:hAnsi="Arial" w:cs="Arial"/>
          <w:sz w:val="14"/>
          <w:szCs w:val="14"/>
        </w:rPr>
      </w:pPr>
      <w:r w:rsidRPr="004A36F9">
        <w:rPr>
          <w:rStyle w:val="normaltextrun"/>
          <w:rFonts w:ascii="Arial" w:eastAsia="MS Mincho" w:hAnsi="Arial" w:cs="Arial"/>
          <w:sz w:val="14"/>
          <w:szCs w:val="14"/>
        </w:rPr>
        <w:t>Remuneração média mensal do período dos Funcionários que tenham permanecido na empresa durante todos os meses do respectivo período, considerando as despesas com salários, vantagens pessoais, comissões, gratificações, adicionais, horas extras e outras despesas vinculadas à remuneração, incluindo os benefícios oferecidos, exceto encargos sociais.</w:t>
      </w:r>
      <w:r w:rsidRPr="004A36F9">
        <w:rPr>
          <w:rStyle w:val="eop"/>
          <w:rFonts w:ascii="Arial" w:hAnsi="Arial" w:cs="Arial"/>
          <w:sz w:val="14"/>
          <w:szCs w:val="14"/>
        </w:rPr>
        <w:t> </w:t>
      </w:r>
    </w:p>
    <w:p w14:paraId="281F74F0" w14:textId="77777777" w:rsidR="008B4634" w:rsidRPr="005B3E8F" w:rsidRDefault="008B4634" w:rsidP="002C3B56">
      <w:pPr>
        <w:pStyle w:val="paragraph"/>
        <w:numPr>
          <w:ilvl w:val="0"/>
          <w:numId w:val="31"/>
        </w:numPr>
        <w:spacing w:before="0" w:beforeAutospacing="0" w:after="0" w:afterAutospacing="0"/>
        <w:ind w:left="426"/>
        <w:jc w:val="both"/>
        <w:textAlignment w:val="baseline"/>
        <w:rPr>
          <w:rFonts w:ascii="Arial" w:hAnsi="Arial" w:cs="Arial"/>
          <w:sz w:val="14"/>
          <w:szCs w:val="14"/>
        </w:rPr>
      </w:pPr>
      <w:r w:rsidRPr="00F872D1">
        <w:rPr>
          <w:rStyle w:val="normaltextrun"/>
          <w:rFonts w:ascii="Arial" w:eastAsia="MS Mincho" w:hAnsi="Arial" w:cs="Arial"/>
          <w:sz w:val="14"/>
          <w:szCs w:val="14"/>
        </w:rPr>
        <w:t>Valor médio global dos benefícios oferecidos aos Funcionários, considerando, por exemplo, assistências médica e odontológica, auxílios alimentação e refeição, auxílio creche, auxílio transporte, previdência complementar.</w:t>
      </w:r>
      <w:bookmarkEnd w:id="141"/>
      <w:r w:rsidRPr="004A36F9">
        <w:rPr>
          <w:rStyle w:val="eop"/>
          <w:rFonts w:ascii="Arial" w:hAnsi="Arial" w:cs="Arial"/>
          <w:sz w:val="14"/>
          <w:szCs w:val="14"/>
        </w:rPr>
        <w:t> </w:t>
      </w:r>
    </w:p>
    <w:p w14:paraId="16BF5F74" w14:textId="4D70B386" w:rsidR="00CC091A" w:rsidRPr="00BF2AAF" w:rsidRDefault="006D5E0F" w:rsidP="00CC091A">
      <w:pPr>
        <w:pStyle w:val="Ttulo1"/>
        <w:pageBreakBefore/>
        <w:spacing w:line="259" w:lineRule="auto"/>
        <w:jc w:val="both"/>
        <w:rPr>
          <w:rFonts w:ascii="Arial" w:hAnsi="Arial" w:cs="Arial"/>
          <w:b/>
          <w:color w:val="1F3864" w:themeColor="accent1" w:themeShade="80"/>
          <w:sz w:val="20"/>
          <w:szCs w:val="20"/>
        </w:rPr>
      </w:pPr>
      <w:bookmarkStart w:id="147" w:name="_Toc189757093"/>
      <w:r>
        <w:rPr>
          <w:rFonts w:ascii="Arial" w:hAnsi="Arial" w:cs="Arial"/>
          <w:b/>
          <w:color w:val="1F3864" w:themeColor="accent1" w:themeShade="80"/>
          <w:sz w:val="20"/>
          <w:szCs w:val="20"/>
        </w:rPr>
        <w:lastRenderedPageBreak/>
        <w:t>27</w:t>
      </w:r>
      <w:r w:rsidR="00CC091A" w:rsidRPr="00BF2AAF">
        <w:rPr>
          <w:rFonts w:ascii="Arial" w:hAnsi="Arial" w:cs="Arial"/>
          <w:b/>
          <w:color w:val="1F3864" w:themeColor="accent1" w:themeShade="80"/>
          <w:sz w:val="20"/>
          <w:szCs w:val="20"/>
        </w:rPr>
        <w:t xml:space="preserve"> – OUTRAS INFORMAÇÕES</w:t>
      </w:r>
      <w:bookmarkEnd w:id="147"/>
    </w:p>
    <w:p w14:paraId="26C426DC" w14:textId="77777777" w:rsidR="00486B4D" w:rsidRPr="00BC3505" w:rsidRDefault="00486B4D" w:rsidP="00486B4D">
      <w:pPr>
        <w:pStyle w:val="Ttulo1"/>
        <w:rPr>
          <w:rFonts w:ascii="Arial" w:hAnsi="Arial" w:cs="Arial"/>
          <w:b/>
          <w:color w:val="1F3864" w:themeColor="accent1" w:themeShade="80"/>
          <w:sz w:val="18"/>
          <w:szCs w:val="18"/>
        </w:rPr>
      </w:pPr>
      <w:bookmarkStart w:id="148" w:name="_Toc189757094"/>
      <w:bookmarkStart w:id="149" w:name="_Toc141960103"/>
      <w:bookmarkStart w:id="150" w:name="MA"/>
      <w:r w:rsidRPr="00BC3505">
        <w:rPr>
          <w:rFonts w:ascii="Arial" w:hAnsi="Arial" w:cs="Arial"/>
          <w:b/>
          <w:color w:val="1F3864" w:themeColor="accent1" w:themeShade="80"/>
          <w:sz w:val="18"/>
          <w:szCs w:val="18"/>
        </w:rPr>
        <w:t>Teste de imparidade</w:t>
      </w:r>
      <w:bookmarkEnd w:id="148"/>
    </w:p>
    <w:p w14:paraId="4E13878F" w14:textId="77777777" w:rsidR="00486B4D" w:rsidRDefault="00486B4D" w:rsidP="00486B4D">
      <w:pPr>
        <w:pStyle w:val="05-Textonormal"/>
      </w:pPr>
      <w:r>
        <w:t>No exercício de 2024, não foram identificados, na avaliação aprovada pela Diretoria Colegiada da Companhia, ativos com indícios de desvalorização</w:t>
      </w:r>
      <w:r w:rsidRPr="00EB4EBD">
        <w:t>.</w:t>
      </w:r>
      <w:r>
        <w:t xml:space="preserve"> Para os ativos sujeitos ao teste de imparidade, </w:t>
      </w:r>
      <w:r w:rsidRPr="00004619">
        <w:t>o valor recuperável obtido foi superior ao saldo contábil dos investimentos e ágio, quando existente, não havendo necessidade de registro de perda por desvalorização destes ativos.</w:t>
      </w:r>
    </w:p>
    <w:p w14:paraId="5E445748" w14:textId="77777777" w:rsidR="00486B4D" w:rsidRDefault="00486B4D" w:rsidP="00486B4D">
      <w:pPr>
        <w:pStyle w:val="05-Textonormal"/>
      </w:pPr>
      <w:r>
        <w:t xml:space="preserve">O teste de imparidade consiste no levantamento de indícios de perdas vinculadas a cada ativo contabilizado nas demonstrações e, no caso do valor dos investimentos em participações, também engloba a realização de estudo para demonstrar o valor econômico das empresas pertencentes ao Grupo BB Seguros “Grupo”. O cálculo do valor econômico das empresas </w:t>
      </w:r>
      <w:proofErr w:type="spellStart"/>
      <w:r>
        <w:t>Brasilseg</w:t>
      </w:r>
      <w:proofErr w:type="spellEnd"/>
      <w:r>
        <w:t xml:space="preserve">, Brasilprev, </w:t>
      </w:r>
      <w:proofErr w:type="spellStart"/>
      <w:r>
        <w:t>Brasilcap</w:t>
      </w:r>
      <w:proofErr w:type="spellEnd"/>
      <w:r>
        <w:t xml:space="preserve">, </w:t>
      </w:r>
      <w:proofErr w:type="spellStart"/>
      <w:r>
        <w:t>Brasildental</w:t>
      </w:r>
      <w:proofErr w:type="spellEnd"/>
      <w:r>
        <w:t xml:space="preserve"> e BB Corretora foi apurado por meio do método de fluxo de dividendos descontados. Para a BB Seguros e BB Seguridade, por serem holdings, foram considerados os valores dos seus investimentos adicionados de saldos em caixa.</w:t>
      </w:r>
    </w:p>
    <w:p w14:paraId="7ED5594B" w14:textId="77777777" w:rsidR="00486B4D" w:rsidRPr="00F32A43" w:rsidRDefault="00486B4D" w:rsidP="00486B4D">
      <w:pPr>
        <w:pStyle w:val="05-Textonormal"/>
      </w:pPr>
      <w:r>
        <w:t>Para a finalidade do teste de imparidade das participações, citado no parágrafo anterior foram consideradas as seguintes premissas</w:t>
      </w:r>
      <w:r w:rsidRPr="00F32A43">
        <w:t>:</w:t>
      </w:r>
    </w:p>
    <w:p w14:paraId="59CF80EA" w14:textId="77777777" w:rsidR="00486B4D" w:rsidRPr="00C2724A" w:rsidRDefault="00486B4D" w:rsidP="00486B4D">
      <w:pPr>
        <w:pStyle w:val="PargrafodaLista"/>
        <w:ind w:left="1065" w:hanging="705"/>
        <w:jc w:val="both"/>
        <w:rPr>
          <w:rFonts w:ascii="Arial" w:eastAsia="Times New Roman" w:hAnsi="Arial" w:cs="Times New Roman"/>
          <w:spacing w:val="-2"/>
          <w:sz w:val="18"/>
          <w:szCs w:val="18"/>
          <w:lang w:eastAsia="pt-BR"/>
        </w:rPr>
      </w:pPr>
      <w:r w:rsidRPr="00F32A43">
        <w:rPr>
          <w:rFonts w:ascii="Arial" w:eastAsia="Times New Roman" w:hAnsi="Arial" w:cs="Times New Roman"/>
          <w:spacing w:val="-2"/>
          <w:sz w:val="18"/>
          <w:szCs w:val="18"/>
          <w:lang w:eastAsia="pt-BR"/>
        </w:rPr>
        <w:t>•</w:t>
      </w:r>
      <w:r w:rsidRPr="00F32A43">
        <w:rPr>
          <w:rFonts w:ascii="Arial" w:eastAsia="Times New Roman" w:hAnsi="Arial" w:cs="Times New Roman"/>
          <w:spacing w:val="-2"/>
          <w:sz w:val="18"/>
          <w:szCs w:val="18"/>
          <w:lang w:eastAsia="pt-BR"/>
        </w:rPr>
        <w:tab/>
      </w:r>
      <w:r>
        <w:rPr>
          <w:rFonts w:ascii="Arial" w:eastAsia="Times New Roman" w:hAnsi="Arial" w:cs="Times New Roman"/>
          <w:spacing w:val="-2"/>
          <w:sz w:val="18"/>
          <w:szCs w:val="18"/>
          <w:lang w:eastAsia="pt-BR"/>
        </w:rPr>
        <w:t>Lucro Líquido</w:t>
      </w:r>
      <w:r w:rsidRPr="00F32A43">
        <w:rPr>
          <w:rFonts w:ascii="Arial" w:eastAsia="Times New Roman" w:hAnsi="Arial" w:cs="Times New Roman"/>
          <w:spacing w:val="-2"/>
          <w:sz w:val="18"/>
          <w:szCs w:val="18"/>
          <w:lang w:eastAsia="pt-BR"/>
        </w:rPr>
        <w:t xml:space="preserve">: </w:t>
      </w:r>
      <w:r>
        <w:rPr>
          <w:rFonts w:ascii="Arial" w:eastAsia="Times New Roman" w:hAnsi="Arial" w:cs="Times New Roman"/>
          <w:spacing w:val="-2"/>
          <w:sz w:val="18"/>
          <w:szCs w:val="18"/>
          <w:lang w:eastAsia="pt-BR"/>
        </w:rPr>
        <w:t>p</w:t>
      </w:r>
      <w:r w:rsidRPr="008C2CCD">
        <w:rPr>
          <w:rFonts w:ascii="Arial" w:eastAsia="Times New Roman" w:hAnsi="Arial" w:cs="Times New Roman"/>
          <w:spacing w:val="-2"/>
          <w:sz w:val="18"/>
          <w:szCs w:val="18"/>
          <w:lang w:eastAsia="pt-BR"/>
        </w:rPr>
        <w:t xml:space="preserve">ara o período explícito de projeções foram utilizadas as expectativas de lucro líquido da Gerência de Controladoria sobre as quais foram aplicados índices </w:t>
      </w:r>
      <w:proofErr w:type="spellStart"/>
      <w:r w:rsidRPr="004D3618">
        <w:rPr>
          <w:rFonts w:ascii="Arial" w:eastAsia="Times New Roman" w:hAnsi="Arial" w:cs="Times New Roman"/>
          <w:i/>
          <w:spacing w:val="-2"/>
          <w:sz w:val="18"/>
          <w:szCs w:val="18"/>
          <w:lang w:eastAsia="pt-BR"/>
        </w:rPr>
        <w:t>payout</w:t>
      </w:r>
      <w:proofErr w:type="spellEnd"/>
      <w:r w:rsidRPr="008C2CCD">
        <w:rPr>
          <w:rFonts w:ascii="Arial" w:eastAsia="Times New Roman" w:hAnsi="Arial" w:cs="Times New Roman"/>
          <w:spacing w:val="-2"/>
          <w:sz w:val="18"/>
          <w:szCs w:val="18"/>
          <w:lang w:eastAsia="pt-BR"/>
        </w:rPr>
        <w:t xml:space="preserve"> que melhor reflitam as expectativas de cada investida</w:t>
      </w:r>
      <w:r w:rsidRPr="00F32A43">
        <w:rPr>
          <w:rFonts w:ascii="Arial" w:eastAsia="Times New Roman" w:hAnsi="Arial" w:cs="Times New Roman"/>
          <w:spacing w:val="-2"/>
          <w:sz w:val="18"/>
          <w:szCs w:val="18"/>
          <w:lang w:eastAsia="pt-BR"/>
        </w:rPr>
        <w:t>;</w:t>
      </w:r>
    </w:p>
    <w:p w14:paraId="089175CA" w14:textId="77777777" w:rsidR="00486B4D" w:rsidRPr="00225638" w:rsidRDefault="00486B4D" w:rsidP="00486B4D">
      <w:pPr>
        <w:pStyle w:val="PargrafodaLista"/>
        <w:ind w:left="1065" w:hanging="705"/>
        <w:jc w:val="both"/>
        <w:rPr>
          <w:rFonts w:ascii="Arial" w:eastAsia="Times New Roman" w:hAnsi="Arial" w:cs="Times New Roman"/>
          <w:spacing w:val="-2"/>
          <w:sz w:val="18"/>
          <w:szCs w:val="18"/>
          <w:lang w:eastAsia="pt-BR"/>
        </w:rPr>
      </w:pPr>
      <w:r w:rsidRPr="00F32A43">
        <w:rPr>
          <w:rFonts w:ascii="Arial" w:eastAsia="Times New Roman" w:hAnsi="Arial" w:cs="Times New Roman"/>
          <w:spacing w:val="-2"/>
          <w:sz w:val="18"/>
          <w:szCs w:val="18"/>
          <w:lang w:eastAsia="pt-BR"/>
        </w:rPr>
        <w:t>•</w:t>
      </w:r>
      <w:r w:rsidRPr="00F32A43">
        <w:rPr>
          <w:rFonts w:ascii="Arial" w:eastAsia="Times New Roman" w:hAnsi="Arial" w:cs="Times New Roman"/>
          <w:spacing w:val="-2"/>
          <w:sz w:val="18"/>
          <w:szCs w:val="18"/>
          <w:lang w:eastAsia="pt-BR"/>
        </w:rPr>
        <w:tab/>
      </w:r>
      <w:r>
        <w:rPr>
          <w:rFonts w:ascii="Arial" w:eastAsia="Times New Roman" w:hAnsi="Arial" w:cs="Times New Roman"/>
          <w:spacing w:val="-2"/>
          <w:sz w:val="18"/>
          <w:szCs w:val="18"/>
          <w:lang w:eastAsia="pt-BR"/>
        </w:rPr>
        <w:t>Taxa de desconto</w:t>
      </w:r>
      <w:r w:rsidRPr="00F32A43">
        <w:rPr>
          <w:rFonts w:ascii="Arial" w:eastAsia="Times New Roman" w:hAnsi="Arial" w:cs="Times New Roman"/>
          <w:spacing w:val="-2"/>
          <w:sz w:val="18"/>
          <w:szCs w:val="18"/>
          <w:lang w:eastAsia="pt-BR"/>
        </w:rPr>
        <w:t xml:space="preserve">: </w:t>
      </w:r>
      <w:r>
        <w:rPr>
          <w:rFonts w:ascii="Arial" w:eastAsia="Times New Roman" w:hAnsi="Arial" w:cs="Times New Roman"/>
          <w:spacing w:val="-2"/>
          <w:sz w:val="18"/>
          <w:szCs w:val="18"/>
          <w:lang w:eastAsia="pt-BR"/>
        </w:rPr>
        <w:t>p</w:t>
      </w:r>
      <w:r w:rsidRPr="008C2CCD">
        <w:rPr>
          <w:rFonts w:ascii="Arial" w:eastAsia="Times New Roman" w:hAnsi="Arial" w:cs="Times New Roman"/>
          <w:spacing w:val="-2"/>
          <w:sz w:val="18"/>
          <w:szCs w:val="18"/>
          <w:lang w:eastAsia="pt-BR"/>
        </w:rPr>
        <w:t>ara o estudo foi utilizado a Taxa Mínima de Atratividade (TMA) da BB Seguridade, aprovada pelo Conselho de Administração</w:t>
      </w:r>
      <w:r w:rsidRPr="00F32A43">
        <w:rPr>
          <w:rFonts w:ascii="Arial" w:eastAsia="Times New Roman" w:hAnsi="Arial" w:cs="Times New Roman"/>
          <w:spacing w:val="-2"/>
          <w:sz w:val="18"/>
          <w:szCs w:val="18"/>
          <w:lang w:eastAsia="pt-BR"/>
        </w:rPr>
        <w:t>;</w:t>
      </w:r>
    </w:p>
    <w:p w14:paraId="4F60859F" w14:textId="77777777" w:rsidR="00486B4D" w:rsidRPr="00C2724A" w:rsidRDefault="00486B4D" w:rsidP="00486B4D">
      <w:pPr>
        <w:pStyle w:val="PargrafodaLista"/>
        <w:ind w:left="1065" w:hanging="705"/>
        <w:jc w:val="both"/>
        <w:rPr>
          <w:rFonts w:ascii="Arial" w:eastAsia="Times New Roman" w:hAnsi="Arial" w:cs="Times New Roman"/>
          <w:spacing w:val="-2"/>
          <w:sz w:val="18"/>
          <w:szCs w:val="18"/>
          <w:lang w:eastAsia="pt-BR"/>
        </w:rPr>
      </w:pPr>
      <w:r w:rsidRPr="00F32A43">
        <w:rPr>
          <w:rFonts w:ascii="Arial" w:eastAsia="Times New Roman" w:hAnsi="Arial" w:cs="Times New Roman"/>
          <w:spacing w:val="-2"/>
          <w:sz w:val="18"/>
          <w:szCs w:val="18"/>
          <w:lang w:eastAsia="pt-BR"/>
        </w:rPr>
        <w:t>•</w:t>
      </w:r>
      <w:r w:rsidRPr="00F32A43">
        <w:rPr>
          <w:rFonts w:ascii="Arial" w:eastAsia="Times New Roman" w:hAnsi="Arial" w:cs="Times New Roman"/>
          <w:spacing w:val="-2"/>
          <w:sz w:val="18"/>
          <w:szCs w:val="18"/>
          <w:lang w:eastAsia="pt-BR"/>
        </w:rPr>
        <w:tab/>
      </w:r>
      <w:r>
        <w:rPr>
          <w:rFonts w:ascii="Arial" w:eastAsia="Times New Roman" w:hAnsi="Arial" w:cs="Times New Roman"/>
          <w:spacing w:val="-2"/>
          <w:sz w:val="18"/>
          <w:szCs w:val="18"/>
          <w:lang w:eastAsia="pt-BR"/>
        </w:rPr>
        <w:t>Perpetuidade</w:t>
      </w:r>
      <w:r w:rsidRPr="00F32A43">
        <w:rPr>
          <w:rFonts w:ascii="Arial" w:eastAsia="Times New Roman" w:hAnsi="Arial" w:cs="Times New Roman"/>
          <w:spacing w:val="-2"/>
          <w:sz w:val="18"/>
          <w:szCs w:val="18"/>
          <w:lang w:eastAsia="pt-BR"/>
        </w:rPr>
        <w:t xml:space="preserve">: </w:t>
      </w:r>
      <w:r>
        <w:rPr>
          <w:rFonts w:ascii="Arial" w:eastAsia="Times New Roman" w:hAnsi="Arial" w:cs="Times New Roman"/>
          <w:spacing w:val="-2"/>
          <w:sz w:val="18"/>
          <w:szCs w:val="18"/>
          <w:lang w:eastAsia="pt-BR"/>
        </w:rPr>
        <w:t>o</w:t>
      </w:r>
      <w:r w:rsidRPr="008C2CCD">
        <w:rPr>
          <w:rFonts w:ascii="Arial" w:eastAsia="Times New Roman" w:hAnsi="Arial" w:cs="Times New Roman"/>
          <w:spacing w:val="-2"/>
          <w:sz w:val="18"/>
          <w:szCs w:val="18"/>
          <w:lang w:eastAsia="pt-BR"/>
        </w:rPr>
        <w:t xml:space="preserve"> valor do negócio na perpetuidade foi calculado de acordo com o Modelo de Crescimento Constante ou Modelo de Gordon</w:t>
      </w:r>
      <w:r>
        <w:rPr>
          <w:rFonts w:ascii="Arial" w:eastAsia="Times New Roman" w:hAnsi="Arial" w:cs="Times New Roman"/>
          <w:spacing w:val="-2"/>
          <w:sz w:val="18"/>
          <w:szCs w:val="18"/>
          <w:lang w:eastAsia="pt-BR"/>
        </w:rPr>
        <w:t>.</w:t>
      </w:r>
    </w:p>
    <w:p w14:paraId="44F30A4A" w14:textId="77777777" w:rsidR="00486B4D" w:rsidRPr="00CB7F93" w:rsidRDefault="00486B4D" w:rsidP="00486B4D">
      <w:pPr>
        <w:jc w:val="both"/>
        <w:rPr>
          <w:rFonts w:ascii="Arial" w:eastAsia="Times New Roman" w:hAnsi="Arial" w:cs="Times New Roman"/>
          <w:spacing w:val="-2"/>
          <w:sz w:val="18"/>
          <w:szCs w:val="18"/>
          <w:lang w:eastAsia="pt-BR"/>
        </w:rPr>
      </w:pPr>
      <w:r>
        <w:rPr>
          <w:rFonts w:ascii="Arial" w:eastAsia="Times New Roman" w:hAnsi="Arial" w:cs="Times New Roman"/>
          <w:spacing w:val="-2"/>
          <w:sz w:val="18"/>
          <w:szCs w:val="18"/>
          <w:lang w:eastAsia="pt-BR"/>
        </w:rPr>
        <w:t xml:space="preserve">Complementarmente, para finalidade do estudo citado, foram utilizadas as alíquotas tributárias vigentes aplicáveis às empresas pertencentes ao Grupo e projeções internas de índices macroeconômico.  </w:t>
      </w:r>
    </w:p>
    <w:p w14:paraId="64BD93A2" w14:textId="77777777" w:rsidR="00800A07" w:rsidRDefault="00800A07">
      <w:pPr>
        <w:rPr>
          <w:rFonts w:cs="Arial"/>
          <w:color w:val="1F3864" w:themeColor="accent1" w:themeShade="80"/>
        </w:rPr>
        <w:sectPr w:rsidR="00800A07" w:rsidSect="009A10F0">
          <w:headerReference w:type="default" r:id="rId22"/>
          <w:footerReference w:type="default" r:id="rId23"/>
          <w:pgSz w:w="11906" w:h="16838" w:code="9"/>
          <w:pgMar w:top="1134" w:right="1134" w:bottom="851" w:left="1134" w:header="851" w:footer="284" w:gutter="0"/>
          <w:cols w:space="708"/>
          <w:docGrid w:linePitch="360"/>
        </w:sectPr>
      </w:pPr>
    </w:p>
    <w:p w14:paraId="0A770A69" w14:textId="169A55BD" w:rsidR="00DD14B8" w:rsidRPr="00DD14B8" w:rsidRDefault="00DD14B8" w:rsidP="00DD14B8">
      <w:pPr>
        <w:widowControl w:val="0"/>
        <w:autoSpaceDE w:val="0"/>
        <w:autoSpaceDN w:val="0"/>
        <w:spacing w:after="0" w:line="240" w:lineRule="auto"/>
        <w:ind w:left="229"/>
        <w:rPr>
          <w:rFonts w:ascii="Times New Roman" w:eastAsia="Calibri" w:hAnsi="Calibri" w:cs="Calibri"/>
          <w:sz w:val="20"/>
          <w:szCs w:val="19"/>
          <w:lang w:val="pt-PT" w:eastAsia="pt-PT" w:bidi="pt-PT"/>
        </w:rPr>
      </w:pPr>
      <w:r w:rsidRPr="00DD14B8">
        <w:rPr>
          <w:rFonts w:ascii="Times New Roman" w:eastAsia="Calibri" w:hAnsi="Calibri" w:cs="Calibri"/>
          <w:noProof/>
          <w:sz w:val="20"/>
          <w:szCs w:val="19"/>
          <w:lang w:val="pt-PT" w:eastAsia="pt-PT" w:bidi="pt-PT"/>
        </w:rPr>
        <w:lastRenderedPageBreak/>
        <mc:AlternateContent>
          <mc:Choice Requires="wpg">
            <w:drawing>
              <wp:inline distT="0" distB="0" distL="0" distR="0" wp14:anchorId="0B4811DD" wp14:editId="48E1B99B">
                <wp:extent cx="963930" cy="379095"/>
                <wp:effectExtent l="2540" t="6350" r="5080" b="5080"/>
                <wp:docPr id="293956562" name="Agrupar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3930" cy="379095"/>
                          <a:chOff x="0" y="0"/>
                          <a:chExt cx="1518" cy="597"/>
                        </a:xfrm>
                      </wpg:grpSpPr>
                      <wps:wsp>
                        <wps:cNvPr id="188665526" name="AutoShape 27"/>
                        <wps:cNvSpPr>
                          <a:spLocks/>
                        </wps:cNvSpPr>
                        <wps:spPr bwMode="auto">
                          <a:xfrm>
                            <a:off x="0" y="0"/>
                            <a:ext cx="1518" cy="597"/>
                          </a:xfrm>
                          <a:custGeom>
                            <a:avLst/>
                            <a:gdLst>
                              <a:gd name="T0" fmla="*/ 1099 w 1518"/>
                              <a:gd name="T1" fmla="*/ 520 h 597"/>
                              <a:gd name="T2" fmla="*/ 1183 w 1518"/>
                              <a:gd name="T3" fmla="*/ 590 h 597"/>
                              <a:gd name="T4" fmla="*/ 1318 w 1518"/>
                              <a:gd name="T5" fmla="*/ 592 h 597"/>
                              <a:gd name="T6" fmla="*/ 1269 w 1518"/>
                              <a:gd name="T7" fmla="*/ 535 h 597"/>
                              <a:gd name="T8" fmla="*/ 1191 w 1518"/>
                              <a:gd name="T9" fmla="*/ 467 h 597"/>
                              <a:gd name="T10" fmla="*/ 0 w 1518"/>
                              <a:gd name="T11" fmla="*/ 590 h 597"/>
                              <a:gd name="T12" fmla="*/ 1517 w 1518"/>
                              <a:gd name="T13" fmla="*/ 455 h 597"/>
                              <a:gd name="T14" fmla="*/ 134 w 1518"/>
                              <a:gd name="T15" fmla="*/ 403 h 597"/>
                              <a:gd name="T16" fmla="*/ 423 w 1518"/>
                              <a:gd name="T17" fmla="*/ 12 h 597"/>
                              <a:gd name="T18" fmla="*/ 187 w 1518"/>
                              <a:gd name="T19" fmla="*/ 590 h 597"/>
                              <a:gd name="T20" fmla="*/ 356 w 1518"/>
                              <a:gd name="T21" fmla="*/ 467 h 597"/>
                              <a:gd name="T22" fmla="*/ 723 w 1518"/>
                              <a:gd name="T23" fmla="*/ 467 h 597"/>
                              <a:gd name="T24" fmla="*/ 723 w 1518"/>
                              <a:gd name="T25" fmla="*/ 467 h 597"/>
                              <a:gd name="T26" fmla="*/ 831 w 1518"/>
                              <a:gd name="T27" fmla="*/ 590 h 597"/>
                              <a:gd name="T28" fmla="*/ 937 w 1518"/>
                              <a:gd name="T29" fmla="*/ 590 h 597"/>
                              <a:gd name="T30" fmla="*/ 1337 w 1518"/>
                              <a:gd name="T31" fmla="*/ 467 h 597"/>
                              <a:gd name="T32" fmla="*/ 1281 w 1518"/>
                              <a:gd name="T33" fmla="*/ 535 h 597"/>
                              <a:gd name="T34" fmla="*/ 423 w 1518"/>
                              <a:gd name="T35" fmla="*/ 12 h 597"/>
                              <a:gd name="T36" fmla="*/ 361 w 1518"/>
                              <a:gd name="T37" fmla="*/ 450 h 597"/>
                              <a:gd name="T38" fmla="*/ 612 w 1518"/>
                              <a:gd name="T39" fmla="*/ 421 h 597"/>
                              <a:gd name="T40" fmla="*/ 471 w 1518"/>
                              <a:gd name="T41" fmla="*/ 361 h 597"/>
                              <a:gd name="T42" fmla="*/ 626 w 1518"/>
                              <a:gd name="T43" fmla="*/ 294 h 597"/>
                              <a:gd name="T44" fmla="*/ 423 w 1518"/>
                              <a:gd name="T45" fmla="*/ 271 h 597"/>
                              <a:gd name="T46" fmla="*/ 816 w 1518"/>
                              <a:gd name="T47" fmla="*/ 271 h 597"/>
                              <a:gd name="T48" fmla="*/ 759 w 1518"/>
                              <a:gd name="T49" fmla="*/ 340 h 597"/>
                              <a:gd name="T50" fmla="*/ 1152 w 1518"/>
                              <a:gd name="T51" fmla="*/ 0 h 597"/>
                              <a:gd name="T52" fmla="*/ 827 w 1518"/>
                              <a:gd name="T53" fmla="*/ 455 h 597"/>
                              <a:gd name="T54" fmla="*/ 836 w 1518"/>
                              <a:gd name="T55" fmla="*/ 455 h 597"/>
                              <a:gd name="T56" fmla="*/ 1087 w 1518"/>
                              <a:gd name="T57" fmla="*/ 271 h 597"/>
                              <a:gd name="T58" fmla="*/ 1048 w 1518"/>
                              <a:gd name="T59" fmla="*/ 455 h 597"/>
                              <a:gd name="T60" fmla="*/ 1140 w 1518"/>
                              <a:gd name="T61" fmla="*/ 340 h 597"/>
                              <a:gd name="T62" fmla="*/ 1099 w 1518"/>
                              <a:gd name="T63" fmla="*/ 428 h 597"/>
                              <a:gd name="T64" fmla="*/ 1192 w 1518"/>
                              <a:gd name="T65" fmla="*/ 455 h 597"/>
                              <a:gd name="T66" fmla="*/ 1196 w 1518"/>
                              <a:gd name="T67" fmla="*/ 426 h 597"/>
                              <a:gd name="T68" fmla="*/ 1275 w 1518"/>
                              <a:gd name="T69" fmla="*/ 324 h 597"/>
                              <a:gd name="T70" fmla="*/ 1282 w 1518"/>
                              <a:gd name="T71" fmla="*/ 404 h 597"/>
                              <a:gd name="T72" fmla="*/ 1517 w 1518"/>
                              <a:gd name="T73" fmla="*/ 12 h 597"/>
                              <a:gd name="T74" fmla="*/ 1517 w 1518"/>
                              <a:gd name="T75" fmla="*/ 12 h 597"/>
                              <a:gd name="T76" fmla="*/ 542 w 1518"/>
                              <a:gd name="T77" fmla="*/ 324 h 597"/>
                              <a:gd name="T78" fmla="*/ 563 w 1518"/>
                              <a:gd name="T79" fmla="*/ 349 h 597"/>
                              <a:gd name="T80" fmla="*/ 522 w 1518"/>
                              <a:gd name="T81" fmla="*/ 406 h 597"/>
                              <a:gd name="T82" fmla="*/ 628 w 1518"/>
                              <a:gd name="T83" fmla="*/ 397 h 597"/>
                              <a:gd name="T84" fmla="*/ 639 w 1518"/>
                              <a:gd name="T85" fmla="*/ 325 h 597"/>
                              <a:gd name="T86" fmla="*/ 257 w 1518"/>
                              <a:gd name="T87" fmla="*/ 271 h 597"/>
                              <a:gd name="T88" fmla="*/ 1454 w 1518"/>
                              <a:gd name="T89" fmla="*/ 316 h 597"/>
                              <a:gd name="T90" fmla="*/ 1355 w 1518"/>
                              <a:gd name="T91" fmla="*/ 339 h 597"/>
                              <a:gd name="T92" fmla="*/ 1456 w 1518"/>
                              <a:gd name="T93" fmla="*/ 329 h 597"/>
                              <a:gd name="T94" fmla="*/ 1180 w 1518"/>
                              <a:gd name="T95" fmla="*/ 298 h 597"/>
                              <a:gd name="T96" fmla="*/ 1311 w 1518"/>
                              <a:gd name="T97" fmla="*/ 316 h 597"/>
                              <a:gd name="T98" fmla="*/ 1441 w 1518"/>
                              <a:gd name="T99" fmla="*/ 290 h 597"/>
                              <a:gd name="T100" fmla="*/ 1517 w 1518"/>
                              <a:gd name="T101" fmla="*/ 0 h 597"/>
                              <a:gd name="T102" fmla="*/ 1229 w 1518"/>
                              <a:gd name="T103" fmla="*/ 272 h 597"/>
                              <a:gd name="T104" fmla="*/ 1400 w 1518"/>
                              <a:gd name="T105" fmla="*/ 263 h 597"/>
                              <a:gd name="T106" fmla="*/ 451 w 1518"/>
                              <a:gd name="T107" fmla="*/ 0 h 597"/>
                              <a:gd name="T108" fmla="*/ 788 w 1518"/>
                              <a:gd name="T109" fmla="*/ 12 h 597"/>
                              <a:gd name="T110" fmla="*/ 555 w 1518"/>
                              <a:gd name="T111" fmla="*/ 271 h 597"/>
                              <a:gd name="T112" fmla="*/ 776 w 1518"/>
                              <a:gd name="T113" fmla="*/ 271 h 5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518" h="597">
                                <a:moveTo>
                                  <a:pt x="1191" y="467"/>
                                </a:moveTo>
                                <a:lnTo>
                                  <a:pt x="1092" y="467"/>
                                </a:lnTo>
                                <a:lnTo>
                                  <a:pt x="1093" y="495"/>
                                </a:lnTo>
                                <a:lnTo>
                                  <a:pt x="1099" y="520"/>
                                </a:lnTo>
                                <a:lnTo>
                                  <a:pt x="1110" y="543"/>
                                </a:lnTo>
                                <a:lnTo>
                                  <a:pt x="1127" y="563"/>
                                </a:lnTo>
                                <a:lnTo>
                                  <a:pt x="1153" y="580"/>
                                </a:lnTo>
                                <a:lnTo>
                                  <a:pt x="1183" y="590"/>
                                </a:lnTo>
                                <a:lnTo>
                                  <a:pt x="1214" y="595"/>
                                </a:lnTo>
                                <a:lnTo>
                                  <a:pt x="1243" y="597"/>
                                </a:lnTo>
                                <a:lnTo>
                                  <a:pt x="1281" y="595"/>
                                </a:lnTo>
                                <a:lnTo>
                                  <a:pt x="1318" y="592"/>
                                </a:lnTo>
                                <a:lnTo>
                                  <a:pt x="1357" y="586"/>
                                </a:lnTo>
                                <a:lnTo>
                                  <a:pt x="1396" y="578"/>
                                </a:lnTo>
                                <a:lnTo>
                                  <a:pt x="1407" y="535"/>
                                </a:lnTo>
                                <a:lnTo>
                                  <a:pt x="1269" y="535"/>
                                </a:lnTo>
                                <a:lnTo>
                                  <a:pt x="1237" y="531"/>
                                </a:lnTo>
                                <a:lnTo>
                                  <a:pt x="1213" y="519"/>
                                </a:lnTo>
                                <a:lnTo>
                                  <a:pt x="1197" y="497"/>
                                </a:lnTo>
                                <a:lnTo>
                                  <a:pt x="1191" y="467"/>
                                </a:lnTo>
                                <a:close/>
                                <a:moveTo>
                                  <a:pt x="423" y="0"/>
                                </a:moveTo>
                                <a:lnTo>
                                  <a:pt x="87" y="0"/>
                                </a:lnTo>
                                <a:lnTo>
                                  <a:pt x="87" y="309"/>
                                </a:lnTo>
                                <a:lnTo>
                                  <a:pt x="0" y="590"/>
                                </a:lnTo>
                                <a:lnTo>
                                  <a:pt x="76" y="590"/>
                                </a:lnTo>
                                <a:lnTo>
                                  <a:pt x="114" y="467"/>
                                </a:lnTo>
                                <a:lnTo>
                                  <a:pt x="1517" y="467"/>
                                </a:lnTo>
                                <a:lnTo>
                                  <a:pt x="1517" y="455"/>
                                </a:lnTo>
                                <a:lnTo>
                                  <a:pt x="213" y="455"/>
                                </a:lnTo>
                                <a:lnTo>
                                  <a:pt x="201" y="431"/>
                                </a:lnTo>
                                <a:lnTo>
                                  <a:pt x="229" y="403"/>
                                </a:lnTo>
                                <a:lnTo>
                                  <a:pt x="134" y="403"/>
                                </a:lnTo>
                                <a:lnTo>
                                  <a:pt x="174" y="271"/>
                                </a:lnTo>
                                <a:lnTo>
                                  <a:pt x="99" y="271"/>
                                </a:lnTo>
                                <a:lnTo>
                                  <a:pt x="99" y="12"/>
                                </a:lnTo>
                                <a:lnTo>
                                  <a:pt x="423" y="12"/>
                                </a:lnTo>
                                <a:lnTo>
                                  <a:pt x="423" y="0"/>
                                </a:lnTo>
                                <a:close/>
                                <a:moveTo>
                                  <a:pt x="218" y="467"/>
                                </a:moveTo>
                                <a:lnTo>
                                  <a:pt x="124" y="467"/>
                                </a:lnTo>
                                <a:lnTo>
                                  <a:pt x="187" y="590"/>
                                </a:lnTo>
                                <a:lnTo>
                                  <a:pt x="278" y="590"/>
                                </a:lnTo>
                                <a:lnTo>
                                  <a:pt x="218" y="467"/>
                                </a:lnTo>
                                <a:close/>
                                <a:moveTo>
                                  <a:pt x="438" y="467"/>
                                </a:moveTo>
                                <a:lnTo>
                                  <a:pt x="356" y="467"/>
                                </a:lnTo>
                                <a:lnTo>
                                  <a:pt x="317" y="590"/>
                                </a:lnTo>
                                <a:lnTo>
                                  <a:pt x="400" y="590"/>
                                </a:lnTo>
                                <a:lnTo>
                                  <a:pt x="438" y="467"/>
                                </a:lnTo>
                                <a:close/>
                                <a:moveTo>
                                  <a:pt x="723" y="467"/>
                                </a:moveTo>
                                <a:lnTo>
                                  <a:pt x="640" y="467"/>
                                </a:lnTo>
                                <a:lnTo>
                                  <a:pt x="604" y="590"/>
                                </a:lnTo>
                                <a:lnTo>
                                  <a:pt x="686" y="590"/>
                                </a:lnTo>
                                <a:lnTo>
                                  <a:pt x="723" y="467"/>
                                </a:lnTo>
                                <a:close/>
                                <a:moveTo>
                                  <a:pt x="911" y="467"/>
                                </a:moveTo>
                                <a:lnTo>
                                  <a:pt x="760" y="467"/>
                                </a:lnTo>
                                <a:lnTo>
                                  <a:pt x="761" y="590"/>
                                </a:lnTo>
                                <a:lnTo>
                                  <a:pt x="831" y="590"/>
                                </a:lnTo>
                                <a:lnTo>
                                  <a:pt x="911" y="467"/>
                                </a:lnTo>
                                <a:close/>
                                <a:moveTo>
                                  <a:pt x="1045" y="467"/>
                                </a:moveTo>
                                <a:lnTo>
                                  <a:pt x="963" y="467"/>
                                </a:lnTo>
                                <a:lnTo>
                                  <a:pt x="937" y="590"/>
                                </a:lnTo>
                                <a:lnTo>
                                  <a:pt x="1018" y="590"/>
                                </a:lnTo>
                                <a:lnTo>
                                  <a:pt x="1045" y="467"/>
                                </a:lnTo>
                                <a:close/>
                                <a:moveTo>
                                  <a:pt x="1424" y="467"/>
                                </a:moveTo>
                                <a:lnTo>
                                  <a:pt x="1337" y="467"/>
                                </a:lnTo>
                                <a:lnTo>
                                  <a:pt x="1321" y="530"/>
                                </a:lnTo>
                                <a:lnTo>
                                  <a:pt x="1308" y="532"/>
                                </a:lnTo>
                                <a:lnTo>
                                  <a:pt x="1294" y="533"/>
                                </a:lnTo>
                                <a:lnTo>
                                  <a:pt x="1281" y="535"/>
                                </a:lnTo>
                                <a:lnTo>
                                  <a:pt x="1269" y="535"/>
                                </a:lnTo>
                                <a:lnTo>
                                  <a:pt x="1407" y="535"/>
                                </a:lnTo>
                                <a:lnTo>
                                  <a:pt x="1424" y="467"/>
                                </a:lnTo>
                                <a:close/>
                                <a:moveTo>
                                  <a:pt x="423" y="12"/>
                                </a:moveTo>
                                <a:lnTo>
                                  <a:pt x="411" y="12"/>
                                </a:lnTo>
                                <a:lnTo>
                                  <a:pt x="411" y="287"/>
                                </a:lnTo>
                                <a:lnTo>
                                  <a:pt x="407" y="303"/>
                                </a:lnTo>
                                <a:lnTo>
                                  <a:pt x="361" y="450"/>
                                </a:lnTo>
                                <a:lnTo>
                                  <a:pt x="360" y="455"/>
                                </a:lnTo>
                                <a:lnTo>
                                  <a:pt x="561" y="455"/>
                                </a:lnTo>
                                <a:lnTo>
                                  <a:pt x="590" y="441"/>
                                </a:lnTo>
                                <a:lnTo>
                                  <a:pt x="612" y="421"/>
                                </a:lnTo>
                                <a:lnTo>
                                  <a:pt x="618" y="412"/>
                                </a:lnTo>
                                <a:lnTo>
                                  <a:pt x="456" y="412"/>
                                </a:lnTo>
                                <a:lnTo>
                                  <a:pt x="466" y="378"/>
                                </a:lnTo>
                                <a:lnTo>
                                  <a:pt x="471" y="361"/>
                                </a:lnTo>
                                <a:lnTo>
                                  <a:pt x="480" y="323"/>
                                </a:lnTo>
                                <a:lnTo>
                                  <a:pt x="639" y="323"/>
                                </a:lnTo>
                                <a:lnTo>
                                  <a:pt x="635" y="308"/>
                                </a:lnTo>
                                <a:lnTo>
                                  <a:pt x="626" y="294"/>
                                </a:lnTo>
                                <a:lnTo>
                                  <a:pt x="607" y="280"/>
                                </a:lnTo>
                                <a:lnTo>
                                  <a:pt x="582" y="273"/>
                                </a:lnTo>
                                <a:lnTo>
                                  <a:pt x="555" y="271"/>
                                </a:lnTo>
                                <a:lnTo>
                                  <a:pt x="423" y="271"/>
                                </a:lnTo>
                                <a:lnTo>
                                  <a:pt x="423" y="12"/>
                                </a:lnTo>
                                <a:close/>
                                <a:moveTo>
                                  <a:pt x="1152" y="0"/>
                                </a:moveTo>
                                <a:lnTo>
                                  <a:pt x="816" y="0"/>
                                </a:lnTo>
                                <a:lnTo>
                                  <a:pt x="816" y="271"/>
                                </a:lnTo>
                                <a:lnTo>
                                  <a:pt x="697" y="271"/>
                                </a:lnTo>
                                <a:lnTo>
                                  <a:pt x="644" y="455"/>
                                </a:lnTo>
                                <a:lnTo>
                                  <a:pt x="725" y="455"/>
                                </a:lnTo>
                                <a:lnTo>
                                  <a:pt x="759" y="340"/>
                                </a:lnTo>
                                <a:lnTo>
                                  <a:pt x="827" y="340"/>
                                </a:lnTo>
                                <a:lnTo>
                                  <a:pt x="827" y="12"/>
                                </a:lnTo>
                                <a:lnTo>
                                  <a:pt x="1152" y="12"/>
                                </a:lnTo>
                                <a:lnTo>
                                  <a:pt x="1152" y="0"/>
                                </a:lnTo>
                                <a:close/>
                                <a:moveTo>
                                  <a:pt x="827" y="340"/>
                                </a:moveTo>
                                <a:lnTo>
                                  <a:pt x="759" y="340"/>
                                </a:lnTo>
                                <a:lnTo>
                                  <a:pt x="760" y="455"/>
                                </a:lnTo>
                                <a:lnTo>
                                  <a:pt x="827" y="455"/>
                                </a:lnTo>
                                <a:lnTo>
                                  <a:pt x="827" y="340"/>
                                </a:lnTo>
                                <a:close/>
                                <a:moveTo>
                                  <a:pt x="1087" y="271"/>
                                </a:moveTo>
                                <a:lnTo>
                                  <a:pt x="954" y="271"/>
                                </a:lnTo>
                                <a:lnTo>
                                  <a:pt x="836" y="455"/>
                                </a:lnTo>
                                <a:lnTo>
                                  <a:pt x="919" y="455"/>
                                </a:lnTo>
                                <a:lnTo>
                                  <a:pt x="990" y="345"/>
                                </a:lnTo>
                                <a:lnTo>
                                  <a:pt x="1071" y="345"/>
                                </a:lnTo>
                                <a:lnTo>
                                  <a:pt x="1087" y="271"/>
                                </a:lnTo>
                                <a:close/>
                                <a:moveTo>
                                  <a:pt x="1071" y="345"/>
                                </a:moveTo>
                                <a:lnTo>
                                  <a:pt x="990" y="345"/>
                                </a:lnTo>
                                <a:lnTo>
                                  <a:pt x="966" y="455"/>
                                </a:lnTo>
                                <a:lnTo>
                                  <a:pt x="1048" y="455"/>
                                </a:lnTo>
                                <a:lnTo>
                                  <a:pt x="1071" y="345"/>
                                </a:lnTo>
                                <a:close/>
                                <a:moveTo>
                                  <a:pt x="1152" y="12"/>
                                </a:moveTo>
                                <a:lnTo>
                                  <a:pt x="1140" y="12"/>
                                </a:lnTo>
                                <a:lnTo>
                                  <a:pt x="1140" y="340"/>
                                </a:lnTo>
                                <a:lnTo>
                                  <a:pt x="1126" y="362"/>
                                </a:lnTo>
                                <a:lnTo>
                                  <a:pt x="1114" y="385"/>
                                </a:lnTo>
                                <a:lnTo>
                                  <a:pt x="1105" y="407"/>
                                </a:lnTo>
                                <a:lnTo>
                                  <a:pt x="1099" y="428"/>
                                </a:lnTo>
                                <a:lnTo>
                                  <a:pt x="1096" y="437"/>
                                </a:lnTo>
                                <a:lnTo>
                                  <a:pt x="1095" y="446"/>
                                </a:lnTo>
                                <a:lnTo>
                                  <a:pt x="1093" y="455"/>
                                </a:lnTo>
                                <a:lnTo>
                                  <a:pt x="1192" y="455"/>
                                </a:lnTo>
                                <a:lnTo>
                                  <a:pt x="1192" y="445"/>
                                </a:lnTo>
                                <a:lnTo>
                                  <a:pt x="1194" y="438"/>
                                </a:lnTo>
                                <a:lnTo>
                                  <a:pt x="1195" y="433"/>
                                </a:lnTo>
                                <a:lnTo>
                                  <a:pt x="1196" y="426"/>
                                </a:lnTo>
                                <a:lnTo>
                                  <a:pt x="1211" y="386"/>
                                </a:lnTo>
                                <a:lnTo>
                                  <a:pt x="1235" y="350"/>
                                </a:lnTo>
                                <a:lnTo>
                                  <a:pt x="1268" y="326"/>
                                </a:lnTo>
                                <a:lnTo>
                                  <a:pt x="1275" y="324"/>
                                </a:lnTo>
                                <a:lnTo>
                                  <a:pt x="1152" y="324"/>
                                </a:lnTo>
                                <a:lnTo>
                                  <a:pt x="1152" y="12"/>
                                </a:lnTo>
                                <a:close/>
                                <a:moveTo>
                                  <a:pt x="1440" y="404"/>
                                </a:moveTo>
                                <a:lnTo>
                                  <a:pt x="1282" y="404"/>
                                </a:lnTo>
                                <a:lnTo>
                                  <a:pt x="1269" y="455"/>
                                </a:lnTo>
                                <a:lnTo>
                                  <a:pt x="1426" y="455"/>
                                </a:lnTo>
                                <a:lnTo>
                                  <a:pt x="1440" y="404"/>
                                </a:lnTo>
                                <a:close/>
                                <a:moveTo>
                                  <a:pt x="1517" y="12"/>
                                </a:moveTo>
                                <a:lnTo>
                                  <a:pt x="1505" y="12"/>
                                </a:lnTo>
                                <a:lnTo>
                                  <a:pt x="1505" y="455"/>
                                </a:lnTo>
                                <a:lnTo>
                                  <a:pt x="1517" y="455"/>
                                </a:lnTo>
                                <a:lnTo>
                                  <a:pt x="1517" y="12"/>
                                </a:lnTo>
                                <a:close/>
                                <a:moveTo>
                                  <a:pt x="639" y="323"/>
                                </a:moveTo>
                                <a:lnTo>
                                  <a:pt x="510" y="323"/>
                                </a:lnTo>
                                <a:lnTo>
                                  <a:pt x="528" y="323"/>
                                </a:lnTo>
                                <a:lnTo>
                                  <a:pt x="542" y="324"/>
                                </a:lnTo>
                                <a:lnTo>
                                  <a:pt x="553" y="327"/>
                                </a:lnTo>
                                <a:lnTo>
                                  <a:pt x="559" y="332"/>
                                </a:lnTo>
                                <a:lnTo>
                                  <a:pt x="563" y="338"/>
                                </a:lnTo>
                                <a:lnTo>
                                  <a:pt x="563" y="349"/>
                                </a:lnTo>
                                <a:lnTo>
                                  <a:pt x="558" y="366"/>
                                </a:lnTo>
                                <a:lnTo>
                                  <a:pt x="550" y="384"/>
                                </a:lnTo>
                                <a:lnTo>
                                  <a:pt x="539" y="398"/>
                                </a:lnTo>
                                <a:lnTo>
                                  <a:pt x="522" y="406"/>
                                </a:lnTo>
                                <a:lnTo>
                                  <a:pt x="498" y="410"/>
                                </a:lnTo>
                                <a:lnTo>
                                  <a:pt x="495" y="412"/>
                                </a:lnTo>
                                <a:lnTo>
                                  <a:pt x="618" y="412"/>
                                </a:lnTo>
                                <a:lnTo>
                                  <a:pt x="628" y="397"/>
                                </a:lnTo>
                                <a:lnTo>
                                  <a:pt x="637" y="367"/>
                                </a:lnTo>
                                <a:lnTo>
                                  <a:pt x="640" y="345"/>
                                </a:lnTo>
                                <a:lnTo>
                                  <a:pt x="640" y="338"/>
                                </a:lnTo>
                                <a:lnTo>
                                  <a:pt x="639" y="325"/>
                                </a:lnTo>
                                <a:lnTo>
                                  <a:pt x="639" y="324"/>
                                </a:lnTo>
                                <a:lnTo>
                                  <a:pt x="639" y="323"/>
                                </a:lnTo>
                                <a:close/>
                                <a:moveTo>
                                  <a:pt x="360" y="271"/>
                                </a:moveTo>
                                <a:lnTo>
                                  <a:pt x="257" y="271"/>
                                </a:lnTo>
                                <a:lnTo>
                                  <a:pt x="134" y="403"/>
                                </a:lnTo>
                                <a:lnTo>
                                  <a:pt x="229" y="403"/>
                                </a:lnTo>
                                <a:lnTo>
                                  <a:pt x="360" y="271"/>
                                </a:lnTo>
                                <a:close/>
                                <a:moveTo>
                                  <a:pt x="1454" y="316"/>
                                </a:moveTo>
                                <a:lnTo>
                                  <a:pt x="1311" y="316"/>
                                </a:lnTo>
                                <a:lnTo>
                                  <a:pt x="1329" y="318"/>
                                </a:lnTo>
                                <a:lnTo>
                                  <a:pt x="1345" y="325"/>
                                </a:lnTo>
                                <a:lnTo>
                                  <a:pt x="1355" y="339"/>
                                </a:lnTo>
                                <a:lnTo>
                                  <a:pt x="1358" y="361"/>
                                </a:lnTo>
                                <a:lnTo>
                                  <a:pt x="1452" y="361"/>
                                </a:lnTo>
                                <a:lnTo>
                                  <a:pt x="1455" y="346"/>
                                </a:lnTo>
                                <a:lnTo>
                                  <a:pt x="1456" y="329"/>
                                </a:lnTo>
                                <a:lnTo>
                                  <a:pt x="1454" y="316"/>
                                </a:lnTo>
                                <a:close/>
                                <a:moveTo>
                                  <a:pt x="1517" y="0"/>
                                </a:moveTo>
                                <a:lnTo>
                                  <a:pt x="1180" y="0"/>
                                </a:lnTo>
                                <a:lnTo>
                                  <a:pt x="1180" y="298"/>
                                </a:lnTo>
                                <a:lnTo>
                                  <a:pt x="1170" y="307"/>
                                </a:lnTo>
                                <a:lnTo>
                                  <a:pt x="1152" y="324"/>
                                </a:lnTo>
                                <a:lnTo>
                                  <a:pt x="1275" y="324"/>
                                </a:lnTo>
                                <a:lnTo>
                                  <a:pt x="1311" y="316"/>
                                </a:lnTo>
                                <a:lnTo>
                                  <a:pt x="1454" y="316"/>
                                </a:lnTo>
                                <a:lnTo>
                                  <a:pt x="1453" y="311"/>
                                </a:lnTo>
                                <a:lnTo>
                                  <a:pt x="1444" y="292"/>
                                </a:lnTo>
                                <a:lnTo>
                                  <a:pt x="1441" y="290"/>
                                </a:lnTo>
                                <a:lnTo>
                                  <a:pt x="1192" y="290"/>
                                </a:lnTo>
                                <a:lnTo>
                                  <a:pt x="1192" y="12"/>
                                </a:lnTo>
                                <a:lnTo>
                                  <a:pt x="1517" y="12"/>
                                </a:lnTo>
                                <a:lnTo>
                                  <a:pt x="1517" y="0"/>
                                </a:lnTo>
                                <a:close/>
                                <a:moveTo>
                                  <a:pt x="1331" y="254"/>
                                </a:moveTo>
                                <a:lnTo>
                                  <a:pt x="1301" y="256"/>
                                </a:lnTo>
                                <a:lnTo>
                                  <a:pt x="1265" y="261"/>
                                </a:lnTo>
                                <a:lnTo>
                                  <a:pt x="1229" y="272"/>
                                </a:lnTo>
                                <a:lnTo>
                                  <a:pt x="1192" y="290"/>
                                </a:lnTo>
                                <a:lnTo>
                                  <a:pt x="1441" y="290"/>
                                </a:lnTo>
                                <a:lnTo>
                                  <a:pt x="1425" y="275"/>
                                </a:lnTo>
                                <a:lnTo>
                                  <a:pt x="1400" y="263"/>
                                </a:lnTo>
                                <a:lnTo>
                                  <a:pt x="1368" y="256"/>
                                </a:lnTo>
                                <a:lnTo>
                                  <a:pt x="1331" y="254"/>
                                </a:lnTo>
                                <a:close/>
                                <a:moveTo>
                                  <a:pt x="788" y="0"/>
                                </a:moveTo>
                                <a:lnTo>
                                  <a:pt x="451" y="0"/>
                                </a:lnTo>
                                <a:lnTo>
                                  <a:pt x="451" y="271"/>
                                </a:lnTo>
                                <a:lnTo>
                                  <a:pt x="463" y="271"/>
                                </a:lnTo>
                                <a:lnTo>
                                  <a:pt x="463" y="12"/>
                                </a:lnTo>
                                <a:lnTo>
                                  <a:pt x="788" y="12"/>
                                </a:lnTo>
                                <a:lnTo>
                                  <a:pt x="788" y="0"/>
                                </a:lnTo>
                                <a:close/>
                                <a:moveTo>
                                  <a:pt x="554" y="271"/>
                                </a:moveTo>
                                <a:lnTo>
                                  <a:pt x="526" y="271"/>
                                </a:lnTo>
                                <a:lnTo>
                                  <a:pt x="555" y="271"/>
                                </a:lnTo>
                                <a:lnTo>
                                  <a:pt x="554" y="271"/>
                                </a:lnTo>
                                <a:close/>
                                <a:moveTo>
                                  <a:pt x="788" y="12"/>
                                </a:moveTo>
                                <a:lnTo>
                                  <a:pt x="776" y="12"/>
                                </a:lnTo>
                                <a:lnTo>
                                  <a:pt x="776" y="271"/>
                                </a:lnTo>
                                <a:lnTo>
                                  <a:pt x="788" y="271"/>
                                </a:lnTo>
                                <a:lnTo>
                                  <a:pt x="788" y="12"/>
                                </a:lnTo>
                                <a:close/>
                              </a:path>
                            </a:pathLst>
                          </a:custGeom>
                          <a:solidFill>
                            <a:srgbClr val="0046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9BF5777" id="Agrupar 36" o:spid="_x0000_s1026" style="width:75.9pt;height:29.85pt;mso-position-horizontal-relative:char;mso-position-vertical-relative:line" coordsize="1518,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">
                <v:shape id="AutoShape 27" o:spid="_x0000_s1027" style="position:absolute;width:1518;height:597;visibility:visible;mso-wrap-style:square;v-text-anchor:top" coordsize="1518,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" path="m1191,467r-99,l1093,495r6,25l1110,543r17,20l1153,580r30,10l1214,595r29,2l1281,595r37,-3l1357,586r39,-8l1407,535r-138,l1237,531r-24,-12l1197,497r-6,-30xm423,l87,r,309l,590r76,l114,467r1403,l1517,455r-1304,l201,431r28,-28l134,403,174,271r-75,l99,12r324,l423,xm218,467r-94,l187,590r91,l218,467xm438,467r-82,l317,590r83,l438,467xm723,467r-83,l604,590r82,l723,467xm911,467r-151,l761,590r70,l911,467xm1045,467r-82,l937,590r81,l1045,467xm1424,467r-87,l1321,530r-13,2l1294,533r-13,2l1269,535r138,l1424,467xm423,12r-12,l411,287r-4,16l361,450r-1,5l561,455r29,-14l612,421r6,-9l456,412r10,-34l471,361r9,-38l639,323r-4,-15l626,294,607,280r-25,-7l555,271r-132,l423,12xm1152,l816,r,271l697,271,644,455r81,l759,340r68,l827,12r325,l1152,xm827,340r-68,l760,455r67,l827,340xm1087,271r-133,l836,455r83,l990,345r81,l1087,271xm1071,345r-81,l966,455r82,l1071,345xm1152,12r-12,l1140,340r-14,22l1114,385r-9,22l1099,428r-3,9l1095,446r-2,9l1192,455r,-10l1194,438r1,-5l1196,426r15,-40l1235,350r33,-24l1275,324r-123,l1152,12xm1440,404r-158,l1269,455r157,l1440,404xm1517,12r-12,l1505,455r12,l1517,12xm639,323r-129,l528,323r14,1l553,327r6,5l563,338r,11l558,366r-8,18l539,398r-17,8l498,410r-3,2l618,412r10,-15l637,367r3,-22l640,338r-1,-13l639,324r,-1xm360,271r-103,l134,403r95,l360,271xm1454,316r-143,l1329,318r16,7l1355,339r3,22l1452,361r3,-15l1456,329r-2,-13xm1517,l1180,r,298l1170,307r-18,17l1275,324r36,-8l1454,316r-1,-5l1444,292r-3,-2l1192,290r,-278l1517,12r,-12xm1331,254r-30,2l1265,261r-36,11l1192,290r249,l1425,275r-25,-12l1368,256r-37,-2xm788,l451,r,271l463,271r,-259l788,12,788,xm554,271r-28,l555,271r-1,xm788,12r-12,l776,271r12,l788,12xe" fillcolor="#00468b" stroked="f">
                  <v:path arrowok="t" o:connecttype="custom" o:connectlocs="1099,520;1183,590;1318,592;1269,535;1191,467;0,590;1517,455;134,403;423,12;187,590;356,467;723,467;723,467;831,590;937,590;1337,467;1281,535;423,12;361,450;612,421;471,361;626,294;423,271;816,271;759,340;1152,0;827,455;836,455;1087,271;1048,455;1140,340;1099,428;1192,455;1196,426;1275,324;1282,404;1517,12;1517,12;542,324;563,349;522,406;628,397;639,325;257,271;1454,316;1355,339;1456,329;1180,298;1311,316;1441,290;1517,0;1229,272;1400,263;451,0;788,12;555,271;776,271" o:connectangles="0,0,0,0,0,0,0,0,0,0,0,0,0,0,0,0,0,0,0,0,0,0,0,0,0,0,0,0,0,0,0,0,0,0,0,0,0,0,0,0,0,0,0,0,0,0,0,0,0,0,0,0,0,0,0,0,0"/>
                </v:shape>
                <w10:anchorlock/>
              </v:group>
            </w:pict>
          </mc:Fallback>
        </mc:AlternateContent>
      </w:r>
    </w:p>
    <w:p w14:paraId="13D70470" w14:textId="77777777" w:rsidR="00DD14B8" w:rsidRPr="00DD14B8" w:rsidRDefault="00DD14B8" w:rsidP="00DD14B8">
      <w:pPr>
        <w:widowControl w:val="0"/>
        <w:autoSpaceDE w:val="0"/>
        <w:autoSpaceDN w:val="0"/>
        <w:spacing w:after="0" w:line="240" w:lineRule="auto"/>
        <w:rPr>
          <w:rFonts w:ascii="Times New Roman" w:eastAsia="Calibri" w:hAnsi="Calibri" w:cs="Calibri"/>
          <w:sz w:val="20"/>
          <w:szCs w:val="19"/>
          <w:lang w:val="pt-PT" w:eastAsia="pt-PT" w:bidi="pt-PT"/>
        </w:rPr>
      </w:pPr>
    </w:p>
    <w:p w14:paraId="3AD1E932" w14:textId="77777777" w:rsidR="00DD14B8" w:rsidRPr="00DD14B8" w:rsidRDefault="00DD14B8" w:rsidP="00DD14B8">
      <w:pPr>
        <w:widowControl w:val="0"/>
        <w:autoSpaceDE w:val="0"/>
        <w:autoSpaceDN w:val="0"/>
        <w:spacing w:after="0" w:line="240" w:lineRule="auto"/>
        <w:rPr>
          <w:rFonts w:ascii="Times New Roman" w:eastAsia="Calibri" w:hAnsi="Calibri" w:cs="Calibri"/>
          <w:sz w:val="20"/>
          <w:szCs w:val="19"/>
          <w:lang w:val="pt-PT" w:eastAsia="pt-PT" w:bidi="pt-PT"/>
        </w:rPr>
      </w:pPr>
    </w:p>
    <w:p w14:paraId="21EBF8F6" w14:textId="77777777" w:rsidR="00DD14B8" w:rsidRPr="00DD14B8" w:rsidRDefault="00DD14B8" w:rsidP="00DD14B8">
      <w:pPr>
        <w:widowControl w:val="0"/>
        <w:autoSpaceDE w:val="0"/>
        <w:autoSpaceDN w:val="0"/>
        <w:spacing w:before="8" w:after="0" w:line="240" w:lineRule="auto"/>
        <w:rPr>
          <w:rFonts w:ascii="Times New Roman" w:eastAsia="Calibri" w:hAnsi="Calibri" w:cs="Calibri"/>
          <w:sz w:val="20"/>
          <w:szCs w:val="19"/>
          <w:lang w:val="pt-PT" w:eastAsia="pt-PT" w:bidi="pt-PT"/>
        </w:rPr>
      </w:pPr>
    </w:p>
    <w:p w14:paraId="74BAA804" w14:textId="77777777" w:rsidR="00DD14B8" w:rsidRPr="00DD14B8" w:rsidRDefault="00DD14B8" w:rsidP="00DD14B8">
      <w:pPr>
        <w:widowControl w:val="0"/>
        <w:autoSpaceDE w:val="0"/>
        <w:autoSpaceDN w:val="0"/>
        <w:spacing w:after="0" w:line="240" w:lineRule="auto"/>
        <w:ind w:left="225"/>
        <w:outlineLvl w:val="1"/>
        <w:rPr>
          <w:rFonts w:ascii="Arial" w:eastAsia="Arial" w:hAnsi="Arial" w:cs="Arial"/>
          <w:sz w:val="20"/>
          <w:szCs w:val="20"/>
          <w:lang w:val="pt-PT" w:eastAsia="pt-PT" w:bidi="pt-PT"/>
        </w:rPr>
      </w:pPr>
      <w:r w:rsidRPr="00DD14B8">
        <w:rPr>
          <w:rFonts w:ascii="Arial" w:eastAsia="Arial" w:hAnsi="Arial" w:cs="Arial"/>
          <w:sz w:val="20"/>
          <w:szCs w:val="20"/>
          <w:lang w:val="pt-PT" w:eastAsia="pt-PT" w:bidi="pt-PT"/>
        </w:rPr>
        <w:t>KPMG Auditores Independentes Ltda.</w:t>
      </w:r>
    </w:p>
    <w:p w14:paraId="37CC9990" w14:textId="77777777" w:rsidR="00DD14B8" w:rsidRPr="00DD14B8" w:rsidRDefault="00DD14B8" w:rsidP="00DD14B8">
      <w:pPr>
        <w:widowControl w:val="0"/>
        <w:autoSpaceDE w:val="0"/>
        <w:autoSpaceDN w:val="0"/>
        <w:spacing w:before="71" w:after="0" w:line="312" w:lineRule="auto"/>
        <w:ind w:left="225" w:right="2957"/>
        <w:rPr>
          <w:rFonts w:ascii="Arial" w:eastAsia="Calibri" w:hAnsi="Arial" w:cs="Calibri"/>
          <w:sz w:val="20"/>
          <w:szCs w:val="22"/>
          <w:lang w:val="pt-PT" w:eastAsia="pt-PT" w:bidi="pt-PT"/>
        </w:rPr>
      </w:pPr>
      <w:r w:rsidRPr="00DD14B8">
        <w:rPr>
          <w:rFonts w:ascii="Arial" w:eastAsia="Calibri" w:hAnsi="Arial" w:cs="Calibri"/>
          <w:sz w:val="20"/>
          <w:szCs w:val="22"/>
          <w:lang w:val="pt-PT" w:eastAsia="pt-PT" w:bidi="pt-PT"/>
        </w:rPr>
        <w:t>SAI/SO, Área 6580 - Bloco 02, 3º andar, sala 302 - Torre Norte ParkShopping - Zona Industrial (Guará)</w:t>
      </w:r>
    </w:p>
    <w:p w14:paraId="3F2C09BF" w14:textId="77777777" w:rsidR="00DD14B8" w:rsidRPr="00DD14B8" w:rsidRDefault="00DD14B8" w:rsidP="00DD14B8">
      <w:pPr>
        <w:widowControl w:val="0"/>
        <w:autoSpaceDE w:val="0"/>
        <w:autoSpaceDN w:val="0"/>
        <w:spacing w:before="2" w:after="0" w:line="312" w:lineRule="auto"/>
        <w:ind w:left="225" w:right="3309"/>
        <w:rPr>
          <w:rFonts w:ascii="Arial" w:eastAsia="Calibri" w:hAnsi="Arial" w:cs="Calibri"/>
          <w:sz w:val="20"/>
          <w:szCs w:val="22"/>
          <w:lang w:val="pt-PT" w:eastAsia="pt-PT" w:bidi="pt-PT"/>
        </w:rPr>
      </w:pPr>
      <w:r w:rsidRPr="00DD14B8">
        <w:rPr>
          <w:rFonts w:ascii="Arial" w:eastAsia="Calibri" w:hAnsi="Arial" w:cs="Calibri"/>
          <w:sz w:val="20"/>
          <w:szCs w:val="22"/>
          <w:lang w:val="pt-PT" w:eastAsia="pt-PT" w:bidi="pt-PT"/>
        </w:rPr>
        <w:t>Caixa Postal 11619 - CEP: 71219-900 - Brasília/DF - Brasil Telefone +55 (61) 3362 3700</w:t>
      </w:r>
    </w:p>
    <w:p w14:paraId="177EB576" w14:textId="77777777" w:rsidR="00DD14B8" w:rsidRPr="00DD14B8" w:rsidRDefault="00DD14B8" w:rsidP="00DD14B8">
      <w:pPr>
        <w:widowControl w:val="0"/>
        <w:autoSpaceDE w:val="0"/>
        <w:autoSpaceDN w:val="0"/>
        <w:spacing w:before="2" w:after="0" w:line="240" w:lineRule="auto"/>
        <w:ind w:left="225"/>
        <w:rPr>
          <w:rFonts w:ascii="Arial" w:eastAsia="Calibri" w:hAnsi="Calibri" w:cs="Calibri"/>
          <w:sz w:val="20"/>
          <w:szCs w:val="22"/>
          <w:lang w:val="pt-PT" w:eastAsia="pt-PT" w:bidi="pt-PT"/>
        </w:rPr>
      </w:pPr>
      <w:r w:rsidRPr="00DD14B8">
        <w:rPr>
          <w:rFonts w:ascii="Arial" w:eastAsia="Calibri" w:hAnsi="Calibri" w:cs="Calibri"/>
          <w:sz w:val="20"/>
          <w:szCs w:val="22"/>
          <w:lang w:val="pt-PT" w:eastAsia="pt-PT" w:bidi="pt-PT"/>
        </w:rPr>
        <w:t>kpmg.com.br</w:t>
      </w:r>
    </w:p>
    <w:p w14:paraId="730437DF" w14:textId="77777777" w:rsidR="00DD14B8" w:rsidRPr="00DD14B8" w:rsidRDefault="00DD14B8" w:rsidP="00DD14B8">
      <w:pPr>
        <w:widowControl w:val="0"/>
        <w:autoSpaceDE w:val="0"/>
        <w:autoSpaceDN w:val="0"/>
        <w:spacing w:before="32" w:after="0" w:line="280" w:lineRule="auto"/>
        <w:ind w:left="2256" w:right="274" w:firstLine="2743"/>
        <w:jc w:val="right"/>
        <w:rPr>
          <w:rFonts w:ascii="KPMG Extralight" w:eastAsia="Calibri" w:hAnsi="KPMG Extralight" w:cs="Calibri"/>
          <w:b/>
          <w:sz w:val="48"/>
          <w:szCs w:val="48"/>
          <w:lang w:val="pt-PT" w:eastAsia="pt-PT" w:bidi="pt-PT"/>
        </w:rPr>
      </w:pPr>
      <w:r w:rsidRPr="00DD14B8">
        <w:rPr>
          <w:rFonts w:ascii="KPMG Extralight" w:eastAsia="Calibri" w:hAnsi="KPMG Extralight" w:cs="Calibri"/>
          <w:b/>
          <w:color w:val="004E97"/>
          <w:sz w:val="48"/>
          <w:szCs w:val="48"/>
          <w:lang w:val="pt-PT" w:eastAsia="pt-PT" w:bidi="pt-PT"/>
        </w:rPr>
        <w:t>Relatório dos auditores</w:t>
      </w:r>
      <w:r w:rsidRPr="00DD14B8">
        <w:rPr>
          <w:rFonts w:ascii="KPMG Extralight" w:eastAsia="Calibri" w:hAnsi="KPMG Extralight" w:cs="Calibri"/>
          <w:b/>
          <w:color w:val="004E97"/>
          <w:w w:val="99"/>
          <w:sz w:val="48"/>
          <w:szCs w:val="48"/>
          <w:lang w:val="pt-PT" w:eastAsia="pt-PT" w:bidi="pt-PT"/>
        </w:rPr>
        <w:t xml:space="preserve"> </w:t>
      </w:r>
      <w:r w:rsidRPr="00DD14B8">
        <w:rPr>
          <w:rFonts w:ascii="KPMG Extralight" w:eastAsia="Calibri" w:hAnsi="KPMG Extralight" w:cs="Calibri"/>
          <w:b/>
          <w:color w:val="004E97"/>
          <w:sz w:val="48"/>
          <w:szCs w:val="48"/>
          <w:lang w:val="pt-PT" w:eastAsia="pt-PT" w:bidi="pt-PT"/>
        </w:rPr>
        <w:t>independentes sobre as demonstrações</w:t>
      </w:r>
      <w:r w:rsidRPr="00DD14B8">
        <w:rPr>
          <w:rFonts w:ascii="KPMG Extralight" w:eastAsia="Calibri" w:hAnsi="KPMG Extralight" w:cs="Calibri"/>
          <w:b/>
          <w:color w:val="004E97"/>
          <w:w w:val="99"/>
          <w:sz w:val="48"/>
          <w:szCs w:val="48"/>
          <w:lang w:val="pt-PT" w:eastAsia="pt-PT" w:bidi="pt-PT"/>
        </w:rPr>
        <w:t xml:space="preserve"> </w:t>
      </w:r>
      <w:r w:rsidRPr="00DD14B8">
        <w:rPr>
          <w:rFonts w:ascii="KPMG Extralight" w:eastAsia="Calibri" w:hAnsi="KPMG Extralight" w:cs="Calibri"/>
          <w:b/>
          <w:color w:val="004E97"/>
          <w:sz w:val="48"/>
          <w:szCs w:val="48"/>
          <w:lang w:val="pt-PT" w:eastAsia="pt-PT" w:bidi="pt-PT"/>
        </w:rPr>
        <w:t>contábeis individuais e consolidadas</w:t>
      </w:r>
    </w:p>
    <w:p w14:paraId="03E05536" w14:textId="77777777" w:rsidR="00DD14B8" w:rsidRPr="00DD14B8" w:rsidRDefault="00DD14B8" w:rsidP="00DD14B8">
      <w:pPr>
        <w:widowControl w:val="0"/>
        <w:autoSpaceDE w:val="0"/>
        <w:autoSpaceDN w:val="0"/>
        <w:spacing w:after="0" w:line="240" w:lineRule="auto"/>
        <w:rPr>
          <w:rFonts w:ascii="KPMG Extralight" w:eastAsia="Calibri" w:hAnsi="Calibri" w:cs="Calibri"/>
          <w:b/>
          <w:sz w:val="48"/>
          <w:szCs w:val="48"/>
          <w:lang w:val="pt-PT" w:eastAsia="pt-PT" w:bidi="pt-PT"/>
        </w:rPr>
      </w:pPr>
    </w:p>
    <w:p w14:paraId="50319B02" w14:textId="77777777" w:rsidR="00DD14B8" w:rsidRPr="00DD14B8" w:rsidRDefault="00DD14B8" w:rsidP="00DD14B8">
      <w:pPr>
        <w:widowControl w:val="0"/>
        <w:autoSpaceDE w:val="0"/>
        <w:autoSpaceDN w:val="0"/>
        <w:spacing w:before="1" w:after="0" w:line="338" w:lineRule="auto"/>
        <w:ind w:left="225" w:right="1282"/>
        <w:outlineLvl w:val="0"/>
        <w:rPr>
          <w:rFonts w:ascii="Calibri" w:eastAsia="Calibri" w:hAnsi="Calibri" w:cs="Calibri"/>
          <w:b/>
          <w:bCs/>
          <w:sz w:val="24"/>
          <w:szCs w:val="24"/>
          <w:lang w:val="pt-PT" w:eastAsia="pt-PT" w:bidi="pt-PT"/>
        </w:rPr>
      </w:pPr>
      <w:r w:rsidRPr="00DD14B8">
        <w:rPr>
          <w:rFonts w:ascii="Calibri" w:eastAsia="Calibri" w:hAnsi="Calibri" w:cs="Calibri"/>
          <w:b/>
          <w:bCs/>
          <w:color w:val="004E97"/>
          <w:sz w:val="24"/>
          <w:szCs w:val="24"/>
          <w:lang w:val="pt-PT" w:eastAsia="pt-PT" w:bidi="pt-PT"/>
        </w:rPr>
        <w:t>Aos Conselho de Administração, aos Administradores e aos Acionistas da BB Seguridade Participações S.A.</w:t>
      </w:r>
    </w:p>
    <w:p w14:paraId="1A1483E1" w14:textId="77777777" w:rsidR="00DD14B8" w:rsidRPr="00DD14B8" w:rsidRDefault="00DD14B8" w:rsidP="00DD14B8">
      <w:pPr>
        <w:widowControl w:val="0"/>
        <w:autoSpaceDE w:val="0"/>
        <w:autoSpaceDN w:val="0"/>
        <w:spacing w:after="0" w:line="292" w:lineRule="exact"/>
        <w:ind w:left="225"/>
        <w:rPr>
          <w:rFonts w:ascii="Calibri" w:eastAsia="Calibri" w:hAnsi="Calibri" w:cs="Calibri"/>
          <w:b/>
          <w:sz w:val="24"/>
          <w:szCs w:val="22"/>
          <w:lang w:val="pt-PT" w:eastAsia="pt-PT" w:bidi="pt-PT"/>
        </w:rPr>
      </w:pPr>
      <w:r w:rsidRPr="00DD14B8">
        <w:rPr>
          <w:rFonts w:ascii="Calibri" w:eastAsia="Calibri" w:hAnsi="Calibri" w:cs="Calibri"/>
          <w:b/>
          <w:color w:val="004E97"/>
          <w:sz w:val="24"/>
          <w:szCs w:val="22"/>
          <w:lang w:val="pt-PT" w:eastAsia="pt-PT" w:bidi="pt-PT"/>
        </w:rPr>
        <w:t>Brasília - DF</w:t>
      </w:r>
    </w:p>
    <w:p w14:paraId="201414A6" w14:textId="47CFA7E2" w:rsidR="00DD14B8" w:rsidRPr="00DD14B8" w:rsidRDefault="00DD14B8" w:rsidP="00DD14B8">
      <w:pPr>
        <w:widowControl w:val="0"/>
        <w:autoSpaceDE w:val="0"/>
        <w:autoSpaceDN w:val="0"/>
        <w:spacing w:before="6" w:after="0" w:line="240" w:lineRule="auto"/>
        <w:rPr>
          <w:rFonts w:ascii="Calibri" w:eastAsia="Calibri" w:hAnsi="Calibri" w:cs="Calibri"/>
          <w:b/>
          <w:sz w:val="26"/>
          <w:szCs w:val="19"/>
          <w:lang w:val="pt-PT" w:eastAsia="pt-PT" w:bidi="pt-PT"/>
        </w:rPr>
      </w:pPr>
      <w:r w:rsidRPr="00DD14B8">
        <w:rPr>
          <w:rFonts w:ascii="Calibri" w:eastAsia="Calibri" w:hAnsi="Calibri" w:cs="Calibri"/>
          <w:noProof/>
          <w:sz w:val="19"/>
          <w:szCs w:val="19"/>
          <w:lang w:val="pt-PT" w:eastAsia="pt-PT" w:bidi="pt-PT"/>
        </w:rPr>
        <mc:AlternateContent>
          <mc:Choice Requires="wps">
            <w:drawing>
              <wp:anchor distT="0" distB="0" distL="0" distR="0" simplePos="0" relativeHeight="251660288" behindDoc="1" locked="0" layoutInCell="1" allowOverlap="1" wp14:anchorId="66E1F59E" wp14:editId="729135F3">
                <wp:simplePos x="0" y="0"/>
                <wp:positionH relativeFrom="page">
                  <wp:posOffset>986155</wp:posOffset>
                </wp:positionH>
                <wp:positionV relativeFrom="paragraph">
                  <wp:posOffset>220345</wp:posOffset>
                </wp:positionV>
                <wp:extent cx="5401310" cy="296545"/>
                <wp:effectExtent l="0" t="0" r="3810" b="635"/>
                <wp:wrapTopAndBottom/>
                <wp:docPr id="870794647" name="Caixa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1310" cy="296545"/>
                        </a:xfrm>
                        <a:prstGeom prst="rect">
                          <a:avLst/>
                        </a:prstGeom>
                        <a:solidFill>
                          <a:srgbClr val="004E9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0FD62C" w14:textId="77777777" w:rsidR="00DD14B8" w:rsidRDefault="00DD14B8" w:rsidP="00DD14B8">
                            <w:pPr>
                              <w:spacing w:before="120"/>
                              <w:ind w:left="112"/>
                              <w:rPr>
                                <w:b/>
                                <w:sz w:val="19"/>
                              </w:rPr>
                            </w:pPr>
                            <w:r>
                              <w:rPr>
                                <w:b/>
                                <w:color w:val="FFFFFF"/>
                                <w:sz w:val="19"/>
                              </w:rPr>
                              <w:t>Opinião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1F59E" id="_x0000_t202" coordsize="21600,21600" o:spt="202" path="m,l,21600r21600,l21600,xe">
                <v:stroke joinstyle="miter"/>
                <v:path gradientshapeok="t" o:connecttype="rect"/>
              </v:shapetype>
              <v:shape id="Caixa de Texto 35" o:spid="_x0000_s1026" type="#_x0000_t202" style="position:absolute;margin-left:77.65pt;margin-top:17.35pt;width:425.3pt;height:23.3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" fillcolor="#004e97" stroked="f">
                <v:textbox inset="0,0,0,0">
                  <w:txbxContent>
                    <w:p w14:paraId="640FD62C" w14:textId="77777777" w:rsidR="00DD14B8" w:rsidRDefault="00DD14B8" w:rsidP="00DD14B8">
                      <w:pPr>
                        <w:spacing w:before="120"/>
                        <w:ind w:left="112"/>
                        <w:rPr>
                          <w:b/>
                          <w:sz w:val="19"/>
                        </w:rPr>
                      </w:pPr>
                      <w:r>
                        <w:rPr>
                          <w:b/>
                          <w:color w:val="FFFFFF"/>
                          <w:sz w:val="19"/>
                        </w:rPr>
                        <w:t>Opinião</w:t>
                      </w:r>
                    </w:p>
                  </w:txbxContent>
                </v:textbox>
                <w10:wrap type="topAndBottom" anchorx="page"/>
              </v:shape>
            </w:pict>
          </mc:Fallback>
        </mc:AlternateContent>
      </w:r>
    </w:p>
    <w:p w14:paraId="3D68E9D7" w14:textId="77777777" w:rsidR="00DD14B8" w:rsidRPr="00DD14B8" w:rsidRDefault="00DD14B8" w:rsidP="00DD14B8">
      <w:pPr>
        <w:widowControl w:val="0"/>
        <w:autoSpaceDE w:val="0"/>
        <w:autoSpaceDN w:val="0"/>
        <w:spacing w:before="105" w:after="0" w:line="249" w:lineRule="auto"/>
        <w:ind w:left="225" w:right="489"/>
        <w:rPr>
          <w:rFonts w:ascii="Calibri" w:eastAsia="Calibri" w:hAnsi="Calibri" w:cs="Calibri"/>
          <w:sz w:val="19"/>
          <w:szCs w:val="19"/>
          <w:lang w:val="pt-PT" w:eastAsia="pt-PT" w:bidi="pt-PT"/>
        </w:rPr>
      </w:pPr>
      <w:r w:rsidRPr="00DD14B8">
        <w:rPr>
          <w:rFonts w:ascii="Calibri" w:eastAsia="Calibri" w:hAnsi="Calibri" w:cs="Calibri"/>
          <w:sz w:val="19"/>
          <w:szCs w:val="19"/>
          <w:lang w:val="pt-PT" w:eastAsia="pt-PT" w:bidi="pt-PT"/>
        </w:rPr>
        <w:t>Examinamos as demonstrações contábeis individuais e consolidadas da BB Seguridade Participações S.A. (“Companhia”, “Grupo”, “BB Seguridade”) que compreendem o balanço patrimonial individual e consolidado em 31 de dezembro de 2024 e as respectivas demonstrações individuais e consolidadas do resultado, do resultado abrangente, das mutações do patrimônio líquido e dos fluxos de caixa para o exercício findo nessa data, bem como as correspondentes notas explicativas, incluindo as políticas contábeis materiais e outras informações elucidativas.</w:t>
      </w:r>
    </w:p>
    <w:p w14:paraId="7CDFA628" w14:textId="75CDB5F3" w:rsidR="00DD14B8" w:rsidRPr="00DD14B8" w:rsidRDefault="00DD14B8" w:rsidP="00DD14B8">
      <w:pPr>
        <w:widowControl w:val="0"/>
        <w:autoSpaceDE w:val="0"/>
        <w:autoSpaceDN w:val="0"/>
        <w:spacing w:before="6" w:after="0" w:line="240" w:lineRule="auto"/>
        <w:rPr>
          <w:rFonts w:ascii="Calibri" w:eastAsia="Calibri" w:hAnsi="Calibri" w:cs="Calibri"/>
          <w:sz w:val="20"/>
          <w:szCs w:val="19"/>
          <w:lang w:val="pt-PT" w:eastAsia="pt-PT" w:bidi="pt-PT"/>
        </w:rPr>
      </w:pPr>
      <w:r w:rsidRPr="00DD14B8">
        <w:rPr>
          <w:rFonts w:ascii="Calibri" w:eastAsia="Calibri" w:hAnsi="Calibri" w:cs="Calibri"/>
          <w:noProof/>
          <w:sz w:val="19"/>
          <w:szCs w:val="19"/>
          <w:lang w:val="pt-PT" w:eastAsia="pt-PT" w:bidi="pt-PT"/>
        </w:rPr>
        <mc:AlternateContent>
          <mc:Choice Requires="wps">
            <w:drawing>
              <wp:anchor distT="0" distB="0" distL="0" distR="0" simplePos="0" relativeHeight="251661312" behindDoc="1" locked="0" layoutInCell="1" allowOverlap="1" wp14:anchorId="0598A04B" wp14:editId="214882C6">
                <wp:simplePos x="0" y="0"/>
                <wp:positionH relativeFrom="page">
                  <wp:posOffset>986155</wp:posOffset>
                </wp:positionH>
                <wp:positionV relativeFrom="paragraph">
                  <wp:posOffset>174625</wp:posOffset>
                </wp:positionV>
                <wp:extent cx="5401310" cy="327660"/>
                <wp:effectExtent l="0" t="0" r="3810" b="635"/>
                <wp:wrapTopAndBottom/>
                <wp:docPr id="97725481" name="Caixa de Texto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1310" cy="327660"/>
                        </a:xfrm>
                        <a:prstGeom prst="rect">
                          <a:avLst/>
                        </a:prstGeom>
                        <a:solidFill>
                          <a:srgbClr val="004E9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983AEA" w14:textId="77777777" w:rsidR="00DD14B8" w:rsidRDefault="00DD14B8" w:rsidP="00DD14B8">
                            <w:pPr>
                              <w:spacing w:before="114"/>
                              <w:ind w:left="112"/>
                              <w:rPr>
                                <w:b/>
                              </w:rPr>
                            </w:pPr>
                            <w:r>
                              <w:rPr>
                                <w:b/>
                                <w:color w:val="FFFFFF"/>
                                <w:sz w:val="22"/>
                              </w:rPr>
                              <w:t>Opinião sobre as demonstrações contábeis individuais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8A04B" id="Caixa de Texto 34" o:spid="_x0000_s1027" type="#_x0000_t202" style="position:absolute;margin-left:77.65pt;margin-top:13.75pt;width:425.3pt;height:25.8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" fillcolor="#004e97" stroked="f">
                <v:textbox inset="0,0,0,0">
                  <w:txbxContent>
                    <w:p w14:paraId="4E983AEA" w14:textId="77777777" w:rsidR="00DD14B8" w:rsidRDefault="00DD14B8" w:rsidP="00DD14B8">
                      <w:pPr>
                        <w:spacing w:before="114"/>
                        <w:ind w:left="112"/>
                        <w:rPr>
                          <w:b/>
                        </w:rPr>
                      </w:pPr>
                      <w:r>
                        <w:rPr>
                          <w:b/>
                          <w:color w:val="FFFFFF"/>
                          <w:sz w:val="22"/>
                        </w:rPr>
                        <w:t>Opinião sobre as demonstrações contábeis individuais</w:t>
                      </w:r>
                    </w:p>
                  </w:txbxContent>
                </v:textbox>
                <w10:wrap type="topAndBottom" anchorx="page"/>
              </v:shape>
            </w:pict>
          </mc:Fallback>
        </mc:AlternateContent>
      </w:r>
    </w:p>
    <w:p w14:paraId="2AF6508E" w14:textId="77777777" w:rsidR="00DD14B8" w:rsidRPr="00DD14B8" w:rsidRDefault="00DD14B8" w:rsidP="00DD14B8">
      <w:pPr>
        <w:widowControl w:val="0"/>
        <w:autoSpaceDE w:val="0"/>
        <w:autoSpaceDN w:val="0"/>
        <w:spacing w:before="105" w:after="0" w:line="247" w:lineRule="auto"/>
        <w:ind w:left="225" w:right="348"/>
        <w:rPr>
          <w:rFonts w:ascii="Calibri" w:eastAsia="Calibri" w:hAnsi="Calibri" w:cs="Calibri"/>
          <w:sz w:val="19"/>
          <w:szCs w:val="19"/>
          <w:lang w:val="pt-PT" w:eastAsia="pt-PT" w:bidi="pt-PT"/>
        </w:rPr>
      </w:pPr>
      <w:r w:rsidRPr="00DD14B8">
        <w:rPr>
          <w:rFonts w:ascii="Calibri" w:eastAsia="Calibri" w:hAnsi="Calibri" w:cs="Calibri"/>
          <w:sz w:val="19"/>
          <w:szCs w:val="19"/>
          <w:lang w:val="pt-PT" w:eastAsia="pt-PT" w:bidi="pt-PT"/>
        </w:rPr>
        <w:t>Em nossa opinião, as demonstrações contábeis individuais acima referidas apresentam adequadamente, em todos os aspectos relevantes, a posição patrimonial e financeira da BB Seguridade em 31 de dezembro de 2024, o desempenho individual de suas operações e os seus fluxos de caixa individuais para o exercício findo nessa data, de acordo com as práticas contábeis adotadas no Brasil</w:t>
      </w:r>
    </w:p>
    <w:p w14:paraId="467D3386" w14:textId="77777777" w:rsidR="00DD14B8" w:rsidRPr="00DD14B8" w:rsidRDefault="00DD14B8" w:rsidP="00DD14B8">
      <w:pPr>
        <w:widowControl w:val="0"/>
        <w:autoSpaceDE w:val="0"/>
        <w:autoSpaceDN w:val="0"/>
        <w:spacing w:after="0" w:line="240" w:lineRule="auto"/>
        <w:rPr>
          <w:rFonts w:ascii="Calibri" w:eastAsia="Calibri" w:hAnsi="Calibri" w:cs="Calibri"/>
          <w:sz w:val="20"/>
          <w:szCs w:val="19"/>
          <w:lang w:val="pt-PT" w:eastAsia="pt-PT" w:bidi="pt-PT"/>
        </w:rPr>
      </w:pPr>
    </w:p>
    <w:p w14:paraId="4C2E70A6" w14:textId="079E3352" w:rsidR="00DD14B8" w:rsidRPr="00DD14B8" w:rsidRDefault="00DD14B8" w:rsidP="00DD14B8">
      <w:pPr>
        <w:widowControl w:val="0"/>
        <w:autoSpaceDE w:val="0"/>
        <w:autoSpaceDN w:val="0"/>
        <w:spacing w:before="1" w:after="0" w:line="240" w:lineRule="auto"/>
        <w:rPr>
          <w:rFonts w:ascii="Calibri" w:eastAsia="Calibri" w:hAnsi="Calibri" w:cs="Calibri"/>
          <w:sz w:val="23"/>
          <w:szCs w:val="19"/>
          <w:lang w:val="pt-PT" w:eastAsia="pt-PT" w:bidi="pt-PT"/>
        </w:rPr>
      </w:pPr>
      <w:r w:rsidRPr="00DD14B8">
        <w:rPr>
          <w:rFonts w:ascii="Calibri" w:eastAsia="Calibri" w:hAnsi="Calibri" w:cs="Calibri"/>
          <w:noProof/>
          <w:sz w:val="19"/>
          <w:szCs w:val="19"/>
          <w:lang w:val="pt-PT" w:eastAsia="pt-PT" w:bidi="pt-PT"/>
        </w:rPr>
        <mc:AlternateContent>
          <mc:Choice Requires="wps">
            <w:drawing>
              <wp:anchor distT="0" distB="0" distL="0" distR="0" simplePos="0" relativeHeight="251662336" behindDoc="1" locked="0" layoutInCell="1" allowOverlap="1" wp14:anchorId="4B4A1451" wp14:editId="3B13F4AC">
                <wp:simplePos x="0" y="0"/>
                <wp:positionH relativeFrom="page">
                  <wp:posOffset>986155</wp:posOffset>
                </wp:positionH>
                <wp:positionV relativeFrom="paragraph">
                  <wp:posOffset>194310</wp:posOffset>
                </wp:positionV>
                <wp:extent cx="5401310" cy="327660"/>
                <wp:effectExtent l="0" t="2540" r="3810" b="3175"/>
                <wp:wrapTopAndBottom/>
                <wp:docPr id="818665136" name="Caixa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1310" cy="327660"/>
                        </a:xfrm>
                        <a:prstGeom prst="rect">
                          <a:avLst/>
                        </a:prstGeom>
                        <a:solidFill>
                          <a:srgbClr val="004E9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18F02F" w14:textId="77777777" w:rsidR="00DD14B8" w:rsidRDefault="00DD14B8" w:rsidP="00DD14B8">
                            <w:pPr>
                              <w:spacing w:before="113"/>
                              <w:ind w:left="112"/>
                              <w:rPr>
                                <w:b/>
                              </w:rPr>
                            </w:pPr>
                            <w:r>
                              <w:rPr>
                                <w:b/>
                                <w:color w:val="FFFFFF"/>
                                <w:sz w:val="22"/>
                              </w:rPr>
                              <w:t>Opinião sobre as demonstrações contábeis consolidadas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4A1451" id="Caixa de Texto 33" o:spid="_x0000_s1028" type="#_x0000_t202" style="position:absolute;margin-left:77.65pt;margin-top:15.3pt;width:425.3pt;height:25.8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" fillcolor="#004e97" stroked="f">
                <v:textbox inset="0,0,0,0">
                  <w:txbxContent>
                    <w:p w14:paraId="4118F02F" w14:textId="77777777" w:rsidR="00DD14B8" w:rsidRDefault="00DD14B8" w:rsidP="00DD14B8">
                      <w:pPr>
                        <w:spacing w:before="113"/>
                        <w:ind w:left="112"/>
                        <w:rPr>
                          <w:b/>
                        </w:rPr>
                      </w:pPr>
                      <w:r>
                        <w:rPr>
                          <w:b/>
                          <w:color w:val="FFFFFF"/>
                          <w:sz w:val="22"/>
                        </w:rPr>
                        <w:t>Opinião sobre as demonstrações contábeis consolidadas</w:t>
                      </w:r>
                    </w:p>
                  </w:txbxContent>
                </v:textbox>
                <w10:wrap type="topAndBottom" anchorx="page"/>
              </v:shape>
            </w:pict>
          </mc:Fallback>
        </mc:AlternateContent>
      </w:r>
    </w:p>
    <w:p w14:paraId="2CA46965" w14:textId="77777777" w:rsidR="00DD14B8" w:rsidRPr="00DD14B8" w:rsidRDefault="00DD14B8" w:rsidP="00DD14B8">
      <w:pPr>
        <w:widowControl w:val="0"/>
        <w:autoSpaceDE w:val="0"/>
        <w:autoSpaceDN w:val="0"/>
        <w:spacing w:before="105" w:after="0" w:line="249" w:lineRule="auto"/>
        <w:ind w:left="225" w:right="281"/>
        <w:rPr>
          <w:rFonts w:ascii="Calibri" w:eastAsia="Calibri" w:hAnsi="Calibri" w:cs="Calibri"/>
          <w:sz w:val="19"/>
          <w:szCs w:val="19"/>
          <w:lang w:val="pt-PT" w:eastAsia="pt-PT" w:bidi="pt-PT"/>
        </w:rPr>
      </w:pPr>
      <w:r w:rsidRPr="00DD14B8">
        <w:rPr>
          <w:rFonts w:ascii="Calibri" w:eastAsia="Calibri" w:hAnsi="Calibri" w:cs="Calibri"/>
          <w:sz w:val="19"/>
          <w:szCs w:val="19"/>
          <w:lang w:val="pt-PT" w:eastAsia="pt-PT" w:bidi="pt-PT"/>
        </w:rPr>
        <w:t xml:space="preserve">Em nossa opinião, as demonstrações contábeis consolidadas acima referidas apresentam adequadamente, em todos os aspectos relevantes, a posição patrimonial e financeira consolidada do Grupo em 31 de dezembro de 2024, o desempenho consolidado de suas operações e os seus fluxos de caixa consolidados para o exercício findo nessa data, de acordo com as práticas contábeis adotadas no Brasil e com as normas internacionais de relatório financeiro (IFRS) emitidas pelo </w:t>
      </w:r>
      <w:r w:rsidRPr="00DD14B8">
        <w:rPr>
          <w:rFonts w:ascii="Calibri" w:eastAsia="Calibri" w:hAnsi="Calibri" w:cs="Calibri"/>
          <w:i/>
          <w:sz w:val="19"/>
          <w:szCs w:val="19"/>
          <w:lang w:val="pt-PT" w:eastAsia="pt-PT" w:bidi="pt-PT"/>
        </w:rPr>
        <w:t xml:space="preserve">International Accounting Standards Board </w:t>
      </w:r>
      <w:r w:rsidRPr="00DD14B8">
        <w:rPr>
          <w:rFonts w:ascii="Calibri" w:eastAsia="Calibri" w:hAnsi="Calibri" w:cs="Calibri"/>
          <w:sz w:val="19"/>
          <w:szCs w:val="19"/>
          <w:lang w:val="pt-PT" w:eastAsia="pt-PT" w:bidi="pt-PT"/>
        </w:rPr>
        <w:t>(IASB).</w:t>
      </w:r>
    </w:p>
    <w:p w14:paraId="3A6C2068" w14:textId="77777777" w:rsidR="00DD14B8" w:rsidRPr="00DD14B8" w:rsidRDefault="00DD14B8" w:rsidP="00DD14B8">
      <w:pPr>
        <w:widowControl w:val="0"/>
        <w:autoSpaceDE w:val="0"/>
        <w:autoSpaceDN w:val="0"/>
        <w:spacing w:after="0" w:line="249" w:lineRule="auto"/>
        <w:rPr>
          <w:rFonts w:ascii="Calibri" w:eastAsia="Calibri" w:hAnsi="Calibri" w:cs="Calibri"/>
          <w:sz w:val="22"/>
          <w:szCs w:val="22"/>
          <w:lang w:val="pt-PT" w:eastAsia="pt-PT" w:bidi="pt-PT"/>
        </w:rPr>
        <w:sectPr w:rsidR="00DD14B8" w:rsidRPr="00DD14B8" w:rsidSect="00DD14B8">
          <w:headerReference w:type="default" r:id="rId24"/>
          <w:footerReference w:type="default" r:id="rId25"/>
          <w:pgSz w:w="11910" w:h="16840"/>
          <w:pgMar w:top="820" w:right="1680" w:bottom="1340" w:left="1440" w:header="720" w:footer="1148" w:gutter="0"/>
          <w:pgNumType w:start="1"/>
          <w:cols w:space="720"/>
        </w:sectPr>
      </w:pPr>
    </w:p>
    <w:p w14:paraId="61241204" w14:textId="621A271D" w:rsidR="00DD14B8" w:rsidRPr="00DD14B8" w:rsidRDefault="00DD14B8" w:rsidP="00DD14B8">
      <w:pPr>
        <w:widowControl w:val="0"/>
        <w:autoSpaceDE w:val="0"/>
        <w:autoSpaceDN w:val="0"/>
        <w:spacing w:after="0" w:line="240" w:lineRule="auto"/>
        <w:ind w:left="113"/>
        <w:rPr>
          <w:rFonts w:ascii="Calibri" w:eastAsia="Calibri" w:hAnsi="Calibri" w:cs="Calibri"/>
          <w:sz w:val="20"/>
          <w:szCs w:val="19"/>
          <w:lang w:val="pt-PT" w:eastAsia="pt-PT" w:bidi="pt-PT"/>
        </w:rPr>
      </w:pPr>
      <w:r w:rsidRPr="00DD14B8">
        <w:rPr>
          <w:rFonts w:ascii="Calibri" w:eastAsia="Calibri" w:hAnsi="Calibri" w:cs="Calibri"/>
          <w:noProof/>
          <w:sz w:val="20"/>
          <w:szCs w:val="19"/>
          <w:lang w:val="pt-PT" w:eastAsia="pt-PT" w:bidi="pt-PT"/>
        </w:rPr>
        <w:lastRenderedPageBreak/>
        <mc:AlternateContent>
          <mc:Choice Requires="wps">
            <w:drawing>
              <wp:inline distT="0" distB="0" distL="0" distR="0" wp14:anchorId="73FA54AB" wp14:editId="639EE73E">
                <wp:extent cx="5401310" cy="295910"/>
                <wp:effectExtent l="0" t="0" r="3810" b="2540"/>
                <wp:docPr id="82256599" name="Caixa de Texto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1310" cy="295910"/>
                        </a:xfrm>
                        <a:prstGeom prst="rect">
                          <a:avLst/>
                        </a:prstGeom>
                        <a:solidFill>
                          <a:srgbClr val="004E9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C3185B" w14:textId="77777777" w:rsidR="00DD14B8" w:rsidRDefault="00DD14B8" w:rsidP="00DD14B8">
                            <w:pPr>
                              <w:spacing w:before="120"/>
                              <w:ind w:left="112"/>
                              <w:rPr>
                                <w:b/>
                                <w:sz w:val="19"/>
                              </w:rPr>
                            </w:pPr>
                            <w:r>
                              <w:rPr>
                                <w:b/>
                                <w:color w:val="FFFFFF"/>
                                <w:sz w:val="19"/>
                              </w:rPr>
                              <w:t>Base para opinião</w:t>
                            </w:r>
                          </w:p>
                        </w:txbxContent>
                      </wps:txbx>
                      <wps:bodyPr rot="0" vert="horz" wrap="square" lIns="0" tIns="0" rIns="0" bIns="0" anchor="t" anchorCtr="0" upright="1">
                        <a:noAutofit/>
                      </wps:bodyPr>
                    </wps:wsp>
                  </a:graphicData>
                </a:graphic>
              </wp:inline>
            </w:drawing>
          </mc:Choice>
          <mc:Fallback>
            <w:pict>
              <v:shape w14:anchorId="73FA54AB" id="Caixa de Texto 32" o:spid="_x0000_s1029" type="#_x0000_t202" style="width:425.3pt;height:2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" fillcolor="#004e97" stroked="f">
                <v:textbox inset="0,0,0,0">
                  <w:txbxContent>
                    <w:p w14:paraId="74C3185B" w14:textId="77777777" w:rsidR="00DD14B8" w:rsidRDefault="00DD14B8" w:rsidP="00DD14B8">
                      <w:pPr>
                        <w:spacing w:before="120"/>
                        <w:ind w:left="112"/>
                        <w:rPr>
                          <w:b/>
                          <w:sz w:val="19"/>
                        </w:rPr>
                      </w:pPr>
                      <w:r>
                        <w:rPr>
                          <w:b/>
                          <w:color w:val="FFFFFF"/>
                          <w:sz w:val="19"/>
                        </w:rPr>
                        <w:t>Base para opinião</w:t>
                      </w:r>
                    </w:p>
                  </w:txbxContent>
                </v:textbox>
                <w10:anchorlock/>
              </v:shape>
            </w:pict>
          </mc:Fallback>
        </mc:AlternateContent>
      </w:r>
    </w:p>
    <w:p w14:paraId="3FD4144C" w14:textId="77777777" w:rsidR="00DD14B8" w:rsidRPr="00DD14B8" w:rsidRDefault="00DD14B8" w:rsidP="00DD14B8">
      <w:pPr>
        <w:widowControl w:val="0"/>
        <w:autoSpaceDE w:val="0"/>
        <w:autoSpaceDN w:val="0"/>
        <w:spacing w:before="5" w:after="0" w:line="240" w:lineRule="auto"/>
        <w:rPr>
          <w:rFonts w:ascii="Calibri" w:eastAsia="Calibri" w:hAnsi="Calibri" w:cs="Calibri"/>
          <w:sz w:val="12"/>
          <w:szCs w:val="19"/>
          <w:lang w:val="pt-PT" w:eastAsia="pt-PT" w:bidi="pt-PT"/>
        </w:rPr>
      </w:pPr>
    </w:p>
    <w:p w14:paraId="461B7037" w14:textId="77777777" w:rsidR="00DD14B8" w:rsidRPr="00DD14B8" w:rsidRDefault="00DD14B8" w:rsidP="00DD14B8">
      <w:pPr>
        <w:widowControl w:val="0"/>
        <w:autoSpaceDE w:val="0"/>
        <w:autoSpaceDN w:val="0"/>
        <w:spacing w:before="62" w:after="0" w:line="240" w:lineRule="auto"/>
        <w:ind w:left="225" w:right="279"/>
        <w:jc w:val="both"/>
        <w:rPr>
          <w:rFonts w:ascii="Calibri" w:eastAsia="Calibri" w:hAnsi="Calibri" w:cs="Calibri"/>
          <w:sz w:val="19"/>
          <w:szCs w:val="19"/>
          <w:lang w:val="pt-PT" w:eastAsia="pt-PT" w:bidi="pt-PT"/>
        </w:rPr>
      </w:pPr>
      <w:r w:rsidRPr="00DD14B8">
        <w:rPr>
          <w:rFonts w:ascii="Calibri" w:eastAsia="Calibri" w:hAnsi="Calibri" w:cs="Calibri"/>
          <w:sz w:val="19"/>
          <w:szCs w:val="19"/>
          <w:lang w:val="pt-PT" w:eastAsia="pt-PT" w:bidi="pt-PT"/>
        </w:rPr>
        <w:t>Nossa auditoria foi conduzida de acordo com as normas brasileiras e internacionais de auditoria. Nossas responsabilidades, em conformidade com tais normas, estão descritas na seção a seguir intitulada “Responsabilidades dos auditores pela auditoria das demonstrações contábeis individuais e consolidadas”. Somos independentes em relação à BB Seguridade e suas controladas, de acordo com os princípios éticos relevantes previstos no Código de Ética Profissional do Contador e nas normas profissionais emitidas pelo Conselho Federal de Contabilidade, e cumprimos com as demais responsabilidades éticas de acordo com essas normas. Acreditamos que a evidência de auditoria obtida é suficiente e apropriada para fundamentar nossa opinião.</w:t>
      </w:r>
    </w:p>
    <w:p w14:paraId="25ACC832" w14:textId="71007D46" w:rsidR="00DD14B8" w:rsidRPr="00DD14B8" w:rsidRDefault="00DD14B8" w:rsidP="00DD14B8">
      <w:pPr>
        <w:widowControl w:val="0"/>
        <w:autoSpaceDE w:val="0"/>
        <w:autoSpaceDN w:val="0"/>
        <w:spacing w:before="8" w:after="0" w:line="240" w:lineRule="auto"/>
        <w:rPr>
          <w:rFonts w:ascii="Calibri" w:eastAsia="Calibri" w:hAnsi="Calibri" w:cs="Calibri"/>
          <w:sz w:val="22"/>
          <w:szCs w:val="19"/>
          <w:lang w:val="pt-PT" w:eastAsia="pt-PT" w:bidi="pt-PT"/>
        </w:rPr>
      </w:pPr>
      <w:r w:rsidRPr="00DD14B8">
        <w:rPr>
          <w:rFonts w:ascii="Calibri" w:eastAsia="Calibri" w:hAnsi="Calibri" w:cs="Calibri"/>
          <w:noProof/>
          <w:sz w:val="19"/>
          <w:szCs w:val="19"/>
          <w:lang w:val="pt-PT" w:eastAsia="pt-PT" w:bidi="pt-PT"/>
        </w:rPr>
        <mc:AlternateContent>
          <mc:Choice Requires="wps">
            <w:drawing>
              <wp:anchor distT="0" distB="0" distL="0" distR="0" simplePos="0" relativeHeight="251658240" behindDoc="1" locked="0" layoutInCell="1" allowOverlap="1" wp14:anchorId="658F1DE1" wp14:editId="70F1380F">
                <wp:simplePos x="0" y="0"/>
                <wp:positionH relativeFrom="page">
                  <wp:posOffset>986155</wp:posOffset>
                </wp:positionH>
                <wp:positionV relativeFrom="paragraph">
                  <wp:posOffset>191135</wp:posOffset>
                </wp:positionV>
                <wp:extent cx="5401310" cy="295910"/>
                <wp:effectExtent l="0" t="0" r="3810" b="1905"/>
                <wp:wrapTopAndBottom/>
                <wp:docPr id="862285996" name="Caixa de Texto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1310" cy="295910"/>
                        </a:xfrm>
                        <a:prstGeom prst="rect">
                          <a:avLst/>
                        </a:prstGeom>
                        <a:solidFill>
                          <a:srgbClr val="004E9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8A60BA" w14:textId="77777777" w:rsidR="00DD14B8" w:rsidRDefault="00DD14B8" w:rsidP="00DD14B8">
                            <w:pPr>
                              <w:spacing w:before="120"/>
                              <w:ind w:left="112"/>
                              <w:rPr>
                                <w:b/>
                                <w:sz w:val="19"/>
                              </w:rPr>
                            </w:pPr>
                            <w:r>
                              <w:rPr>
                                <w:b/>
                                <w:color w:val="FFFFFF"/>
                                <w:sz w:val="19"/>
                              </w:rPr>
                              <w:t>Principais assuntos de auditoria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F1DE1" id="Caixa de Texto 31" o:spid="_x0000_s1030" type="#_x0000_t202" style="position:absolute;margin-left:77.65pt;margin-top:15.05pt;width:425.3pt;height:23.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" fillcolor="#004e97" stroked="f">
                <v:textbox inset="0,0,0,0">
                  <w:txbxContent>
                    <w:p w14:paraId="7B8A60BA" w14:textId="77777777" w:rsidR="00DD14B8" w:rsidRDefault="00DD14B8" w:rsidP="00DD14B8">
                      <w:pPr>
                        <w:spacing w:before="120"/>
                        <w:ind w:left="112"/>
                        <w:rPr>
                          <w:b/>
                          <w:sz w:val="19"/>
                        </w:rPr>
                      </w:pPr>
                      <w:r>
                        <w:rPr>
                          <w:b/>
                          <w:color w:val="FFFFFF"/>
                          <w:sz w:val="19"/>
                        </w:rPr>
                        <w:t>Principais assuntos de auditoria</w:t>
                      </w:r>
                    </w:p>
                  </w:txbxContent>
                </v:textbox>
                <w10:wrap type="topAndBottom" anchorx="page"/>
              </v:shape>
            </w:pict>
          </mc:Fallback>
        </mc:AlternateContent>
      </w:r>
    </w:p>
    <w:p w14:paraId="7088F450" w14:textId="77777777" w:rsidR="00DD14B8" w:rsidRPr="00DD14B8" w:rsidRDefault="00DD14B8" w:rsidP="00DD14B8">
      <w:pPr>
        <w:widowControl w:val="0"/>
        <w:autoSpaceDE w:val="0"/>
        <w:autoSpaceDN w:val="0"/>
        <w:spacing w:before="106" w:after="0" w:line="247" w:lineRule="auto"/>
        <w:ind w:left="225" w:right="348"/>
        <w:rPr>
          <w:rFonts w:ascii="Calibri" w:eastAsia="Calibri" w:hAnsi="Calibri" w:cs="Calibri"/>
          <w:sz w:val="19"/>
          <w:szCs w:val="19"/>
          <w:lang w:val="pt-PT" w:eastAsia="pt-PT" w:bidi="pt-PT"/>
        </w:rPr>
      </w:pPr>
      <w:r w:rsidRPr="00DD14B8">
        <w:rPr>
          <w:rFonts w:ascii="Calibri" w:eastAsia="Calibri" w:hAnsi="Calibri" w:cs="Calibri"/>
          <w:sz w:val="19"/>
          <w:szCs w:val="19"/>
          <w:lang w:val="pt-PT" w:eastAsia="pt-PT" w:bidi="pt-PT"/>
        </w:rPr>
        <w:t>Principais assuntos de auditoria são aqueles que, em nosso julgamento profissional, foram os mais significativos em nossa auditoria do exercício corrente. Esses assuntos foram tratados no contexto de nossa auditoria das demonstrações contábeis individuais e consolidadas como um todo e na formação de nossa opinião sobre essas demonstrações contábeis individuais e consolidadas e, portanto, não expressamos uma opinião separada sobre esses assuntos.</w:t>
      </w:r>
    </w:p>
    <w:p w14:paraId="51118C36" w14:textId="77777777" w:rsidR="00DD14B8" w:rsidRPr="00DD14B8" w:rsidRDefault="00DD14B8" w:rsidP="00DD14B8">
      <w:pPr>
        <w:widowControl w:val="0"/>
        <w:autoSpaceDE w:val="0"/>
        <w:autoSpaceDN w:val="0"/>
        <w:spacing w:before="4" w:after="0" w:line="240" w:lineRule="auto"/>
        <w:rPr>
          <w:rFonts w:ascii="Calibri" w:eastAsia="Calibri" w:hAnsi="Calibri" w:cs="Calibri"/>
          <w:sz w:val="18"/>
          <w:szCs w:val="19"/>
          <w:lang w:val="pt-PT" w:eastAsia="pt-PT" w:bidi="pt-PT"/>
        </w:rPr>
      </w:pPr>
    </w:p>
    <w:p w14:paraId="293CC3DE" w14:textId="77777777" w:rsidR="00DD14B8" w:rsidRPr="00DD14B8" w:rsidRDefault="00DD14B8" w:rsidP="00DD14B8">
      <w:pPr>
        <w:widowControl w:val="0"/>
        <w:autoSpaceDE w:val="0"/>
        <w:autoSpaceDN w:val="0"/>
        <w:spacing w:after="0" w:line="240" w:lineRule="auto"/>
        <w:ind w:left="225"/>
        <w:outlineLvl w:val="2"/>
        <w:rPr>
          <w:rFonts w:ascii="Calibri" w:eastAsia="Calibri" w:hAnsi="Calibri" w:cs="Calibri"/>
          <w:b/>
          <w:bCs/>
          <w:sz w:val="19"/>
          <w:szCs w:val="19"/>
          <w:lang w:val="pt-PT" w:eastAsia="pt-PT" w:bidi="pt-PT"/>
        </w:rPr>
      </w:pPr>
      <w:r w:rsidRPr="00DD14B8">
        <w:rPr>
          <w:rFonts w:ascii="Calibri" w:eastAsia="Calibri" w:hAnsi="Calibri" w:cs="Calibri"/>
          <w:b/>
          <w:bCs/>
          <w:sz w:val="19"/>
          <w:szCs w:val="19"/>
          <w:lang w:val="pt-PT" w:eastAsia="pt-PT" w:bidi="pt-PT"/>
        </w:rPr>
        <w:t>Reconhecimento das receitas de comissões</w:t>
      </w:r>
    </w:p>
    <w:p w14:paraId="1B32E3BB" w14:textId="77777777" w:rsidR="00DD14B8" w:rsidRPr="00DD14B8" w:rsidRDefault="00DD14B8" w:rsidP="00DD14B8">
      <w:pPr>
        <w:widowControl w:val="0"/>
        <w:autoSpaceDE w:val="0"/>
        <w:autoSpaceDN w:val="0"/>
        <w:spacing w:before="8" w:after="0" w:line="240" w:lineRule="auto"/>
        <w:rPr>
          <w:rFonts w:ascii="Calibri" w:eastAsia="Calibri" w:hAnsi="Calibri" w:cs="Calibri"/>
          <w:b/>
          <w:sz w:val="14"/>
          <w:szCs w:val="19"/>
          <w:lang w:val="pt-PT" w:eastAsia="pt-PT" w:bidi="pt-PT"/>
        </w:rPr>
      </w:pPr>
    </w:p>
    <w:p w14:paraId="0A574CBC" w14:textId="77777777" w:rsidR="00DD14B8" w:rsidRPr="00DD14B8" w:rsidRDefault="00DD14B8" w:rsidP="00DD14B8">
      <w:pPr>
        <w:widowControl w:val="0"/>
        <w:autoSpaceDE w:val="0"/>
        <w:autoSpaceDN w:val="0"/>
        <w:spacing w:after="0" w:line="259" w:lineRule="auto"/>
        <w:ind w:left="225" w:right="348"/>
        <w:rPr>
          <w:rFonts w:ascii="Calibri" w:eastAsia="Calibri" w:hAnsi="Calibri" w:cs="Calibri"/>
          <w:sz w:val="19"/>
          <w:szCs w:val="19"/>
          <w:lang w:val="pt-PT" w:eastAsia="pt-PT" w:bidi="pt-PT"/>
        </w:rPr>
      </w:pPr>
      <w:r w:rsidRPr="00DD14B8">
        <w:rPr>
          <w:rFonts w:ascii="Calibri" w:eastAsia="Calibri" w:hAnsi="Calibri" w:cs="Calibri"/>
          <w:sz w:val="19"/>
          <w:szCs w:val="19"/>
          <w:lang w:val="pt-PT" w:eastAsia="pt-PT" w:bidi="pt-PT"/>
        </w:rPr>
        <w:t>Conforme mencionado nas nota explicativas n.º 3(a2) e 8 das demonstrações contábeis individuais e consolidadas, as receitas de comissões da BB Seguridade, advindas da prestação de serviços de sua subsidiária BB Corretora de Seguros e Administradora de Bens S.A. (“BB Corretora”), são reconhecidas de acordo com o CPC 47 (IFRS 15) - Receita de contrato com cliente, considerando as seguintes etapas: (i) identificação do contrato; (ii) identificação das obrigações de desempenho; (iii) determinação do preço da transação; (iv) alocação do preço da transação; e (v) reconhecimento da receita.</w:t>
      </w:r>
    </w:p>
    <w:p w14:paraId="52278CEE" w14:textId="77777777" w:rsidR="00DD14B8" w:rsidRPr="00DD14B8" w:rsidRDefault="00DD14B8" w:rsidP="00DD14B8">
      <w:pPr>
        <w:widowControl w:val="0"/>
        <w:autoSpaceDE w:val="0"/>
        <w:autoSpaceDN w:val="0"/>
        <w:spacing w:before="159" w:after="0" w:line="259" w:lineRule="auto"/>
        <w:ind w:left="225" w:right="297"/>
        <w:rPr>
          <w:rFonts w:ascii="Calibri" w:eastAsia="Calibri" w:hAnsi="Calibri" w:cs="Calibri"/>
          <w:sz w:val="19"/>
          <w:szCs w:val="19"/>
          <w:lang w:val="pt-PT" w:eastAsia="pt-PT" w:bidi="pt-PT"/>
        </w:rPr>
      </w:pPr>
      <w:r w:rsidRPr="00DD14B8">
        <w:rPr>
          <w:rFonts w:ascii="Calibri" w:eastAsia="Calibri" w:hAnsi="Calibri" w:cs="Calibri"/>
          <w:sz w:val="19"/>
          <w:szCs w:val="19"/>
          <w:lang w:val="pt-PT" w:eastAsia="pt-PT" w:bidi="pt-PT"/>
        </w:rPr>
        <w:t>As receitas de comissões são provenientes dos segmentos de seguros de pessoas, ramos elementares, planos de previdência, capitalização e de saúde e são provenientes de contratos diversos com características específicas. Dependendo da natureza e características do produto, essas receitas podem ser reconhecidas ao longo do tempo, ou em momento específico do tempo.</w:t>
      </w:r>
    </w:p>
    <w:p w14:paraId="52566EFC" w14:textId="77777777" w:rsidR="00DD14B8" w:rsidRPr="00DD14B8" w:rsidRDefault="00DD14B8" w:rsidP="00DD14B8">
      <w:pPr>
        <w:widowControl w:val="0"/>
        <w:autoSpaceDE w:val="0"/>
        <w:autoSpaceDN w:val="0"/>
        <w:spacing w:before="159" w:after="0" w:line="259" w:lineRule="auto"/>
        <w:ind w:left="225" w:right="294"/>
        <w:rPr>
          <w:rFonts w:ascii="Calibri" w:eastAsia="Calibri" w:hAnsi="Calibri" w:cs="Calibri"/>
          <w:sz w:val="19"/>
          <w:szCs w:val="19"/>
          <w:lang w:val="pt-PT" w:eastAsia="pt-PT" w:bidi="pt-PT"/>
        </w:rPr>
      </w:pPr>
      <w:r w:rsidRPr="00DD14B8">
        <w:rPr>
          <w:rFonts w:ascii="Calibri" w:eastAsia="Calibri" w:hAnsi="Calibri" w:cs="Calibri"/>
          <w:sz w:val="19"/>
          <w:szCs w:val="19"/>
          <w:lang w:val="pt-PT" w:eastAsia="pt-PT" w:bidi="pt-PT"/>
        </w:rPr>
        <w:t>Devido principalmente à relevância do volume de receitas de comissões para o resultado da BB Seguridade e às diferentes especificidades de cada contrato e cada produto comercializado que podem impactar diretamente no devido reconhecimento da receita de comissões nas demonstrações contábeis consolidadas e o valor do investimento registrado pelo método da equivalência patrimonial nas demonstrações financeiras individuais, consideramos esse assunto significativo para nossa auditoria.</w:t>
      </w:r>
    </w:p>
    <w:p w14:paraId="58ECA24C" w14:textId="77777777" w:rsidR="00DD14B8" w:rsidRPr="00DD14B8" w:rsidRDefault="00DD14B8" w:rsidP="00DD14B8">
      <w:pPr>
        <w:widowControl w:val="0"/>
        <w:autoSpaceDE w:val="0"/>
        <w:autoSpaceDN w:val="0"/>
        <w:spacing w:before="8" w:after="0" w:line="240" w:lineRule="auto"/>
        <w:rPr>
          <w:rFonts w:ascii="Calibri" w:eastAsia="Calibri" w:hAnsi="Calibri" w:cs="Calibri"/>
          <w:sz w:val="13"/>
          <w:szCs w:val="19"/>
          <w:lang w:val="pt-PT" w:eastAsia="pt-PT" w:bidi="pt-PT"/>
        </w:rPr>
      </w:pPr>
    </w:p>
    <w:p w14:paraId="091B14E8" w14:textId="77777777" w:rsidR="00DD14B8" w:rsidRPr="00DD14B8" w:rsidRDefault="00DD14B8" w:rsidP="00DD14B8">
      <w:pPr>
        <w:widowControl w:val="0"/>
        <w:autoSpaceDE w:val="0"/>
        <w:autoSpaceDN w:val="0"/>
        <w:spacing w:after="0" w:line="240" w:lineRule="auto"/>
        <w:ind w:left="225"/>
        <w:outlineLvl w:val="2"/>
        <w:rPr>
          <w:rFonts w:ascii="Calibri" w:eastAsia="Calibri" w:hAnsi="Calibri" w:cs="Calibri"/>
          <w:b/>
          <w:bCs/>
          <w:sz w:val="19"/>
          <w:szCs w:val="19"/>
          <w:lang w:val="pt-PT" w:eastAsia="pt-PT" w:bidi="pt-PT"/>
        </w:rPr>
      </w:pPr>
      <w:r w:rsidRPr="00DD14B8">
        <w:rPr>
          <w:rFonts w:ascii="Calibri" w:eastAsia="Calibri" w:hAnsi="Calibri" w:cs="Calibri"/>
          <w:b/>
          <w:bCs/>
          <w:sz w:val="19"/>
          <w:szCs w:val="19"/>
          <w:lang w:val="pt-PT" w:eastAsia="pt-PT" w:bidi="pt-PT"/>
        </w:rPr>
        <w:t>Como nossa auditoria abordou o assunto</w:t>
      </w:r>
    </w:p>
    <w:p w14:paraId="6EFDACD8" w14:textId="77777777" w:rsidR="00DD14B8" w:rsidRPr="00DD14B8" w:rsidRDefault="00DD14B8" w:rsidP="00DD14B8">
      <w:pPr>
        <w:widowControl w:val="0"/>
        <w:autoSpaceDE w:val="0"/>
        <w:autoSpaceDN w:val="0"/>
        <w:spacing w:before="120" w:after="0" w:line="240" w:lineRule="auto"/>
        <w:ind w:left="225"/>
        <w:rPr>
          <w:rFonts w:ascii="Calibri" w:eastAsia="Calibri" w:hAnsi="Calibri" w:cs="Calibri"/>
          <w:sz w:val="19"/>
          <w:szCs w:val="19"/>
          <w:lang w:val="pt-PT" w:eastAsia="pt-PT" w:bidi="pt-PT"/>
        </w:rPr>
      </w:pPr>
      <w:r w:rsidRPr="00DD14B8">
        <w:rPr>
          <w:rFonts w:ascii="Calibri" w:eastAsia="Calibri" w:hAnsi="Calibri" w:cs="Calibri"/>
          <w:sz w:val="19"/>
          <w:szCs w:val="19"/>
          <w:lang w:val="pt-PT" w:eastAsia="pt-PT" w:bidi="pt-PT"/>
        </w:rPr>
        <w:t>Nossos procedimentos de auditoria incluíram, entre outros:</w:t>
      </w:r>
    </w:p>
    <w:p w14:paraId="14DCCCE3" w14:textId="77777777" w:rsidR="00DD14B8" w:rsidRPr="00DD14B8" w:rsidRDefault="00DD14B8" w:rsidP="00DD14B8">
      <w:pPr>
        <w:widowControl w:val="0"/>
        <w:autoSpaceDE w:val="0"/>
        <w:autoSpaceDN w:val="0"/>
        <w:spacing w:before="7" w:after="0" w:line="240" w:lineRule="auto"/>
        <w:rPr>
          <w:rFonts w:ascii="Calibri" w:eastAsia="Calibri" w:hAnsi="Calibri" w:cs="Calibri"/>
          <w:sz w:val="14"/>
          <w:szCs w:val="19"/>
          <w:lang w:val="pt-PT" w:eastAsia="pt-PT" w:bidi="pt-PT"/>
        </w:rPr>
      </w:pPr>
    </w:p>
    <w:p w14:paraId="75ACE206" w14:textId="77777777" w:rsidR="00DD14B8" w:rsidRPr="00DD14B8" w:rsidRDefault="00DD14B8" w:rsidP="00DD14B8">
      <w:pPr>
        <w:widowControl w:val="0"/>
        <w:numPr>
          <w:ilvl w:val="0"/>
          <w:numId w:val="54"/>
        </w:numPr>
        <w:tabs>
          <w:tab w:val="left" w:pos="945"/>
          <w:tab w:val="left" w:pos="946"/>
        </w:tabs>
        <w:autoSpaceDE w:val="0"/>
        <w:autoSpaceDN w:val="0"/>
        <w:spacing w:after="0" w:line="259" w:lineRule="auto"/>
        <w:ind w:right="561"/>
        <w:rPr>
          <w:rFonts w:ascii="Calibri" w:eastAsia="Calibri" w:hAnsi="Calibri" w:cs="Calibri"/>
          <w:sz w:val="19"/>
          <w:szCs w:val="22"/>
          <w:lang w:val="pt-PT" w:eastAsia="pt-PT" w:bidi="pt-PT"/>
        </w:rPr>
      </w:pPr>
      <w:r w:rsidRPr="00DD14B8">
        <w:rPr>
          <w:rFonts w:ascii="Calibri" w:eastAsia="Calibri" w:hAnsi="Calibri" w:cs="Calibri"/>
          <w:sz w:val="19"/>
          <w:szCs w:val="22"/>
          <w:lang w:val="pt-PT" w:eastAsia="pt-PT" w:bidi="pt-PT"/>
        </w:rPr>
        <w:t>Avaliação da política contábil da Companhia para o reconhecimento das receitas de comissões em relação ao CPC 47 (IFRS 15), incluindo a leitura dos acordos operacionais de custos e comissões, pactuados entre a BB Corretora, o Banco do Brasil S. A. e as</w:t>
      </w:r>
      <w:r w:rsidRPr="00DD14B8">
        <w:rPr>
          <w:rFonts w:ascii="Calibri" w:eastAsia="Calibri" w:hAnsi="Calibri" w:cs="Calibri"/>
          <w:spacing w:val="-18"/>
          <w:sz w:val="19"/>
          <w:szCs w:val="22"/>
          <w:lang w:val="pt-PT" w:eastAsia="pt-PT" w:bidi="pt-PT"/>
        </w:rPr>
        <w:t xml:space="preserve"> </w:t>
      </w:r>
      <w:r w:rsidRPr="00DD14B8">
        <w:rPr>
          <w:rFonts w:ascii="Calibri" w:eastAsia="Calibri" w:hAnsi="Calibri" w:cs="Calibri"/>
          <w:sz w:val="19"/>
          <w:szCs w:val="22"/>
          <w:lang w:val="pt-PT" w:eastAsia="pt-PT" w:bidi="pt-PT"/>
        </w:rPr>
        <w:t>seguradoras.</w:t>
      </w:r>
    </w:p>
    <w:p w14:paraId="0467FDEA" w14:textId="77777777" w:rsidR="00DD14B8" w:rsidRPr="00DD14B8" w:rsidRDefault="00DD14B8" w:rsidP="00DD14B8">
      <w:pPr>
        <w:widowControl w:val="0"/>
        <w:autoSpaceDE w:val="0"/>
        <w:autoSpaceDN w:val="0"/>
        <w:spacing w:before="6" w:after="0" w:line="240" w:lineRule="auto"/>
        <w:rPr>
          <w:rFonts w:ascii="Calibri" w:eastAsia="Calibri" w:hAnsi="Calibri" w:cs="Calibri"/>
          <w:sz w:val="20"/>
          <w:szCs w:val="19"/>
          <w:lang w:val="pt-PT" w:eastAsia="pt-PT" w:bidi="pt-PT"/>
        </w:rPr>
      </w:pPr>
    </w:p>
    <w:p w14:paraId="2484A5B1" w14:textId="77777777" w:rsidR="00DD14B8" w:rsidRPr="00DD14B8" w:rsidRDefault="00DD14B8" w:rsidP="00DD14B8">
      <w:pPr>
        <w:widowControl w:val="0"/>
        <w:numPr>
          <w:ilvl w:val="0"/>
          <w:numId w:val="54"/>
        </w:numPr>
        <w:tabs>
          <w:tab w:val="left" w:pos="945"/>
          <w:tab w:val="left" w:pos="946"/>
        </w:tabs>
        <w:autoSpaceDE w:val="0"/>
        <w:autoSpaceDN w:val="0"/>
        <w:spacing w:after="0" w:line="259" w:lineRule="auto"/>
        <w:ind w:right="913"/>
        <w:rPr>
          <w:rFonts w:ascii="Calibri" w:eastAsia="Calibri" w:hAnsi="Calibri" w:cs="Calibri"/>
          <w:sz w:val="19"/>
          <w:szCs w:val="22"/>
          <w:lang w:val="pt-PT" w:eastAsia="pt-PT" w:bidi="pt-PT"/>
        </w:rPr>
      </w:pPr>
      <w:r w:rsidRPr="00DD14B8">
        <w:rPr>
          <w:rFonts w:ascii="Calibri" w:eastAsia="Calibri" w:hAnsi="Calibri" w:cs="Calibri"/>
          <w:sz w:val="19"/>
          <w:szCs w:val="22"/>
          <w:lang w:val="pt-PT" w:eastAsia="pt-PT" w:bidi="pt-PT"/>
        </w:rPr>
        <w:t>Inspeção documental, com base em amostra, das informações relacionadas as receitas de comissões, taxas pactuadas entre as partes e liquidação</w:t>
      </w:r>
      <w:r w:rsidRPr="00DD14B8">
        <w:rPr>
          <w:rFonts w:ascii="Calibri" w:eastAsia="Calibri" w:hAnsi="Calibri" w:cs="Calibri"/>
          <w:spacing w:val="-8"/>
          <w:sz w:val="19"/>
          <w:szCs w:val="22"/>
          <w:lang w:val="pt-PT" w:eastAsia="pt-PT" w:bidi="pt-PT"/>
        </w:rPr>
        <w:t xml:space="preserve"> </w:t>
      </w:r>
      <w:r w:rsidRPr="00DD14B8">
        <w:rPr>
          <w:rFonts w:ascii="Calibri" w:eastAsia="Calibri" w:hAnsi="Calibri" w:cs="Calibri"/>
          <w:sz w:val="19"/>
          <w:szCs w:val="22"/>
          <w:lang w:val="pt-PT" w:eastAsia="pt-PT" w:bidi="pt-PT"/>
        </w:rPr>
        <w:t>financeira.</w:t>
      </w:r>
    </w:p>
    <w:p w14:paraId="0FD54D2C" w14:textId="77777777" w:rsidR="00DD14B8" w:rsidRPr="00DD14B8" w:rsidRDefault="00DD14B8" w:rsidP="00DD14B8">
      <w:pPr>
        <w:widowControl w:val="0"/>
        <w:autoSpaceDE w:val="0"/>
        <w:autoSpaceDN w:val="0"/>
        <w:spacing w:before="5" w:after="0" w:line="240" w:lineRule="auto"/>
        <w:rPr>
          <w:rFonts w:ascii="Calibri" w:eastAsia="Calibri" w:hAnsi="Calibri" w:cs="Calibri"/>
          <w:sz w:val="20"/>
          <w:szCs w:val="19"/>
          <w:lang w:val="pt-PT" w:eastAsia="pt-PT" w:bidi="pt-PT"/>
        </w:rPr>
      </w:pPr>
    </w:p>
    <w:p w14:paraId="04FE4A9C" w14:textId="77777777" w:rsidR="00DD14B8" w:rsidRPr="00DD14B8" w:rsidRDefault="00DD14B8" w:rsidP="00DD14B8">
      <w:pPr>
        <w:widowControl w:val="0"/>
        <w:numPr>
          <w:ilvl w:val="0"/>
          <w:numId w:val="54"/>
        </w:numPr>
        <w:tabs>
          <w:tab w:val="left" w:pos="945"/>
          <w:tab w:val="left" w:pos="946"/>
        </w:tabs>
        <w:autoSpaceDE w:val="0"/>
        <w:autoSpaceDN w:val="0"/>
        <w:spacing w:after="0" w:line="259" w:lineRule="auto"/>
        <w:ind w:right="906"/>
        <w:rPr>
          <w:rFonts w:ascii="Calibri" w:eastAsia="Calibri" w:hAnsi="Calibri" w:cs="Calibri"/>
          <w:sz w:val="19"/>
          <w:szCs w:val="22"/>
          <w:lang w:val="pt-PT" w:eastAsia="pt-PT" w:bidi="pt-PT"/>
        </w:rPr>
      </w:pPr>
      <w:r w:rsidRPr="00DD14B8">
        <w:rPr>
          <w:rFonts w:ascii="Calibri" w:eastAsia="Calibri" w:hAnsi="Calibri" w:cs="Calibri"/>
          <w:sz w:val="19"/>
          <w:szCs w:val="22"/>
          <w:lang w:val="pt-PT" w:eastAsia="pt-PT" w:bidi="pt-PT"/>
        </w:rPr>
        <w:t>Avaliação,</w:t>
      </w:r>
      <w:r w:rsidRPr="00DD14B8">
        <w:rPr>
          <w:rFonts w:ascii="Calibri" w:eastAsia="Calibri" w:hAnsi="Calibri" w:cs="Calibri"/>
          <w:spacing w:val="-3"/>
          <w:sz w:val="19"/>
          <w:szCs w:val="22"/>
          <w:lang w:val="pt-PT" w:eastAsia="pt-PT" w:bidi="pt-PT"/>
        </w:rPr>
        <w:t xml:space="preserve"> </w:t>
      </w:r>
      <w:r w:rsidRPr="00DD14B8">
        <w:rPr>
          <w:rFonts w:ascii="Calibri" w:eastAsia="Calibri" w:hAnsi="Calibri" w:cs="Calibri"/>
          <w:sz w:val="19"/>
          <w:szCs w:val="22"/>
          <w:lang w:val="pt-PT" w:eastAsia="pt-PT" w:bidi="pt-PT"/>
        </w:rPr>
        <w:t>com</w:t>
      </w:r>
      <w:r w:rsidRPr="00DD14B8">
        <w:rPr>
          <w:rFonts w:ascii="Calibri" w:eastAsia="Calibri" w:hAnsi="Calibri" w:cs="Calibri"/>
          <w:spacing w:val="-2"/>
          <w:sz w:val="19"/>
          <w:szCs w:val="22"/>
          <w:lang w:val="pt-PT" w:eastAsia="pt-PT" w:bidi="pt-PT"/>
        </w:rPr>
        <w:t xml:space="preserve"> </w:t>
      </w:r>
      <w:r w:rsidRPr="00DD14B8">
        <w:rPr>
          <w:rFonts w:ascii="Calibri" w:eastAsia="Calibri" w:hAnsi="Calibri" w:cs="Calibri"/>
          <w:sz w:val="19"/>
          <w:szCs w:val="22"/>
          <w:lang w:val="pt-PT" w:eastAsia="pt-PT" w:bidi="pt-PT"/>
        </w:rPr>
        <w:t>base</w:t>
      </w:r>
      <w:r w:rsidRPr="00DD14B8">
        <w:rPr>
          <w:rFonts w:ascii="Calibri" w:eastAsia="Calibri" w:hAnsi="Calibri" w:cs="Calibri"/>
          <w:spacing w:val="-3"/>
          <w:sz w:val="19"/>
          <w:szCs w:val="22"/>
          <w:lang w:val="pt-PT" w:eastAsia="pt-PT" w:bidi="pt-PT"/>
        </w:rPr>
        <w:t xml:space="preserve"> </w:t>
      </w:r>
      <w:r w:rsidRPr="00DD14B8">
        <w:rPr>
          <w:rFonts w:ascii="Calibri" w:eastAsia="Calibri" w:hAnsi="Calibri" w:cs="Calibri"/>
          <w:sz w:val="19"/>
          <w:szCs w:val="22"/>
          <w:lang w:val="pt-PT" w:eastAsia="pt-PT" w:bidi="pt-PT"/>
        </w:rPr>
        <w:t>em</w:t>
      </w:r>
      <w:r w:rsidRPr="00DD14B8">
        <w:rPr>
          <w:rFonts w:ascii="Calibri" w:eastAsia="Calibri" w:hAnsi="Calibri" w:cs="Calibri"/>
          <w:spacing w:val="-4"/>
          <w:sz w:val="19"/>
          <w:szCs w:val="22"/>
          <w:lang w:val="pt-PT" w:eastAsia="pt-PT" w:bidi="pt-PT"/>
        </w:rPr>
        <w:t xml:space="preserve"> </w:t>
      </w:r>
      <w:r w:rsidRPr="00DD14B8">
        <w:rPr>
          <w:rFonts w:ascii="Calibri" w:eastAsia="Calibri" w:hAnsi="Calibri" w:cs="Calibri"/>
          <w:sz w:val="19"/>
          <w:szCs w:val="22"/>
          <w:lang w:val="pt-PT" w:eastAsia="pt-PT" w:bidi="pt-PT"/>
        </w:rPr>
        <w:t>amostra,</w:t>
      </w:r>
      <w:r w:rsidRPr="00DD14B8">
        <w:rPr>
          <w:rFonts w:ascii="Calibri" w:eastAsia="Calibri" w:hAnsi="Calibri" w:cs="Calibri"/>
          <w:spacing w:val="-4"/>
          <w:sz w:val="19"/>
          <w:szCs w:val="22"/>
          <w:lang w:val="pt-PT" w:eastAsia="pt-PT" w:bidi="pt-PT"/>
        </w:rPr>
        <w:t xml:space="preserve"> </w:t>
      </w:r>
      <w:r w:rsidRPr="00DD14B8">
        <w:rPr>
          <w:rFonts w:ascii="Calibri" w:eastAsia="Calibri" w:hAnsi="Calibri" w:cs="Calibri"/>
          <w:sz w:val="19"/>
          <w:szCs w:val="22"/>
          <w:lang w:val="pt-PT" w:eastAsia="pt-PT" w:bidi="pt-PT"/>
        </w:rPr>
        <w:t>quanto</w:t>
      </w:r>
      <w:r w:rsidRPr="00DD14B8">
        <w:rPr>
          <w:rFonts w:ascii="Calibri" w:eastAsia="Calibri" w:hAnsi="Calibri" w:cs="Calibri"/>
          <w:spacing w:val="-3"/>
          <w:sz w:val="19"/>
          <w:szCs w:val="22"/>
          <w:lang w:val="pt-PT" w:eastAsia="pt-PT" w:bidi="pt-PT"/>
        </w:rPr>
        <w:t xml:space="preserve"> </w:t>
      </w:r>
      <w:r w:rsidRPr="00DD14B8">
        <w:rPr>
          <w:rFonts w:ascii="Calibri" w:eastAsia="Calibri" w:hAnsi="Calibri" w:cs="Calibri"/>
          <w:sz w:val="19"/>
          <w:szCs w:val="22"/>
          <w:lang w:val="pt-PT" w:eastAsia="pt-PT" w:bidi="pt-PT"/>
        </w:rPr>
        <w:t>à</w:t>
      </w:r>
      <w:r w:rsidRPr="00DD14B8">
        <w:rPr>
          <w:rFonts w:ascii="Calibri" w:eastAsia="Calibri" w:hAnsi="Calibri" w:cs="Calibri"/>
          <w:spacing w:val="-3"/>
          <w:sz w:val="19"/>
          <w:szCs w:val="22"/>
          <w:lang w:val="pt-PT" w:eastAsia="pt-PT" w:bidi="pt-PT"/>
        </w:rPr>
        <w:t xml:space="preserve"> </w:t>
      </w:r>
      <w:r w:rsidRPr="00DD14B8">
        <w:rPr>
          <w:rFonts w:ascii="Calibri" w:eastAsia="Calibri" w:hAnsi="Calibri" w:cs="Calibri"/>
          <w:sz w:val="19"/>
          <w:szCs w:val="22"/>
          <w:lang w:val="pt-PT" w:eastAsia="pt-PT" w:bidi="pt-PT"/>
        </w:rPr>
        <w:t>conclusão</w:t>
      </w:r>
      <w:r w:rsidRPr="00DD14B8">
        <w:rPr>
          <w:rFonts w:ascii="Calibri" w:eastAsia="Calibri" w:hAnsi="Calibri" w:cs="Calibri"/>
          <w:spacing w:val="-3"/>
          <w:sz w:val="19"/>
          <w:szCs w:val="22"/>
          <w:lang w:val="pt-PT" w:eastAsia="pt-PT" w:bidi="pt-PT"/>
        </w:rPr>
        <w:t xml:space="preserve"> </w:t>
      </w:r>
      <w:r w:rsidRPr="00DD14B8">
        <w:rPr>
          <w:rFonts w:ascii="Calibri" w:eastAsia="Calibri" w:hAnsi="Calibri" w:cs="Calibri"/>
          <w:sz w:val="19"/>
          <w:szCs w:val="22"/>
          <w:lang w:val="pt-PT" w:eastAsia="pt-PT" w:bidi="pt-PT"/>
        </w:rPr>
        <w:t>da</w:t>
      </w:r>
      <w:r w:rsidRPr="00DD14B8">
        <w:rPr>
          <w:rFonts w:ascii="Calibri" w:eastAsia="Calibri" w:hAnsi="Calibri" w:cs="Calibri"/>
          <w:spacing w:val="-3"/>
          <w:sz w:val="19"/>
          <w:szCs w:val="22"/>
          <w:lang w:val="pt-PT" w:eastAsia="pt-PT" w:bidi="pt-PT"/>
        </w:rPr>
        <w:t xml:space="preserve"> </w:t>
      </w:r>
      <w:r w:rsidRPr="00DD14B8">
        <w:rPr>
          <w:rFonts w:ascii="Calibri" w:eastAsia="Calibri" w:hAnsi="Calibri" w:cs="Calibri"/>
          <w:sz w:val="19"/>
          <w:szCs w:val="22"/>
          <w:lang w:val="pt-PT" w:eastAsia="pt-PT" w:bidi="pt-PT"/>
        </w:rPr>
        <w:t>Companhia</w:t>
      </w:r>
      <w:r w:rsidRPr="00DD14B8">
        <w:rPr>
          <w:rFonts w:ascii="Calibri" w:eastAsia="Calibri" w:hAnsi="Calibri" w:cs="Calibri"/>
          <w:spacing w:val="-3"/>
          <w:sz w:val="19"/>
          <w:szCs w:val="22"/>
          <w:lang w:val="pt-PT" w:eastAsia="pt-PT" w:bidi="pt-PT"/>
        </w:rPr>
        <w:t xml:space="preserve"> </w:t>
      </w:r>
      <w:r w:rsidRPr="00DD14B8">
        <w:rPr>
          <w:rFonts w:ascii="Calibri" w:eastAsia="Calibri" w:hAnsi="Calibri" w:cs="Calibri"/>
          <w:sz w:val="19"/>
          <w:szCs w:val="22"/>
          <w:lang w:val="pt-PT" w:eastAsia="pt-PT" w:bidi="pt-PT"/>
        </w:rPr>
        <w:t>sobre</w:t>
      </w:r>
      <w:r w:rsidRPr="00DD14B8">
        <w:rPr>
          <w:rFonts w:ascii="Calibri" w:eastAsia="Calibri" w:hAnsi="Calibri" w:cs="Calibri"/>
          <w:spacing w:val="-4"/>
          <w:sz w:val="19"/>
          <w:szCs w:val="22"/>
          <w:lang w:val="pt-PT" w:eastAsia="pt-PT" w:bidi="pt-PT"/>
        </w:rPr>
        <w:t xml:space="preserve"> </w:t>
      </w:r>
      <w:r w:rsidRPr="00DD14B8">
        <w:rPr>
          <w:rFonts w:ascii="Calibri" w:eastAsia="Calibri" w:hAnsi="Calibri" w:cs="Calibri"/>
          <w:sz w:val="19"/>
          <w:szCs w:val="22"/>
          <w:lang w:val="pt-PT" w:eastAsia="pt-PT" w:bidi="pt-PT"/>
        </w:rPr>
        <w:t>o</w:t>
      </w:r>
      <w:r w:rsidRPr="00DD14B8">
        <w:rPr>
          <w:rFonts w:ascii="Calibri" w:eastAsia="Calibri" w:hAnsi="Calibri" w:cs="Calibri"/>
          <w:spacing w:val="-1"/>
          <w:sz w:val="19"/>
          <w:szCs w:val="22"/>
          <w:lang w:val="pt-PT" w:eastAsia="pt-PT" w:bidi="pt-PT"/>
        </w:rPr>
        <w:t xml:space="preserve"> </w:t>
      </w:r>
      <w:r w:rsidRPr="00DD14B8">
        <w:rPr>
          <w:rFonts w:ascii="Calibri" w:eastAsia="Calibri" w:hAnsi="Calibri" w:cs="Calibri"/>
          <w:sz w:val="19"/>
          <w:szCs w:val="22"/>
          <w:lang w:val="pt-PT" w:eastAsia="pt-PT" w:bidi="pt-PT"/>
        </w:rPr>
        <w:t>momento</w:t>
      </w:r>
      <w:r w:rsidRPr="00DD14B8">
        <w:rPr>
          <w:rFonts w:ascii="Calibri" w:eastAsia="Calibri" w:hAnsi="Calibri" w:cs="Calibri"/>
          <w:spacing w:val="-4"/>
          <w:sz w:val="19"/>
          <w:szCs w:val="22"/>
          <w:lang w:val="pt-PT" w:eastAsia="pt-PT" w:bidi="pt-PT"/>
        </w:rPr>
        <w:t xml:space="preserve"> </w:t>
      </w:r>
      <w:r w:rsidRPr="00DD14B8">
        <w:rPr>
          <w:rFonts w:ascii="Calibri" w:eastAsia="Calibri" w:hAnsi="Calibri" w:cs="Calibri"/>
          <w:sz w:val="19"/>
          <w:szCs w:val="22"/>
          <w:lang w:val="pt-PT" w:eastAsia="pt-PT" w:bidi="pt-PT"/>
        </w:rPr>
        <w:t>da satisfação da obrigação de performance dos contratos</w:t>
      </w:r>
      <w:r w:rsidRPr="00DD14B8">
        <w:rPr>
          <w:rFonts w:ascii="Calibri" w:eastAsia="Calibri" w:hAnsi="Calibri" w:cs="Calibri"/>
          <w:spacing w:val="-8"/>
          <w:sz w:val="19"/>
          <w:szCs w:val="22"/>
          <w:lang w:val="pt-PT" w:eastAsia="pt-PT" w:bidi="pt-PT"/>
        </w:rPr>
        <w:t xml:space="preserve"> </w:t>
      </w:r>
      <w:r w:rsidRPr="00DD14B8">
        <w:rPr>
          <w:rFonts w:ascii="Calibri" w:eastAsia="Calibri" w:hAnsi="Calibri" w:cs="Calibri"/>
          <w:sz w:val="19"/>
          <w:szCs w:val="22"/>
          <w:lang w:val="pt-PT" w:eastAsia="pt-PT" w:bidi="pt-PT"/>
        </w:rPr>
        <w:t>inspecionados.</w:t>
      </w:r>
    </w:p>
    <w:p w14:paraId="2A80E9F0" w14:textId="77777777" w:rsidR="00DD14B8" w:rsidRPr="00DD14B8" w:rsidRDefault="00DD14B8" w:rsidP="00DD14B8">
      <w:pPr>
        <w:widowControl w:val="0"/>
        <w:autoSpaceDE w:val="0"/>
        <w:autoSpaceDN w:val="0"/>
        <w:spacing w:before="6" w:after="0" w:line="240" w:lineRule="auto"/>
        <w:rPr>
          <w:rFonts w:ascii="Calibri" w:eastAsia="Calibri" w:hAnsi="Calibri" w:cs="Calibri"/>
          <w:sz w:val="20"/>
          <w:szCs w:val="19"/>
          <w:lang w:val="pt-PT" w:eastAsia="pt-PT" w:bidi="pt-PT"/>
        </w:rPr>
      </w:pPr>
    </w:p>
    <w:p w14:paraId="2E9B568F" w14:textId="77777777" w:rsidR="00DD14B8" w:rsidRPr="00DD14B8" w:rsidRDefault="00DD14B8" w:rsidP="00DD14B8">
      <w:pPr>
        <w:widowControl w:val="0"/>
        <w:numPr>
          <w:ilvl w:val="0"/>
          <w:numId w:val="54"/>
        </w:numPr>
        <w:tabs>
          <w:tab w:val="left" w:pos="945"/>
          <w:tab w:val="left" w:pos="946"/>
        </w:tabs>
        <w:autoSpaceDE w:val="0"/>
        <w:autoSpaceDN w:val="0"/>
        <w:spacing w:after="0" w:line="259" w:lineRule="auto"/>
        <w:ind w:right="606"/>
        <w:rPr>
          <w:rFonts w:ascii="Calibri" w:eastAsia="Calibri" w:hAnsi="Calibri" w:cs="Calibri"/>
          <w:sz w:val="19"/>
          <w:szCs w:val="22"/>
          <w:lang w:val="pt-PT" w:eastAsia="pt-PT" w:bidi="pt-PT"/>
        </w:rPr>
      </w:pPr>
      <w:r w:rsidRPr="00DD14B8">
        <w:rPr>
          <w:rFonts w:ascii="Calibri" w:eastAsia="Calibri" w:hAnsi="Calibri" w:cs="Calibri"/>
          <w:sz w:val="19"/>
          <w:szCs w:val="22"/>
          <w:lang w:val="pt-PT" w:eastAsia="pt-PT" w:bidi="pt-PT"/>
        </w:rPr>
        <w:t>Recálculo,</w:t>
      </w:r>
      <w:r w:rsidRPr="00DD14B8">
        <w:rPr>
          <w:rFonts w:ascii="Calibri" w:eastAsia="Calibri" w:hAnsi="Calibri" w:cs="Calibri"/>
          <w:spacing w:val="-4"/>
          <w:sz w:val="19"/>
          <w:szCs w:val="22"/>
          <w:lang w:val="pt-PT" w:eastAsia="pt-PT" w:bidi="pt-PT"/>
        </w:rPr>
        <w:t xml:space="preserve"> </w:t>
      </w:r>
      <w:r w:rsidRPr="00DD14B8">
        <w:rPr>
          <w:rFonts w:ascii="Calibri" w:eastAsia="Calibri" w:hAnsi="Calibri" w:cs="Calibri"/>
          <w:sz w:val="19"/>
          <w:szCs w:val="22"/>
          <w:lang w:val="pt-PT" w:eastAsia="pt-PT" w:bidi="pt-PT"/>
        </w:rPr>
        <w:t>com</w:t>
      </w:r>
      <w:r w:rsidRPr="00DD14B8">
        <w:rPr>
          <w:rFonts w:ascii="Calibri" w:eastAsia="Calibri" w:hAnsi="Calibri" w:cs="Calibri"/>
          <w:spacing w:val="-3"/>
          <w:sz w:val="19"/>
          <w:szCs w:val="22"/>
          <w:lang w:val="pt-PT" w:eastAsia="pt-PT" w:bidi="pt-PT"/>
        </w:rPr>
        <w:t xml:space="preserve"> </w:t>
      </w:r>
      <w:r w:rsidRPr="00DD14B8">
        <w:rPr>
          <w:rFonts w:ascii="Calibri" w:eastAsia="Calibri" w:hAnsi="Calibri" w:cs="Calibri"/>
          <w:sz w:val="19"/>
          <w:szCs w:val="22"/>
          <w:lang w:val="pt-PT" w:eastAsia="pt-PT" w:bidi="pt-PT"/>
        </w:rPr>
        <w:t>base</w:t>
      </w:r>
      <w:r w:rsidRPr="00DD14B8">
        <w:rPr>
          <w:rFonts w:ascii="Calibri" w:eastAsia="Calibri" w:hAnsi="Calibri" w:cs="Calibri"/>
          <w:spacing w:val="-3"/>
          <w:sz w:val="19"/>
          <w:szCs w:val="22"/>
          <w:lang w:val="pt-PT" w:eastAsia="pt-PT" w:bidi="pt-PT"/>
        </w:rPr>
        <w:t xml:space="preserve"> </w:t>
      </w:r>
      <w:r w:rsidRPr="00DD14B8">
        <w:rPr>
          <w:rFonts w:ascii="Calibri" w:eastAsia="Calibri" w:hAnsi="Calibri" w:cs="Calibri"/>
          <w:sz w:val="19"/>
          <w:szCs w:val="22"/>
          <w:lang w:val="pt-PT" w:eastAsia="pt-PT" w:bidi="pt-PT"/>
        </w:rPr>
        <w:t>em</w:t>
      </w:r>
      <w:r w:rsidRPr="00DD14B8">
        <w:rPr>
          <w:rFonts w:ascii="Calibri" w:eastAsia="Calibri" w:hAnsi="Calibri" w:cs="Calibri"/>
          <w:spacing w:val="-3"/>
          <w:sz w:val="19"/>
          <w:szCs w:val="22"/>
          <w:lang w:val="pt-PT" w:eastAsia="pt-PT" w:bidi="pt-PT"/>
        </w:rPr>
        <w:t xml:space="preserve"> </w:t>
      </w:r>
      <w:r w:rsidRPr="00DD14B8">
        <w:rPr>
          <w:rFonts w:ascii="Calibri" w:eastAsia="Calibri" w:hAnsi="Calibri" w:cs="Calibri"/>
          <w:sz w:val="19"/>
          <w:szCs w:val="22"/>
          <w:lang w:val="pt-PT" w:eastAsia="pt-PT" w:bidi="pt-PT"/>
        </w:rPr>
        <w:t>amostra,</w:t>
      </w:r>
      <w:r w:rsidRPr="00DD14B8">
        <w:rPr>
          <w:rFonts w:ascii="Calibri" w:eastAsia="Calibri" w:hAnsi="Calibri" w:cs="Calibri"/>
          <w:spacing w:val="-4"/>
          <w:sz w:val="19"/>
          <w:szCs w:val="22"/>
          <w:lang w:val="pt-PT" w:eastAsia="pt-PT" w:bidi="pt-PT"/>
        </w:rPr>
        <w:t xml:space="preserve"> </w:t>
      </w:r>
      <w:r w:rsidRPr="00DD14B8">
        <w:rPr>
          <w:rFonts w:ascii="Calibri" w:eastAsia="Calibri" w:hAnsi="Calibri" w:cs="Calibri"/>
          <w:sz w:val="19"/>
          <w:szCs w:val="22"/>
          <w:lang w:val="pt-PT" w:eastAsia="pt-PT" w:bidi="pt-PT"/>
        </w:rPr>
        <w:t>da</w:t>
      </w:r>
      <w:r w:rsidRPr="00DD14B8">
        <w:rPr>
          <w:rFonts w:ascii="Calibri" w:eastAsia="Calibri" w:hAnsi="Calibri" w:cs="Calibri"/>
          <w:spacing w:val="-3"/>
          <w:sz w:val="19"/>
          <w:szCs w:val="22"/>
          <w:lang w:val="pt-PT" w:eastAsia="pt-PT" w:bidi="pt-PT"/>
        </w:rPr>
        <w:t xml:space="preserve"> </w:t>
      </w:r>
      <w:r w:rsidRPr="00DD14B8">
        <w:rPr>
          <w:rFonts w:ascii="Calibri" w:eastAsia="Calibri" w:hAnsi="Calibri" w:cs="Calibri"/>
          <w:sz w:val="19"/>
          <w:szCs w:val="22"/>
          <w:lang w:val="pt-PT" w:eastAsia="pt-PT" w:bidi="pt-PT"/>
        </w:rPr>
        <w:t>apropriação</w:t>
      </w:r>
      <w:r w:rsidRPr="00DD14B8">
        <w:rPr>
          <w:rFonts w:ascii="Calibri" w:eastAsia="Calibri" w:hAnsi="Calibri" w:cs="Calibri"/>
          <w:spacing w:val="-3"/>
          <w:sz w:val="19"/>
          <w:szCs w:val="22"/>
          <w:lang w:val="pt-PT" w:eastAsia="pt-PT" w:bidi="pt-PT"/>
        </w:rPr>
        <w:t xml:space="preserve"> </w:t>
      </w:r>
      <w:r w:rsidRPr="00DD14B8">
        <w:rPr>
          <w:rFonts w:ascii="Calibri" w:eastAsia="Calibri" w:hAnsi="Calibri" w:cs="Calibri"/>
          <w:sz w:val="19"/>
          <w:szCs w:val="22"/>
          <w:lang w:val="pt-PT" w:eastAsia="pt-PT" w:bidi="pt-PT"/>
        </w:rPr>
        <w:t>das</w:t>
      </w:r>
      <w:r w:rsidRPr="00DD14B8">
        <w:rPr>
          <w:rFonts w:ascii="Calibri" w:eastAsia="Calibri" w:hAnsi="Calibri" w:cs="Calibri"/>
          <w:spacing w:val="-3"/>
          <w:sz w:val="19"/>
          <w:szCs w:val="22"/>
          <w:lang w:val="pt-PT" w:eastAsia="pt-PT" w:bidi="pt-PT"/>
        </w:rPr>
        <w:t xml:space="preserve"> </w:t>
      </w:r>
      <w:r w:rsidRPr="00DD14B8">
        <w:rPr>
          <w:rFonts w:ascii="Calibri" w:eastAsia="Calibri" w:hAnsi="Calibri" w:cs="Calibri"/>
          <w:sz w:val="19"/>
          <w:szCs w:val="22"/>
          <w:lang w:val="pt-PT" w:eastAsia="pt-PT" w:bidi="pt-PT"/>
        </w:rPr>
        <w:t>receitas</w:t>
      </w:r>
      <w:r w:rsidRPr="00DD14B8">
        <w:rPr>
          <w:rFonts w:ascii="Calibri" w:eastAsia="Calibri" w:hAnsi="Calibri" w:cs="Calibri"/>
          <w:spacing w:val="-4"/>
          <w:sz w:val="19"/>
          <w:szCs w:val="22"/>
          <w:lang w:val="pt-PT" w:eastAsia="pt-PT" w:bidi="pt-PT"/>
        </w:rPr>
        <w:t xml:space="preserve"> </w:t>
      </w:r>
      <w:r w:rsidRPr="00DD14B8">
        <w:rPr>
          <w:rFonts w:ascii="Calibri" w:eastAsia="Calibri" w:hAnsi="Calibri" w:cs="Calibri"/>
          <w:sz w:val="19"/>
          <w:szCs w:val="22"/>
          <w:lang w:val="pt-PT" w:eastAsia="pt-PT" w:bidi="pt-PT"/>
        </w:rPr>
        <w:t>de</w:t>
      </w:r>
      <w:r w:rsidRPr="00DD14B8">
        <w:rPr>
          <w:rFonts w:ascii="Calibri" w:eastAsia="Calibri" w:hAnsi="Calibri" w:cs="Calibri"/>
          <w:spacing w:val="-3"/>
          <w:sz w:val="19"/>
          <w:szCs w:val="22"/>
          <w:lang w:val="pt-PT" w:eastAsia="pt-PT" w:bidi="pt-PT"/>
        </w:rPr>
        <w:t xml:space="preserve"> </w:t>
      </w:r>
      <w:r w:rsidRPr="00DD14B8">
        <w:rPr>
          <w:rFonts w:ascii="Calibri" w:eastAsia="Calibri" w:hAnsi="Calibri" w:cs="Calibri"/>
          <w:sz w:val="19"/>
          <w:szCs w:val="22"/>
          <w:lang w:val="pt-PT" w:eastAsia="pt-PT" w:bidi="pt-PT"/>
        </w:rPr>
        <w:t>comissões</w:t>
      </w:r>
      <w:r w:rsidRPr="00DD14B8">
        <w:rPr>
          <w:rFonts w:ascii="Calibri" w:eastAsia="Calibri" w:hAnsi="Calibri" w:cs="Calibri"/>
          <w:spacing w:val="-3"/>
          <w:sz w:val="19"/>
          <w:szCs w:val="22"/>
          <w:lang w:val="pt-PT" w:eastAsia="pt-PT" w:bidi="pt-PT"/>
        </w:rPr>
        <w:t xml:space="preserve"> </w:t>
      </w:r>
      <w:r w:rsidRPr="00DD14B8">
        <w:rPr>
          <w:rFonts w:ascii="Calibri" w:eastAsia="Calibri" w:hAnsi="Calibri" w:cs="Calibri"/>
          <w:sz w:val="19"/>
          <w:szCs w:val="22"/>
          <w:lang w:val="pt-PT" w:eastAsia="pt-PT" w:bidi="pt-PT"/>
        </w:rPr>
        <w:t>em</w:t>
      </w:r>
      <w:r w:rsidRPr="00DD14B8">
        <w:rPr>
          <w:rFonts w:ascii="Calibri" w:eastAsia="Calibri" w:hAnsi="Calibri" w:cs="Calibri"/>
          <w:spacing w:val="-4"/>
          <w:sz w:val="19"/>
          <w:szCs w:val="22"/>
          <w:lang w:val="pt-PT" w:eastAsia="pt-PT" w:bidi="pt-PT"/>
        </w:rPr>
        <w:t xml:space="preserve"> </w:t>
      </w:r>
      <w:r w:rsidRPr="00DD14B8">
        <w:rPr>
          <w:rFonts w:ascii="Calibri" w:eastAsia="Calibri" w:hAnsi="Calibri" w:cs="Calibri"/>
          <w:sz w:val="19"/>
          <w:szCs w:val="22"/>
          <w:lang w:val="pt-PT" w:eastAsia="pt-PT" w:bidi="pt-PT"/>
        </w:rPr>
        <w:t>conformidade com os conceitos do pronunciamento técnico CPC 47 (IFRS 15);</w:t>
      </w:r>
      <w:r w:rsidRPr="00DD14B8">
        <w:rPr>
          <w:rFonts w:ascii="Calibri" w:eastAsia="Calibri" w:hAnsi="Calibri" w:cs="Calibri"/>
          <w:spacing w:val="-12"/>
          <w:sz w:val="19"/>
          <w:szCs w:val="22"/>
          <w:lang w:val="pt-PT" w:eastAsia="pt-PT" w:bidi="pt-PT"/>
        </w:rPr>
        <w:t xml:space="preserve"> </w:t>
      </w:r>
      <w:r w:rsidRPr="00DD14B8">
        <w:rPr>
          <w:rFonts w:ascii="Calibri" w:eastAsia="Calibri" w:hAnsi="Calibri" w:cs="Calibri"/>
          <w:sz w:val="19"/>
          <w:szCs w:val="22"/>
          <w:lang w:val="pt-PT" w:eastAsia="pt-PT" w:bidi="pt-PT"/>
        </w:rPr>
        <w:t>e</w:t>
      </w:r>
    </w:p>
    <w:p w14:paraId="18547289" w14:textId="77777777" w:rsidR="00DD14B8" w:rsidRPr="00DD14B8" w:rsidRDefault="00DD14B8" w:rsidP="00DD14B8">
      <w:pPr>
        <w:widowControl w:val="0"/>
        <w:autoSpaceDE w:val="0"/>
        <w:autoSpaceDN w:val="0"/>
        <w:spacing w:after="0" w:line="259" w:lineRule="auto"/>
        <w:rPr>
          <w:rFonts w:ascii="Calibri" w:eastAsia="Calibri" w:hAnsi="Calibri" w:cs="Calibri"/>
          <w:sz w:val="19"/>
          <w:szCs w:val="22"/>
          <w:lang w:val="pt-PT" w:eastAsia="pt-PT" w:bidi="pt-PT"/>
        </w:rPr>
        <w:sectPr w:rsidR="00DD14B8" w:rsidRPr="00DD14B8" w:rsidSect="00DD14B8">
          <w:pgSz w:w="11910" w:h="16840"/>
          <w:pgMar w:top="1420" w:right="1680" w:bottom="1340" w:left="1440" w:header="0" w:footer="1148" w:gutter="0"/>
          <w:cols w:space="720"/>
        </w:sectPr>
      </w:pPr>
    </w:p>
    <w:p w14:paraId="7ABAA94A" w14:textId="77777777" w:rsidR="00DD14B8" w:rsidRPr="00DD14B8" w:rsidRDefault="00DD14B8" w:rsidP="00DD14B8">
      <w:pPr>
        <w:widowControl w:val="0"/>
        <w:numPr>
          <w:ilvl w:val="0"/>
          <w:numId w:val="54"/>
        </w:numPr>
        <w:tabs>
          <w:tab w:val="left" w:pos="945"/>
          <w:tab w:val="left" w:pos="946"/>
        </w:tabs>
        <w:autoSpaceDE w:val="0"/>
        <w:autoSpaceDN w:val="0"/>
        <w:spacing w:before="74" w:after="0" w:line="259" w:lineRule="auto"/>
        <w:ind w:right="589"/>
        <w:rPr>
          <w:rFonts w:ascii="Calibri" w:eastAsia="Calibri" w:hAnsi="Calibri" w:cs="Calibri"/>
          <w:sz w:val="19"/>
          <w:szCs w:val="22"/>
          <w:lang w:val="pt-PT" w:eastAsia="pt-PT" w:bidi="pt-PT"/>
        </w:rPr>
      </w:pPr>
      <w:r w:rsidRPr="00DD14B8">
        <w:rPr>
          <w:rFonts w:ascii="Calibri" w:eastAsia="Calibri" w:hAnsi="Calibri" w:cs="Calibri"/>
          <w:sz w:val="19"/>
          <w:szCs w:val="22"/>
          <w:lang w:val="pt-PT" w:eastAsia="pt-PT" w:bidi="pt-PT"/>
        </w:rPr>
        <w:lastRenderedPageBreak/>
        <w:t>Avaliação se as divulgações nas demonstrações contábeis individuais e consolidadas estão de acordo</w:t>
      </w:r>
      <w:r w:rsidRPr="00DD14B8">
        <w:rPr>
          <w:rFonts w:ascii="Calibri" w:eastAsia="Calibri" w:hAnsi="Calibri" w:cs="Calibri"/>
          <w:spacing w:val="-4"/>
          <w:sz w:val="19"/>
          <w:szCs w:val="22"/>
          <w:lang w:val="pt-PT" w:eastAsia="pt-PT" w:bidi="pt-PT"/>
        </w:rPr>
        <w:t xml:space="preserve"> </w:t>
      </w:r>
      <w:r w:rsidRPr="00DD14B8">
        <w:rPr>
          <w:rFonts w:ascii="Calibri" w:eastAsia="Calibri" w:hAnsi="Calibri" w:cs="Calibri"/>
          <w:sz w:val="19"/>
          <w:szCs w:val="22"/>
          <w:lang w:val="pt-PT" w:eastAsia="pt-PT" w:bidi="pt-PT"/>
        </w:rPr>
        <w:t>com</w:t>
      </w:r>
      <w:r w:rsidRPr="00DD14B8">
        <w:rPr>
          <w:rFonts w:ascii="Calibri" w:eastAsia="Calibri" w:hAnsi="Calibri" w:cs="Calibri"/>
          <w:spacing w:val="-4"/>
          <w:sz w:val="19"/>
          <w:szCs w:val="22"/>
          <w:lang w:val="pt-PT" w:eastAsia="pt-PT" w:bidi="pt-PT"/>
        </w:rPr>
        <w:t xml:space="preserve"> </w:t>
      </w:r>
      <w:r w:rsidRPr="00DD14B8">
        <w:rPr>
          <w:rFonts w:ascii="Calibri" w:eastAsia="Calibri" w:hAnsi="Calibri" w:cs="Calibri"/>
          <w:sz w:val="19"/>
          <w:szCs w:val="22"/>
          <w:lang w:val="pt-PT" w:eastAsia="pt-PT" w:bidi="pt-PT"/>
        </w:rPr>
        <w:t>os</w:t>
      </w:r>
      <w:r w:rsidRPr="00DD14B8">
        <w:rPr>
          <w:rFonts w:ascii="Calibri" w:eastAsia="Calibri" w:hAnsi="Calibri" w:cs="Calibri"/>
          <w:spacing w:val="-2"/>
          <w:sz w:val="19"/>
          <w:szCs w:val="22"/>
          <w:lang w:val="pt-PT" w:eastAsia="pt-PT" w:bidi="pt-PT"/>
        </w:rPr>
        <w:t xml:space="preserve"> </w:t>
      </w:r>
      <w:r w:rsidRPr="00DD14B8">
        <w:rPr>
          <w:rFonts w:ascii="Calibri" w:eastAsia="Calibri" w:hAnsi="Calibri" w:cs="Calibri"/>
          <w:sz w:val="19"/>
          <w:szCs w:val="22"/>
          <w:lang w:val="pt-PT" w:eastAsia="pt-PT" w:bidi="pt-PT"/>
        </w:rPr>
        <w:t>requerimentos</w:t>
      </w:r>
      <w:r w:rsidRPr="00DD14B8">
        <w:rPr>
          <w:rFonts w:ascii="Calibri" w:eastAsia="Calibri" w:hAnsi="Calibri" w:cs="Calibri"/>
          <w:spacing w:val="-4"/>
          <w:sz w:val="19"/>
          <w:szCs w:val="22"/>
          <w:lang w:val="pt-PT" w:eastAsia="pt-PT" w:bidi="pt-PT"/>
        </w:rPr>
        <w:t xml:space="preserve"> </w:t>
      </w:r>
      <w:r w:rsidRPr="00DD14B8">
        <w:rPr>
          <w:rFonts w:ascii="Calibri" w:eastAsia="Calibri" w:hAnsi="Calibri" w:cs="Calibri"/>
          <w:sz w:val="19"/>
          <w:szCs w:val="22"/>
          <w:lang w:val="pt-PT" w:eastAsia="pt-PT" w:bidi="pt-PT"/>
        </w:rPr>
        <w:t>da</w:t>
      </w:r>
      <w:r w:rsidRPr="00DD14B8">
        <w:rPr>
          <w:rFonts w:ascii="Calibri" w:eastAsia="Calibri" w:hAnsi="Calibri" w:cs="Calibri"/>
          <w:spacing w:val="-3"/>
          <w:sz w:val="19"/>
          <w:szCs w:val="22"/>
          <w:lang w:val="pt-PT" w:eastAsia="pt-PT" w:bidi="pt-PT"/>
        </w:rPr>
        <w:t xml:space="preserve"> </w:t>
      </w:r>
      <w:r w:rsidRPr="00DD14B8">
        <w:rPr>
          <w:rFonts w:ascii="Calibri" w:eastAsia="Calibri" w:hAnsi="Calibri" w:cs="Calibri"/>
          <w:sz w:val="19"/>
          <w:szCs w:val="22"/>
          <w:lang w:val="pt-PT" w:eastAsia="pt-PT" w:bidi="pt-PT"/>
        </w:rPr>
        <w:t>norma</w:t>
      </w:r>
      <w:r w:rsidRPr="00DD14B8">
        <w:rPr>
          <w:rFonts w:ascii="Calibri" w:eastAsia="Calibri" w:hAnsi="Calibri" w:cs="Calibri"/>
          <w:spacing w:val="-4"/>
          <w:sz w:val="19"/>
          <w:szCs w:val="22"/>
          <w:lang w:val="pt-PT" w:eastAsia="pt-PT" w:bidi="pt-PT"/>
        </w:rPr>
        <w:t xml:space="preserve"> </w:t>
      </w:r>
      <w:r w:rsidRPr="00DD14B8">
        <w:rPr>
          <w:rFonts w:ascii="Calibri" w:eastAsia="Calibri" w:hAnsi="Calibri" w:cs="Calibri"/>
          <w:sz w:val="19"/>
          <w:szCs w:val="22"/>
          <w:lang w:val="pt-PT" w:eastAsia="pt-PT" w:bidi="pt-PT"/>
        </w:rPr>
        <w:t>contábil</w:t>
      </w:r>
      <w:r w:rsidRPr="00DD14B8">
        <w:rPr>
          <w:rFonts w:ascii="Calibri" w:eastAsia="Calibri" w:hAnsi="Calibri" w:cs="Calibri"/>
          <w:spacing w:val="-3"/>
          <w:sz w:val="19"/>
          <w:szCs w:val="22"/>
          <w:lang w:val="pt-PT" w:eastAsia="pt-PT" w:bidi="pt-PT"/>
        </w:rPr>
        <w:t xml:space="preserve"> </w:t>
      </w:r>
      <w:r w:rsidRPr="00DD14B8">
        <w:rPr>
          <w:rFonts w:ascii="Calibri" w:eastAsia="Calibri" w:hAnsi="Calibri" w:cs="Calibri"/>
          <w:sz w:val="19"/>
          <w:szCs w:val="22"/>
          <w:lang w:val="pt-PT" w:eastAsia="pt-PT" w:bidi="pt-PT"/>
        </w:rPr>
        <w:t>aplicável</w:t>
      </w:r>
      <w:r w:rsidRPr="00DD14B8">
        <w:rPr>
          <w:rFonts w:ascii="Calibri" w:eastAsia="Calibri" w:hAnsi="Calibri" w:cs="Calibri"/>
          <w:spacing w:val="-3"/>
          <w:sz w:val="19"/>
          <w:szCs w:val="22"/>
          <w:lang w:val="pt-PT" w:eastAsia="pt-PT" w:bidi="pt-PT"/>
        </w:rPr>
        <w:t xml:space="preserve"> </w:t>
      </w:r>
      <w:r w:rsidRPr="00DD14B8">
        <w:rPr>
          <w:rFonts w:ascii="Calibri" w:eastAsia="Calibri" w:hAnsi="Calibri" w:cs="Calibri"/>
          <w:sz w:val="19"/>
          <w:szCs w:val="22"/>
          <w:lang w:val="pt-PT" w:eastAsia="pt-PT" w:bidi="pt-PT"/>
        </w:rPr>
        <w:t>e</w:t>
      </w:r>
      <w:r w:rsidRPr="00DD14B8">
        <w:rPr>
          <w:rFonts w:ascii="Calibri" w:eastAsia="Calibri" w:hAnsi="Calibri" w:cs="Calibri"/>
          <w:spacing w:val="-3"/>
          <w:sz w:val="19"/>
          <w:szCs w:val="22"/>
          <w:lang w:val="pt-PT" w:eastAsia="pt-PT" w:bidi="pt-PT"/>
        </w:rPr>
        <w:t xml:space="preserve"> </w:t>
      </w:r>
      <w:r w:rsidRPr="00DD14B8">
        <w:rPr>
          <w:rFonts w:ascii="Calibri" w:eastAsia="Calibri" w:hAnsi="Calibri" w:cs="Calibri"/>
          <w:sz w:val="19"/>
          <w:szCs w:val="22"/>
          <w:lang w:val="pt-PT" w:eastAsia="pt-PT" w:bidi="pt-PT"/>
        </w:rPr>
        <w:t>consideram</w:t>
      </w:r>
      <w:r w:rsidRPr="00DD14B8">
        <w:rPr>
          <w:rFonts w:ascii="Calibri" w:eastAsia="Calibri" w:hAnsi="Calibri" w:cs="Calibri"/>
          <w:spacing w:val="-4"/>
          <w:sz w:val="19"/>
          <w:szCs w:val="22"/>
          <w:lang w:val="pt-PT" w:eastAsia="pt-PT" w:bidi="pt-PT"/>
        </w:rPr>
        <w:t xml:space="preserve"> </w:t>
      </w:r>
      <w:r w:rsidRPr="00DD14B8">
        <w:rPr>
          <w:rFonts w:ascii="Calibri" w:eastAsia="Calibri" w:hAnsi="Calibri" w:cs="Calibri"/>
          <w:sz w:val="19"/>
          <w:szCs w:val="22"/>
          <w:lang w:val="pt-PT" w:eastAsia="pt-PT" w:bidi="pt-PT"/>
        </w:rPr>
        <w:t>todas</w:t>
      </w:r>
      <w:r w:rsidRPr="00DD14B8">
        <w:rPr>
          <w:rFonts w:ascii="Calibri" w:eastAsia="Calibri" w:hAnsi="Calibri" w:cs="Calibri"/>
          <w:spacing w:val="-3"/>
          <w:sz w:val="19"/>
          <w:szCs w:val="22"/>
          <w:lang w:val="pt-PT" w:eastAsia="pt-PT" w:bidi="pt-PT"/>
        </w:rPr>
        <w:t xml:space="preserve"> </w:t>
      </w:r>
      <w:r w:rsidRPr="00DD14B8">
        <w:rPr>
          <w:rFonts w:ascii="Calibri" w:eastAsia="Calibri" w:hAnsi="Calibri" w:cs="Calibri"/>
          <w:sz w:val="19"/>
          <w:szCs w:val="22"/>
          <w:lang w:val="pt-PT" w:eastAsia="pt-PT" w:bidi="pt-PT"/>
        </w:rPr>
        <w:t>as</w:t>
      </w:r>
      <w:r w:rsidRPr="00DD14B8">
        <w:rPr>
          <w:rFonts w:ascii="Calibri" w:eastAsia="Calibri" w:hAnsi="Calibri" w:cs="Calibri"/>
          <w:spacing w:val="-3"/>
          <w:sz w:val="19"/>
          <w:szCs w:val="22"/>
          <w:lang w:val="pt-PT" w:eastAsia="pt-PT" w:bidi="pt-PT"/>
        </w:rPr>
        <w:t xml:space="preserve"> </w:t>
      </w:r>
      <w:r w:rsidRPr="00DD14B8">
        <w:rPr>
          <w:rFonts w:ascii="Calibri" w:eastAsia="Calibri" w:hAnsi="Calibri" w:cs="Calibri"/>
          <w:sz w:val="19"/>
          <w:szCs w:val="22"/>
          <w:lang w:val="pt-PT" w:eastAsia="pt-PT" w:bidi="pt-PT"/>
        </w:rPr>
        <w:t>informações relevantes.</w:t>
      </w:r>
    </w:p>
    <w:p w14:paraId="65FD6C93" w14:textId="77777777" w:rsidR="00DD14B8" w:rsidRPr="00DD14B8" w:rsidRDefault="00DD14B8" w:rsidP="00DD14B8">
      <w:pPr>
        <w:widowControl w:val="0"/>
        <w:autoSpaceDE w:val="0"/>
        <w:autoSpaceDN w:val="0"/>
        <w:spacing w:after="0" w:line="259" w:lineRule="auto"/>
        <w:ind w:left="225" w:right="335"/>
        <w:rPr>
          <w:rFonts w:ascii="Calibri" w:eastAsia="Calibri" w:hAnsi="Calibri" w:cs="Calibri"/>
          <w:sz w:val="19"/>
          <w:szCs w:val="19"/>
          <w:lang w:val="pt-PT" w:eastAsia="pt-PT" w:bidi="pt-PT"/>
        </w:rPr>
      </w:pPr>
      <w:r w:rsidRPr="00DD14B8">
        <w:rPr>
          <w:rFonts w:ascii="Calibri" w:eastAsia="Calibri" w:hAnsi="Calibri" w:cs="Calibri"/>
          <w:sz w:val="19"/>
          <w:szCs w:val="19"/>
          <w:lang w:val="pt-PT" w:eastAsia="pt-PT" w:bidi="pt-PT"/>
        </w:rPr>
        <w:t>Com base nas evidências obtidas por meio dos procedimentos acima sumarizados, consideramos aceitável o reconhecimento das receitas de comissões no contexto das demonstrações contábeis individuais e consolidadas, referentes ao exercício findo em 31 de dezembro de 2024, bem como as respectivas divulgações.</w:t>
      </w:r>
    </w:p>
    <w:p w14:paraId="463B246F" w14:textId="77777777" w:rsidR="00DD14B8" w:rsidRPr="00DD14B8" w:rsidRDefault="00DD14B8" w:rsidP="00DD14B8">
      <w:pPr>
        <w:widowControl w:val="0"/>
        <w:autoSpaceDE w:val="0"/>
        <w:autoSpaceDN w:val="0"/>
        <w:spacing w:before="160" w:after="0" w:line="240" w:lineRule="auto"/>
        <w:ind w:left="225"/>
        <w:outlineLvl w:val="2"/>
        <w:rPr>
          <w:rFonts w:ascii="Calibri" w:eastAsia="Calibri" w:hAnsi="Calibri" w:cs="Calibri"/>
          <w:b/>
          <w:bCs/>
          <w:sz w:val="19"/>
          <w:szCs w:val="19"/>
          <w:lang w:val="pt-PT" w:eastAsia="pt-PT" w:bidi="pt-PT"/>
        </w:rPr>
      </w:pPr>
      <w:r w:rsidRPr="00DD14B8">
        <w:rPr>
          <w:rFonts w:ascii="Calibri" w:eastAsia="Calibri" w:hAnsi="Calibri" w:cs="Calibri"/>
          <w:b/>
          <w:bCs/>
          <w:sz w:val="19"/>
          <w:szCs w:val="19"/>
          <w:lang w:val="pt-PT" w:eastAsia="pt-PT" w:bidi="pt-PT"/>
        </w:rPr>
        <w:t>Contratos de seguros em investidas avaliadas pelo método de equivalência patrimonial</w:t>
      </w:r>
    </w:p>
    <w:p w14:paraId="65F198C7" w14:textId="77777777" w:rsidR="00DD14B8" w:rsidRPr="00DD14B8" w:rsidRDefault="00DD14B8" w:rsidP="00DD14B8">
      <w:pPr>
        <w:widowControl w:val="0"/>
        <w:autoSpaceDE w:val="0"/>
        <w:autoSpaceDN w:val="0"/>
        <w:spacing w:before="7" w:after="0" w:line="240" w:lineRule="auto"/>
        <w:rPr>
          <w:rFonts w:ascii="Calibri" w:eastAsia="Calibri" w:hAnsi="Calibri" w:cs="Calibri"/>
          <w:b/>
          <w:sz w:val="14"/>
          <w:szCs w:val="19"/>
          <w:lang w:val="pt-PT" w:eastAsia="pt-PT" w:bidi="pt-PT"/>
        </w:rPr>
      </w:pPr>
    </w:p>
    <w:p w14:paraId="007EFE10" w14:textId="77777777" w:rsidR="00DD14B8" w:rsidRPr="00DD14B8" w:rsidRDefault="00DD14B8" w:rsidP="00DD14B8">
      <w:pPr>
        <w:widowControl w:val="0"/>
        <w:autoSpaceDE w:val="0"/>
        <w:autoSpaceDN w:val="0"/>
        <w:spacing w:after="0" w:line="259" w:lineRule="auto"/>
        <w:ind w:left="225" w:right="755"/>
        <w:rPr>
          <w:rFonts w:ascii="Calibri" w:eastAsia="Calibri" w:hAnsi="Calibri" w:cs="Calibri"/>
          <w:sz w:val="19"/>
          <w:szCs w:val="19"/>
          <w:lang w:val="pt-PT" w:eastAsia="pt-PT" w:bidi="pt-PT"/>
        </w:rPr>
      </w:pPr>
      <w:r w:rsidRPr="00DD14B8">
        <w:rPr>
          <w:rFonts w:ascii="Calibri" w:eastAsia="Calibri" w:hAnsi="Calibri" w:cs="Calibri"/>
          <w:sz w:val="19"/>
          <w:szCs w:val="19"/>
          <w:lang w:val="pt-PT" w:eastAsia="pt-PT" w:bidi="pt-PT"/>
        </w:rPr>
        <w:t>Conforme mencionado nas notas explicativas 3(h) e 7 das demonstrações contábeis individuais e consolidadas, a BB Seguridade detém participações societárias relevantes na Brasilseg Companhia de</w:t>
      </w:r>
    </w:p>
    <w:p w14:paraId="22E55147" w14:textId="77777777" w:rsidR="00DD14B8" w:rsidRPr="00DD14B8" w:rsidRDefault="00DD14B8" w:rsidP="00DD14B8">
      <w:pPr>
        <w:widowControl w:val="0"/>
        <w:autoSpaceDE w:val="0"/>
        <w:autoSpaceDN w:val="0"/>
        <w:spacing w:after="0" w:line="259" w:lineRule="auto"/>
        <w:ind w:left="225" w:right="353"/>
        <w:rPr>
          <w:rFonts w:ascii="Calibri" w:eastAsia="Calibri" w:hAnsi="Calibri" w:cs="Calibri"/>
          <w:sz w:val="19"/>
          <w:szCs w:val="19"/>
          <w:lang w:val="pt-PT" w:eastAsia="pt-PT" w:bidi="pt-PT"/>
        </w:rPr>
      </w:pPr>
      <w:r w:rsidRPr="00DD14B8">
        <w:rPr>
          <w:rFonts w:ascii="Calibri" w:eastAsia="Calibri" w:hAnsi="Calibri" w:cs="Calibri"/>
          <w:sz w:val="19"/>
          <w:szCs w:val="19"/>
          <w:lang w:val="pt-PT" w:eastAsia="pt-PT" w:bidi="pt-PT"/>
        </w:rPr>
        <w:t>Seguros e na Brasilprev Seguros e Previdência S.A. (“investidas operacionais”), as quais são reconhecidas pelo método de equivalência patrimonial. Tais investidas operacionais possuem contratos de seguros cuja mensuração e o reconhecimento são efetuados de acordo com os critérios definidos no CPC 50 (IFRS 17) – Contratos de Seguro.</w:t>
      </w:r>
    </w:p>
    <w:p w14:paraId="526BE3BD" w14:textId="77777777" w:rsidR="00DD14B8" w:rsidRPr="00DD14B8" w:rsidRDefault="00DD14B8" w:rsidP="00DD14B8">
      <w:pPr>
        <w:widowControl w:val="0"/>
        <w:autoSpaceDE w:val="0"/>
        <w:autoSpaceDN w:val="0"/>
        <w:spacing w:before="159" w:after="0" w:line="259" w:lineRule="auto"/>
        <w:ind w:left="225" w:right="344"/>
        <w:rPr>
          <w:rFonts w:ascii="Calibri" w:eastAsia="Calibri" w:hAnsi="Calibri" w:cs="Calibri"/>
          <w:sz w:val="19"/>
          <w:szCs w:val="19"/>
          <w:lang w:val="pt-PT" w:eastAsia="pt-PT" w:bidi="pt-PT"/>
        </w:rPr>
      </w:pPr>
      <w:r w:rsidRPr="00DD14B8">
        <w:rPr>
          <w:rFonts w:ascii="Calibri" w:eastAsia="Calibri" w:hAnsi="Calibri" w:cs="Calibri"/>
          <w:sz w:val="19"/>
          <w:szCs w:val="19"/>
          <w:lang w:val="pt-PT" w:eastAsia="pt-PT" w:bidi="pt-PT"/>
        </w:rPr>
        <w:t>Para mensurar os contratos de seguros, as investidas operacionais consideram estimativas relacionadas às projeções de fluxos de caixa futuros, ajustes ao valor presente e aos riscos não financeiros, entre outras.</w:t>
      </w:r>
    </w:p>
    <w:p w14:paraId="100CB1ED" w14:textId="77777777" w:rsidR="00DD14B8" w:rsidRPr="00DD14B8" w:rsidRDefault="00DD14B8" w:rsidP="00DD14B8">
      <w:pPr>
        <w:widowControl w:val="0"/>
        <w:autoSpaceDE w:val="0"/>
        <w:autoSpaceDN w:val="0"/>
        <w:spacing w:before="159" w:after="0" w:line="259" w:lineRule="auto"/>
        <w:ind w:left="225" w:right="319"/>
        <w:rPr>
          <w:rFonts w:ascii="Calibri" w:eastAsia="Calibri" w:hAnsi="Calibri" w:cs="Calibri"/>
          <w:sz w:val="19"/>
          <w:szCs w:val="19"/>
          <w:lang w:val="pt-PT" w:eastAsia="pt-PT" w:bidi="pt-PT"/>
        </w:rPr>
      </w:pPr>
      <w:r w:rsidRPr="00DD14B8">
        <w:rPr>
          <w:rFonts w:ascii="Calibri" w:eastAsia="Calibri" w:hAnsi="Calibri" w:cs="Calibri"/>
          <w:sz w:val="19"/>
          <w:szCs w:val="19"/>
          <w:lang w:val="pt-PT" w:eastAsia="pt-PT" w:bidi="pt-PT"/>
        </w:rPr>
        <w:t>Devido à relevância do investimento e resultados dessas investidas operacionais, assim como às incertezas relacionadas às estimativas e o impacto que eventuais mudanças nas premissas dessas estimativas poderiam gerar nas demonstrações contábeis individuais e consolidadas da BB Seguridade, consideramos esse assunto significativo para a nossa auditoria.</w:t>
      </w:r>
    </w:p>
    <w:p w14:paraId="52128E3D" w14:textId="77777777" w:rsidR="00DD14B8" w:rsidRPr="00DD14B8" w:rsidRDefault="00DD14B8" w:rsidP="00DD14B8">
      <w:pPr>
        <w:widowControl w:val="0"/>
        <w:autoSpaceDE w:val="0"/>
        <w:autoSpaceDN w:val="0"/>
        <w:spacing w:before="9" w:after="0" w:line="240" w:lineRule="auto"/>
        <w:rPr>
          <w:rFonts w:ascii="Calibri" w:eastAsia="Calibri" w:hAnsi="Calibri" w:cs="Calibri"/>
          <w:sz w:val="13"/>
          <w:szCs w:val="19"/>
          <w:lang w:val="pt-PT" w:eastAsia="pt-PT" w:bidi="pt-PT"/>
        </w:rPr>
      </w:pPr>
    </w:p>
    <w:p w14:paraId="2CE79C65" w14:textId="77777777" w:rsidR="00DD14B8" w:rsidRPr="00DD14B8" w:rsidRDefault="00DD14B8" w:rsidP="00DD14B8">
      <w:pPr>
        <w:widowControl w:val="0"/>
        <w:autoSpaceDE w:val="0"/>
        <w:autoSpaceDN w:val="0"/>
        <w:spacing w:before="1" w:after="0" w:line="240" w:lineRule="auto"/>
        <w:ind w:left="225"/>
        <w:outlineLvl w:val="2"/>
        <w:rPr>
          <w:rFonts w:ascii="Calibri" w:eastAsia="Calibri" w:hAnsi="Calibri" w:cs="Calibri"/>
          <w:b/>
          <w:bCs/>
          <w:sz w:val="19"/>
          <w:szCs w:val="19"/>
          <w:lang w:val="pt-PT" w:eastAsia="pt-PT" w:bidi="pt-PT"/>
        </w:rPr>
      </w:pPr>
      <w:r w:rsidRPr="00DD14B8">
        <w:rPr>
          <w:rFonts w:ascii="Calibri" w:eastAsia="Calibri" w:hAnsi="Calibri" w:cs="Calibri"/>
          <w:b/>
          <w:bCs/>
          <w:sz w:val="19"/>
          <w:szCs w:val="19"/>
          <w:lang w:val="pt-PT" w:eastAsia="pt-PT" w:bidi="pt-PT"/>
        </w:rPr>
        <w:t>Como nossa auditoria abordou o assunto</w:t>
      </w:r>
    </w:p>
    <w:p w14:paraId="4C678730" w14:textId="77777777" w:rsidR="00DD14B8" w:rsidRPr="00DD14B8" w:rsidRDefault="00DD14B8" w:rsidP="00DD14B8">
      <w:pPr>
        <w:widowControl w:val="0"/>
        <w:numPr>
          <w:ilvl w:val="0"/>
          <w:numId w:val="54"/>
        </w:numPr>
        <w:tabs>
          <w:tab w:val="left" w:pos="945"/>
          <w:tab w:val="left" w:pos="946"/>
        </w:tabs>
        <w:autoSpaceDE w:val="0"/>
        <w:autoSpaceDN w:val="0"/>
        <w:spacing w:before="119" w:after="0" w:line="259" w:lineRule="auto"/>
        <w:ind w:right="419"/>
        <w:rPr>
          <w:rFonts w:ascii="Calibri" w:eastAsia="Calibri" w:hAnsi="Calibri" w:cs="Calibri"/>
          <w:sz w:val="19"/>
          <w:szCs w:val="22"/>
          <w:lang w:val="pt-PT" w:eastAsia="pt-PT" w:bidi="pt-PT"/>
        </w:rPr>
      </w:pPr>
      <w:r w:rsidRPr="00DD14B8">
        <w:rPr>
          <w:rFonts w:ascii="Calibri" w:eastAsia="Calibri" w:hAnsi="Calibri" w:cs="Calibri"/>
          <w:sz w:val="19"/>
          <w:szCs w:val="22"/>
          <w:lang w:val="pt-PT" w:eastAsia="pt-PT" w:bidi="pt-PT"/>
        </w:rPr>
        <w:t>Enviamos as instruções de auditoria aos auditores das investidas operacionais selecionadas para escopo de auditoria de Grupo e participamos das discussões de avaliação de riscos e planejamento dos procedimentos de auditoria, entre outras</w:t>
      </w:r>
      <w:r w:rsidRPr="00DD14B8">
        <w:rPr>
          <w:rFonts w:ascii="Calibri" w:eastAsia="Calibri" w:hAnsi="Calibri" w:cs="Calibri"/>
          <w:spacing w:val="-10"/>
          <w:sz w:val="19"/>
          <w:szCs w:val="22"/>
          <w:lang w:val="pt-PT" w:eastAsia="pt-PT" w:bidi="pt-PT"/>
        </w:rPr>
        <w:t xml:space="preserve"> </w:t>
      </w:r>
      <w:r w:rsidRPr="00DD14B8">
        <w:rPr>
          <w:rFonts w:ascii="Calibri" w:eastAsia="Calibri" w:hAnsi="Calibri" w:cs="Calibri"/>
          <w:sz w:val="19"/>
          <w:szCs w:val="22"/>
          <w:lang w:val="pt-PT" w:eastAsia="pt-PT" w:bidi="pt-PT"/>
        </w:rPr>
        <w:t>comunicações.</w:t>
      </w:r>
    </w:p>
    <w:p w14:paraId="3ABA14A1" w14:textId="77777777" w:rsidR="00DD14B8" w:rsidRPr="00DD14B8" w:rsidRDefault="00DD14B8" w:rsidP="00DD14B8">
      <w:pPr>
        <w:widowControl w:val="0"/>
        <w:autoSpaceDE w:val="0"/>
        <w:autoSpaceDN w:val="0"/>
        <w:spacing w:before="6" w:after="0" w:line="240" w:lineRule="auto"/>
        <w:rPr>
          <w:rFonts w:ascii="Calibri" w:eastAsia="Calibri" w:hAnsi="Calibri" w:cs="Calibri"/>
          <w:sz w:val="20"/>
          <w:szCs w:val="19"/>
          <w:lang w:val="pt-PT" w:eastAsia="pt-PT" w:bidi="pt-PT"/>
        </w:rPr>
      </w:pPr>
    </w:p>
    <w:p w14:paraId="0FB63650" w14:textId="77777777" w:rsidR="00DD14B8" w:rsidRPr="00DD14B8" w:rsidRDefault="00DD14B8" w:rsidP="00DD14B8">
      <w:pPr>
        <w:widowControl w:val="0"/>
        <w:numPr>
          <w:ilvl w:val="0"/>
          <w:numId w:val="54"/>
        </w:numPr>
        <w:tabs>
          <w:tab w:val="left" w:pos="945"/>
          <w:tab w:val="left" w:pos="946"/>
        </w:tabs>
        <w:autoSpaceDE w:val="0"/>
        <w:autoSpaceDN w:val="0"/>
        <w:spacing w:after="0" w:line="259" w:lineRule="auto"/>
        <w:ind w:right="789"/>
        <w:rPr>
          <w:rFonts w:ascii="Calibri" w:eastAsia="Calibri" w:hAnsi="Calibri" w:cs="Calibri"/>
          <w:sz w:val="19"/>
          <w:szCs w:val="22"/>
          <w:lang w:val="pt-PT" w:eastAsia="pt-PT" w:bidi="pt-PT"/>
        </w:rPr>
      </w:pPr>
      <w:r w:rsidRPr="00DD14B8">
        <w:rPr>
          <w:rFonts w:ascii="Calibri" w:eastAsia="Calibri" w:hAnsi="Calibri" w:cs="Calibri"/>
          <w:sz w:val="19"/>
          <w:szCs w:val="22"/>
          <w:lang w:val="pt-PT" w:eastAsia="pt-PT" w:bidi="pt-PT"/>
        </w:rPr>
        <w:t>Realizamos reuniões, durante o período de auditoria, com os auditores das investidas operacionais e acompanhamos o andamento dos trabalhos de auditoria realizados sobre as estimativas utilizadas na mensuração dos contratos de</w:t>
      </w:r>
      <w:r w:rsidRPr="00DD14B8">
        <w:rPr>
          <w:rFonts w:ascii="Calibri" w:eastAsia="Calibri" w:hAnsi="Calibri" w:cs="Calibri"/>
          <w:spacing w:val="-6"/>
          <w:sz w:val="19"/>
          <w:szCs w:val="22"/>
          <w:lang w:val="pt-PT" w:eastAsia="pt-PT" w:bidi="pt-PT"/>
        </w:rPr>
        <w:t xml:space="preserve"> </w:t>
      </w:r>
      <w:r w:rsidRPr="00DD14B8">
        <w:rPr>
          <w:rFonts w:ascii="Calibri" w:eastAsia="Calibri" w:hAnsi="Calibri" w:cs="Calibri"/>
          <w:sz w:val="19"/>
          <w:szCs w:val="22"/>
          <w:lang w:val="pt-PT" w:eastAsia="pt-PT" w:bidi="pt-PT"/>
        </w:rPr>
        <w:t>seguro.</w:t>
      </w:r>
    </w:p>
    <w:p w14:paraId="5C4E5C06" w14:textId="77777777" w:rsidR="00DD14B8" w:rsidRPr="00DD14B8" w:rsidRDefault="00DD14B8" w:rsidP="00DD14B8">
      <w:pPr>
        <w:widowControl w:val="0"/>
        <w:autoSpaceDE w:val="0"/>
        <w:autoSpaceDN w:val="0"/>
        <w:spacing w:before="4" w:after="0" w:line="240" w:lineRule="auto"/>
        <w:rPr>
          <w:rFonts w:ascii="Calibri" w:eastAsia="Calibri" w:hAnsi="Calibri" w:cs="Calibri"/>
          <w:sz w:val="20"/>
          <w:szCs w:val="19"/>
          <w:lang w:val="pt-PT" w:eastAsia="pt-PT" w:bidi="pt-PT"/>
        </w:rPr>
      </w:pPr>
    </w:p>
    <w:p w14:paraId="452D3E87" w14:textId="77777777" w:rsidR="00DD14B8" w:rsidRPr="00DD14B8" w:rsidRDefault="00DD14B8" w:rsidP="00DD14B8">
      <w:pPr>
        <w:widowControl w:val="0"/>
        <w:numPr>
          <w:ilvl w:val="0"/>
          <w:numId w:val="54"/>
        </w:numPr>
        <w:tabs>
          <w:tab w:val="left" w:pos="945"/>
          <w:tab w:val="left" w:pos="946"/>
        </w:tabs>
        <w:autoSpaceDE w:val="0"/>
        <w:autoSpaceDN w:val="0"/>
        <w:spacing w:before="1" w:after="0" w:line="259" w:lineRule="auto"/>
        <w:ind w:right="359"/>
        <w:rPr>
          <w:rFonts w:ascii="Calibri" w:eastAsia="Calibri" w:hAnsi="Calibri" w:cs="Calibri"/>
          <w:sz w:val="19"/>
          <w:szCs w:val="22"/>
          <w:lang w:val="pt-PT" w:eastAsia="pt-PT" w:bidi="pt-PT"/>
        </w:rPr>
      </w:pPr>
      <w:r w:rsidRPr="00DD14B8">
        <w:rPr>
          <w:rFonts w:ascii="Calibri" w:eastAsia="Calibri" w:hAnsi="Calibri" w:cs="Calibri"/>
          <w:sz w:val="19"/>
          <w:szCs w:val="22"/>
          <w:lang w:val="pt-PT" w:eastAsia="pt-PT" w:bidi="pt-PT"/>
        </w:rPr>
        <w:t>Analisamos as comunicações e os relatórios enviados pelos auditores das investidas operacionais selecionadas para escopo de auditoria de Grupo, incluindo os procedimentos de avaliação dos controles internos relevantes, envolvimento dos especialistas atuariais na avaliação das estimativas utilizadas na mensuração dos contratos de seguro e os procedimentos e as conclusões</w:t>
      </w:r>
      <w:r w:rsidRPr="00DD14B8">
        <w:rPr>
          <w:rFonts w:ascii="Calibri" w:eastAsia="Calibri" w:hAnsi="Calibri" w:cs="Calibri"/>
          <w:spacing w:val="-1"/>
          <w:sz w:val="19"/>
          <w:szCs w:val="22"/>
          <w:lang w:val="pt-PT" w:eastAsia="pt-PT" w:bidi="pt-PT"/>
        </w:rPr>
        <w:t xml:space="preserve"> </w:t>
      </w:r>
      <w:r w:rsidRPr="00DD14B8">
        <w:rPr>
          <w:rFonts w:ascii="Calibri" w:eastAsia="Calibri" w:hAnsi="Calibri" w:cs="Calibri"/>
          <w:sz w:val="19"/>
          <w:szCs w:val="22"/>
          <w:lang w:val="pt-PT" w:eastAsia="pt-PT" w:bidi="pt-PT"/>
        </w:rPr>
        <w:t>obtidas.</w:t>
      </w:r>
    </w:p>
    <w:p w14:paraId="73C48D8B" w14:textId="77777777" w:rsidR="00DD14B8" w:rsidRPr="00DD14B8" w:rsidRDefault="00DD14B8" w:rsidP="00DD14B8">
      <w:pPr>
        <w:widowControl w:val="0"/>
        <w:autoSpaceDE w:val="0"/>
        <w:autoSpaceDN w:val="0"/>
        <w:spacing w:before="5" w:after="0" w:line="240" w:lineRule="auto"/>
        <w:rPr>
          <w:rFonts w:ascii="Calibri" w:eastAsia="Calibri" w:hAnsi="Calibri" w:cs="Calibri"/>
          <w:sz w:val="20"/>
          <w:szCs w:val="19"/>
          <w:lang w:val="pt-PT" w:eastAsia="pt-PT" w:bidi="pt-PT"/>
        </w:rPr>
      </w:pPr>
    </w:p>
    <w:p w14:paraId="5676F8CB" w14:textId="77777777" w:rsidR="00DD14B8" w:rsidRPr="00DD14B8" w:rsidRDefault="00DD14B8" w:rsidP="00DD14B8">
      <w:pPr>
        <w:widowControl w:val="0"/>
        <w:numPr>
          <w:ilvl w:val="0"/>
          <w:numId w:val="54"/>
        </w:numPr>
        <w:tabs>
          <w:tab w:val="left" w:pos="945"/>
          <w:tab w:val="left" w:pos="946"/>
        </w:tabs>
        <w:autoSpaceDE w:val="0"/>
        <w:autoSpaceDN w:val="0"/>
        <w:spacing w:after="0" w:line="259" w:lineRule="auto"/>
        <w:ind w:right="363"/>
        <w:rPr>
          <w:rFonts w:ascii="Calibri" w:eastAsia="Calibri" w:hAnsi="Calibri" w:cs="Calibri"/>
          <w:sz w:val="19"/>
          <w:szCs w:val="22"/>
          <w:lang w:val="pt-PT" w:eastAsia="pt-PT" w:bidi="pt-PT"/>
        </w:rPr>
      </w:pPr>
      <w:r w:rsidRPr="00DD14B8">
        <w:rPr>
          <w:rFonts w:ascii="Calibri" w:eastAsia="Calibri" w:hAnsi="Calibri" w:cs="Calibri"/>
          <w:sz w:val="19"/>
          <w:szCs w:val="22"/>
          <w:lang w:val="pt-PT" w:eastAsia="pt-PT" w:bidi="pt-PT"/>
        </w:rPr>
        <w:t>Avaliamos</w:t>
      </w:r>
      <w:r w:rsidRPr="00DD14B8">
        <w:rPr>
          <w:rFonts w:ascii="Calibri" w:eastAsia="Calibri" w:hAnsi="Calibri" w:cs="Calibri"/>
          <w:spacing w:val="-4"/>
          <w:sz w:val="19"/>
          <w:szCs w:val="22"/>
          <w:lang w:val="pt-PT" w:eastAsia="pt-PT" w:bidi="pt-PT"/>
        </w:rPr>
        <w:t xml:space="preserve"> </w:t>
      </w:r>
      <w:r w:rsidRPr="00DD14B8">
        <w:rPr>
          <w:rFonts w:ascii="Calibri" w:eastAsia="Calibri" w:hAnsi="Calibri" w:cs="Calibri"/>
          <w:sz w:val="19"/>
          <w:szCs w:val="22"/>
          <w:lang w:val="pt-PT" w:eastAsia="pt-PT" w:bidi="pt-PT"/>
        </w:rPr>
        <w:t>se</w:t>
      </w:r>
      <w:r w:rsidRPr="00DD14B8">
        <w:rPr>
          <w:rFonts w:ascii="Calibri" w:eastAsia="Calibri" w:hAnsi="Calibri" w:cs="Calibri"/>
          <w:spacing w:val="-4"/>
          <w:sz w:val="19"/>
          <w:szCs w:val="22"/>
          <w:lang w:val="pt-PT" w:eastAsia="pt-PT" w:bidi="pt-PT"/>
        </w:rPr>
        <w:t xml:space="preserve"> </w:t>
      </w:r>
      <w:r w:rsidRPr="00DD14B8">
        <w:rPr>
          <w:rFonts w:ascii="Calibri" w:eastAsia="Calibri" w:hAnsi="Calibri" w:cs="Calibri"/>
          <w:sz w:val="19"/>
          <w:szCs w:val="22"/>
          <w:lang w:val="pt-PT" w:eastAsia="pt-PT" w:bidi="pt-PT"/>
        </w:rPr>
        <w:t>as</w:t>
      </w:r>
      <w:r w:rsidRPr="00DD14B8">
        <w:rPr>
          <w:rFonts w:ascii="Calibri" w:eastAsia="Calibri" w:hAnsi="Calibri" w:cs="Calibri"/>
          <w:spacing w:val="-4"/>
          <w:sz w:val="19"/>
          <w:szCs w:val="22"/>
          <w:lang w:val="pt-PT" w:eastAsia="pt-PT" w:bidi="pt-PT"/>
        </w:rPr>
        <w:t xml:space="preserve"> </w:t>
      </w:r>
      <w:r w:rsidRPr="00DD14B8">
        <w:rPr>
          <w:rFonts w:ascii="Calibri" w:eastAsia="Calibri" w:hAnsi="Calibri" w:cs="Calibri"/>
          <w:sz w:val="19"/>
          <w:szCs w:val="22"/>
          <w:lang w:val="pt-PT" w:eastAsia="pt-PT" w:bidi="pt-PT"/>
        </w:rPr>
        <w:t>divulgações</w:t>
      </w:r>
      <w:r w:rsidRPr="00DD14B8">
        <w:rPr>
          <w:rFonts w:ascii="Calibri" w:eastAsia="Calibri" w:hAnsi="Calibri" w:cs="Calibri"/>
          <w:spacing w:val="-4"/>
          <w:sz w:val="19"/>
          <w:szCs w:val="22"/>
          <w:lang w:val="pt-PT" w:eastAsia="pt-PT" w:bidi="pt-PT"/>
        </w:rPr>
        <w:t xml:space="preserve"> </w:t>
      </w:r>
      <w:r w:rsidRPr="00DD14B8">
        <w:rPr>
          <w:rFonts w:ascii="Calibri" w:eastAsia="Calibri" w:hAnsi="Calibri" w:cs="Calibri"/>
          <w:sz w:val="19"/>
          <w:szCs w:val="22"/>
          <w:lang w:val="pt-PT" w:eastAsia="pt-PT" w:bidi="pt-PT"/>
        </w:rPr>
        <w:t>nas</w:t>
      </w:r>
      <w:r w:rsidRPr="00DD14B8">
        <w:rPr>
          <w:rFonts w:ascii="Calibri" w:eastAsia="Calibri" w:hAnsi="Calibri" w:cs="Calibri"/>
          <w:spacing w:val="-4"/>
          <w:sz w:val="19"/>
          <w:szCs w:val="22"/>
          <w:lang w:val="pt-PT" w:eastAsia="pt-PT" w:bidi="pt-PT"/>
        </w:rPr>
        <w:t xml:space="preserve"> </w:t>
      </w:r>
      <w:r w:rsidRPr="00DD14B8">
        <w:rPr>
          <w:rFonts w:ascii="Calibri" w:eastAsia="Calibri" w:hAnsi="Calibri" w:cs="Calibri"/>
          <w:sz w:val="19"/>
          <w:szCs w:val="22"/>
          <w:lang w:val="pt-PT" w:eastAsia="pt-PT" w:bidi="pt-PT"/>
        </w:rPr>
        <w:t>demonstrações</w:t>
      </w:r>
      <w:r w:rsidRPr="00DD14B8">
        <w:rPr>
          <w:rFonts w:ascii="Calibri" w:eastAsia="Calibri" w:hAnsi="Calibri" w:cs="Calibri"/>
          <w:spacing w:val="-4"/>
          <w:sz w:val="19"/>
          <w:szCs w:val="22"/>
          <w:lang w:val="pt-PT" w:eastAsia="pt-PT" w:bidi="pt-PT"/>
        </w:rPr>
        <w:t xml:space="preserve"> </w:t>
      </w:r>
      <w:r w:rsidRPr="00DD14B8">
        <w:rPr>
          <w:rFonts w:ascii="Calibri" w:eastAsia="Calibri" w:hAnsi="Calibri" w:cs="Calibri"/>
          <w:sz w:val="19"/>
          <w:szCs w:val="22"/>
          <w:lang w:val="pt-PT" w:eastAsia="pt-PT" w:bidi="pt-PT"/>
        </w:rPr>
        <w:t>contábeis</w:t>
      </w:r>
      <w:r w:rsidRPr="00DD14B8">
        <w:rPr>
          <w:rFonts w:ascii="Calibri" w:eastAsia="Calibri" w:hAnsi="Calibri" w:cs="Calibri"/>
          <w:spacing w:val="-4"/>
          <w:sz w:val="19"/>
          <w:szCs w:val="22"/>
          <w:lang w:val="pt-PT" w:eastAsia="pt-PT" w:bidi="pt-PT"/>
        </w:rPr>
        <w:t xml:space="preserve"> </w:t>
      </w:r>
      <w:r w:rsidRPr="00DD14B8">
        <w:rPr>
          <w:rFonts w:ascii="Calibri" w:eastAsia="Calibri" w:hAnsi="Calibri" w:cs="Calibri"/>
          <w:sz w:val="19"/>
          <w:szCs w:val="22"/>
          <w:lang w:val="pt-PT" w:eastAsia="pt-PT" w:bidi="pt-PT"/>
        </w:rPr>
        <w:t>individuais</w:t>
      </w:r>
      <w:r w:rsidRPr="00DD14B8">
        <w:rPr>
          <w:rFonts w:ascii="Calibri" w:eastAsia="Calibri" w:hAnsi="Calibri" w:cs="Calibri"/>
          <w:spacing w:val="-4"/>
          <w:sz w:val="19"/>
          <w:szCs w:val="22"/>
          <w:lang w:val="pt-PT" w:eastAsia="pt-PT" w:bidi="pt-PT"/>
        </w:rPr>
        <w:t xml:space="preserve"> </w:t>
      </w:r>
      <w:r w:rsidRPr="00DD14B8">
        <w:rPr>
          <w:rFonts w:ascii="Calibri" w:eastAsia="Calibri" w:hAnsi="Calibri" w:cs="Calibri"/>
          <w:sz w:val="19"/>
          <w:szCs w:val="22"/>
          <w:lang w:val="pt-PT" w:eastAsia="pt-PT" w:bidi="pt-PT"/>
        </w:rPr>
        <w:t>e</w:t>
      </w:r>
      <w:r w:rsidRPr="00DD14B8">
        <w:rPr>
          <w:rFonts w:ascii="Calibri" w:eastAsia="Calibri" w:hAnsi="Calibri" w:cs="Calibri"/>
          <w:spacing w:val="-4"/>
          <w:sz w:val="19"/>
          <w:szCs w:val="22"/>
          <w:lang w:val="pt-PT" w:eastAsia="pt-PT" w:bidi="pt-PT"/>
        </w:rPr>
        <w:t xml:space="preserve"> </w:t>
      </w:r>
      <w:r w:rsidRPr="00DD14B8">
        <w:rPr>
          <w:rFonts w:ascii="Calibri" w:eastAsia="Calibri" w:hAnsi="Calibri" w:cs="Calibri"/>
          <w:sz w:val="19"/>
          <w:szCs w:val="22"/>
          <w:lang w:val="pt-PT" w:eastAsia="pt-PT" w:bidi="pt-PT"/>
        </w:rPr>
        <w:t>consolidadas</w:t>
      </w:r>
      <w:r w:rsidRPr="00DD14B8">
        <w:rPr>
          <w:rFonts w:ascii="Calibri" w:eastAsia="Calibri" w:hAnsi="Calibri" w:cs="Calibri"/>
          <w:spacing w:val="-4"/>
          <w:sz w:val="19"/>
          <w:szCs w:val="22"/>
          <w:lang w:val="pt-PT" w:eastAsia="pt-PT" w:bidi="pt-PT"/>
        </w:rPr>
        <w:t xml:space="preserve"> </w:t>
      </w:r>
      <w:r w:rsidRPr="00DD14B8">
        <w:rPr>
          <w:rFonts w:ascii="Calibri" w:eastAsia="Calibri" w:hAnsi="Calibri" w:cs="Calibri"/>
          <w:sz w:val="19"/>
          <w:szCs w:val="22"/>
          <w:lang w:val="pt-PT" w:eastAsia="pt-PT" w:bidi="pt-PT"/>
        </w:rPr>
        <w:t>consideram todas as informações</w:t>
      </w:r>
      <w:r w:rsidRPr="00DD14B8">
        <w:rPr>
          <w:rFonts w:ascii="Calibri" w:eastAsia="Calibri" w:hAnsi="Calibri" w:cs="Calibri"/>
          <w:spacing w:val="-1"/>
          <w:sz w:val="19"/>
          <w:szCs w:val="22"/>
          <w:lang w:val="pt-PT" w:eastAsia="pt-PT" w:bidi="pt-PT"/>
        </w:rPr>
        <w:t xml:space="preserve"> </w:t>
      </w:r>
      <w:r w:rsidRPr="00DD14B8">
        <w:rPr>
          <w:rFonts w:ascii="Calibri" w:eastAsia="Calibri" w:hAnsi="Calibri" w:cs="Calibri"/>
          <w:sz w:val="19"/>
          <w:szCs w:val="22"/>
          <w:lang w:val="pt-PT" w:eastAsia="pt-PT" w:bidi="pt-PT"/>
        </w:rPr>
        <w:t>relevantes.</w:t>
      </w:r>
    </w:p>
    <w:p w14:paraId="2D3361C8" w14:textId="77777777" w:rsidR="00DD14B8" w:rsidRPr="00DD14B8" w:rsidRDefault="00DD14B8" w:rsidP="00DD14B8">
      <w:pPr>
        <w:widowControl w:val="0"/>
        <w:autoSpaceDE w:val="0"/>
        <w:autoSpaceDN w:val="0"/>
        <w:spacing w:before="8" w:after="0" w:line="240" w:lineRule="auto"/>
        <w:rPr>
          <w:rFonts w:ascii="Calibri" w:eastAsia="Calibri" w:hAnsi="Calibri" w:cs="Calibri"/>
          <w:sz w:val="13"/>
          <w:szCs w:val="19"/>
          <w:lang w:val="pt-PT" w:eastAsia="pt-PT" w:bidi="pt-PT"/>
        </w:rPr>
      </w:pPr>
    </w:p>
    <w:p w14:paraId="273B0DEC" w14:textId="77777777" w:rsidR="00DD14B8" w:rsidRPr="00DD14B8" w:rsidRDefault="00DD14B8" w:rsidP="00DD14B8">
      <w:pPr>
        <w:widowControl w:val="0"/>
        <w:autoSpaceDE w:val="0"/>
        <w:autoSpaceDN w:val="0"/>
        <w:spacing w:before="1" w:after="0" w:line="247" w:lineRule="auto"/>
        <w:ind w:left="225" w:right="386"/>
        <w:rPr>
          <w:rFonts w:ascii="Calibri" w:eastAsia="Calibri" w:hAnsi="Calibri" w:cs="Calibri"/>
          <w:sz w:val="19"/>
          <w:szCs w:val="19"/>
          <w:lang w:val="pt-PT" w:eastAsia="pt-PT" w:bidi="pt-PT"/>
        </w:rPr>
      </w:pPr>
      <w:r w:rsidRPr="00DD14B8">
        <w:rPr>
          <w:rFonts w:ascii="Calibri" w:eastAsia="Calibri" w:hAnsi="Calibri" w:cs="Calibri"/>
          <w:sz w:val="19"/>
          <w:szCs w:val="19"/>
          <w:lang w:val="pt-PT" w:eastAsia="pt-PT" w:bidi="pt-PT"/>
        </w:rPr>
        <w:t>Com base nas evidências obtidas por meio dos procedimentos acima sumarizados, consideramos aceitáveis as mensurações dos contratos de seguros em investidas avaliadas pelo método de equivalência patrimonial no contexto das demonstrações contábeis individuais e consolidadas tomadas em conjunto, referentes ao exercício findo em 31 de dezembro de 2024.</w:t>
      </w:r>
    </w:p>
    <w:p w14:paraId="1F91EF87" w14:textId="77777777" w:rsidR="00DD14B8" w:rsidRPr="00DD14B8" w:rsidRDefault="00DD14B8" w:rsidP="00DD14B8">
      <w:pPr>
        <w:widowControl w:val="0"/>
        <w:autoSpaceDE w:val="0"/>
        <w:autoSpaceDN w:val="0"/>
        <w:spacing w:after="0" w:line="247" w:lineRule="auto"/>
        <w:rPr>
          <w:rFonts w:ascii="Calibri" w:eastAsia="Calibri" w:hAnsi="Calibri" w:cs="Calibri"/>
          <w:sz w:val="22"/>
          <w:szCs w:val="22"/>
          <w:lang w:val="pt-PT" w:eastAsia="pt-PT" w:bidi="pt-PT"/>
        </w:rPr>
        <w:sectPr w:rsidR="00DD14B8" w:rsidRPr="00DD14B8" w:rsidSect="00DD14B8">
          <w:pgSz w:w="11910" w:h="16840"/>
          <w:pgMar w:top="1460" w:right="1680" w:bottom="1340" w:left="1440" w:header="0" w:footer="1148" w:gutter="0"/>
          <w:cols w:space="720"/>
        </w:sectPr>
      </w:pPr>
    </w:p>
    <w:p w14:paraId="3C9ECAE3" w14:textId="652182D1" w:rsidR="00DD14B8" w:rsidRPr="00DD14B8" w:rsidRDefault="00DD14B8" w:rsidP="00DD14B8">
      <w:pPr>
        <w:widowControl w:val="0"/>
        <w:autoSpaceDE w:val="0"/>
        <w:autoSpaceDN w:val="0"/>
        <w:spacing w:after="0" w:line="240" w:lineRule="auto"/>
        <w:ind w:left="113"/>
        <w:rPr>
          <w:rFonts w:ascii="Calibri" w:eastAsia="Calibri" w:hAnsi="Calibri" w:cs="Calibri"/>
          <w:sz w:val="20"/>
          <w:szCs w:val="19"/>
          <w:lang w:val="pt-PT" w:eastAsia="pt-PT" w:bidi="pt-PT"/>
        </w:rPr>
      </w:pPr>
      <w:r w:rsidRPr="00DD14B8">
        <w:rPr>
          <w:rFonts w:ascii="Calibri" w:eastAsia="Calibri" w:hAnsi="Calibri" w:cs="Calibri"/>
          <w:noProof/>
          <w:sz w:val="20"/>
          <w:szCs w:val="19"/>
          <w:lang w:val="pt-PT" w:eastAsia="pt-PT" w:bidi="pt-PT"/>
        </w:rPr>
        <w:lastRenderedPageBreak/>
        <mc:AlternateContent>
          <mc:Choice Requires="wps">
            <w:drawing>
              <wp:inline distT="0" distB="0" distL="0" distR="0" wp14:anchorId="3E7A2106" wp14:editId="33C9F0A4">
                <wp:extent cx="5401310" cy="295910"/>
                <wp:effectExtent l="0" t="0" r="3810" b="2540"/>
                <wp:docPr id="185672080" name="Caixa de Tex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1310" cy="295910"/>
                        </a:xfrm>
                        <a:prstGeom prst="rect">
                          <a:avLst/>
                        </a:prstGeom>
                        <a:solidFill>
                          <a:srgbClr val="004E9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ADC193" w14:textId="77777777" w:rsidR="00DD14B8" w:rsidRDefault="00DD14B8" w:rsidP="00DD14B8">
                            <w:pPr>
                              <w:spacing w:before="120"/>
                              <w:ind w:left="112"/>
                              <w:rPr>
                                <w:b/>
                                <w:sz w:val="19"/>
                              </w:rPr>
                            </w:pPr>
                            <w:r>
                              <w:rPr>
                                <w:b/>
                                <w:color w:val="FFFFFF"/>
                                <w:sz w:val="19"/>
                              </w:rPr>
                              <w:t>Outros assuntos</w:t>
                            </w:r>
                          </w:p>
                        </w:txbxContent>
                      </wps:txbx>
                      <wps:bodyPr rot="0" vert="horz" wrap="square" lIns="0" tIns="0" rIns="0" bIns="0" anchor="t" anchorCtr="0" upright="1">
                        <a:noAutofit/>
                      </wps:bodyPr>
                    </wps:wsp>
                  </a:graphicData>
                </a:graphic>
              </wp:inline>
            </w:drawing>
          </mc:Choice>
          <mc:Fallback>
            <w:pict>
              <v:shape w14:anchorId="3E7A2106" id="Caixa de Texto 30" o:spid="_x0000_s1031" type="#_x0000_t202" style="width:425.3pt;height:2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" fillcolor="#004e97" stroked="f">
                <v:textbox inset="0,0,0,0">
                  <w:txbxContent>
                    <w:p w14:paraId="06ADC193" w14:textId="77777777" w:rsidR="00DD14B8" w:rsidRDefault="00DD14B8" w:rsidP="00DD14B8">
                      <w:pPr>
                        <w:spacing w:before="120"/>
                        <w:ind w:left="112"/>
                        <w:rPr>
                          <w:b/>
                          <w:sz w:val="19"/>
                        </w:rPr>
                      </w:pPr>
                      <w:r>
                        <w:rPr>
                          <w:b/>
                          <w:color w:val="FFFFFF"/>
                          <w:sz w:val="19"/>
                        </w:rPr>
                        <w:t>Outros assuntos</w:t>
                      </w:r>
                    </w:p>
                  </w:txbxContent>
                </v:textbox>
                <w10:anchorlock/>
              </v:shape>
            </w:pict>
          </mc:Fallback>
        </mc:AlternateContent>
      </w:r>
    </w:p>
    <w:p w14:paraId="32DA2CD3" w14:textId="77777777" w:rsidR="00DD14B8" w:rsidRPr="00DD14B8" w:rsidRDefault="00DD14B8" w:rsidP="00DD14B8">
      <w:pPr>
        <w:widowControl w:val="0"/>
        <w:autoSpaceDE w:val="0"/>
        <w:autoSpaceDN w:val="0"/>
        <w:spacing w:before="5" w:after="0" w:line="240" w:lineRule="auto"/>
        <w:rPr>
          <w:rFonts w:ascii="Calibri" w:eastAsia="Calibri" w:hAnsi="Calibri" w:cs="Calibri"/>
          <w:sz w:val="12"/>
          <w:szCs w:val="19"/>
          <w:lang w:val="pt-PT" w:eastAsia="pt-PT" w:bidi="pt-PT"/>
        </w:rPr>
      </w:pPr>
    </w:p>
    <w:p w14:paraId="76F663A1" w14:textId="77777777" w:rsidR="00DD14B8" w:rsidRPr="00DD14B8" w:rsidRDefault="00DD14B8" w:rsidP="00DD14B8">
      <w:pPr>
        <w:widowControl w:val="0"/>
        <w:autoSpaceDE w:val="0"/>
        <w:autoSpaceDN w:val="0"/>
        <w:spacing w:before="62" w:after="0" w:line="240" w:lineRule="auto"/>
        <w:ind w:left="225"/>
        <w:jc w:val="both"/>
        <w:outlineLvl w:val="2"/>
        <w:rPr>
          <w:rFonts w:ascii="Calibri" w:eastAsia="Calibri" w:hAnsi="Calibri" w:cs="Calibri"/>
          <w:b/>
          <w:bCs/>
          <w:sz w:val="19"/>
          <w:szCs w:val="19"/>
          <w:lang w:val="pt-PT" w:eastAsia="pt-PT" w:bidi="pt-PT"/>
        </w:rPr>
      </w:pPr>
      <w:r w:rsidRPr="00DD14B8">
        <w:rPr>
          <w:rFonts w:ascii="Calibri" w:eastAsia="Calibri" w:hAnsi="Calibri" w:cs="Calibri"/>
          <w:b/>
          <w:bCs/>
          <w:sz w:val="19"/>
          <w:szCs w:val="19"/>
          <w:lang w:val="pt-PT" w:eastAsia="pt-PT" w:bidi="pt-PT"/>
        </w:rPr>
        <w:t>Demonstração do valor</w:t>
      </w:r>
      <w:r w:rsidRPr="00DD14B8">
        <w:rPr>
          <w:rFonts w:ascii="Calibri" w:eastAsia="Calibri" w:hAnsi="Calibri" w:cs="Calibri"/>
          <w:b/>
          <w:bCs/>
          <w:spacing w:val="-14"/>
          <w:sz w:val="19"/>
          <w:szCs w:val="19"/>
          <w:lang w:val="pt-PT" w:eastAsia="pt-PT" w:bidi="pt-PT"/>
        </w:rPr>
        <w:t xml:space="preserve"> </w:t>
      </w:r>
      <w:r w:rsidRPr="00DD14B8">
        <w:rPr>
          <w:rFonts w:ascii="Calibri" w:eastAsia="Calibri" w:hAnsi="Calibri" w:cs="Calibri"/>
          <w:b/>
          <w:bCs/>
          <w:sz w:val="19"/>
          <w:szCs w:val="19"/>
          <w:lang w:val="pt-PT" w:eastAsia="pt-PT" w:bidi="pt-PT"/>
        </w:rPr>
        <w:t>adicionado</w:t>
      </w:r>
    </w:p>
    <w:p w14:paraId="6559148B" w14:textId="77777777" w:rsidR="00DD14B8" w:rsidRPr="00DD14B8" w:rsidRDefault="00DD14B8" w:rsidP="00DD14B8">
      <w:pPr>
        <w:widowControl w:val="0"/>
        <w:autoSpaceDE w:val="0"/>
        <w:autoSpaceDN w:val="0"/>
        <w:spacing w:before="130" w:after="0" w:line="240" w:lineRule="auto"/>
        <w:ind w:left="225" w:right="280"/>
        <w:jc w:val="both"/>
        <w:rPr>
          <w:rFonts w:ascii="Calibri" w:eastAsia="Calibri" w:hAnsi="Calibri" w:cs="Calibri"/>
          <w:sz w:val="19"/>
          <w:szCs w:val="19"/>
          <w:lang w:val="pt-PT" w:eastAsia="pt-PT" w:bidi="pt-PT"/>
        </w:rPr>
      </w:pPr>
      <w:r w:rsidRPr="00DD14B8">
        <w:rPr>
          <w:rFonts w:ascii="Calibri" w:eastAsia="Calibri" w:hAnsi="Calibri" w:cs="Calibri"/>
          <w:sz w:val="19"/>
          <w:szCs w:val="19"/>
          <w:lang w:val="pt-PT" w:eastAsia="pt-PT" w:bidi="pt-PT"/>
        </w:rPr>
        <w:t>As</w:t>
      </w:r>
      <w:r w:rsidRPr="00DD14B8">
        <w:rPr>
          <w:rFonts w:ascii="Calibri" w:eastAsia="Calibri" w:hAnsi="Calibri" w:cs="Calibri"/>
          <w:spacing w:val="-5"/>
          <w:sz w:val="19"/>
          <w:szCs w:val="19"/>
          <w:lang w:val="pt-PT" w:eastAsia="pt-PT" w:bidi="pt-PT"/>
        </w:rPr>
        <w:t xml:space="preserve"> </w:t>
      </w:r>
      <w:r w:rsidRPr="00DD14B8">
        <w:rPr>
          <w:rFonts w:ascii="Calibri" w:eastAsia="Calibri" w:hAnsi="Calibri" w:cs="Calibri"/>
          <w:sz w:val="19"/>
          <w:szCs w:val="19"/>
          <w:lang w:val="pt-PT" w:eastAsia="pt-PT" w:bidi="pt-PT"/>
        </w:rPr>
        <w:t>demonstrações</w:t>
      </w:r>
      <w:r w:rsidRPr="00DD14B8">
        <w:rPr>
          <w:rFonts w:ascii="Calibri" w:eastAsia="Calibri" w:hAnsi="Calibri" w:cs="Calibri"/>
          <w:spacing w:val="-4"/>
          <w:sz w:val="19"/>
          <w:szCs w:val="19"/>
          <w:lang w:val="pt-PT" w:eastAsia="pt-PT" w:bidi="pt-PT"/>
        </w:rPr>
        <w:t xml:space="preserve"> </w:t>
      </w:r>
      <w:r w:rsidRPr="00DD14B8">
        <w:rPr>
          <w:rFonts w:ascii="Calibri" w:eastAsia="Calibri" w:hAnsi="Calibri" w:cs="Calibri"/>
          <w:sz w:val="19"/>
          <w:szCs w:val="19"/>
          <w:lang w:val="pt-PT" w:eastAsia="pt-PT" w:bidi="pt-PT"/>
        </w:rPr>
        <w:t>individuais</w:t>
      </w:r>
      <w:r w:rsidRPr="00DD14B8">
        <w:rPr>
          <w:rFonts w:ascii="Calibri" w:eastAsia="Calibri" w:hAnsi="Calibri" w:cs="Calibri"/>
          <w:spacing w:val="-3"/>
          <w:sz w:val="19"/>
          <w:szCs w:val="19"/>
          <w:lang w:val="pt-PT" w:eastAsia="pt-PT" w:bidi="pt-PT"/>
        </w:rPr>
        <w:t xml:space="preserve"> </w:t>
      </w:r>
      <w:r w:rsidRPr="00DD14B8">
        <w:rPr>
          <w:rFonts w:ascii="Calibri" w:eastAsia="Calibri" w:hAnsi="Calibri" w:cs="Calibri"/>
          <w:sz w:val="19"/>
          <w:szCs w:val="19"/>
          <w:lang w:val="pt-PT" w:eastAsia="pt-PT" w:bidi="pt-PT"/>
        </w:rPr>
        <w:t>e</w:t>
      </w:r>
      <w:r w:rsidRPr="00DD14B8">
        <w:rPr>
          <w:rFonts w:ascii="Calibri" w:eastAsia="Calibri" w:hAnsi="Calibri" w:cs="Calibri"/>
          <w:spacing w:val="-5"/>
          <w:sz w:val="19"/>
          <w:szCs w:val="19"/>
          <w:lang w:val="pt-PT" w:eastAsia="pt-PT" w:bidi="pt-PT"/>
        </w:rPr>
        <w:t xml:space="preserve"> </w:t>
      </w:r>
      <w:r w:rsidRPr="00DD14B8">
        <w:rPr>
          <w:rFonts w:ascii="Calibri" w:eastAsia="Calibri" w:hAnsi="Calibri" w:cs="Calibri"/>
          <w:sz w:val="19"/>
          <w:szCs w:val="19"/>
          <w:lang w:val="pt-PT" w:eastAsia="pt-PT" w:bidi="pt-PT"/>
        </w:rPr>
        <w:t>consolidadas</w:t>
      </w:r>
      <w:r w:rsidRPr="00DD14B8">
        <w:rPr>
          <w:rFonts w:ascii="Calibri" w:eastAsia="Calibri" w:hAnsi="Calibri" w:cs="Calibri"/>
          <w:spacing w:val="-3"/>
          <w:sz w:val="19"/>
          <w:szCs w:val="19"/>
          <w:lang w:val="pt-PT" w:eastAsia="pt-PT" w:bidi="pt-PT"/>
        </w:rPr>
        <w:t xml:space="preserve"> </w:t>
      </w:r>
      <w:r w:rsidRPr="00DD14B8">
        <w:rPr>
          <w:rFonts w:ascii="Calibri" w:eastAsia="Calibri" w:hAnsi="Calibri" w:cs="Calibri"/>
          <w:sz w:val="19"/>
          <w:szCs w:val="19"/>
          <w:lang w:val="pt-PT" w:eastAsia="pt-PT" w:bidi="pt-PT"/>
        </w:rPr>
        <w:t>do</w:t>
      </w:r>
      <w:r w:rsidRPr="00DD14B8">
        <w:rPr>
          <w:rFonts w:ascii="Calibri" w:eastAsia="Calibri" w:hAnsi="Calibri" w:cs="Calibri"/>
          <w:spacing w:val="-5"/>
          <w:sz w:val="19"/>
          <w:szCs w:val="19"/>
          <w:lang w:val="pt-PT" w:eastAsia="pt-PT" w:bidi="pt-PT"/>
        </w:rPr>
        <w:t xml:space="preserve"> </w:t>
      </w:r>
      <w:r w:rsidRPr="00DD14B8">
        <w:rPr>
          <w:rFonts w:ascii="Calibri" w:eastAsia="Calibri" w:hAnsi="Calibri" w:cs="Calibri"/>
          <w:sz w:val="19"/>
          <w:szCs w:val="19"/>
          <w:lang w:val="pt-PT" w:eastAsia="pt-PT" w:bidi="pt-PT"/>
        </w:rPr>
        <w:t>valor</w:t>
      </w:r>
      <w:r w:rsidRPr="00DD14B8">
        <w:rPr>
          <w:rFonts w:ascii="Calibri" w:eastAsia="Calibri" w:hAnsi="Calibri" w:cs="Calibri"/>
          <w:spacing w:val="-5"/>
          <w:sz w:val="19"/>
          <w:szCs w:val="19"/>
          <w:lang w:val="pt-PT" w:eastAsia="pt-PT" w:bidi="pt-PT"/>
        </w:rPr>
        <w:t xml:space="preserve"> </w:t>
      </w:r>
      <w:r w:rsidRPr="00DD14B8">
        <w:rPr>
          <w:rFonts w:ascii="Calibri" w:eastAsia="Calibri" w:hAnsi="Calibri" w:cs="Calibri"/>
          <w:sz w:val="19"/>
          <w:szCs w:val="19"/>
          <w:lang w:val="pt-PT" w:eastAsia="pt-PT" w:bidi="pt-PT"/>
        </w:rPr>
        <w:t>adicionado</w:t>
      </w:r>
      <w:r w:rsidRPr="00DD14B8">
        <w:rPr>
          <w:rFonts w:ascii="Calibri" w:eastAsia="Calibri" w:hAnsi="Calibri" w:cs="Calibri"/>
          <w:spacing w:val="-4"/>
          <w:sz w:val="19"/>
          <w:szCs w:val="19"/>
          <w:lang w:val="pt-PT" w:eastAsia="pt-PT" w:bidi="pt-PT"/>
        </w:rPr>
        <w:t xml:space="preserve"> </w:t>
      </w:r>
      <w:r w:rsidRPr="00DD14B8">
        <w:rPr>
          <w:rFonts w:ascii="Calibri" w:eastAsia="Calibri" w:hAnsi="Calibri" w:cs="Calibri"/>
          <w:sz w:val="19"/>
          <w:szCs w:val="19"/>
          <w:lang w:val="pt-PT" w:eastAsia="pt-PT" w:bidi="pt-PT"/>
        </w:rPr>
        <w:t>(DVA)</w:t>
      </w:r>
      <w:r w:rsidRPr="00DD14B8">
        <w:rPr>
          <w:rFonts w:ascii="Calibri" w:eastAsia="Calibri" w:hAnsi="Calibri" w:cs="Calibri"/>
          <w:spacing w:val="-5"/>
          <w:sz w:val="19"/>
          <w:szCs w:val="19"/>
          <w:lang w:val="pt-PT" w:eastAsia="pt-PT" w:bidi="pt-PT"/>
        </w:rPr>
        <w:t xml:space="preserve"> </w:t>
      </w:r>
      <w:r w:rsidRPr="00DD14B8">
        <w:rPr>
          <w:rFonts w:ascii="Calibri" w:eastAsia="Calibri" w:hAnsi="Calibri" w:cs="Calibri"/>
          <w:sz w:val="19"/>
          <w:szCs w:val="19"/>
          <w:lang w:val="pt-PT" w:eastAsia="pt-PT" w:bidi="pt-PT"/>
        </w:rPr>
        <w:t>referentes</w:t>
      </w:r>
      <w:r w:rsidRPr="00DD14B8">
        <w:rPr>
          <w:rFonts w:ascii="Calibri" w:eastAsia="Calibri" w:hAnsi="Calibri" w:cs="Calibri"/>
          <w:spacing w:val="-4"/>
          <w:sz w:val="19"/>
          <w:szCs w:val="19"/>
          <w:lang w:val="pt-PT" w:eastAsia="pt-PT" w:bidi="pt-PT"/>
        </w:rPr>
        <w:t xml:space="preserve"> </w:t>
      </w:r>
      <w:r w:rsidRPr="00DD14B8">
        <w:rPr>
          <w:rFonts w:ascii="Calibri" w:eastAsia="Calibri" w:hAnsi="Calibri" w:cs="Calibri"/>
          <w:sz w:val="19"/>
          <w:szCs w:val="19"/>
          <w:lang w:val="pt-PT" w:eastAsia="pt-PT" w:bidi="pt-PT"/>
        </w:rPr>
        <w:t>ao</w:t>
      </w:r>
      <w:r w:rsidRPr="00DD14B8">
        <w:rPr>
          <w:rFonts w:ascii="Calibri" w:eastAsia="Calibri" w:hAnsi="Calibri" w:cs="Calibri"/>
          <w:spacing w:val="-4"/>
          <w:sz w:val="19"/>
          <w:szCs w:val="19"/>
          <w:lang w:val="pt-PT" w:eastAsia="pt-PT" w:bidi="pt-PT"/>
        </w:rPr>
        <w:t xml:space="preserve"> </w:t>
      </w:r>
      <w:r w:rsidRPr="00DD14B8">
        <w:rPr>
          <w:rFonts w:ascii="Calibri" w:eastAsia="Calibri" w:hAnsi="Calibri" w:cs="Calibri"/>
          <w:sz w:val="19"/>
          <w:szCs w:val="19"/>
          <w:lang w:val="pt-PT" w:eastAsia="pt-PT" w:bidi="pt-PT"/>
        </w:rPr>
        <w:t>exercício</w:t>
      </w:r>
      <w:r w:rsidRPr="00DD14B8">
        <w:rPr>
          <w:rFonts w:ascii="Calibri" w:eastAsia="Calibri" w:hAnsi="Calibri" w:cs="Calibri"/>
          <w:spacing w:val="-5"/>
          <w:sz w:val="19"/>
          <w:szCs w:val="19"/>
          <w:lang w:val="pt-PT" w:eastAsia="pt-PT" w:bidi="pt-PT"/>
        </w:rPr>
        <w:t xml:space="preserve"> </w:t>
      </w:r>
      <w:r w:rsidRPr="00DD14B8">
        <w:rPr>
          <w:rFonts w:ascii="Calibri" w:eastAsia="Calibri" w:hAnsi="Calibri" w:cs="Calibri"/>
          <w:sz w:val="19"/>
          <w:szCs w:val="19"/>
          <w:lang w:val="pt-PT" w:eastAsia="pt-PT" w:bidi="pt-PT"/>
        </w:rPr>
        <w:t>findo</w:t>
      </w:r>
      <w:r w:rsidRPr="00DD14B8">
        <w:rPr>
          <w:rFonts w:ascii="Calibri" w:eastAsia="Calibri" w:hAnsi="Calibri" w:cs="Calibri"/>
          <w:spacing w:val="-5"/>
          <w:sz w:val="19"/>
          <w:szCs w:val="19"/>
          <w:lang w:val="pt-PT" w:eastAsia="pt-PT" w:bidi="pt-PT"/>
        </w:rPr>
        <w:t xml:space="preserve"> </w:t>
      </w:r>
      <w:r w:rsidRPr="00DD14B8">
        <w:rPr>
          <w:rFonts w:ascii="Calibri" w:eastAsia="Calibri" w:hAnsi="Calibri" w:cs="Calibri"/>
          <w:sz w:val="19"/>
          <w:szCs w:val="19"/>
          <w:lang w:val="pt-PT" w:eastAsia="pt-PT" w:bidi="pt-PT"/>
        </w:rPr>
        <w:t>em</w:t>
      </w:r>
      <w:r w:rsidRPr="00DD14B8">
        <w:rPr>
          <w:rFonts w:ascii="Calibri" w:eastAsia="Calibri" w:hAnsi="Calibri" w:cs="Calibri"/>
          <w:spacing w:val="-3"/>
          <w:sz w:val="19"/>
          <w:szCs w:val="19"/>
          <w:lang w:val="pt-PT" w:eastAsia="pt-PT" w:bidi="pt-PT"/>
        </w:rPr>
        <w:t xml:space="preserve"> </w:t>
      </w:r>
      <w:r w:rsidRPr="00DD14B8">
        <w:rPr>
          <w:rFonts w:ascii="Calibri" w:eastAsia="Calibri" w:hAnsi="Calibri" w:cs="Calibri"/>
          <w:sz w:val="19"/>
          <w:szCs w:val="19"/>
          <w:lang w:val="pt-PT" w:eastAsia="pt-PT" w:bidi="pt-PT"/>
        </w:rPr>
        <w:t>31 de dezembro de 2024, elaboradas sob a responsabilidade da administração da Companhia, e apresentadas como informação suplementar para fins de IFRS, foram submetidas a procedimentos de auditoria executados em conjunto com a auditoria das demonstrações contábeis individuais e consolidadas da Companhia. Para a formação de nossa opinião, avaliamos se essas demonstrações estão conciliadas com as demonstrações contábeis individuais e consolidadas e registros contábeis, conforme aplicável, e se a sua forma e conteúdo estão de acordo com os critérios definidos no Pronunciamento Técnico CPC 09 - Demonstração do Valor Adicionado. Em nossa opinião, essas demonstrações do valor adicionado foram adequadamente elaboradas, em todos os aspectos relevantes, segundo os critérios definidos nesse Pronunciamento Técnico e são consistentes em relação às demonstrações contábeis individuais e consolidadas tomadas em</w:t>
      </w:r>
      <w:r w:rsidRPr="00DD14B8">
        <w:rPr>
          <w:rFonts w:ascii="Calibri" w:eastAsia="Calibri" w:hAnsi="Calibri" w:cs="Calibri"/>
          <w:spacing w:val="-2"/>
          <w:sz w:val="19"/>
          <w:szCs w:val="19"/>
          <w:lang w:val="pt-PT" w:eastAsia="pt-PT" w:bidi="pt-PT"/>
        </w:rPr>
        <w:t xml:space="preserve"> </w:t>
      </w:r>
      <w:r w:rsidRPr="00DD14B8">
        <w:rPr>
          <w:rFonts w:ascii="Calibri" w:eastAsia="Calibri" w:hAnsi="Calibri" w:cs="Calibri"/>
          <w:sz w:val="19"/>
          <w:szCs w:val="19"/>
          <w:lang w:val="pt-PT" w:eastAsia="pt-PT" w:bidi="pt-PT"/>
        </w:rPr>
        <w:t>conjunto.</w:t>
      </w:r>
    </w:p>
    <w:p w14:paraId="2575F87B" w14:textId="77777777" w:rsidR="00DD14B8" w:rsidRPr="00DD14B8" w:rsidRDefault="00DD14B8" w:rsidP="00DD14B8">
      <w:pPr>
        <w:widowControl w:val="0"/>
        <w:autoSpaceDE w:val="0"/>
        <w:autoSpaceDN w:val="0"/>
        <w:spacing w:before="131" w:after="0" w:line="240" w:lineRule="auto"/>
        <w:ind w:left="225"/>
        <w:jc w:val="both"/>
        <w:outlineLvl w:val="2"/>
        <w:rPr>
          <w:rFonts w:ascii="Calibri" w:eastAsia="Calibri" w:hAnsi="Calibri" w:cs="Calibri"/>
          <w:b/>
          <w:bCs/>
          <w:sz w:val="19"/>
          <w:szCs w:val="19"/>
          <w:lang w:val="pt-PT" w:eastAsia="pt-PT" w:bidi="pt-PT"/>
        </w:rPr>
      </w:pPr>
      <w:r w:rsidRPr="00DD14B8">
        <w:rPr>
          <w:rFonts w:ascii="Calibri" w:eastAsia="Calibri" w:hAnsi="Calibri" w:cs="Calibri"/>
          <w:b/>
          <w:bCs/>
          <w:sz w:val="19"/>
          <w:szCs w:val="19"/>
          <w:lang w:val="pt-PT" w:eastAsia="pt-PT" w:bidi="pt-PT"/>
        </w:rPr>
        <w:t>Auditoria das demonstrações contábeis do exercício anterior</w:t>
      </w:r>
    </w:p>
    <w:p w14:paraId="39CA544F" w14:textId="77777777" w:rsidR="00DD14B8" w:rsidRPr="00DD14B8" w:rsidRDefault="00DD14B8" w:rsidP="00DD14B8">
      <w:pPr>
        <w:widowControl w:val="0"/>
        <w:autoSpaceDE w:val="0"/>
        <w:autoSpaceDN w:val="0"/>
        <w:spacing w:before="129" w:after="0" w:line="240" w:lineRule="auto"/>
        <w:ind w:left="225" w:right="280"/>
        <w:jc w:val="both"/>
        <w:rPr>
          <w:rFonts w:ascii="Calibri" w:eastAsia="Calibri" w:hAnsi="Calibri" w:cs="Calibri"/>
          <w:sz w:val="19"/>
          <w:szCs w:val="19"/>
          <w:lang w:val="pt-PT" w:eastAsia="pt-PT" w:bidi="pt-PT"/>
        </w:rPr>
      </w:pPr>
      <w:r w:rsidRPr="00DD14B8">
        <w:rPr>
          <w:rFonts w:ascii="Calibri" w:eastAsia="Calibri" w:hAnsi="Calibri" w:cs="Calibri"/>
          <w:sz w:val="19"/>
          <w:szCs w:val="19"/>
          <w:lang w:val="pt-PT" w:eastAsia="pt-PT" w:bidi="pt-PT"/>
        </w:rPr>
        <w:t>Os balanços patrimoniais, individual e consolidado, em 31 de dezembro de 2023 e as demonstrações individuais</w:t>
      </w:r>
      <w:r w:rsidRPr="00DD14B8">
        <w:rPr>
          <w:rFonts w:ascii="Calibri" w:eastAsia="Calibri" w:hAnsi="Calibri" w:cs="Calibri"/>
          <w:spacing w:val="-9"/>
          <w:sz w:val="19"/>
          <w:szCs w:val="19"/>
          <w:lang w:val="pt-PT" w:eastAsia="pt-PT" w:bidi="pt-PT"/>
        </w:rPr>
        <w:t xml:space="preserve"> </w:t>
      </w:r>
      <w:r w:rsidRPr="00DD14B8">
        <w:rPr>
          <w:rFonts w:ascii="Calibri" w:eastAsia="Calibri" w:hAnsi="Calibri" w:cs="Calibri"/>
          <w:sz w:val="19"/>
          <w:szCs w:val="19"/>
          <w:lang w:val="pt-PT" w:eastAsia="pt-PT" w:bidi="pt-PT"/>
        </w:rPr>
        <w:t>e</w:t>
      </w:r>
      <w:r w:rsidRPr="00DD14B8">
        <w:rPr>
          <w:rFonts w:ascii="Calibri" w:eastAsia="Calibri" w:hAnsi="Calibri" w:cs="Calibri"/>
          <w:spacing w:val="-8"/>
          <w:sz w:val="19"/>
          <w:szCs w:val="19"/>
          <w:lang w:val="pt-PT" w:eastAsia="pt-PT" w:bidi="pt-PT"/>
        </w:rPr>
        <w:t xml:space="preserve"> </w:t>
      </w:r>
      <w:r w:rsidRPr="00DD14B8">
        <w:rPr>
          <w:rFonts w:ascii="Calibri" w:eastAsia="Calibri" w:hAnsi="Calibri" w:cs="Calibri"/>
          <w:sz w:val="19"/>
          <w:szCs w:val="19"/>
          <w:lang w:val="pt-PT" w:eastAsia="pt-PT" w:bidi="pt-PT"/>
        </w:rPr>
        <w:t>consolidadas</w:t>
      </w:r>
      <w:r w:rsidRPr="00DD14B8">
        <w:rPr>
          <w:rFonts w:ascii="Calibri" w:eastAsia="Calibri" w:hAnsi="Calibri" w:cs="Calibri"/>
          <w:spacing w:val="-8"/>
          <w:sz w:val="19"/>
          <w:szCs w:val="19"/>
          <w:lang w:val="pt-PT" w:eastAsia="pt-PT" w:bidi="pt-PT"/>
        </w:rPr>
        <w:t xml:space="preserve"> </w:t>
      </w:r>
      <w:r w:rsidRPr="00DD14B8">
        <w:rPr>
          <w:rFonts w:ascii="Calibri" w:eastAsia="Calibri" w:hAnsi="Calibri" w:cs="Calibri"/>
          <w:sz w:val="19"/>
          <w:szCs w:val="19"/>
          <w:lang w:val="pt-PT" w:eastAsia="pt-PT" w:bidi="pt-PT"/>
        </w:rPr>
        <w:t>do</w:t>
      </w:r>
      <w:r w:rsidRPr="00DD14B8">
        <w:rPr>
          <w:rFonts w:ascii="Calibri" w:eastAsia="Calibri" w:hAnsi="Calibri" w:cs="Calibri"/>
          <w:spacing w:val="-9"/>
          <w:sz w:val="19"/>
          <w:szCs w:val="19"/>
          <w:lang w:val="pt-PT" w:eastAsia="pt-PT" w:bidi="pt-PT"/>
        </w:rPr>
        <w:t xml:space="preserve"> </w:t>
      </w:r>
      <w:r w:rsidRPr="00DD14B8">
        <w:rPr>
          <w:rFonts w:ascii="Calibri" w:eastAsia="Calibri" w:hAnsi="Calibri" w:cs="Calibri"/>
          <w:sz w:val="19"/>
          <w:szCs w:val="19"/>
          <w:lang w:val="pt-PT" w:eastAsia="pt-PT" w:bidi="pt-PT"/>
        </w:rPr>
        <w:t>resultado,</w:t>
      </w:r>
      <w:r w:rsidRPr="00DD14B8">
        <w:rPr>
          <w:rFonts w:ascii="Calibri" w:eastAsia="Calibri" w:hAnsi="Calibri" w:cs="Calibri"/>
          <w:spacing w:val="-10"/>
          <w:sz w:val="19"/>
          <w:szCs w:val="19"/>
          <w:lang w:val="pt-PT" w:eastAsia="pt-PT" w:bidi="pt-PT"/>
        </w:rPr>
        <w:t xml:space="preserve"> </w:t>
      </w:r>
      <w:r w:rsidRPr="00DD14B8">
        <w:rPr>
          <w:rFonts w:ascii="Calibri" w:eastAsia="Calibri" w:hAnsi="Calibri" w:cs="Calibri"/>
          <w:sz w:val="19"/>
          <w:szCs w:val="19"/>
          <w:lang w:val="pt-PT" w:eastAsia="pt-PT" w:bidi="pt-PT"/>
        </w:rPr>
        <w:t>do</w:t>
      </w:r>
      <w:r w:rsidRPr="00DD14B8">
        <w:rPr>
          <w:rFonts w:ascii="Calibri" w:eastAsia="Calibri" w:hAnsi="Calibri" w:cs="Calibri"/>
          <w:spacing w:val="-8"/>
          <w:sz w:val="19"/>
          <w:szCs w:val="19"/>
          <w:lang w:val="pt-PT" w:eastAsia="pt-PT" w:bidi="pt-PT"/>
        </w:rPr>
        <w:t xml:space="preserve"> </w:t>
      </w:r>
      <w:r w:rsidRPr="00DD14B8">
        <w:rPr>
          <w:rFonts w:ascii="Calibri" w:eastAsia="Calibri" w:hAnsi="Calibri" w:cs="Calibri"/>
          <w:sz w:val="19"/>
          <w:szCs w:val="19"/>
          <w:lang w:val="pt-PT" w:eastAsia="pt-PT" w:bidi="pt-PT"/>
        </w:rPr>
        <w:t>resultado</w:t>
      </w:r>
      <w:r w:rsidRPr="00DD14B8">
        <w:rPr>
          <w:rFonts w:ascii="Calibri" w:eastAsia="Calibri" w:hAnsi="Calibri" w:cs="Calibri"/>
          <w:spacing w:val="-9"/>
          <w:sz w:val="19"/>
          <w:szCs w:val="19"/>
          <w:lang w:val="pt-PT" w:eastAsia="pt-PT" w:bidi="pt-PT"/>
        </w:rPr>
        <w:t xml:space="preserve"> </w:t>
      </w:r>
      <w:r w:rsidRPr="00DD14B8">
        <w:rPr>
          <w:rFonts w:ascii="Calibri" w:eastAsia="Calibri" w:hAnsi="Calibri" w:cs="Calibri"/>
          <w:sz w:val="19"/>
          <w:szCs w:val="19"/>
          <w:lang w:val="pt-PT" w:eastAsia="pt-PT" w:bidi="pt-PT"/>
        </w:rPr>
        <w:t>abrangente,</w:t>
      </w:r>
      <w:r w:rsidRPr="00DD14B8">
        <w:rPr>
          <w:rFonts w:ascii="Calibri" w:eastAsia="Calibri" w:hAnsi="Calibri" w:cs="Calibri"/>
          <w:spacing w:val="-8"/>
          <w:sz w:val="19"/>
          <w:szCs w:val="19"/>
          <w:lang w:val="pt-PT" w:eastAsia="pt-PT" w:bidi="pt-PT"/>
        </w:rPr>
        <w:t xml:space="preserve"> </w:t>
      </w:r>
      <w:r w:rsidRPr="00DD14B8">
        <w:rPr>
          <w:rFonts w:ascii="Calibri" w:eastAsia="Calibri" w:hAnsi="Calibri" w:cs="Calibri"/>
          <w:sz w:val="19"/>
          <w:szCs w:val="19"/>
          <w:lang w:val="pt-PT" w:eastAsia="pt-PT" w:bidi="pt-PT"/>
        </w:rPr>
        <w:t>das</w:t>
      </w:r>
      <w:r w:rsidRPr="00DD14B8">
        <w:rPr>
          <w:rFonts w:ascii="Calibri" w:eastAsia="Calibri" w:hAnsi="Calibri" w:cs="Calibri"/>
          <w:spacing w:val="-8"/>
          <w:sz w:val="19"/>
          <w:szCs w:val="19"/>
          <w:lang w:val="pt-PT" w:eastAsia="pt-PT" w:bidi="pt-PT"/>
        </w:rPr>
        <w:t xml:space="preserve"> </w:t>
      </w:r>
      <w:r w:rsidRPr="00DD14B8">
        <w:rPr>
          <w:rFonts w:ascii="Calibri" w:eastAsia="Calibri" w:hAnsi="Calibri" w:cs="Calibri"/>
          <w:sz w:val="19"/>
          <w:szCs w:val="19"/>
          <w:lang w:val="pt-PT" w:eastAsia="pt-PT" w:bidi="pt-PT"/>
        </w:rPr>
        <w:t>mutações</w:t>
      </w:r>
      <w:r w:rsidRPr="00DD14B8">
        <w:rPr>
          <w:rFonts w:ascii="Calibri" w:eastAsia="Calibri" w:hAnsi="Calibri" w:cs="Calibri"/>
          <w:spacing w:val="-8"/>
          <w:sz w:val="19"/>
          <w:szCs w:val="19"/>
          <w:lang w:val="pt-PT" w:eastAsia="pt-PT" w:bidi="pt-PT"/>
        </w:rPr>
        <w:t xml:space="preserve"> </w:t>
      </w:r>
      <w:r w:rsidRPr="00DD14B8">
        <w:rPr>
          <w:rFonts w:ascii="Calibri" w:eastAsia="Calibri" w:hAnsi="Calibri" w:cs="Calibri"/>
          <w:sz w:val="19"/>
          <w:szCs w:val="19"/>
          <w:lang w:val="pt-PT" w:eastAsia="pt-PT" w:bidi="pt-PT"/>
        </w:rPr>
        <w:t>do</w:t>
      </w:r>
      <w:r w:rsidRPr="00DD14B8">
        <w:rPr>
          <w:rFonts w:ascii="Calibri" w:eastAsia="Calibri" w:hAnsi="Calibri" w:cs="Calibri"/>
          <w:spacing w:val="-8"/>
          <w:sz w:val="19"/>
          <w:szCs w:val="19"/>
          <w:lang w:val="pt-PT" w:eastAsia="pt-PT" w:bidi="pt-PT"/>
        </w:rPr>
        <w:t xml:space="preserve"> </w:t>
      </w:r>
      <w:r w:rsidRPr="00DD14B8">
        <w:rPr>
          <w:rFonts w:ascii="Calibri" w:eastAsia="Calibri" w:hAnsi="Calibri" w:cs="Calibri"/>
          <w:sz w:val="19"/>
          <w:szCs w:val="19"/>
          <w:lang w:val="pt-PT" w:eastAsia="pt-PT" w:bidi="pt-PT"/>
        </w:rPr>
        <w:t>patrimônio</w:t>
      </w:r>
      <w:r w:rsidRPr="00DD14B8">
        <w:rPr>
          <w:rFonts w:ascii="Calibri" w:eastAsia="Calibri" w:hAnsi="Calibri" w:cs="Calibri"/>
          <w:spacing w:val="-10"/>
          <w:sz w:val="19"/>
          <w:szCs w:val="19"/>
          <w:lang w:val="pt-PT" w:eastAsia="pt-PT" w:bidi="pt-PT"/>
        </w:rPr>
        <w:t xml:space="preserve"> </w:t>
      </w:r>
      <w:r w:rsidRPr="00DD14B8">
        <w:rPr>
          <w:rFonts w:ascii="Calibri" w:eastAsia="Calibri" w:hAnsi="Calibri" w:cs="Calibri"/>
          <w:sz w:val="19"/>
          <w:szCs w:val="19"/>
          <w:lang w:val="pt-PT" w:eastAsia="pt-PT" w:bidi="pt-PT"/>
        </w:rPr>
        <w:t>líquido</w:t>
      </w:r>
      <w:r w:rsidRPr="00DD14B8">
        <w:rPr>
          <w:rFonts w:ascii="Calibri" w:eastAsia="Calibri" w:hAnsi="Calibri" w:cs="Calibri"/>
          <w:spacing w:val="-8"/>
          <w:sz w:val="19"/>
          <w:szCs w:val="19"/>
          <w:lang w:val="pt-PT" w:eastAsia="pt-PT" w:bidi="pt-PT"/>
        </w:rPr>
        <w:t xml:space="preserve"> </w:t>
      </w:r>
      <w:r w:rsidRPr="00DD14B8">
        <w:rPr>
          <w:rFonts w:ascii="Calibri" w:eastAsia="Calibri" w:hAnsi="Calibri" w:cs="Calibri"/>
          <w:sz w:val="19"/>
          <w:szCs w:val="19"/>
          <w:lang w:val="pt-PT" w:eastAsia="pt-PT" w:bidi="pt-PT"/>
        </w:rPr>
        <w:t>e</w:t>
      </w:r>
      <w:r w:rsidRPr="00DD14B8">
        <w:rPr>
          <w:rFonts w:ascii="Calibri" w:eastAsia="Calibri" w:hAnsi="Calibri" w:cs="Calibri"/>
          <w:spacing w:val="-8"/>
          <w:sz w:val="19"/>
          <w:szCs w:val="19"/>
          <w:lang w:val="pt-PT" w:eastAsia="pt-PT" w:bidi="pt-PT"/>
        </w:rPr>
        <w:t xml:space="preserve"> </w:t>
      </w:r>
      <w:r w:rsidRPr="00DD14B8">
        <w:rPr>
          <w:rFonts w:ascii="Calibri" w:eastAsia="Calibri" w:hAnsi="Calibri" w:cs="Calibri"/>
          <w:sz w:val="19"/>
          <w:szCs w:val="19"/>
          <w:lang w:val="pt-PT" w:eastAsia="pt-PT" w:bidi="pt-PT"/>
        </w:rPr>
        <w:t>dos fluxos</w:t>
      </w:r>
      <w:r w:rsidRPr="00DD14B8">
        <w:rPr>
          <w:rFonts w:ascii="Calibri" w:eastAsia="Calibri" w:hAnsi="Calibri" w:cs="Calibri"/>
          <w:spacing w:val="-9"/>
          <w:sz w:val="19"/>
          <w:szCs w:val="19"/>
          <w:lang w:val="pt-PT" w:eastAsia="pt-PT" w:bidi="pt-PT"/>
        </w:rPr>
        <w:t xml:space="preserve"> </w:t>
      </w:r>
      <w:r w:rsidRPr="00DD14B8">
        <w:rPr>
          <w:rFonts w:ascii="Calibri" w:eastAsia="Calibri" w:hAnsi="Calibri" w:cs="Calibri"/>
          <w:sz w:val="19"/>
          <w:szCs w:val="19"/>
          <w:lang w:val="pt-PT" w:eastAsia="pt-PT" w:bidi="pt-PT"/>
        </w:rPr>
        <w:t>de</w:t>
      </w:r>
      <w:r w:rsidRPr="00DD14B8">
        <w:rPr>
          <w:rFonts w:ascii="Calibri" w:eastAsia="Calibri" w:hAnsi="Calibri" w:cs="Calibri"/>
          <w:spacing w:val="-9"/>
          <w:sz w:val="19"/>
          <w:szCs w:val="19"/>
          <w:lang w:val="pt-PT" w:eastAsia="pt-PT" w:bidi="pt-PT"/>
        </w:rPr>
        <w:t xml:space="preserve"> </w:t>
      </w:r>
      <w:r w:rsidRPr="00DD14B8">
        <w:rPr>
          <w:rFonts w:ascii="Calibri" w:eastAsia="Calibri" w:hAnsi="Calibri" w:cs="Calibri"/>
          <w:sz w:val="19"/>
          <w:szCs w:val="19"/>
          <w:lang w:val="pt-PT" w:eastAsia="pt-PT" w:bidi="pt-PT"/>
        </w:rPr>
        <w:t>caixa</w:t>
      </w:r>
      <w:r w:rsidRPr="00DD14B8">
        <w:rPr>
          <w:rFonts w:ascii="Calibri" w:eastAsia="Calibri" w:hAnsi="Calibri" w:cs="Calibri"/>
          <w:spacing w:val="-8"/>
          <w:sz w:val="19"/>
          <w:szCs w:val="19"/>
          <w:lang w:val="pt-PT" w:eastAsia="pt-PT" w:bidi="pt-PT"/>
        </w:rPr>
        <w:t xml:space="preserve"> </w:t>
      </w:r>
      <w:r w:rsidRPr="00DD14B8">
        <w:rPr>
          <w:rFonts w:ascii="Calibri" w:eastAsia="Calibri" w:hAnsi="Calibri" w:cs="Calibri"/>
          <w:sz w:val="19"/>
          <w:szCs w:val="19"/>
          <w:lang w:val="pt-PT" w:eastAsia="pt-PT" w:bidi="pt-PT"/>
        </w:rPr>
        <w:t>e</w:t>
      </w:r>
      <w:r w:rsidRPr="00DD14B8">
        <w:rPr>
          <w:rFonts w:ascii="Calibri" w:eastAsia="Calibri" w:hAnsi="Calibri" w:cs="Calibri"/>
          <w:spacing w:val="-9"/>
          <w:sz w:val="19"/>
          <w:szCs w:val="19"/>
          <w:lang w:val="pt-PT" w:eastAsia="pt-PT" w:bidi="pt-PT"/>
        </w:rPr>
        <w:t xml:space="preserve"> </w:t>
      </w:r>
      <w:r w:rsidRPr="00DD14B8">
        <w:rPr>
          <w:rFonts w:ascii="Calibri" w:eastAsia="Calibri" w:hAnsi="Calibri" w:cs="Calibri"/>
          <w:sz w:val="19"/>
          <w:szCs w:val="19"/>
          <w:lang w:val="pt-PT" w:eastAsia="pt-PT" w:bidi="pt-PT"/>
        </w:rPr>
        <w:t>respectivas</w:t>
      </w:r>
      <w:r w:rsidRPr="00DD14B8">
        <w:rPr>
          <w:rFonts w:ascii="Calibri" w:eastAsia="Calibri" w:hAnsi="Calibri" w:cs="Calibri"/>
          <w:spacing w:val="-9"/>
          <w:sz w:val="19"/>
          <w:szCs w:val="19"/>
          <w:lang w:val="pt-PT" w:eastAsia="pt-PT" w:bidi="pt-PT"/>
        </w:rPr>
        <w:t xml:space="preserve"> </w:t>
      </w:r>
      <w:r w:rsidRPr="00DD14B8">
        <w:rPr>
          <w:rFonts w:ascii="Calibri" w:eastAsia="Calibri" w:hAnsi="Calibri" w:cs="Calibri"/>
          <w:sz w:val="19"/>
          <w:szCs w:val="19"/>
          <w:lang w:val="pt-PT" w:eastAsia="pt-PT" w:bidi="pt-PT"/>
        </w:rPr>
        <w:t>notas</w:t>
      </w:r>
      <w:r w:rsidRPr="00DD14B8">
        <w:rPr>
          <w:rFonts w:ascii="Calibri" w:eastAsia="Calibri" w:hAnsi="Calibri" w:cs="Calibri"/>
          <w:spacing w:val="-8"/>
          <w:sz w:val="19"/>
          <w:szCs w:val="19"/>
          <w:lang w:val="pt-PT" w:eastAsia="pt-PT" w:bidi="pt-PT"/>
        </w:rPr>
        <w:t xml:space="preserve"> </w:t>
      </w:r>
      <w:r w:rsidRPr="00DD14B8">
        <w:rPr>
          <w:rFonts w:ascii="Calibri" w:eastAsia="Calibri" w:hAnsi="Calibri" w:cs="Calibri"/>
          <w:sz w:val="19"/>
          <w:szCs w:val="19"/>
          <w:lang w:val="pt-PT" w:eastAsia="pt-PT" w:bidi="pt-PT"/>
        </w:rPr>
        <w:t>explicativas</w:t>
      </w:r>
      <w:r w:rsidRPr="00DD14B8">
        <w:rPr>
          <w:rFonts w:ascii="Calibri" w:eastAsia="Calibri" w:hAnsi="Calibri" w:cs="Calibri"/>
          <w:spacing w:val="-9"/>
          <w:sz w:val="19"/>
          <w:szCs w:val="19"/>
          <w:lang w:val="pt-PT" w:eastAsia="pt-PT" w:bidi="pt-PT"/>
        </w:rPr>
        <w:t xml:space="preserve"> </w:t>
      </w:r>
      <w:r w:rsidRPr="00DD14B8">
        <w:rPr>
          <w:rFonts w:ascii="Calibri" w:eastAsia="Calibri" w:hAnsi="Calibri" w:cs="Calibri"/>
          <w:sz w:val="19"/>
          <w:szCs w:val="19"/>
          <w:lang w:val="pt-PT" w:eastAsia="pt-PT" w:bidi="pt-PT"/>
        </w:rPr>
        <w:t>para</w:t>
      </w:r>
      <w:r w:rsidRPr="00DD14B8">
        <w:rPr>
          <w:rFonts w:ascii="Calibri" w:eastAsia="Calibri" w:hAnsi="Calibri" w:cs="Calibri"/>
          <w:spacing w:val="-9"/>
          <w:sz w:val="19"/>
          <w:szCs w:val="19"/>
          <w:lang w:val="pt-PT" w:eastAsia="pt-PT" w:bidi="pt-PT"/>
        </w:rPr>
        <w:t xml:space="preserve"> </w:t>
      </w:r>
      <w:r w:rsidRPr="00DD14B8">
        <w:rPr>
          <w:rFonts w:ascii="Calibri" w:eastAsia="Calibri" w:hAnsi="Calibri" w:cs="Calibri"/>
          <w:sz w:val="19"/>
          <w:szCs w:val="19"/>
          <w:lang w:val="pt-PT" w:eastAsia="pt-PT" w:bidi="pt-PT"/>
        </w:rPr>
        <w:t>o</w:t>
      </w:r>
      <w:r w:rsidRPr="00DD14B8">
        <w:rPr>
          <w:rFonts w:ascii="Calibri" w:eastAsia="Calibri" w:hAnsi="Calibri" w:cs="Calibri"/>
          <w:spacing w:val="-9"/>
          <w:sz w:val="19"/>
          <w:szCs w:val="19"/>
          <w:lang w:val="pt-PT" w:eastAsia="pt-PT" w:bidi="pt-PT"/>
        </w:rPr>
        <w:t xml:space="preserve"> </w:t>
      </w:r>
      <w:r w:rsidRPr="00DD14B8">
        <w:rPr>
          <w:rFonts w:ascii="Calibri" w:eastAsia="Calibri" w:hAnsi="Calibri" w:cs="Calibri"/>
          <w:sz w:val="19"/>
          <w:szCs w:val="19"/>
          <w:lang w:val="pt-PT" w:eastAsia="pt-PT" w:bidi="pt-PT"/>
        </w:rPr>
        <w:t>exercício</w:t>
      </w:r>
      <w:r w:rsidRPr="00DD14B8">
        <w:rPr>
          <w:rFonts w:ascii="Calibri" w:eastAsia="Calibri" w:hAnsi="Calibri" w:cs="Calibri"/>
          <w:spacing w:val="-10"/>
          <w:sz w:val="19"/>
          <w:szCs w:val="19"/>
          <w:lang w:val="pt-PT" w:eastAsia="pt-PT" w:bidi="pt-PT"/>
        </w:rPr>
        <w:t xml:space="preserve"> </w:t>
      </w:r>
      <w:r w:rsidRPr="00DD14B8">
        <w:rPr>
          <w:rFonts w:ascii="Calibri" w:eastAsia="Calibri" w:hAnsi="Calibri" w:cs="Calibri"/>
          <w:sz w:val="19"/>
          <w:szCs w:val="19"/>
          <w:lang w:val="pt-PT" w:eastAsia="pt-PT" w:bidi="pt-PT"/>
        </w:rPr>
        <w:t>findo</w:t>
      </w:r>
      <w:r w:rsidRPr="00DD14B8">
        <w:rPr>
          <w:rFonts w:ascii="Calibri" w:eastAsia="Calibri" w:hAnsi="Calibri" w:cs="Calibri"/>
          <w:spacing w:val="-9"/>
          <w:sz w:val="19"/>
          <w:szCs w:val="19"/>
          <w:lang w:val="pt-PT" w:eastAsia="pt-PT" w:bidi="pt-PT"/>
        </w:rPr>
        <w:t xml:space="preserve"> </w:t>
      </w:r>
      <w:r w:rsidRPr="00DD14B8">
        <w:rPr>
          <w:rFonts w:ascii="Calibri" w:eastAsia="Calibri" w:hAnsi="Calibri" w:cs="Calibri"/>
          <w:sz w:val="19"/>
          <w:szCs w:val="19"/>
          <w:lang w:val="pt-PT" w:eastAsia="pt-PT" w:bidi="pt-PT"/>
        </w:rPr>
        <w:t>nessa</w:t>
      </w:r>
      <w:r w:rsidRPr="00DD14B8">
        <w:rPr>
          <w:rFonts w:ascii="Calibri" w:eastAsia="Calibri" w:hAnsi="Calibri" w:cs="Calibri"/>
          <w:spacing w:val="-9"/>
          <w:sz w:val="19"/>
          <w:szCs w:val="19"/>
          <w:lang w:val="pt-PT" w:eastAsia="pt-PT" w:bidi="pt-PT"/>
        </w:rPr>
        <w:t xml:space="preserve"> </w:t>
      </w:r>
      <w:r w:rsidRPr="00DD14B8">
        <w:rPr>
          <w:rFonts w:ascii="Calibri" w:eastAsia="Calibri" w:hAnsi="Calibri" w:cs="Calibri"/>
          <w:sz w:val="19"/>
          <w:szCs w:val="19"/>
          <w:lang w:val="pt-PT" w:eastAsia="pt-PT" w:bidi="pt-PT"/>
        </w:rPr>
        <w:t>data,</w:t>
      </w:r>
      <w:r w:rsidRPr="00DD14B8">
        <w:rPr>
          <w:rFonts w:ascii="Calibri" w:eastAsia="Calibri" w:hAnsi="Calibri" w:cs="Calibri"/>
          <w:spacing w:val="-10"/>
          <w:sz w:val="19"/>
          <w:szCs w:val="19"/>
          <w:lang w:val="pt-PT" w:eastAsia="pt-PT" w:bidi="pt-PT"/>
        </w:rPr>
        <w:t xml:space="preserve"> </w:t>
      </w:r>
      <w:r w:rsidRPr="00DD14B8">
        <w:rPr>
          <w:rFonts w:ascii="Calibri" w:eastAsia="Calibri" w:hAnsi="Calibri" w:cs="Calibri"/>
          <w:sz w:val="19"/>
          <w:szCs w:val="19"/>
          <w:lang w:val="pt-PT" w:eastAsia="pt-PT" w:bidi="pt-PT"/>
        </w:rPr>
        <w:t>apresentados</w:t>
      </w:r>
      <w:r w:rsidRPr="00DD14B8">
        <w:rPr>
          <w:rFonts w:ascii="Calibri" w:eastAsia="Calibri" w:hAnsi="Calibri" w:cs="Calibri"/>
          <w:spacing w:val="-8"/>
          <w:sz w:val="19"/>
          <w:szCs w:val="19"/>
          <w:lang w:val="pt-PT" w:eastAsia="pt-PT" w:bidi="pt-PT"/>
        </w:rPr>
        <w:t xml:space="preserve"> </w:t>
      </w:r>
      <w:r w:rsidRPr="00DD14B8">
        <w:rPr>
          <w:rFonts w:ascii="Calibri" w:eastAsia="Calibri" w:hAnsi="Calibri" w:cs="Calibri"/>
          <w:sz w:val="19"/>
          <w:szCs w:val="19"/>
          <w:lang w:val="pt-PT" w:eastAsia="pt-PT" w:bidi="pt-PT"/>
        </w:rPr>
        <w:t>como</w:t>
      </w:r>
      <w:r w:rsidRPr="00DD14B8">
        <w:rPr>
          <w:rFonts w:ascii="Calibri" w:eastAsia="Calibri" w:hAnsi="Calibri" w:cs="Calibri"/>
          <w:spacing w:val="-9"/>
          <w:sz w:val="19"/>
          <w:szCs w:val="19"/>
          <w:lang w:val="pt-PT" w:eastAsia="pt-PT" w:bidi="pt-PT"/>
        </w:rPr>
        <w:t xml:space="preserve"> </w:t>
      </w:r>
      <w:r w:rsidRPr="00DD14B8">
        <w:rPr>
          <w:rFonts w:ascii="Calibri" w:eastAsia="Calibri" w:hAnsi="Calibri" w:cs="Calibri"/>
          <w:sz w:val="19"/>
          <w:szCs w:val="19"/>
          <w:lang w:val="pt-PT" w:eastAsia="pt-PT" w:bidi="pt-PT"/>
        </w:rPr>
        <w:t>valores correspondentes nas demonstrações contábeis individuais e consolidadas do exercício corrente, foram anteriormente auditados por outros auditores independentes, que emitiram relatório datado em 02 de fevereiro de 2024, sem modificação. Os valores correspondentes relativos às demonstrações individuais e consolidadas do valor adicionado (DVA), referentes ao exercício findo em 31 de dezembro de 2023, foram submetidos aos mesmos procedimentos de auditoria por aqueles auditores independentes e, com base em seu exame, aqueles auditores emitiram relatório sem</w:t>
      </w:r>
      <w:r w:rsidRPr="00DD14B8">
        <w:rPr>
          <w:rFonts w:ascii="Calibri" w:eastAsia="Calibri" w:hAnsi="Calibri" w:cs="Calibri"/>
          <w:spacing w:val="-7"/>
          <w:sz w:val="19"/>
          <w:szCs w:val="19"/>
          <w:lang w:val="pt-PT" w:eastAsia="pt-PT" w:bidi="pt-PT"/>
        </w:rPr>
        <w:t xml:space="preserve"> </w:t>
      </w:r>
      <w:r w:rsidRPr="00DD14B8">
        <w:rPr>
          <w:rFonts w:ascii="Calibri" w:eastAsia="Calibri" w:hAnsi="Calibri" w:cs="Calibri"/>
          <w:sz w:val="19"/>
          <w:szCs w:val="19"/>
          <w:lang w:val="pt-PT" w:eastAsia="pt-PT" w:bidi="pt-PT"/>
        </w:rPr>
        <w:t>modificação.</w:t>
      </w:r>
    </w:p>
    <w:p w14:paraId="22113B6F" w14:textId="3D500549" w:rsidR="00DD14B8" w:rsidRPr="00DD14B8" w:rsidRDefault="00DD14B8" w:rsidP="00DD14B8">
      <w:pPr>
        <w:widowControl w:val="0"/>
        <w:autoSpaceDE w:val="0"/>
        <w:autoSpaceDN w:val="0"/>
        <w:spacing w:before="8" w:after="0" w:line="240" w:lineRule="auto"/>
        <w:rPr>
          <w:rFonts w:ascii="Calibri" w:eastAsia="Calibri" w:hAnsi="Calibri" w:cs="Calibri"/>
          <w:sz w:val="22"/>
          <w:szCs w:val="19"/>
          <w:lang w:val="pt-PT" w:eastAsia="pt-PT" w:bidi="pt-PT"/>
        </w:rPr>
      </w:pPr>
      <w:r w:rsidRPr="00DD14B8">
        <w:rPr>
          <w:rFonts w:ascii="Calibri" w:eastAsia="Calibri" w:hAnsi="Calibri" w:cs="Calibri"/>
          <w:noProof/>
          <w:sz w:val="19"/>
          <w:szCs w:val="19"/>
          <w:lang w:val="pt-PT" w:eastAsia="pt-PT" w:bidi="pt-PT"/>
        </w:rPr>
        <mc:AlternateContent>
          <mc:Choice Requires="wps">
            <w:drawing>
              <wp:anchor distT="0" distB="0" distL="0" distR="0" simplePos="0" relativeHeight="251664384" behindDoc="1" locked="0" layoutInCell="1" allowOverlap="1" wp14:anchorId="6E51A650" wp14:editId="22AC0BDE">
                <wp:simplePos x="0" y="0"/>
                <wp:positionH relativeFrom="page">
                  <wp:posOffset>986155</wp:posOffset>
                </wp:positionH>
                <wp:positionV relativeFrom="paragraph">
                  <wp:posOffset>191135</wp:posOffset>
                </wp:positionV>
                <wp:extent cx="5401310" cy="448310"/>
                <wp:effectExtent l="0" t="1905" r="3810" b="0"/>
                <wp:wrapTopAndBottom/>
                <wp:docPr id="1778287132" name="Caixa de Texto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1310" cy="448310"/>
                        </a:xfrm>
                        <a:prstGeom prst="rect">
                          <a:avLst/>
                        </a:prstGeom>
                        <a:solidFill>
                          <a:srgbClr val="004E9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E7DD92" w14:textId="77777777" w:rsidR="00DD14B8" w:rsidRDefault="00DD14B8" w:rsidP="00DD14B8">
                            <w:pPr>
                              <w:spacing w:before="120" w:line="247" w:lineRule="auto"/>
                              <w:ind w:left="112" w:right="695"/>
                              <w:rPr>
                                <w:b/>
                                <w:sz w:val="19"/>
                              </w:rPr>
                            </w:pPr>
                            <w:r>
                              <w:rPr>
                                <w:b/>
                                <w:color w:val="FFFFFF"/>
                                <w:sz w:val="19"/>
                              </w:rPr>
                              <w:t>Outras informações que acompanham as demonstrações contábeis individuais e consolidadas e o relatório dos auditores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51A650" id="Caixa de Texto 29" o:spid="_x0000_s1032" type="#_x0000_t202" style="position:absolute;margin-left:77.65pt;margin-top:15.05pt;width:425.3pt;height:35.3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" fillcolor="#004e97" stroked="f">
                <v:textbox inset="0,0,0,0">
                  <w:txbxContent>
                    <w:p w14:paraId="52E7DD92" w14:textId="77777777" w:rsidR="00DD14B8" w:rsidRDefault="00DD14B8" w:rsidP="00DD14B8">
                      <w:pPr>
                        <w:spacing w:before="120" w:line="247" w:lineRule="auto"/>
                        <w:ind w:left="112" w:right="695"/>
                        <w:rPr>
                          <w:b/>
                          <w:sz w:val="19"/>
                        </w:rPr>
                      </w:pPr>
                      <w:r>
                        <w:rPr>
                          <w:b/>
                          <w:color w:val="FFFFFF"/>
                          <w:sz w:val="19"/>
                        </w:rPr>
                        <w:t>Outras informações que acompanham as demonstrações contábeis individuais e consolidadas e o relatório dos auditores</w:t>
                      </w:r>
                    </w:p>
                  </w:txbxContent>
                </v:textbox>
                <w10:wrap type="topAndBottom" anchorx="page"/>
              </v:shape>
            </w:pict>
          </mc:Fallback>
        </mc:AlternateContent>
      </w:r>
    </w:p>
    <w:p w14:paraId="0A21D7E9" w14:textId="77777777" w:rsidR="00DD14B8" w:rsidRPr="00DD14B8" w:rsidRDefault="00DD14B8" w:rsidP="00DD14B8">
      <w:pPr>
        <w:widowControl w:val="0"/>
        <w:autoSpaceDE w:val="0"/>
        <w:autoSpaceDN w:val="0"/>
        <w:spacing w:before="105" w:after="0" w:line="249" w:lineRule="auto"/>
        <w:ind w:left="225" w:right="328"/>
        <w:rPr>
          <w:rFonts w:ascii="Calibri" w:eastAsia="Calibri" w:hAnsi="Calibri" w:cs="Calibri"/>
          <w:sz w:val="19"/>
          <w:szCs w:val="19"/>
          <w:lang w:val="pt-PT" w:eastAsia="pt-PT" w:bidi="pt-PT"/>
        </w:rPr>
      </w:pPr>
      <w:r w:rsidRPr="00DD14B8">
        <w:rPr>
          <w:rFonts w:ascii="Calibri" w:eastAsia="Calibri" w:hAnsi="Calibri" w:cs="Calibri"/>
          <w:sz w:val="19"/>
          <w:szCs w:val="19"/>
          <w:lang w:val="pt-PT" w:eastAsia="pt-PT" w:bidi="pt-PT"/>
        </w:rPr>
        <w:t>A administração da Companhia é responsável por essas outras informações que compreendem o Relatório da Administração.</w:t>
      </w:r>
    </w:p>
    <w:p w14:paraId="4F64BD2A" w14:textId="77777777" w:rsidR="00DD14B8" w:rsidRPr="00DD14B8" w:rsidRDefault="00DD14B8" w:rsidP="00DD14B8">
      <w:pPr>
        <w:widowControl w:val="0"/>
        <w:autoSpaceDE w:val="0"/>
        <w:autoSpaceDN w:val="0"/>
        <w:spacing w:before="118" w:after="0" w:line="249" w:lineRule="auto"/>
        <w:ind w:left="225" w:right="569"/>
        <w:rPr>
          <w:rFonts w:ascii="Calibri" w:eastAsia="Calibri" w:hAnsi="Calibri" w:cs="Calibri"/>
          <w:sz w:val="19"/>
          <w:szCs w:val="19"/>
          <w:lang w:val="pt-PT" w:eastAsia="pt-PT" w:bidi="pt-PT"/>
        </w:rPr>
      </w:pPr>
      <w:r w:rsidRPr="00DD14B8">
        <w:rPr>
          <w:rFonts w:ascii="Calibri" w:eastAsia="Calibri" w:hAnsi="Calibri" w:cs="Calibri"/>
          <w:sz w:val="19"/>
          <w:szCs w:val="19"/>
          <w:lang w:val="pt-PT" w:eastAsia="pt-PT" w:bidi="pt-PT"/>
        </w:rPr>
        <w:t>Nossa opinião sobre as demonstrações contábeis individuais e consolidadas não abrange o Relatório da Administração e não expressamos qualquer forma de conclusão de auditoria sobre esse relatório.</w:t>
      </w:r>
    </w:p>
    <w:p w14:paraId="66B9E4F3" w14:textId="77777777" w:rsidR="00DD14B8" w:rsidRPr="00DD14B8" w:rsidRDefault="00DD14B8" w:rsidP="00DD14B8">
      <w:pPr>
        <w:widowControl w:val="0"/>
        <w:autoSpaceDE w:val="0"/>
        <w:autoSpaceDN w:val="0"/>
        <w:spacing w:before="117" w:after="0" w:line="247" w:lineRule="auto"/>
        <w:ind w:left="225" w:right="343"/>
        <w:rPr>
          <w:rFonts w:ascii="Calibri" w:eastAsia="Calibri" w:hAnsi="Calibri" w:cs="Calibri"/>
          <w:sz w:val="19"/>
          <w:szCs w:val="19"/>
          <w:lang w:val="pt-PT" w:eastAsia="pt-PT" w:bidi="pt-PT"/>
        </w:rPr>
      </w:pPr>
      <w:r w:rsidRPr="00DD14B8">
        <w:rPr>
          <w:rFonts w:ascii="Calibri" w:eastAsia="Calibri" w:hAnsi="Calibri" w:cs="Calibri"/>
          <w:sz w:val="19"/>
          <w:szCs w:val="19"/>
          <w:lang w:val="pt-PT" w:eastAsia="pt-PT" w:bidi="pt-PT"/>
        </w:rPr>
        <w:t>Em conexão com a auditoria das demonstrações contábeis individuais e consolidadas, nossa responsabilidade é a de ler o Relatório da Administração e, ao fazê-lo, considerar se esse relatório está, de forma relevante, inconsistente com as demonstrações contábeis ou com nosso conhecimento obtido na auditoria ou, de outra forma, aparenta estar distorcido de forma relevante. Se, com base no trabalho realizado, concluirmos que há distorção relevante no Relatório da Administração, somos requeridos a comunicar esse fato. Não temos nada a relatar a este respeito.</w:t>
      </w:r>
    </w:p>
    <w:p w14:paraId="04911F50" w14:textId="77777777" w:rsidR="00DD14B8" w:rsidRPr="00DD14B8" w:rsidRDefault="00DD14B8" w:rsidP="00DD14B8">
      <w:pPr>
        <w:widowControl w:val="0"/>
        <w:autoSpaceDE w:val="0"/>
        <w:autoSpaceDN w:val="0"/>
        <w:spacing w:after="0" w:line="240" w:lineRule="auto"/>
        <w:rPr>
          <w:rFonts w:ascii="Calibri" w:eastAsia="Calibri" w:hAnsi="Calibri" w:cs="Calibri"/>
          <w:sz w:val="20"/>
          <w:szCs w:val="19"/>
          <w:lang w:val="pt-PT" w:eastAsia="pt-PT" w:bidi="pt-PT"/>
        </w:rPr>
      </w:pPr>
    </w:p>
    <w:p w14:paraId="4E6AFC28" w14:textId="164F7BD8" w:rsidR="00DD14B8" w:rsidRPr="00DD14B8" w:rsidRDefault="00DD14B8" w:rsidP="00DD14B8">
      <w:pPr>
        <w:widowControl w:val="0"/>
        <w:autoSpaceDE w:val="0"/>
        <w:autoSpaceDN w:val="0"/>
        <w:spacing w:before="6" w:after="0" w:line="240" w:lineRule="auto"/>
        <w:rPr>
          <w:rFonts w:ascii="Calibri" w:eastAsia="Calibri" w:hAnsi="Calibri" w:cs="Calibri"/>
          <w:sz w:val="18"/>
          <w:szCs w:val="19"/>
          <w:lang w:val="pt-PT" w:eastAsia="pt-PT" w:bidi="pt-PT"/>
        </w:rPr>
      </w:pPr>
      <w:r w:rsidRPr="00DD14B8">
        <w:rPr>
          <w:rFonts w:ascii="Calibri" w:eastAsia="Calibri" w:hAnsi="Calibri" w:cs="Calibri"/>
          <w:noProof/>
          <w:sz w:val="19"/>
          <w:szCs w:val="19"/>
          <w:lang w:val="pt-PT" w:eastAsia="pt-PT" w:bidi="pt-PT"/>
        </w:rPr>
        <mc:AlternateContent>
          <mc:Choice Requires="wps">
            <w:drawing>
              <wp:anchor distT="0" distB="0" distL="0" distR="0" simplePos="0" relativeHeight="251665408" behindDoc="1" locked="0" layoutInCell="1" allowOverlap="1" wp14:anchorId="4D6641AC" wp14:editId="44DABB47">
                <wp:simplePos x="0" y="0"/>
                <wp:positionH relativeFrom="page">
                  <wp:posOffset>986155</wp:posOffset>
                </wp:positionH>
                <wp:positionV relativeFrom="paragraph">
                  <wp:posOffset>158750</wp:posOffset>
                </wp:positionV>
                <wp:extent cx="5401310" cy="448310"/>
                <wp:effectExtent l="0" t="0" r="3810" b="3810"/>
                <wp:wrapTopAndBottom/>
                <wp:docPr id="1081329411" name="Caixa de Texto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1310" cy="448310"/>
                        </a:xfrm>
                        <a:prstGeom prst="rect">
                          <a:avLst/>
                        </a:prstGeom>
                        <a:solidFill>
                          <a:srgbClr val="004E9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2C1A95" w14:textId="77777777" w:rsidR="00DD14B8" w:rsidRDefault="00DD14B8" w:rsidP="00DD14B8">
                            <w:pPr>
                              <w:spacing w:before="120" w:line="247" w:lineRule="auto"/>
                              <w:ind w:left="112"/>
                              <w:rPr>
                                <w:b/>
                                <w:sz w:val="19"/>
                              </w:rPr>
                            </w:pPr>
                            <w:r>
                              <w:rPr>
                                <w:b/>
                                <w:color w:val="FFFFFF"/>
                                <w:sz w:val="19"/>
                              </w:rPr>
                              <w:t>Responsabilidades da administração e da governança pelas demonstrações contábeis individuais e consolidadas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641AC" id="Caixa de Texto 28" o:spid="_x0000_s1033" type="#_x0000_t202" style="position:absolute;margin-left:77.65pt;margin-top:12.5pt;width:425.3pt;height:35.3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" fillcolor="#004e97" stroked="f">
                <v:textbox inset="0,0,0,0">
                  <w:txbxContent>
                    <w:p w14:paraId="242C1A95" w14:textId="77777777" w:rsidR="00DD14B8" w:rsidRDefault="00DD14B8" w:rsidP="00DD14B8">
                      <w:pPr>
                        <w:spacing w:before="120" w:line="247" w:lineRule="auto"/>
                        <w:ind w:left="112"/>
                        <w:rPr>
                          <w:b/>
                          <w:sz w:val="19"/>
                        </w:rPr>
                      </w:pPr>
                      <w:r>
                        <w:rPr>
                          <w:b/>
                          <w:color w:val="FFFFFF"/>
                          <w:sz w:val="19"/>
                        </w:rPr>
                        <w:t>Responsabilidades da administração e da governança pelas demonstrações contábeis individuais e consolidadas</w:t>
                      </w:r>
                    </w:p>
                  </w:txbxContent>
                </v:textbox>
                <w10:wrap type="topAndBottom" anchorx="page"/>
              </v:shape>
            </w:pict>
          </mc:Fallback>
        </mc:AlternateContent>
      </w:r>
    </w:p>
    <w:p w14:paraId="795857EE" w14:textId="77777777" w:rsidR="00DD14B8" w:rsidRPr="00DD14B8" w:rsidRDefault="00DD14B8" w:rsidP="00DD14B8">
      <w:pPr>
        <w:widowControl w:val="0"/>
        <w:autoSpaceDE w:val="0"/>
        <w:autoSpaceDN w:val="0"/>
        <w:spacing w:before="106" w:after="0" w:line="249" w:lineRule="auto"/>
        <w:ind w:left="225" w:right="549"/>
        <w:rPr>
          <w:rFonts w:ascii="Calibri" w:eastAsia="Calibri" w:hAnsi="Calibri" w:cs="Calibri"/>
          <w:sz w:val="19"/>
          <w:szCs w:val="19"/>
          <w:lang w:val="pt-PT" w:eastAsia="pt-PT" w:bidi="pt-PT"/>
        </w:rPr>
      </w:pPr>
      <w:r w:rsidRPr="00DD14B8">
        <w:rPr>
          <w:rFonts w:ascii="Calibri" w:eastAsia="Calibri" w:hAnsi="Calibri" w:cs="Calibri"/>
          <w:sz w:val="19"/>
          <w:szCs w:val="19"/>
          <w:lang w:val="pt-PT" w:eastAsia="pt-PT" w:bidi="pt-PT"/>
        </w:rPr>
        <w:t>A administração é responsável pela elaboração e adequada apresentação das demonstrações contábeis individuais de acordo com as práticas contábeis adotadas no Brasil, e das demonstrações contábeis consolidadas de acordo com as as práticas contábeis adotadas no Brasil e normas internacionais de relatório financeiro (IFRS), emitidas pelo International Accounting Standards Board (IASB), e pelos controles internos que ela determinou como necessários para permitir a elaboração de demonstrações contábeis livres de distorção relevante, independentemente se causada por fraude ou erro.</w:t>
      </w:r>
    </w:p>
    <w:p w14:paraId="4D3237A7" w14:textId="77777777" w:rsidR="00DD14B8" w:rsidRPr="00DD14B8" w:rsidRDefault="00DD14B8" w:rsidP="00DD14B8">
      <w:pPr>
        <w:widowControl w:val="0"/>
        <w:autoSpaceDE w:val="0"/>
        <w:autoSpaceDN w:val="0"/>
        <w:spacing w:after="0" w:line="249" w:lineRule="auto"/>
        <w:rPr>
          <w:rFonts w:ascii="Calibri" w:eastAsia="Calibri" w:hAnsi="Calibri" w:cs="Calibri"/>
          <w:sz w:val="22"/>
          <w:szCs w:val="22"/>
          <w:lang w:val="pt-PT" w:eastAsia="pt-PT" w:bidi="pt-PT"/>
        </w:rPr>
        <w:sectPr w:rsidR="00DD14B8" w:rsidRPr="00DD14B8" w:rsidSect="00DD14B8">
          <w:pgSz w:w="11910" w:h="16840"/>
          <w:pgMar w:top="1420" w:right="1680" w:bottom="1340" w:left="1440" w:header="0" w:footer="1148" w:gutter="0"/>
          <w:cols w:space="720"/>
        </w:sectPr>
      </w:pPr>
    </w:p>
    <w:p w14:paraId="1A8DD49E" w14:textId="77777777" w:rsidR="00DD14B8" w:rsidRPr="00DD14B8" w:rsidRDefault="00DD14B8" w:rsidP="00DD14B8">
      <w:pPr>
        <w:widowControl w:val="0"/>
        <w:autoSpaceDE w:val="0"/>
        <w:autoSpaceDN w:val="0"/>
        <w:spacing w:before="42" w:after="0" w:line="249" w:lineRule="auto"/>
        <w:ind w:left="225" w:right="489"/>
        <w:rPr>
          <w:rFonts w:ascii="Calibri" w:eastAsia="Calibri" w:hAnsi="Calibri" w:cs="Calibri"/>
          <w:sz w:val="19"/>
          <w:szCs w:val="19"/>
          <w:lang w:val="pt-PT" w:eastAsia="pt-PT" w:bidi="pt-PT"/>
        </w:rPr>
      </w:pPr>
      <w:r w:rsidRPr="00DD14B8">
        <w:rPr>
          <w:rFonts w:ascii="Calibri" w:eastAsia="Calibri" w:hAnsi="Calibri" w:cs="Calibri"/>
          <w:sz w:val="19"/>
          <w:szCs w:val="19"/>
          <w:lang w:val="pt-PT" w:eastAsia="pt-PT" w:bidi="pt-PT"/>
        </w:rPr>
        <w:lastRenderedPageBreak/>
        <w:t>Na elaboração das demonstrações contábeis individuais e consolidadas, a administração é responsável pela avaliação da capacidade de a BB Seguridade continuar operando, divulgando, quando aplicável, os assuntos relacionados com a continuidade operacional e o uso dessa base contábil na elaboração das demonstrações contábeis, a não ser que a administração pretenda liquidar a BB Seguridade e suas controladas ou cessar suas operações, ou não tenha nenhuma alternativa realista para evitar o encerramento das operações.</w:t>
      </w:r>
    </w:p>
    <w:p w14:paraId="4E2267CC" w14:textId="77777777" w:rsidR="00DD14B8" w:rsidRPr="00DD14B8" w:rsidRDefault="00DD14B8" w:rsidP="00DD14B8">
      <w:pPr>
        <w:widowControl w:val="0"/>
        <w:autoSpaceDE w:val="0"/>
        <w:autoSpaceDN w:val="0"/>
        <w:spacing w:before="113" w:after="0" w:line="249" w:lineRule="auto"/>
        <w:ind w:left="225" w:right="441"/>
        <w:rPr>
          <w:rFonts w:ascii="Calibri" w:eastAsia="Calibri" w:hAnsi="Calibri" w:cs="Calibri"/>
          <w:sz w:val="19"/>
          <w:szCs w:val="19"/>
          <w:lang w:val="pt-PT" w:eastAsia="pt-PT" w:bidi="pt-PT"/>
        </w:rPr>
      </w:pPr>
      <w:r w:rsidRPr="00DD14B8">
        <w:rPr>
          <w:rFonts w:ascii="Calibri" w:eastAsia="Calibri" w:hAnsi="Calibri" w:cs="Calibri"/>
          <w:sz w:val="19"/>
          <w:szCs w:val="19"/>
          <w:lang w:val="pt-PT" w:eastAsia="pt-PT" w:bidi="pt-PT"/>
        </w:rPr>
        <w:t>Os responsáveis pela governança da BB Seguridade e suas controladas são aqueles com responsabilidade pela supervisão do processo de elaboração das demonstrações contábeis.</w:t>
      </w:r>
    </w:p>
    <w:p w14:paraId="18F4D201" w14:textId="52961FDB" w:rsidR="00DD14B8" w:rsidRPr="00DD14B8" w:rsidRDefault="00DD14B8" w:rsidP="00DD14B8">
      <w:pPr>
        <w:widowControl w:val="0"/>
        <w:autoSpaceDE w:val="0"/>
        <w:autoSpaceDN w:val="0"/>
        <w:spacing w:after="0" w:line="240" w:lineRule="auto"/>
        <w:rPr>
          <w:rFonts w:ascii="Calibri" w:eastAsia="Calibri" w:hAnsi="Calibri" w:cs="Calibri"/>
          <w:szCs w:val="19"/>
          <w:lang w:val="pt-PT" w:eastAsia="pt-PT" w:bidi="pt-PT"/>
        </w:rPr>
      </w:pPr>
      <w:r w:rsidRPr="00DD14B8">
        <w:rPr>
          <w:rFonts w:ascii="Calibri" w:eastAsia="Calibri" w:hAnsi="Calibri" w:cs="Calibri"/>
          <w:noProof/>
          <w:sz w:val="19"/>
          <w:szCs w:val="19"/>
          <w:lang w:val="pt-PT" w:eastAsia="pt-PT" w:bidi="pt-PT"/>
        </w:rPr>
        <mc:AlternateContent>
          <mc:Choice Requires="wps">
            <w:drawing>
              <wp:anchor distT="0" distB="0" distL="0" distR="0" simplePos="0" relativeHeight="251666432" behindDoc="1" locked="0" layoutInCell="1" allowOverlap="1" wp14:anchorId="66F25200" wp14:editId="5479754E">
                <wp:simplePos x="0" y="0"/>
                <wp:positionH relativeFrom="page">
                  <wp:posOffset>986155</wp:posOffset>
                </wp:positionH>
                <wp:positionV relativeFrom="paragraph">
                  <wp:posOffset>178435</wp:posOffset>
                </wp:positionV>
                <wp:extent cx="5401310" cy="295910"/>
                <wp:effectExtent l="0" t="3810" r="3810" b="0"/>
                <wp:wrapTopAndBottom/>
                <wp:docPr id="1170719221" name="Caixa de Tex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1310" cy="295910"/>
                        </a:xfrm>
                        <a:prstGeom prst="rect">
                          <a:avLst/>
                        </a:prstGeom>
                        <a:solidFill>
                          <a:srgbClr val="004E9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049939" w14:textId="77777777" w:rsidR="00DD14B8" w:rsidRDefault="00DD14B8" w:rsidP="00DD14B8">
                            <w:pPr>
                              <w:spacing w:before="120"/>
                              <w:ind w:left="112"/>
                              <w:rPr>
                                <w:b/>
                                <w:sz w:val="19"/>
                              </w:rPr>
                            </w:pPr>
                            <w:r>
                              <w:rPr>
                                <w:b/>
                                <w:color w:val="FFFFFF"/>
                                <w:sz w:val="19"/>
                              </w:rPr>
                              <w:t>Responsabilidades dos auditores pela auditoria das demonstrações contábeis individuais e consolidadas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25200" id="Caixa de Texto 27" o:spid="_x0000_s1034" type="#_x0000_t202" style="position:absolute;margin-left:77.65pt;margin-top:14.05pt;width:425.3pt;height:23.3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" fillcolor="#004e97" stroked="f">
                <v:textbox inset="0,0,0,0">
                  <w:txbxContent>
                    <w:p w14:paraId="4B049939" w14:textId="77777777" w:rsidR="00DD14B8" w:rsidRDefault="00DD14B8" w:rsidP="00DD14B8">
                      <w:pPr>
                        <w:spacing w:before="120"/>
                        <w:ind w:left="112"/>
                        <w:rPr>
                          <w:b/>
                          <w:sz w:val="19"/>
                        </w:rPr>
                      </w:pPr>
                      <w:r>
                        <w:rPr>
                          <w:b/>
                          <w:color w:val="FFFFFF"/>
                          <w:sz w:val="19"/>
                        </w:rPr>
                        <w:t>Responsabilidades dos auditores pela auditoria das demonstrações contábeis individuais e consolidadas</w:t>
                      </w:r>
                    </w:p>
                  </w:txbxContent>
                </v:textbox>
                <w10:wrap type="topAndBottom" anchorx="page"/>
              </v:shape>
            </w:pict>
          </mc:Fallback>
        </mc:AlternateContent>
      </w:r>
    </w:p>
    <w:p w14:paraId="0329427D" w14:textId="77777777" w:rsidR="00DD14B8" w:rsidRPr="00DD14B8" w:rsidRDefault="00DD14B8" w:rsidP="00DD14B8">
      <w:pPr>
        <w:widowControl w:val="0"/>
        <w:autoSpaceDE w:val="0"/>
        <w:autoSpaceDN w:val="0"/>
        <w:spacing w:before="105" w:after="0" w:line="249" w:lineRule="auto"/>
        <w:ind w:left="225" w:right="306"/>
        <w:rPr>
          <w:rFonts w:ascii="Calibri" w:eastAsia="Calibri" w:hAnsi="Calibri" w:cs="Calibri"/>
          <w:sz w:val="19"/>
          <w:szCs w:val="19"/>
          <w:lang w:val="pt-PT" w:eastAsia="pt-PT" w:bidi="pt-PT"/>
        </w:rPr>
      </w:pPr>
      <w:r w:rsidRPr="00DD14B8">
        <w:rPr>
          <w:rFonts w:ascii="Calibri" w:eastAsia="Calibri" w:hAnsi="Calibri" w:cs="Calibri"/>
          <w:sz w:val="19"/>
          <w:szCs w:val="19"/>
          <w:lang w:val="pt-PT" w:eastAsia="pt-PT" w:bidi="pt-PT"/>
        </w:rPr>
        <w:t>Nossos objetivos são obter segurança razoável de que as demonstrações contábeis individuais e consolidadas, tomadas em conjunto, estão livres de distorção relevante, independentemente se causada por fraude ou erro, e emitir relatório de auditoria contendo nossa opinião. Segurança razoável é um alto nível de segurança, mas não uma garantia de que uma auditoria realizada de acordo com as normas brasileiras e internacionais de auditoria sempre detectam as eventuais distorções relevantes existentes. As distorções podem ser decorrentes de fraude ou erro e são consideradas relevantes quando, individualmente ou em conjunto, possam influenciar, dentro de uma perspectiva razoável, as decisões econômicas dos usuários tomadas com base nas referidas demonstrações contábeis.</w:t>
      </w:r>
    </w:p>
    <w:p w14:paraId="60E86BE2" w14:textId="77777777" w:rsidR="00DD14B8" w:rsidRPr="00DD14B8" w:rsidRDefault="00DD14B8" w:rsidP="00DD14B8">
      <w:pPr>
        <w:widowControl w:val="0"/>
        <w:autoSpaceDE w:val="0"/>
        <w:autoSpaceDN w:val="0"/>
        <w:spacing w:before="110" w:after="0" w:line="249" w:lineRule="auto"/>
        <w:ind w:left="225"/>
        <w:rPr>
          <w:rFonts w:ascii="Calibri" w:eastAsia="Calibri" w:hAnsi="Calibri" w:cs="Calibri"/>
          <w:sz w:val="19"/>
          <w:szCs w:val="19"/>
          <w:lang w:val="pt-PT" w:eastAsia="pt-PT" w:bidi="pt-PT"/>
        </w:rPr>
      </w:pPr>
      <w:r w:rsidRPr="00DD14B8">
        <w:rPr>
          <w:rFonts w:ascii="Calibri" w:eastAsia="Calibri" w:hAnsi="Calibri" w:cs="Calibri"/>
          <w:sz w:val="19"/>
          <w:szCs w:val="19"/>
          <w:lang w:val="pt-PT" w:eastAsia="pt-PT" w:bidi="pt-PT"/>
        </w:rPr>
        <w:t>Como parte da auditoria realizada de acordo com as normas brasileiras e internacionais de auditoria, exercemos julgamento profissional, e mantemos ceticismo profissional ao longo da auditoria. Além disso:</w:t>
      </w:r>
    </w:p>
    <w:p w14:paraId="4F7F98F7" w14:textId="77777777" w:rsidR="00DD14B8" w:rsidRPr="00DD14B8" w:rsidRDefault="00DD14B8" w:rsidP="00DD14B8">
      <w:pPr>
        <w:widowControl w:val="0"/>
        <w:numPr>
          <w:ilvl w:val="0"/>
          <w:numId w:val="54"/>
        </w:numPr>
        <w:tabs>
          <w:tab w:val="left" w:pos="945"/>
          <w:tab w:val="left" w:pos="946"/>
        </w:tabs>
        <w:autoSpaceDE w:val="0"/>
        <w:autoSpaceDN w:val="0"/>
        <w:spacing w:before="119" w:after="0" w:line="247" w:lineRule="auto"/>
        <w:ind w:right="348"/>
        <w:rPr>
          <w:rFonts w:ascii="Calibri" w:eastAsia="Calibri" w:hAnsi="Calibri" w:cs="Calibri"/>
          <w:sz w:val="19"/>
          <w:szCs w:val="22"/>
          <w:lang w:val="pt-PT" w:eastAsia="pt-PT" w:bidi="pt-PT"/>
        </w:rPr>
      </w:pPr>
      <w:r w:rsidRPr="00DD14B8">
        <w:rPr>
          <w:rFonts w:ascii="Calibri" w:eastAsia="Calibri" w:hAnsi="Calibri" w:cs="Calibri"/>
          <w:position w:val="1"/>
          <w:sz w:val="19"/>
          <w:szCs w:val="22"/>
          <w:lang w:val="pt-PT" w:eastAsia="pt-PT" w:bidi="pt-PT"/>
        </w:rPr>
        <w:t>Identificamos e avaliamos os riscos de distorção relevante nas demonstrações contábeis</w:t>
      </w:r>
      <w:r w:rsidRPr="00DD14B8">
        <w:rPr>
          <w:rFonts w:ascii="Calibri" w:eastAsia="Calibri" w:hAnsi="Calibri" w:cs="Calibri"/>
          <w:sz w:val="19"/>
          <w:szCs w:val="22"/>
          <w:lang w:val="pt-PT" w:eastAsia="pt-PT" w:bidi="pt-PT"/>
        </w:rPr>
        <w:t xml:space="preserve"> individuais e consolidadas, independentemente se causada por fraude ou erro, planejamos e executamos procedimentos de auditoria em resposta a tais riscos, bem como obtemos evidência de</w:t>
      </w:r>
      <w:r w:rsidRPr="00DD14B8">
        <w:rPr>
          <w:rFonts w:ascii="Calibri" w:eastAsia="Calibri" w:hAnsi="Calibri" w:cs="Calibri"/>
          <w:spacing w:val="-3"/>
          <w:sz w:val="19"/>
          <w:szCs w:val="22"/>
          <w:lang w:val="pt-PT" w:eastAsia="pt-PT" w:bidi="pt-PT"/>
        </w:rPr>
        <w:t xml:space="preserve"> </w:t>
      </w:r>
      <w:r w:rsidRPr="00DD14B8">
        <w:rPr>
          <w:rFonts w:ascii="Calibri" w:eastAsia="Calibri" w:hAnsi="Calibri" w:cs="Calibri"/>
          <w:sz w:val="19"/>
          <w:szCs w:val="22"/>
          <w:lang w:val="pt-PT" w:eastAsia="pt-PT" w:bidi="pt-PT"/>
        </w:rPr>
        <w:t>auditoria</w:t>
      </w:r>
      <w:r w:rsidRPr="00DD14B8">
        <w:rPr>
          <w:rFonts w:ascii="Calibri" w:eastAsia="Calibri" w:hAnsi="Calibri" w:cs="Calibri"/>
          <w:spacing w:val="-3"/>
          <w:sz w:val="19"/>
          <w:szCs w:val="22"/>
          <w:lang w:val="pt-PT" w:eastAsia="pt-PT" w:bidi="pt-PT"/>
        </w:rPr>
        <w:t xml:space="preserve"> </w:t>
      </w:r>
      <w:r w:rsidRPr="00DD14B8">
        <w:rPr>
          <w:rFonts w:ascii="Calibri" w:eastAsia="Calibri" w:hAnsi="Calibri" w:cs="Calibri"/>
          <w:sz w:val="19"/>
          <w:szCs w:val="22"/>
          <w:lang w:val="pt-PT" w:eastAsia="pt-PT" w:bidi="pt-PT"/>
        </w:rPr>
        <w:t>apropriada</w:t>
      </w:r>
      <w:r w:rsidRPr="00DD14B8">
        <w:rPr>
          <w:rFonts w:ascii="Calibri" w:eastAsia="Calibri" w:hAnsi="Calibri" w:cs="Calibri"/>
          <w:spacing w:val="-2"/>
          <w:sz w:val="19"/>
          <w:szCs w:val="22"/>
          <w:lang w:val="pt-PT" w:eastAsia="pt-PT" w:bidi="pt-PT"/>
        </w:rPr>
        <w:t xml:space="preserve"> </w:t>
      </w:r>
      <w:r w:rsidRPr="00DD14B8">
        <w:rPr>
          <w:rFonts w:ascii="Calibri" w:eastAsia="Calibri" w:hAnsi="Calibri" w:cs="Calibri"/>
          <w:sz w:val="19"/>
          <w:szCs w:val="22"/>
          <w:lang w:val="pt-PT" w:eastAsia="pt-PT" w:bidi="pt-PT"/>
        </w:rPr>
        <w:t>e</w:t>
      </w:r>
      <w:r w:rsidRPr="00DD14B8">
        <w:rPr>
          <w:rFonts w:ascii="Calibri" w:eastAsia="Calibri" w:hAnsi="Calibri" w:cs="Calibri"/>
          <w:spacing w:val="-3"/>
          <w:sz w:val="19"/>
          <w:szCs w:val="22"/>
          <w:lang w:val="pt-PT" w:eastAsia="pt-PT" w:bidi="pt-PT"/>
        </w:rPr>
        <w:t xml:space="preserve"> </w:t>
      </w:r>
      <w:r w:rsidRPr="00DD14B8">
        <w:rPr>
          <w:rFonts w:ascii="Calibri" w:eastAsia="Calibri" w:hAnsi="Calibri" w:cs="Calibri"/>
          <w:sz w:val="19"/>
          <w:szCs w:val="22"/>
          <w:lang w:val="pt-PT" w:eastAsia="pt-PT" w:bidi="pt-PT"/>
        </w:rPr>
        <w:t>suficiente</w:t>
      </w:r>
      <w:r w:rsidRPr="00DD14B8">
        <w:rPr>
          <w:rFonts w:ascii="Calibri" w:eastAsia="Calibri" w:hAnsi="Calibri" w:cs="Calibri"/>
          <w:spacing w:val="-2"/>
          <w:sz w:val="19"/>
          <w:szCs w:val="22"/>
          <w:lang w:val="pt-PT" w:eastAsia="pt-PT" w:bidi="pt-PT"/>
        </w:rPr>
        <w:t xml:space="preserve"> </w:t>
      </w:r>
      <w:r w:rsidRPr="00DD14B8">
        <w:rPr>
          <w:rFonts w:ascii="Calibri" w:eastAsia="Calibri" w:hAnsi="Calibri" w:cs="Calibri"/>
          <w:sz w:val="19"/>
          <w:szCs w:val="22"/>
          <w:lang w:val="pt-PT" w:eastAsia="pt-PT" w:bidi="pt-PT"/>
        </w:rPr>
        <w:t>para</w:t>
      </w:r>
      <w:r w:rsidRPr="00DD14B8">
        <w:rPr>
          <w:rFonts w:ascii="Calibri" w:eastAsia="Calibri" w:hAnsi="Calibri" w:cs="Calibri"/>
          <w:spacing w:val="-3"/>
          <w:sz w:val="19"/>
          <w:szCs w:val="22"/>
          <w:lang w:val="pt-PT" w:eastAsia="pt-PT" w:bidi="pt-PT"/>
        </w:rPr>
        <w:t xml:space="preserve"> </w:t>
      </w:r>
      <w:r w:rsidRPr="00DD14B8">
        <w:rPr>
          <w:rFonts w:ascii="Calibri" w:eastAsia="Calibri" w:hAnsi="Calibri" w:cs="Calibri"/>
          <w:sz w:val="19"/>
          <w:szCs w:val="22"/>
          <w:lang w:val="pt-PT" w:eastAsia="pt-PT" w:bidi="pt-PT"/>
        </w:rPr>
        <w:t>fundamentar</w:t>
      </w:r>
      <w:r w:rsidRPr="00DD14B8">
        <w:rPr>
          <w:rFonts w:ascii="Calibri" w:eastAsia="Calibri" w:hAnsi="Calibri" w:cs="Calibri"/>
          <w:spacing w:val="-3"/>
          <w:sz w:val="19"/>
          <w:szCs w:val="22"/>
          <w:lang w:val="pt-PT" w:eastAsia="pt-PT" w:bidi="pt-PT"/>
        </w:rPr>
        <w:t xml:space="preserve"> </w:t>
      </w:r>
      <w:r w:rsidRPr="00DD14B8">
        <w:rPr>
          <w:rFonts w:ascii="Calibri" w:eastAsia="Calibri" w:hAnsi="Calibri" w:cs="Calibri"/>
          <w:sz w:val="19"/>
          <w:szCs w:val="22"/>
          <w:lang w:val="pt-PT" w:eastAsia="pt-PT" w:bidi="pt-PT"/>
        </w:rPr>
        <w:t>nossa</w:t>
      </w:r>
      <w:r w:rsidRPr="00DD14B8">
        <w:rPr>
          <w:rFonts w:ascii="Calibri" w:eastAsia="Calibri" w:hAnsi="Calibri" w:cs="Calibri"/>
          <w:spacing w:val="-3"/>
          <w:sz w:val="19"/>
          <w:szCs w:val="22"/>
          <w:lang w:val="pt-PT" w:eastAsia="pt-PT" w:bidi="pt-PT"/>
        </w:rPr>
        <w:t xml:space="preserve"> </w:t>
      </w:r>
      <w:r w:rsidRPr="00DD14B8">
        <w:rPr>
          <w:rFonts w:ascii="Calibri" w:eastAsia="Calibri" w:hAnsi="Calibri" w:cs="Calibri"/>
          <w:sz w:val="19"/>
          <w:szCs w:val="22"/>
          <w:lang w:val="pt-PT" w:eastAsia="pt-PT" w:bidi="pt-PT"/>
        </w:rPr>
        <w:t>opinião.</w:t>
      </w:r>
      <w:r w:rsidRPr="00DD14B8">
        <w:rPr>
          <w:rFonts w:ascii="Calibri" w:eastAsia="Calibri" w:hAnsi="Calibri" w:cs="Calibri"/>
          <w:spacing w:val="-3"/>
          <w:sz w:val="19"/>
          <w:szCs w:val="22"/>
          <w:lang w:val="pt-PT" w:eastAsia="pt-PT" w:bidi="pt-PT"/>
        </w:rPr>
        <w:t xml:space="preserve"> </w:t>
      </w:r>
      <w:r w:rsidRPr="00DD14B8">
        <w:rPr>
          <w:rFonts w:ascii="Calibri" w:eastAsia="Calibri" w:hAnsi="Calibri" w:cs="Calibri"/>
          <w:sz w:val="19"/>
          <w:szCs w:val="22"/>
          <w:lang w:val="pt-PT" w:eastAsia="pt-PT" w:bidi="pt-PT"/>
        </w:rPr>
        <w:t>O</w:t>
      </w:r>
      <w:r w:rsidRPr="00DD14B8">
        <w:rPr>
          <w:rFonts w:ascii="Calibri" w:eastAsia="Calibri" w:hAnsi="Calibri" w:cs="Calibri"/>
          <w:spacing w:val="-2"/>
          <w:sz w:val="19"/>
          <w:szCs w:val="22"/>
          <w:lang w:val="pt-PT" w:eastAsia="pt-PT" w:bidi="pt-PT"/>
        </w:rPr>
        <w:t xml:space="preserve"> </w:t>
      </w:r>
      <w:r w:rsidRPr="00DD14B8">
        <w:rPr>
          <w:rFonts w:ascii="Calibri" w:eastAsia="Calibri" w:hAnsi="Calibri" w:cs="Calibri"/>
          <w:sz w:val="19"/>
          <w:szCs w:val="22"/>
          <w:lang w:val="pt-PT" w:eastAsia="pt-PT" w:bidi="pt-PT"/>
        </w:rPr>
        <w:t>risco</w:t>
      </w:r>
      <w:r w:rsidRPr="00DD14B8">
        <w:rPr>
          <w:rFonts w:ascii="Calibri" w:eastAsia="Calibri" w:hAnsi="Calibri" w:cs="Calibri"/>
          <w:spacing w:val="-3"/>
          <w:sz w:val="19"/>
          <w:szCs w:val="22"/>
          <w:lang w:val="pt-PT" w:eastAsia="pt-PT" w:bidi="pt-PT"/>
        </w:rPr>
        <w:t xml:space="preserve"> </w:t>
      </w:r>
      <w:r w:rsidRPr="00DD14B8">
        <w:rPr>
          <w:rFonts w:ascii="Calibri" w:eastAsia="Calibri" w:hAnsi="Calibri" w:cs="Calibri"/>
          <w:sz w:val="19"/>
          <w:szCs w:val="22"/>
          <w:lang w:val="pt-PT" w:eastAsia="pt-PT" w:bidi="pt-PT"/>
        </w:rPr>
        <w:t>de</w:t>
      </w:r>
      <w:r w:rsidRPr="00DD14B8">
        <w:rPr>
          <w:rFonts w:ascii="Calibri" w:eastAsia="Calibri" w:hAnsi="Calibri" w:cs="Calibri"/>
          <w:spacing w:val="-2"/>
          <w:sz w:val="19"/>
          <w:szCs w:val="22"/>
          <w:lang w:val="pt-PT" w:eastAsia="pt-PT" w:bidi="pt-PT"/>
        </w:rPr>
        <w:t xml:space="preserve"> </w:t>
      </w:r>
      <w:r w:rsidRPr="00DD14B8">
        <w:rPr>
          <w:rFonts w:ascii="Calibri" w:eastAsia="Calibri" w:hAnsi="Calibri" w:cs="Calibri"/>
          <w:sz w:val="19"/>
          <w:szCs w:val="22"/>
          <w:lang w:val="pt-PT" w:eastAsia="pt-PT" w:bidi="pt-PT"/>
        </w:rPr>
        <w:t>não</w:t>
      </w:r>
      <w:r w:rsidRPr="00DD14B8">
        <w:rPr>
          <w:rFonts w:ascii="Calibri" w:eastAsia="Calibri" w:hAnsi="Calibri" w:cs="Calibri"/>
          <w:spacing w:val="-4"/>
          <w:sz w:val="19"/>
          <w:szCs w:val="22"/>
          <w:lang w:val="pt-PT" w:eastAsia="pt-PT" w:bidi="pt-PT"/>
        </w:rPr>
        <w:t xml:space="preserve"> </w:t>
      </w:r>
      <w:r w:rsidRPr="00DD14B8">
        <w:rPr>
          <w:rFonts w:ascii="Calibri" w:eastAsia="Calibri" w:hAnsi="Calibri" w:cs="Calibri"/>
          <w:sz w:val="19"/>
          <w:szCs w:val="22"/>
          <w:lang w:val="pt-PT" w:eastAsia="pt-PT" w:bidi="pt-PT"/>
        </w:rPr>
        <w:t>detecção</w:t>
      </w:r>
      <w:r w:rsidRPr="00DD14B8">
        <w:rPr>
          <w:rFonts w:ascii="Calibri" w:eastAsia="Calibri" w:hAnsi="Calibri" w:cs="Calibri"/>
          <w:spacing w:val="-3"/>
          <w:sz w:val="19"/>
          <w:szCs w:val="22"/>
          <w:lang w:val="pt-PT" w:eastAsia="pt-PT" w:bidi="pt-PT"/>
        </w:rPr>
        <w:t xml:space="preserve"> </w:t>
      </w:r>
      <w:r w:rsidRPr="00DD14B8">
        <w:rPr>
          <w:rFonts w:ascii="Calibri" w:eastAsia="Calibri" w:hAnsi="Calibri" w:cs="Calibri"/>
          <w:sz w:val="19"/>
          <w:szCs w:val="22"/>
          <w:lang w:val="pt-PT" w:eastAsia="pt-PT" w:bidi="pt-PT"/>
        </w:rPr>
        <w:t>de distorção relevante resultante de fraude é maior do que o proveniente de erro, já que a fraude pode envolver o ato de burlar os controles internos, conluio, falsificação, omissão ou representações falsas</w:t>
      </w:r>
      <w:r w:rsidRPr="00DD14B8">
        <w:rPr>
          <w:rFonts w:ascii="Calibri" w:eastAsia="Calibri" w:hAnsi="Calibri" w:cs="Calibri"/>
          <w:spacing w:val="-1"/>
          <w:sz w:val="19"/>
          <w:szCs w:val="22"/>
          <w:lang w:val="pt-PT" w:eastAsia="pt-PT" w:bidi="pt-PT"/>
        </w:rPr>
        <w:t xml:space="preserve"> </w:t>
      </w:r>
      <w:r w:rsidRPr="00DD14B8">
        <w:rPr>
          <w:rFonts w:ascii="Calibri" w:eastAsia="Calibri" w:hAnsi="Calibri" w:cs="Calibri"/>
          <w:sz w:val="19"/>
          <w:szCs w:val="22"/>
          <w:lang w:val="pt-PT" w:eastAsia="pt-PT" w:bidi="pt-PT"/>
        </w:rPr>
        <w:t>intencionais.</w:t>
      </w:r>
    </w:p>
    <w:p w14:paraId="6D1C20BB" w14:textId="77777777" w:rsidR="00DD14B8" w:rsidRPr="00DD14B8" w:rsidRDefault="00DD14B8" w:rsidP="00DD14B8">
      <w:pPr>
        <w:widowControl w:val="0"/>
        <w:numPr>
          <w:ilvl w:val="0"/>
          <w:numId w:val="54"/>
        </w:numPr>
        <w:tabs>
          <w:tab w:val="left" w:pos="945"/>
          <w:tab w:val="left" w:pos="946"/>
        </w:tabs>
        <w:autoSpaceDE w:val="0"/>
        <w:autoSpaceDN w:val="0"/>
        <w:spacing w:before="127" w:after="0" w:line="247" w:lineRule="auto"/>
        <w:ind w:right="465"/>
        <w:rPr>
          <w:rFonts w:ascii="Calibri" w:eastAsia="Calibri" w:hAnsi="Calibri" w:cs="Calibri"/>
          <w:sz w:val="19"/>
          <w:szCs w:val="22"/>
          <w:lang w:val="pt-PT" w:eastAsia="pt-PT" w:bidi="pt-PT"/>
        </w:rPr>
      </w:pPr>
      <w:r w:rsidRPr="00DD14B8">
        <w:rPr>
          <w:rFonts w:ascii="Calibri" w:eastAsia="Calibri" w:hAnsi="Calibri" w:cs="Calibri"/>
          <w:position w:val="1"/>
          <w:sz w:val="19"/>
          <w:szCs w:val="22"/>
          <w:lang w:val="pt-PT" w:eastAsia="pt-PT" w:bidi="pt-PT"/>
        </w:rPr>
        <w:t>Obtemos entendimento dos controles internos relevantes para a auditoria para planejarmos</w:t>
      </w:r>
      <w:r w:rsidRPr="00DD14B8">
        <w:rPr>
          <w:rFonts w:ascii="Calibri" w:eastAsia="Calibri" w:hAnsi="Calibri" w:cs="Calibri"/>
          <w:sz w:val="19"/>
          <w:szCs w:val="22"/>
          <w:lang w:val="pt-PT" w:eastAsia="pt-PT" w:bidi="pt-PT"/>
        </w:rPr>
        <w:t xml:space="preserve"> procedimentos de auditoria apropriados às circunstâncias, mas não com o objetivo de expressarmos opinião sobre a eficácia dos controles internos da Companhia e suas</w:t>
      </w:r>
      <w:r w:rsidRPr="00DD14B8">
        <w:rPr>
          <w:rFonts w:ascii="Calibri" w:eastAsia="Calibri" w:hAnsi="Calibri" w:cs="Calibri"/>
          <w:spacing w:val="-31"/>
          <w:sz w:val="19"/>
          <w:szCs w:val="22"/>
          <w:lang w:val="pt-PT" w:eastAsia="pt-PT" w:bidi="pt-PT"/>
        </w:rPr>
        <w:t xml:space="preserve"> </w:t>
      </w:r>
      <w:r w:rsidRPr="00DD14B8">
        <w:rPr>
          <w:rFonts w:ascii="Calibri" w:eastAsia="Calibri" w:hAnsi="Calibri" w:cs="Calibri"/>
          <w:sz w:val="19"/>
          <w:szCs w:val="22"/>
          <w:lang w:val="pt-PT" w:eastAsia="pt-PT" w:bidi="pt-PT"/>
        </w:rPr>
        <w:t>controladas.</w:t>
      </w:r>
    </w:p>
    <w:p w14:paraId="6B20A070" w14:textId="77777777" w:rsidR="00DD14B8" w:rsidRPr="00DD14B8" w:rsidRDefault="00DD14B8" w:rsidP="00DD14B8">
      <w:pPr>
        <w:widowControl w:val="0"/>
        <w:numPr>
          <w:ilvl w:val="0"/>
          <w:numId w:val="54"/>
        </w:numPr>
        <w:tabs>
          <w:tab w:val="left" w:pos="945"/>
          <w:tab w:val="left" w:pos="946"/>
        </w:tabs>
        <w:autoSpaceDE w:val="0"/>
        <w:autoSpaceDN w:val="0"/>
        <w:spacing w:before="122" w:after="0" w:line="247" w:lineRule="auto"/>
        <w:ind w:right="896"/>
        <w:rPr>
          <w:rFonts w:ascii="Calibri" w:eastAsia="Calibri" w:hAnsi="Calibri" w:cs="Calibri"/>
          <w:sz w:val="19"/>
          <w:szCs w:val="22"/>
          <w:lang w:val="pt-PT" w:eastAsia="pt-PT" w:bidi="pt-PT"/>
        </w:rPr>
      </w:pPr>
      <w:r w:rsidRPr="00DD14B8">
        <w:rPr>
          <w:rFonts w:ascii="Calibri" w:eastAsia="Calibri" w:hAnsi="Calibri" w:cs="Calibri"/>
          <w:position w:val="1"/>
          <w:sz w:val="19"/>
          <w:szCs w:val="22"/>
          <w:lang w:val="pt-PT" w:eastAsia="pt-PT" w:bidi="pt-PT"/>
        </w:rPr>
        <w:t>Avaliamos</w:t>
      </w:r>
      <w:r w:rsidRPr="00DD14B8">
        <w:rPr>
          <w:rFonts w:ascii="Calibri" w:eastAsia="Calibri" w:hAnsi="Calibri" w:cs="Calibri"/>
          <w:spacing w:val="-3"/>
          <w:position w:val="1"/>
          <w:sz w:val="19"/>
          <w:szCs w:val="22"/>
          <w:lang w:val="pt-PT" w:eastAsia="pt-PT" w:bidi="pt-PT"/>
        </w:rPr>
        <w:t xml:space="preserve"> </w:t>
      </w:r>
      <w:r w:rsidRPr="00DD14B8">
        <w:rPr>
          <w:rFonts w:ascii="Calibri" w:eastAsia="Calibri" w:hAnsi="Calibri" w:cs="Calibri"/>
          <w:position w:val="1"/>
          <w:sz w:val="19"/>
          <w:szCs w:val="22"/>
          <w:lang w:val="pt-PT" w:eastAsia="pt-PT" w:bidi="pt-PT"/>
        </w:rPr>
        <w:t>a</w:t>
      </w:r>
      <w:r w:rsidRPr="00DD14B8">
        <w:rPr>
          <w:rFonts w:ascii="Calibri" w:eastAsia="Calibri" w:hAnsi="Calibri" w:cs="Calibri"/>
          <w:spacing w:val="-3"/>
          <w:position w:val="1"/>
          <w:sz w:val="19"/>
          <w:szCs w:val="22"/>
          <w:lang w:val="pt-PT" w:eastAsia="pt-PT" w:bidi="pt-PT"/>
        </w:rPr>
        <w:t xml:space="preserve"> </w:t>
      </w:r>
      <w:r w:rsidRPr="00DD14B8">
        <w:rPr>
          <w:rFonts w:ascii="Calibri" w:eastAsia="Calibri" w:hAnsi="Calibri" w:cs="Calibri"/>
          <w:position w:val="1"/>
          <w:sz w:val="19"/>
          <w:szCs w:val="22"/>
          <w:lang w:val="pt-PT" w:eastAsia="pt-PT" w:bidi="pt-PT"/>
        </w:rPr>
        <w:t>adequação</w:t>
      </w:r>
      <w:r w:rsidRPr="00DD14B8">
        <w:rPr>
          <w:rFonts w:ascii="Calibri" w:eastAsia="Calibri" w:hAnsi="Calibri" w:cs="Calibri"/>
          <w:spacing w:val="-4"/>
          <w:position w:val="1"/>
          <w:sz w:val="19"/>
          <w:szCs w:val="22"/>
          <w:lang w:val="pt-PT" w:eastAsia="pt-PT" w:bidi="pt-PT"/>
        </w:rPr>
        <w:t xml:space="preserve"> </w:t>
      </w:r>
      <w:r w:rsidRPr="00DD14B8">
        <w:rPr>
          <w:rFonts w:ascii="Calibri" w:eastAsia="Calibri" w:hAnsi="Calibri" w:cs="Calibri"/>
          <w:position w:val="1"/>
          <w:sz w:val="19"/>
          <w:szCs w:val="22"/>
          <w:lang w:val="pt-PT" w:eastAsia="pt-PT" w:bidi="pt-PT"/>
        </w:rPr>
        <w:t>das</w:t>
      </w:r>
      <w:r w:rsidRPr="00DD14B8">
        <w:rPr>
          <w:rFonts w:ascii="Calibri" w:eastAsia="Calibri" w:hAnsi="Calibri" w:cs="Calibri"/>
          <w:spacing w:val="-3"/>
          <w:position w:val="1"/>
          <w:sz w:val="19"/>
          <w:szCs w:val="22"/>
          <w:lang w:val="pt-PT" w:eastAsia="pt-PT" w:bidi="pt-PT"/>
        </w:rPr>
        <w:t xml:space="preserve"> </w:t>
      </w:r>
      <w:r w:rsidRPr="00DD14B8">
        <w:rPr>
          <w:rFonts w:ascii="Calibri" w:eastAsia="Calibri" w:hAnsi="Calibri" w:cs="Calibri"/>
          <w:position w:val="1"/>
          <w:sz w:val="19"/>
          <w:szCs w:val="22"/>
          <w:lang w:val="pt-PT" w:eastAsia="pt-PT" w:bidi="pt-PT"/>
        </w:rPr>
        <w:t>políticas</w:t>
      </w:r>
      <w:r w:rsidRPr="00DD14B8">
        <w:rPr>
          <w:rFonts w:ascii="Calibri" w:eastAsia="Calibri" w:hAnsi="Calibri" w:cs="Calibri"/>
          <w:spacing w:val="-2"/>
          <w:position w:val="1"/>
          <w:sz w:val="19"/>
          <w:szCs w:val="22"/>
          <w:lang w:val="pt-PT" w:eastAsia="pt-PT" w:bidi="pt-PT"/>
        </w:rPr>
        <w:t xml:space="preserve"> </w:t>
      </w:r>
      <w:r w:rsidRPr="00DD14B8">
        <w:rPr>
          <w:rFonts w:ascii="Calibri" w:eastAsia="Calibri" w:hAnsi="Calibri" w:cs="Calibri"/>
          <w:position w:val="1"/>
          <w:sz w:val="19"/>
          <w:szCs w:val="22"/>
          <w:lang w:val="pt-PT" w:eastAsia="pt-PT" w:bidi="pt-PT"/>
        </w:rPr>
        <w:t>contábeis</w:t>
      </w:r>
      <w:r w:rsidRPr="00DD14B8">
        <w:rPr>
          <w:rFonts w:ascii="Calibri" w:eastAsia="Calibri" w:hAnsi="Calibri" w:cs="Calibri"/>
          <w:spacing w:val="-3"/>
          <w:position w:val="1"/>
          <w:sz w:val="19"/>
          <w:szCs w:val="22"/>
          <w:lang w:val="pt-PT" w:eastAsia="pt-PT" w:bidi="pt-PT"/>
        </w:rPr>
        <w:t xml:space="preserve"> </w:t>
      </w:r>
      <w:r w:rsidRPr="00DD14B8">
        <w:rPr>
          <w:rFonts w:ascii="Calibri" w:eastAsia="Calibri" w:hAnsi="Calibri" w:cs="Calibri"/>
          <w:position w:val="1"/>
          <w:sz w:val="19"/>
          <w:szCs w:val="22"/>
          <w:lang w:val="pt-PT" w:eastAsia="pt-PT" w:bidi="pt-PT"/>
        </w:rPr>
        <w:t>utilizadas</w:t>
      </w:r>
      <w:r w:rsidRPr="00DD14B8">
        <w:rPr>
          <w:rFonts w:ascii="Calibri" w:eastAsia="Calibri" w:hAnsi="Calibri" w:cs="Calibri"/>
          <w:spacing w:val="-3"/>
          <w:position w:val="1"/>
          <w:sz w:val="19"/>
          <w:szCs w:val="22"/>
          <w:lang w:val="pt-PT" w:eastAsia="pt-PT" w:bidi="pt-PT"/>
        </w:rPr>
        <w:t xml:space="preserve"> </w:t>
      </w:r>
      <w:r w:rsidRPr="00DD14B8">
        <w:rPr>
          <w:rFonts w:ascii="Calibri" w:eastAsia="Calibri" w:hAnsi="Calibri" w:cs="Calibri"/>
          <w:position w:val="1"/>
          <w:sz w:val="19"/>
          <w:szCs w:val="22"/>
          <w:lang w:val="pt-PT" w:eastAsia="pt-PT" w:bidi="pt-PT"/>
        </w:rPr>
        <w:t>e</w:t>
      </w:r>
      <w:r w:rsidRPr="00DD14B8">
        <w:rPr>
          <w:rFonts w:ascii="Calibri" w:eastAsia="Calibri" w:hAnsi="Calibri" w:cs="Calibri"/>
          <w:spacing w:val="-3"/>
          <w:position w:val="1"/>
          <w:sz w:val="19"/>
          <w:szCs w:val="22"/>
          <w:lang w:val="pt-PT" w:eastAsia="pt-PT" w:bidi="pt-PT"/>
        </w:rPr>
        <w:t xml:space="preserve"> </w:t>
      </w:r>
      <w:r w:rsidRPr="00DD14B8">
        <w:rPr>
          <w:rFonts w:ascii="Calibri" w:eastAsia="Calibri" w:hAnsi="Calibri" w:cs="Calibri"/>
          <w:position w:val="1"/>
          <w:sz w:val="19"/>
          <w:szCs w:val="22"/>
          <w:lang w:val="pt-PT" w:eastAsia="pt-PT" w:bidi="pt-PT"/>
        </w:rPr>
        <w:t>a</w:t>
      </w:r>
      <w:r w:rsidRPr="00DD14B8">
        <w:rPr>
          <w:rFonts w:ascii="Calibri" w:eastAsia="Calibri" w:hAnsi="Calibri" w:cs="Calibri"/>
          <w:spacing w:val="-2"/>
          <w:position w:val="1"/>
          <w:sz w:val="19"/>
          <w:szCs w:val="22"/>
          <w:lang w:val="pt-PT" w:eastAsia="pt-PT" w:bidi="pt-PT"/>
        </w:rPr>
        <w:t xml:space="preserve"> </w:t>
      </w:r>
      <w:r w:rsidRPr="00DD14B8">
        <w:rPr>
          <w:rFonts w:ascii="Calibri" w:eastAsia="Calibri" w:hAnsi="Calibri" w:cs="Calibri"/>
          <w:position w:val="1"/>
          <w:sz w:val="19"/>
          <w:szCs w:val="22"/>
          <w:lang w:val="pt-PT" w:eastAsia="pt-PT" w:bidi="pt-PT"/>
        </w:rPr>
        <w:t>razoabilidade</w:t>
      </w:r>
      <w:r w:rsidRPr="00DD14B8">
        <w:rPr>
          <w:rFonts w:ascii="Calibri" w:eastAsia="Calibri" w:hAnsi="Calibri" w:cs="Calibri"/>
          <w:spacing w:val="-3"/>
          <w:position w:val="1"/>
          <w:sz w:val="19"/>
          <w:szCs w:val="22"/>
          <w:lang w:val="pt-PT" w:eastAsia="pt-PT" w:bidi="pt-PT"/>
        </w:rPr>
        <w:t xml:space="preserve"> </w:t>
      </w:r>
      <w:r w:rsidRPr="00DD14B8">
        <w:rPr>
          <w:rFonts w:ascii="Calibri" w:eastAsia="Calibri" w:hAnsi="Calibri" w:cs="Calibri"/>
          <w:position w:val="1"/>
          <w:sz w:val="19"/>
          <w:szCs w:val="22"/>
          <w:lang w:val="pt-PT" w:eastAsia="pt-PT" w:bidi="pt-PT"/>
        </w:rPr>
        <w:t>das</w:t>
      </w:r>
      <w:r w:rsidRPr="00DD14B8">
        <w:rPr>
          <w:rFonts w:ascii="Calibri" w:eastAsia="Calibri" w:hAnsi="Calibri" w:cs="Calibri"/>
          <w:spacing w:val="-3"/>
          <w:position w:val="1"/>
          <w:sz w:val="19"/>
          <w:szCs w:val="22"/>
          <w:lang w:val="pt-PT" w:eastAsia="pt-PT" w:bidi="pt-PT"/>
        </w:rPr>
        <w:t xml:space="preserve"> </w:t>
      </w:r>
      <w:r w:rsidRPr="00DD14B8">
        <w:rPr>
          <w:rFonts w:ascii="Calibri" w:eastAsia="Calibri" w:hAnsi="Calibri" w:cs="Calibri"/>
          <w:position w:val="1"/>
          <w:sz w:val="19"/>
          <w:szCs w:val="22"/>
          <w:lang w:val="pt-PT" w:eastAsia="pt-PT" w:bidi="pt-PT"/>
        </w:rPr>
        <w:t>estimativas</w:t>
      </w:r>
      <w:r w:rsidRPr="00DD14B8">
        <w:rPr>
          <w:rFonts w:ascii="Calibri" w:eastAsia="Calibri" w:hAnsi="Calibri" w:cs="Calibri"/>
          <w:sz w:val="19"/>
          <w:szCs w:val="22"/>
          <w:lang w:val="pt-PT" w:eastAsia="pt-PT" w:bidi="pt-PT"/>
        </w:rPr>
        <w:t xml:space="preserve"> contábeis e respectivas divulgações feitas pela</w:t>
      </w:r>
      <w:r w:rsidRPr="00DD14B8">
        <w:rPr>
          <w:rFonts w:ascii="Calibri" w:eastAsia="Calibri" w:hAnsi="Calibri" w:cs="Calibri"/>
          <w:spacing w:val="-4"/>
          <w:sz w:val="19"/>
          <w:szCs w:val="22"/>
          <w:lang w:val="pt-PT" w:eastAsia="pt-PT" w:bidi="pt-PT"/>
        </w:rPr>
        <w:t xml:space="preserve"> </w:t>
      </w:r>
      <w:r w:rsidRPr="00DD14B8">
        <w:rPr>
          <w:rFonts w:ascii="Calibri" w:eastAsia="Calibri" w:hAnsi="Calibri" w:cs="Calibri"/>
          <w:sz w:val="19"/>
          <w:szCs w:val="22"/>
          <w:lang w:val="pt-PT" w:eastAsia="pt-PT" w:bidi="pt-PT"/>
        </w:rPr>
        <w:t>administração.</w:t>
      </w:r>
    </w:p>
    <w:p w14:paraId="5DB7E84A" w14:textId="77777777" w:rsidR="00DD14B8" w:rsidRPr="00DD14B8" w:rsidRDefault="00DD14B8" w:rsidP="00DD14B8">
      <w:pPr>
        <w:widowControl w:val="0"/>
        <w:numPr>
          <w:ilvl w:val="0"/>
          <w:numId w:val="54"/>
        </w:numPr>
        <w:tabs>
          <w:tab w:val="left" w:pos="945"/>
          <w:tab w:val="left" w:pos="946"/>
        </w:tabs>
        <w:autoSpaceDE w:val="0"/>
        <w:autoSpaceDN w:val="0"/>
        <w:spacing w:before="122" w:after="0" w:line="247" w:lineRule="auto"/>
        <w:ind w:right="297"/>
        <w:rPr>
          <w:rFonts w:ascii="Calibri" w:eastAsia="Calibri" w:hAnsi="Calibri" w:cs="Calibri"/>
          <w:sz w:val="19"/>
          <w:szCs w:val="22"/>
          <w:lang w:val="pt-PT" w:eastAsia="pt-PT" w:bidi="pt-PT"/>
        </w:rPr>
      </w:pPr>
      <w:r w:rsidRPr="00DD14B8">
        <w:rPr>
          <w:rFonts w:ascii="Calibri" w:eastAsia="Calibri" w:hAnsi="Calibri" w:cs="Calibri"/>
          <w:position w:val="1"/>
          <w:sz w:val="19"/>
          <w:szCs w:val="22"/>
          <w:lang w:val="pt-PT" w:eastAsia="pt-PT" w:bidi="pt-PT"/>
        </w:rPr>
        <w:t>Concluímos sobre a adequação do uso, pela administração, da base contábil de continuidade</w:t>
      </w:r>
      <w:r w:rsidRPr="00DD14B8">
        <w:rPr>
          <w:rFonts w:ascii="Calibri" w:eastAsia="Calibri" w:hAnsi="Calibri" w:cs="Calibri"/>
          <w:sz w:val="19"/>
          <w:szCs w:val="22"/>
          <w:lang w:val="pt-PT" w:eastAsia="pt-PT" w:bidi="pt-PT"/>
        </w:rPr>
        <w:t xml:space="preserve"> operacional e, com base nas evidências de auditoria obtidas, se existe incerteza relevante em relação a eventos ou condições que possam levantar dúvida significativa em relação à capacidade de continuidade operacional da Companhia e suas controladas. Se concluirmos que existe uma incerteza</w:t>
      </w:r>
      <w:r w:rsidRPr="00DD14B8">
        <w:rPr>
          <w:rFonts w:ascii="Calibri" w:eastAsia="Calibri" w:hAnsi="Calibri" w:cs="Calibri"/>
          <w:spacing w:val="-3"/>
          <w:sz w:val="19"/>
          <w:szCs w:val="22"/>
          <w:lang w:val="pt-PT" w:eastAsia="pt-PT" w:bidi="pt-PT"/>
        </w:rPr>
        <w:t xml:space="preserve"> </w:t>
      </w:r>
      <w:r w:rsidRPr="00DD14B8">
        <w:rPr>
          <w:rFonts w:ascii="Calibri" w:eastAsia="Calibri" w:hAnsi="Calibri" w:cs="Calibri"/>
          <w:sz w:val="19"/>
          <w:szCs w:val="22"/>
          <w:lang w:val="pt-PT" w:eastAsia="pt-PT" w:bidi="pt-PT"/>
        </w:rPr>
        <w:t>relevante,</w:t>
      </w:r>
      <w:r w:rsidRPr="00DD14B8">
        <w:rPr>
          <w:rFonts w:ascii="Calibri" w:eastAsia="Calibri" w:hAnsi="Calibri" w:cs="Calibri"/>
          <w:spacing w:val="-4"/>
          <w:sz w:val="19"/>
          <w:szCs w:val="22"/>
          <w:lang w:val="pt-PT" w:eastAsia="pt-PT" w:bidi="pt-PT"/>
        </w:rPr>
        <w:t xml:space="preserve"> </w:t>
      </w:r>
      <w:r w:rsidRPr="00DD14B8">
        <w:rPr>
          <w:rFonts w:ascii="Calibri" w:eastAsia="Calibri" w:hAnsi="Calibri" w:cs="Calibri"/>
          <w:sz w:val="19"/>
          <w:szCs w:val="22"/>
          <w:lang w:val="pt-PT" w:eastAsia="pt-PT" w:bidi="pt-PT"/>
        </w:rPr>
        <w:t>devemos</w:t>
      </w:r>
      <w:r w:rsidRPr="00DD14B8">
        <w:rPr>
          <w:rFonts w:ascii="Calibri" w:eastAsia="Calibri" w:hAnsi="Calibri" w:cs="Calibri"/>
          <w:spacing w:val="-4"/>
          <w:sz w:val="19"/>
          <w:szCs w:val="22"/>
          <w:lang w:val="pt-PT" w:eastAsia="pt-PT" w:bidi="pt-PT"/>
        </w:rPr>
        <w:t xml:space="preserve"> </w:t>
      </w:r>
      <w:r w:rsidRPr="00DD14B8">
        <w:rPr>
          <w:rFonts w:ascii="Calibri" w:eastAsia="Calibri" w:hAnsi="Calibri" w:cs="Calibri"/>
          <w:sz w:val="19"/>
          <w:szCs w:val="22"/>
          <w:lang w:val="pt-PT" w:eastAsia="pt-PT" w:bidi="pt-PT"/>
        </w:rPr>
        <w:t>chamar</w:t>
      </w:r>
      <w:r w:rsidRPr="00DD14B8">
        <w:rPr>
          <w:rFonts w:ascii="Calibri" w:eastAsia="Calibri" w:hAnsi="Calibri" w:cs="Calibri"/>
          <w:spacing w:val="-3"/>
          <w:sz w:val="19"/>
          <w:szCs w:val="22"/>
          <w:lang w:val="pt-PT" w:eastAsia="pt-PT" w:bidi="pt-PT"/>
        </w:rPr>
        <w:t xml:space="preserve"> </w:t>
      </w:r>
      <w:r w:rsidRPr="00DD14B8">
        <w:rPr>
          <w:rFonts w:ascii="Calibri" w:eastAsia="Calibri" w:hAnsi="Calibri" w:cs="Calibri"/>
          <w:sz w:val="19"/>
          <w:szCs w:val="22"/>
          <w:lang w:val="pt-PT" w:eastAsia="pt-PT" w:bidi="pt-PT"/>
        </w:rPr>
        <w:t>atenção</w:t>
      </w:r>
      <w:r w:rsidRPr="00DD14B8">
        <w:rPr>
          <w:rFonts w:ascii="Calibri" w:eastAsia="Calibri" w:hAnsi="Calibri" w:cs="Calibri"/>
          <w:spacing w:val="-4"/>
          <w:sz w:val="19"/>
          <w:szCs w:val="22"/>
          <w:lang w:val="pt-PT" w:eastAsia="pt-PT" w:bidi="pt-PT"/>
        </w:rPr>
        <w:t xml:space="preserve"> </w:t>
      </w:r>
      <w:r w:rsidRPr="00DD14B8">
        <w:rPr>
          <w:rFonts w:ascii="Calibri" w:eastAsia="Calibri" w:hAnsi="Calibri" w:cs="Calibri"/>
          <w:sz w:val="19"/>
          <w:szCs w:val="22"/>
          <w:lang w:val="pt-PT" w:eastAsia="pt-PT" w:bidi="pt-PT"/>
        </w:rPr>
        <w:t>em</w:t>
      </w:r>
      <w:r w:rsidRPr="00DD14B8">
        <w:rPr>
          <w:rFonts w:ascii="Calibri" w:eastAsia="Calibri" w:hAnsi="Calibri" w:cs="Calibri"/>
          <w:spacing w:val="-3"/>
          <w:sz w:val="19"/>
          <w:szCs w:val="22"/>
          <w:lang w:val="pt-PT" w:eastAsia="pt-PT" w:bidi="pt-PT"/>
        </w:rPr>
        <w:t xml:space="preserve"> </w:t>
      </w:r>
      <w:r w:rsidRPr="00DD14B8">
        <w:rPr>
          <w:rFonts w:ascii="Calibri" w:eastAsia="Calibri" w:hAnsi="Calibri" w:cs="Calibri"/>
          <w:sz w:val="19"/>
          <w:szCs w:val="22"/>
          <w:lang w:val="pt-PT" w:eastAsia="pt-PT" w:bidi="pt-PT"/>
        </w:rPr>
        <w:t>nosso</w:t>
      </w:r>
      <w:r w:rsidRPr="00DD14B8">
        <w:rPr>
          <w:rFonts w:ascii="Calibri" w:eastAsia="Calibri" w:hAnsi="Calibri" w:cs="Calibri"/>
          <w:spacing w:val="-4"/>
          <w:sz w:val="19"/>
          <w:szCs w:val="22"/>
          <w:lang w:val="pt-PT" w:eastAsia="pt-PT" w:bidi="pt-PT"/>
        </w:rPr>
        <w:t xml:space="preserve"> </w:t>
      </w:r>
      <w:r w:rsidRPr="00DD14B8">
        <w:rPr>
          <w:rFonts w:ascii="Calibri" w:eastAsia="Calibri" w:hAnsi="Calibri" w:cs="Calibri"/>
          <w:sz w:val="19"/>
          <w:szCs w:val="22"/>
          <w:lang w:val="pt-PT" w:eastAsia="pt-PT" w:bidi="pt-PT"/>
        </w:rPr>
        <w:t>relatório</w:t>
      </w:r>
      <w:r w:rsidRPr="00DD14B8">
        <w:rPr>
          <w:rFonts w:ascii="Calibri" w:eastAsia="Calibri" w:hAnsi="Calibri" w:cs="Calibri"/>
          <w:spacing w:val="-4"/>
          <w:sz w:val="19"/>
          <w:szCs w:val="22"/>
          <w:lang w:val="pt-PT" w:eastAsia="pt-PT" w:bidi="pt-PT"/>
        </w:rPr>
        <w:t xml:space="preserve"> </w:t>
      </w:r>
      <w:r w:rsidRPr="00DD14B8">
        <w:rPr>
          <w:rFonts w:ascii="Calibri" w:eastAsia="Calibri" w:hAnsi="Calibri" w:cs="Calibri"/>
          <w:sz w:val="19"/>
          <w:szCs w:val="22"/>
          <w:lang w:val="pt-PT" w:eastAsia="pt-PT" w:bidi="pt-PT"/>
        </w:rPr>
        <w:t>de</w:t>
      </w:r>
      <w:r w:rsidRPr="00DD14B8">
        <w:rPr>
          <w:rFonts w:ascii="Calibri" w:eastAsia="Calibri" w:hAnsi="Calibri" w:cs="Calibri"/>
          <w:spacing w:val="-2"/>
          <w:sz w:val="19"/>
          <w:szCs w:val="22"/>
          <w:lang w:val="pt-PT" w:eastAsia="pt-PT" w:bidi="pt-PT"/>
        </w:rPr>
        <w:t xml:space="preserve"> </w:t>
      </w:r>
      <w:r w:rsidRPr="00DD14B8">
        <w:rPr>
          <w:rFonts w:ascii="Calibri" w:eastAsia="Calibri" w:hAnsi="Calibri" w:cs="Calibri"/>
          <w:sz w:val="19"/>
          <w:szCs w:val="22"/>
          <w:lang w:val="pt-PT" w:eastAsia="pt-PT" w:bidi="pt-PT"/>
        </w:rPr>
        <w:t>auditoria</w:t>
      </w:r>
      <w:r w:rsidRPr="00DD14B8">
        <w:rPr>
          <w:rFonts w:ascii="Calibri" w:eastAsia="Calibri" w:hAnsi="Calibri" w:cs="Calibri"/>
          <w:spacing w:val="-3"/>
          <w:sz w:val="19"/>
          <w:szCs w:val="22"/>
          <w:lang w:val="pt-PT" w:eastAsia="pt-PT" w:bidi="pt-PT"/>
        </w:rPr>
        <w:t xml:space="preserve"> </w:t>
      </w:r>
      <w:r w:rsidRPr="00DD14B8">
        <w:rPr>
          <w:rFonts w:ascii="Calibri" w:eastAsia="Calibri" w:hAnsi="Calibri" w:cs="Calibri"/>
          <w:sz w:val="19"/>
          <w:szCs w:val="22"/>
          <w:lang w:val="pt-PT" w:eastAsia="pt-PT" w:bidi="pt-PT"/>
        </w:rPr>
        <w:t>para</w:t>
      </w:r>
      <w:r w:rsidRPr="00DD14B8">
        <w:rPr>
          <w:rFonts w:ascii="Calibri" w:eastAsia="Calibri" w:hAnsi="Calibri" w:cs="Calibri"/>
          <w:spacing w:val="-3"/>
          <w:sz w:val="19"/>
          <w:szCs w:val="22"/>
          <w:lang w:val="pt-PT" w:eastAsia="pt-PT" w:bidi="pt-PT"/>
        </w:rPr>
        <w:t xml:space="preserve"> </w:t>
      </w:r>
      <w:r w:rsidRPr="00DD14B8">
        <w:rPr>
          <w:rFonts w:ascii="Calibri" w:eastAsia="Calibri" w:hAnsi="Calibri" w:cs="Calibri"/>
          <w:sz w:val="19"/>
          <w:szCs w:val="22"/>
          <w:lang w:val="pt-PT" w:eastAsia="pt-PT" w:bidi="pt-PT"/>
        </w:rPr>
        <w:t>as</w:t>
      </w:r>
      <w:r w:rsidRPr="00DD14B8">
        <w:rPr>
          <w:rFonts w:ascii="Calibri" w:eastAsia="Calibri" w:hAnsi="Calibri" w:cs="Calibri"/>
          <w:spacing w:val="-3"/>
          <w:sz w:val="19"/>
          <w:szCs w:val="22"/>
          <w:lang w:val="pt-PT" w:eastAsia="pt-PT" w:bidi="pt-PT"/>
        </w:rPr>
        <w:t xml:space="preserve"> </w:t>
      </w:r>
      <w:r w:rsidRPr="00DD14B8">
        <w:rPr>
          <w:rFonts w:ascii="Calibri" w:eastAsia="Calibri" w:hAnsi="Calibri" w:cs="Calibri"/>
          <w:sz w:val="19"/>
          <w:szCs w:val="22"/>
          <w:lang w:val="pt-PT" w:eastAsia="pt-PT" w:bidi="pt-PT"/>
        </w:rPr>
        <w:t>respectivas divulgações nas demonstrações contábeis individuais e consolidadas ou incluir modificação em nossa opinião, se as divulgações forem inadequadas. Nossas conclusões estão fundamentadas nas evidências de auditoria obtidas até a data de nosso relatório. Todavia, eventos ou condições futuras podem levar a Companhia e suas controladas a não mais se manter em continuidade operacional.</w:t>
      </w:r>
    </w:p>
    <w:p w14:paraId="7357459B" w14:textId="77777777" w:rsidR="00DD14B8" w:rsidRPr="00DD14B8" w:rsidRDefault="00DD14B8" w:rsidP="00DD14B8">
      <w:pPr>
        <w:widowControl w:val="0"/>
        <w:numPr>
          <w:ilvl w:val="0"/>
          <w:numId w:val="54"/>
        </w:numPr>
        <w:tabs>
          <w:tab w:val="left" w:pos="945"/>
          <w:tab w:val="left" w:pos="946"/>
        </w:tabs>
        <w:autoSpaceDE w:val="0"/>
        <w:autoSpaceDN w:val="0"/>
        <w:spacing w:before="130" w:after="0" w:line="247" w:lineRule="auto"/>
        <w:ind w:right="306"/>
        <w:rPr>
          <w:rFonts w:ascii="Calibri" w:eastAsia="Calibri" w:hAnsi="Calibri" w:cs="Calibri"/>
          <w:sz w:val="19"/>
          <w:szCs w:val="22"/>
          <w:lang w:val="pt-PT" w:eastAsia="pt-PT" w:bidi="pt-PT"/>
        </w:rPr>
      </w:pPr>
      <w:r w:rsidRPr="00DD14B8">
        <w:rPr>
          <w:rFonts w:ascii="Calibri" w:eastAsia="Calibri" w:hAnsi="Calibri" w:cs="Calibri"/>
          <w:position w:val="1"/>
          <w:sz w:val="19"/>
          <w:szCs w:val="22"/>
          <w:lang w:val="pt-PT" w:eastAsia="pt-PT" w:bidi="pt-PT"/>
        </w:rPr>
        <w:t>Avaliamos a apresentação geral, a estrutura e o conteúdo das demonstrações contábeis, inclusive</w:t>
      </w:r>
      <w:r w:rsidRPr="00DD14B8">
        <w:rPr>
          <w:rFonts w:ascii="Calibri" w:eastAsia="Calibri" w:hAnsi="Calibri" w:cs="Calibri"/>
          <w:sz w:val="19"/>
          <w:szCs w:val="22"/>
          <w:lang w:val="pt-PT" w:eastAsia="pt-PT" w:bidi="pt-PT"/>
        </w:rPr>
        <w:t xml:space="preserve"> as divulgações e se as demonstrações contábeis individuais e consolidadas representam as correspondentes transações e os eventos de maneira compatível com o objetivo de apresentação adequada.</w:t>
      </w:r>
    </w:p>
    <w:p w14:paraId="76164CA2" w14:textId="77777777" w:rsidR="00DD14B8" w:rsidRPr="00DD14B8" w:rsidRDefault="00DD14B8" w:rsidP="00DD14B8">
      <w:pPr>
        <w:widowControl w:val="0"/>
        <w:numPr>
          <w:ilvl w:val="0"/>
          <w:numId w:val="54"/>
        </w:numPr>
        <w:tabs>
          <w:tab w:val="left" w:pos="945"/>
          <w:tab w:val="left" w:pos="946"/>
        </w:tabs>
        <w:autoSpaceDE w:val="0"/>
        <w:autoSpaceDN w:val="0"/>
        <w:spacing w:before="124" w:after="0" w:line="247" w:lineRule="auto"/>
        <w:ind w:right="307"/>
        <w:rPr>
          <w:rFonts w:ascii="Calibri" w:eastAsia="Calibri" w:hAnsi="Calibri" w:cs="Calibri"/>
          <w:sz w:val="19"/>
          <w:szCs w:val="22"/>
          <w:lang w:val="pt-PT" w:eastAsia="pt-PT" w:bidi="pt-PT"/>
        </w:rPr>
      </w:pPr>
      <w:r w:rsidRPr="00DD14B8">
        <w:rPr>
          <w:rFonts w:ascii="Calibri" w:eastAsia="Calibri" w:hAnsi="Calibri" w:cs="Calibri"/>
          <w:position w:val="1"/>
          <w:sz w:val="19"/>
          <w:szCs w:val="22"/>
          <w:lang w:val="pt-PT" w:eastAsia="pt-PT" w:bidi="pt-PT"/>
        </w:rPr>
        <w:t>Obtemos evidência de auditoria apropriada e suficiente referente às informações contábeis das</w:t>
      </w:r>
      <w:r w:rsidRPr="00DD14B8">
        <w:rPr>
          <w:rFonts w:ascii="Calibri" w:eastAsia="Calibri" w:hAnsi="Calibri" w:cs="Calibri"/>
          <w:sz w:val="19"/>
          <w:szCs w:val="22"/>
          <w:lang w:val="pt-PT" w:eastAsia="pt-PT" w:bidi="pt-PT"/>
        </w:rPr>
        <w:t xml:space="preserve"> entidades ou atividades de negócio do Grupo para expressar uma opinião sobre as demonstrações contábeis individuais e consolidadas. Somos responsáveis pela direção, supervisão</w:t>
      </w:r>
      <w:r w:rsidRPr="00DD14B8">
        <w:rPr>
          <w:rFonts w:ascii="Calibri" w:eastAsia="Calibri" w:hAnsi="Calibri" w:cs="Calibri"/>
          <w:spacing w:val="-4"/>
          <w:sz w:val="19"/>
          <w:szCs w:val="22"/>
          <w:lang w:val="pt-PT" w:eastAsia="pt-PT" w:bidi="pt-PT"/>
        </w:rPr>
        <w:t xml:space="preserve"> </w:t>
      </w:r>
      <w:r w:rsidRPr="00DD14B8">
        <w:rPr>
          <w:rFonts w:ascii="Calibri" w:eastAsia="Calibri" w:hAnsi="Calibri" w:cs="Calibri"/>
          <w:sz w:val="19"/>
          <w:szCs w:val="22"/>
          <w:lang w:val="pt-PT" w:eastAsia="pt-PT" w:bidi="pt-PT"/>
        </w:rPr>
        <w:t>e</w:t>
      </w:r>
      <w:r w:rsidRPr="00DD14B8">
        <w:rPr>
          <w:rFonts w:ascii="Calibri" w:eastAsia="Calibri" w:hAnsi="Calibri" w:cs="Calibri"/>
          <w:spacing w:val="-3"/>
          <w:sz w:val="19"/>
          <w:szCs w:val="22"/>
          <w:lang w:val="pt-PT" w:eastAsia="pt-PT" w:bidi="pt-PT"/>
        </w:rPr>
        <w:t xml:space="preserve"> </w:t>
      </w:r>
      <w:r w:rsidRPr="00DD14B8">
        <w:rPr>
          <w:rFonts w:ascii="Calibri" w:eastAsia="Calibri" w:hAnsi="Calibri" w:cs="Calibri"/>
          <w:sz w:val="19"/>
          <w:szCs w:val="22"/>
          <w:lang w:val="pt-PT" w:eastAsia="pt-PT" w:bidi="pt-PT"/>
        </w:rPr>
        <w:t>desempenho</w:t>
      </w:r>
      <w:r w:rsidRPr="00DD14B8">
        <w:rPr>
          <w:rFonts w:ascii="Calibri" w:eastAsia="Calibri" w:hAnsi="Calibri" w:cs="Calibri"/>
          <w:spacing w:val="-4"/>
          <w:sz w:val="19"/>
          <w:szCs w:val="22"/>
          <w:lang w:val="pt-PT" w:eastAsia="pt-PT" w:bidi="pt-PT"/>
        </w:rPr>
        <w:t xml:space="preserve"> </w:t>
      </w:r>
      <w:r w:rsidRPr="00DD14B8">
        <w:rPr>
          <w:rFonts w:ascii="Calibri" w:eastAsia="Calibri" w:hAnsi="Calibri" w:cs="Calibri"/>
          <w:sz w:val="19"/>
          <w:szCs w:val="22"/>
          <w:lang w:val="pt-PT" w:eastAsia="pt-PT" w:bidi="pt-PT"/>
        </w:rPr>
        <w:t>da</w:t>
      </w:r>
      <w:r w:rsidRPr="00DD14B8">
        <w:rPr>
          <w:rFonts w:ascii="Calibri" w:eastAsia="Calibri" w:hAnsi="Calibri" w:cs="Calibri"/>
          <w:spacing w:val="-3"/>
          <w:sz w:val="19"/>
          <w:szCs w:val="22"/>
          <w:lang w:val="pt-PT" w:eastAsia="pt-PT" w:bidi="pt-PT"/>
        </w:rPr>
        <w:t xml:space="preserve"> </w:t>
      </w:r>
      <w:r w:rsidRPr="00DD14B8">
        <w:rPr>
          <w:rFonts w:ascii="Calibri" w:eastAsia="Calibri" w:hAnsi="Calibri" w:cs="Calibri"/>
          <w:sz w:val="19"/>
          <w:szCs w:val="22"/>
          <w:lang w:val="pt-PT" w:eastAsia="pt-PT" w:bidi="pt-PT"/>
        </w:rPr>
        <w:t>auditoria</w:t>
      </w:r>
      <w:r w:rsidRPr="00DD14B8">
        <w:rPr>
          <w:rFonts w:ascii="Calibri" w:eastAsia="Calibri" w:hAnsi="Calibri" w:cs="Calibri"/>
          <w:spacing w:val="-4"/>
          <w:sz w:val="19"/>
          <w:szCs w:val="22"/>
          <w:lang w:val="pt-PT" w:eastAsia="pt-PT" w:bidi="pt-PT"/>
        </w:rPr>
        <w:t xml:space="preserve"> </w:t>
      </w:r>
      <w:r w:rsidRPr="00DD14B8">
        <w:rPr>
          <w:rFonts w:ascii="Calibri" w:eastAsia="Calibri" w:hAnsi="Calibri" w:cs="Calibri"/>
          <w:sz w:val="19"/>
          <w:szCs w:val="22"/>
          <w:lang w:val="pt-PT" w:eastAsia="pt-PT" w:bidi="pt-PT"/>
        </w:rPr>
        <w:t>do</w:t>
      </w:r>
      <w:r w:rsidRPr="00DD14B8">
        <w:rPr>
          <w:rFonts w:ascii="Calibri" w:eastAsia="Calibri" w:hAnsi="Calibri" w:cs="Calibri"/>
          <w:spacing w:val="-4"/>
          <w:sz w:val="19"/>
          <w:szCs w:val="22"/>
          <w:lang w:val="pt-PT" w:eastAsia="pt-PT" w:bidi="pt-PT"/>
        </w:rPr>
        <w:t xml:space="preserve"> </w:t>
      </w:r>
      <w:r w:rsidRPr="00DD14B8">
        <w:rPr>
          <w:rFonts w:ascii="Calibri" w:eastAsia="Calibri" w:hAnsi="Calibri" w:cs="Calibri"/>
          <w:sz w:val="19"/>
          <w:szCs w:val="22"/>
          <w:lang w:val="pt-PT" w:eastAsia="pt-PT" w:bidi="pt-PT"/>
        </w:rPr>
        <w:t>grupo</w:t>
      </w:r>
      <w:r w:rsidRPr="00DD14B8">
        <w:rPr>
          <w:rFonts w:ascii="Calibri" w:eastAsia="Calibri" w:hAnsi="Calibri" w:cs="Calibri"/>
          <w:spacing w:val="-4"/>
          <w:sz w:val="19"/>
          <w:szCs w:val="22"/>
          <w:lang w:val="pt-PT" w:eastAsia="pt-PT" w:bidi="pt-PT"/>
        </w:rPr>
        <w:t xml:space="preserve"> </w:t>
      </w:r>
      <w:r w:rsidRPr="00DD14B8">
        <w:rPr>
          <w:rFonts w:ascii="Calibri" w:eastAsia="Calibri" w:hAnsi="Calibri" w:cs="Calibri"/>
          <w:sz w:val="19"/>
          <w:szCs w:val="22"/>
          <w:lang w:val="pt-PT" w:eastAsia="pt-PT" w:bidi="pt-PT"/>
        </w:rPr>
        <w:t>e,</w:t>
      </w:r>
      <w:r w:rsidRPr="00DD14B8">
        <w:rPr>
          <w:rFonts w:ascii="Calibri" w:eastAsia="Calibri" w:hAnsi="Calibri" w:cs="Calibri"/>
          <w:spacing w:val="-3"/>
          <w:sz w:val="19"/>
          <w:szCs w:val="22"/>
          <w:lang w:val="pt-PT" w:eastAsia="pt-PT" w:bidi="pt-PT"/>
        </w:rPr>
        <w:t xml:space="preserve"> </w:t>
      </w:r>
      <w:r w:rsidRPr="00DD14B8">
        <w:rPr>
          <w:rFonts w:ascii="Calibri" w:eastAsia="Calibri" w:hAnsi="Calibri" w:cs="Calibri"/>
          <w:sz w:val="19"/>
          <w:szCs w:val="22"/>
          <w:lang w:val="pt-PT" w:eastAsia="pt-PT" w:bidi="pt-PT"/>
        </w:rPr>
        <w:t>consequentemente,</w:t>
      </w:r>
      <w:r w:rsidRPr="00DD14B8">
        <w:rPr>
          <w:rFonts w:ascii="Calibri" w:eastAsia="Calibri" w:hAnsi="Calibri" w:cs="Calibri"/>
          <w:spacing w:val="-4"/>
          <w:sz w:val="19"/>
          <w:szCs w:val="22"/>
          <w:lang w:val="pt-PT" w:eastAsia="pt-PT" w:bidi="pt-PT"/>
        </w:rPr>
        <w:t xml:space="preserve"> </w:t>
      </w:r>
      <w:r w:rsidRPr="00DD14B8">
        <w:rPr>
          <w:rFonts w:ascii="Calibri" w:eastAsia="Calibri" w:hAnsi="Calibri" w:cs="Calibri"/>
          <w:sz w:val="19"/>
          <w:szCs w:val="22"/>
          <w:lang w:val="pt-PT" w:eastAsia="pt-PT" w:bidi="pt-PT"/>
        </w:rPr>
        <w:t>pela</w:t>
      </w:r>
      <w:r w:rsidRPr="00DD14B8">
        <w:rPr>
          <w:rFonts w:ascii="Calibri" w:eastAsia="Calibri" w:hAnsi="Calibri" w:cs="Calibri"/>
          <w:spacing w:val="-3"/>
          <w:sz w:val="19"/>
          <w:szCs w:val="22"/>
          <w:lang w:val="pt-PT" w:eastAsia="pt-PT" w:bidi="pt-PT"/>
        </w:rPr>
        <w:t xml:space="preserve"> </w:t>
      </w:r>
      <w:r w:rsidRPr="00DD14B8">
        <w:rPr>
          <w:rFonts w:ascii="Calibri" w:eastAsia="Calibri" w:hAnsi="Calibri" w:cs="Calibri"/>
          <w:sz w:val="19"/>
          <w:szCs w:val="22"/>
          <w:lang w:val="pt-PT" w:eastAsia="pt-PT" w:bidi="pt-PT"/>
        </w:rPr>
        <w:t>opinião</w:t>
      </w:r>
      <w:r w:rsidRPr="00DD14B8">
        <w:rPr>
          <w:rFonts w:ascii="Calibri" w:eastAsia="Calibri" w:hAnsi="Calibri" w:cs="Calibri"/>
          <w:spacing w:val="-4"/>
          <w:sz w:val="19"/>
          <w:szCs w:val="22"/>
          <w:lang w:val="pt-PT" w:eastAsia="pt-PT" w:bidi="pt-PT"/>
        </w:rPr>
        <w:t xml:space="preserve"> </w:t>
      </w:r>
      <w:r w:rsidRPr="00DD14B8">
        <w:rPr>
          <w:rFonts w:ascii="Calibri" w:eastAsia="Calibri" w:hAnsi="Calibri" w:cs="Calibri"/>
          <w:sz w:val="19"/>
          <w:szCs w:val="22"/>
          <w:lang w:val="pt-PT" w:eastAsia="pt-PT" w:bidi="pt-PT"/>
        </w:rPr>
        <w:t>de</w:t>
      </w:r>
      <w:r w:rsidRPr="00DD14B8">
        <w:rPr>
          <w:rFonts w:ascii="Calibri" w:eastAsia="Calibri" w:hAnsi="Calibri" w:cs="Calibri"/>
          <w:spacing w:val="-3"/>
          <w:sz w:val="19"/>
          <w:szCs w:val="22"/>
          <w:lang w:val="pt-PT" w:eastAsia="pt-PT" w:bidi="pt-PT"/>
        </w:rPr>
        <w:t xml:space="preserve"> </w:t>
      </w:r>
      <w:r w:rsidRPr="00DD14B8">
        <w:rPr>
          <w:rFonts w:ascii="Calibri" w:eastAsia="Calibri" w:hAnsi="Calibri" w:cs="Calibri"/>
          <w:sz w:val="19"/>
          <w:szCs w:val="22"/>
          <w:lang w:val="pt-PT" w:eastAsia="pt-PT" w:bidi="pt-PT"/>
        </w:rPr>
        <w:t>auditoria.</w:t>
      </w:r>
    </w:p>
    <w:p w14:paraId="5086D079" w14:textId="77777777" w:rsidR="00DD14B8" w:rsidRPr="00DD14B8" w:rsidRDefault="00DD14B8" w:rsidP="00DD14B8">
      <w:pPr>
        <w:widowControl w:val="0"/>
        <w:autoSpaceDE w:val="0"/>
        <w:autoSpaceDN w:val="0"/>
        <w:spacing w:after="0" w:line="247" w:lineRule="auto"/>
        <w:rPr>
          <w:rFonts w:ascii="Calibri" w:eastAsia="Calibri" w:hAnsi="Calibri" w:cs="Calibri"/>
          <w:sz w:val="19"/>
          <w:szCs w:val="22"/>
          <w:lang w:val="pt-PT" w:eastAsia="pt-PT" w:bidi="pt-PT"/>
        </w:rPr>
        <w:sectPr w:rsidR="00DD14B8" w:rsidRPr="00DD14B8" w:rsidSect="00DD14B8">
          <w:pgSz w:w="11910" w:h="16840"/>
          <w:pgMar w:top="1500" w:right="1680" w:bottom="1340" w:left="1440" w:header="0" w:footer="1148" w:gutter="0"/>
          <w:cols w:space="720"/>
        </w:sectPr>
      </w:pPr>
    </w:p>
    <w:p w14:paraId="5EF881E7" w14:textId="77777777" w:rsidR="00DD14B8" w:rsidRPr="00DD14B8" w:rsidRDefault="00DD14B8" w:rsidP="00DD14B8">
      <w:pPr>
        <w:widowControl w:val="0"/>
        <w:autoSpaceDE w:val="0"/>
        <w:autoSpaceDN w:val="0"/>
        <w:spacing w:before="4" w:after="0" w:line="240" w:lineRule="auto"/>
        <w:rPr>
          <w:rFonts w:ascii="Calibri" w:eastAsia="Calibri" w:hAnsi="Calibri" w:cs="Calibri"/>
          <w:szCs w:val="19"/>
          <w:lang w:val="pt-PT" w:eastAsia="pt-PT" w:bidi="pt-PT"/>
        </w:rPr>
      </w:pPr>
    </w:p>
    <w:p w14:paraId="7E9C73D9" w14:textId="77777777" w:rsidR="00DD14B8" w:rsidRPr="00DD14B8" w:rsidRDefault="00DD14B8" w:rsidP="00DD14B8">
      <w:pPr>
        <w:widowControl w:val="0"/>
        <w:autoSpaceDE w:val="0"/>
        <w:autoSpaceDN w:val="0"/>
        <w:spacing w:before="61" w:after="0" w:line="249" w:lineRule="auto"/>
        <w:ind w:left="225" w:right="760"/>
        <w:jc w:val="both"/>
        <w:rPr>
          <w:rFonts w:ascii="Calibri" w:eastAsia="Calibri" w:hAnsi="Calibri" w:cs="Calibri"/>
          <w:sz w:val="19"/>
          <w:szCs w:val="19"/>
          <w:lang w:val="pt-PT" w:eastAsia="pt-PT" w:bidi="pt-PT"/>
        </w:rPr>
      </w:pPr>
      <w:r w:rsidRPr="00DD14B8">
        <w:rPr>
          <w:rFonts w:ascii="Calibri" w:eastAsia="Calibri" w:hAnsi="Calibri" w:cs="Calibri"/>
          <w:sz w:val="19"/>
          <w:szCs w:val="19"/>
          <w:lang w:val="pt-PT" w:eastAsia="pt-PT" w:bidi="pt-PT"/>
        </w:rPr>
        <w:t>Comunicamo-nos</w:t>
      </w:r>
      <w:r w:rsidRPr="00DD14B8">
        <w:rPr>
          <w:rFonts w:ascii="Calibri" w:eastAsia="Calibri" w:hAnsi="Calibri" w:cs="Calibri"/>
          <w:spacing w:val="-5"/>
          <w:sz w:val="19"/>
          <w:szCs w:val="19"/>
          <w:lang w:val="pt-PT" w:eastAsia="pt-PT" w:bidi="pt-PT"/>
        </w:rPr>
        <w:t xml:space="preserve"> </w:t>
      </w:r>
      <w:r w:rsidRPr="00DD14B8">
        <w:rPr>
          <w:rFonts w:ascii="Calibri" w:eastAsia="Calibri" w:hAnsi="Calibri" w:cs="Calibri"/>
          <w:sz w:val="19"/>
          <w:szCs w:val="19"/>
          <w:lang w:val="pt-PT" w:eastAsia="pt-PT" w:bidi="pt-PT"/>
        </w:rPr>
        <w:t>com</w:t>
      </w:r>
      <w:r w:rsidRPr="00DD14B8">
        <w:rPr>
          <w:rFonts w:ascii="Calibri" w:eastAsia="Calibri" w:hAnsi="Calibri" w:cs="Calibri"/>
          <w:spacing w:val="-5"/>
          <w:sz w:val="19"/>
          <w:szCs w:val="19"/>
          <w:lang w:val="pt-PT" w:eastAsia="pt-PT" w:bidi="pt-PT"/>
        </w:rPr>
        <w:t xml:space="preserve"> </w:t>
      </w:r>
      <w:r w:rsidRPr="00DD14B8">
        <w:rPr>
          <w:rFonts w:ascii="Calibri" w:eastAsia="Calibri" w:hAnsi="Calibri" w:cs="Calibri"/>
          <w:sz w:val="19"/>
          <w:szCs w:val="19"/>
          <w:lang w:val="pt-PT" w:eastAsia="pt-PT" w:bidi="pt-PT"/>
        </w:rPr>
        <w:t>os</w:t>
      </w:r>
      <w:r w:rsidRPr="00DD14B8">
        <w:rPr>
          <w:rFonts w:ascii="Calibri" w:eastAsia="Calibri" w:hAnsi="Calibri" w:cs="Calibri"/>
          <w:spacing w:val="-4"/>
          <w:sz w:val="19"/>
          <w:szCs w:val="19"/>
          <w:lang w:val="pt-PT" w:eastAsia="pt-PT" w:bidi="pt-PT"/>
        </w:rPr>
        <w:t xml:space="preserve"> </w:t>
      </w:r>
      <w:r w:rsidRPr="00DD14B8">
        <w:rPr>
          <w:rFonts w:ascii="Calibri" w:eastAsia="Calibri" w:hAnsi="Calibri" w:cs="Calibri"/>
          <w:sz w:val="19"/>
          <w:szCs w:val="19"/>
          <w:lang w:val="pt-PT" w:eastAsia="pt-PT" w:bidi="pt-PT"/>
        </w:rPr>
        <w:t>responsáveis</w:t>
      </w:r>
      <w:r w:rsidRPr="00DD14B8">
        <w:rPr>
          <w:rFonts w:ascii="Calibri" w:eastAsia="Calibri" w:hAnsi="Calibri" w:cs="Calibri"/>
          <w:spacing w:val="-5"/>
          <w:sz w:val="19"/>
          <w:szCs w:val="19"/>
          <w:lang w:val="pt-PT" w:eastAsia="pt-PT" w:bidi="pt-PT"/>
        </w:rPr>
        <w:t xml:space="preserve"> </w:t>
      </w:r>
      <w:r w:rsidRPr="00DD14B8">
        <w:rPr>
          <w:rFonts w:ascii="Calibri" w:eastAsia="Calibri" w:hAnsi="Calibri" w:cs="Calibri"/>
          <w:sz w:val="19"/>
          <w:szCs w:val="19"/>
          <w:lang w:val="pt-PT" w:eastAsia="pt-PT" w:bidi="pt-PT"/>
        </w:rPr>
        <w:t>pela</w:t>
      </w:r>
      <w:r w:rsidRPr="00DD14B8">
        <w:rPr>
          <w:rFonts w:ascii="Calibri" w:eastAsia="Calibri" w:hAnsi="Calibri" w:cs="Calibri"/>
          <w:spacing w:val="-3"/>
          <w:sz w:val="19"/>
          <w:szCs w:val="19"/>
          <w:lang w:val="pt-PT" w:eastAsia="pt-PT" w:bidi="pt-PT"/>
        </w:rPr>
        <w:t xml:space="preserve"> </w:t>
      </w:r>
      <w:r w:rsidRPr="00DD14B8">
        <w:rPr>
          <w:rFonts w:ascii="Calibri" w:eastAsia="Calibri" w:hAnsi="Calibri" w:cs="Calibri"/>
          <w:sz w:val="19"/>
          <w:szCs w:val="19"/>
          <w:lang w:val="pt-PT" w:eastAsia="pt-PT" w:bidi="pt-PT"/>
        </w:rPr>
        <w:t>governança</w:t>
      </w:r>
      <w:r w:rsidRPr="00DD14B8">
        <w:rPr>
          <w:rFonts w:ascii="Calibri" w:eastAsia="Calibri" w:hAnsi="Calibri" w:cs="Calibri"/>
          <w:spacing w:val="-4"/>
          <w:sz w:val="19"/>
          <w:szCs w:val="19"/>
          <w:lang w:val="pt-PT" w:eastAsia="pt-PT" w:bidi="pt-PT"/>
        </w:rPr>
        <w:t xml:space="preserve"> </w:t>
      </w:r>
      <w:r w:rsidRPr="00DD14B8">
        <w:rPr>
          <w:rFonts w:ascii="Calibri" w:eastAsia="Calibri" w:hAnsi="Calibri" w:cs="Calibri"/>
          <w:sz w:val="19"/>
          <w:szCs w:val="19"/>
          <w:lang w:val="pt-PT" w:eastAsia="pt-PT" w:bidi="pt-PT"/>
        </w:rPr>
        <w:t>a</w:t>
      </w:r>
      <w:r w:rsidRPr="00DD14B8">
        <w:rPr>
          <w:rFonts w:ascii="Calibri" w:eastAsia="Calibri" w:hAnsi="Calibri" w:cs="Calibri"/>
          <w:spacing w:val="-3"/>
          <w:sz w:val="19"/>
          <w:szCs w:val="19"/>
          <w:lang w:val="pt-PT" w:eastAsia="pt-PT" w:bidi="pt-PT"/>
        </w:rPr>
        <w:t xml:space="preserve"> </w:t>
      </w:r>
      <w:r w:rsidRPr="00DD14B8">
        <w:rPr>
          <w:rFonts w:ascii="Calibri" w:eastAsia="Calibri" w:hAnsi="Calibri" w:cs="Calibri"/>
          <w:sz w:val="19"/>
          <w:szCs w:val="19"/>
          <w:lang w:val="pt-PT" w:eastAsia="pt-PT" w:bidi="pt-PT"/>
        </w:rPr>
        <w:t>respeito,</w:t>
      </w:r>
      <w:r w:rsidRPr="00DD14B8">
        <w:rPr>
          <w:rFonts w:ascii="Calibri" w:eastAsia="Calibri" w:hAnsi="Calibri" w:cs="Calibri"/>
          <w:spacing w:val="-5"/>
          <w:sz w:val="19"/>
          <w:szCs w:val="19"/>
          <w:lang w:val="pt-PT" w:eastAsia="pt-PT" w:bidi="pt-PT"/>
        </w:rPr>
        <w:t xml:space="preserve"> </w:t>
      </w:r>
      <w:r w:rsidRPr="00DD14B8">
        <w:rPr>
          <w:rFonts w:ascii="Calibri" w:eastAsia="Calibri" w:hAnsi="Calibri" w:cs="Calibri"/>
          <w:sz w:val="19"/>
          <w:szCs w:val="19"/>
          <w:lang w:val="pt-PT" w:eastAsia="pt-PT" w:bidi="pt-PT"/>
        </w:rPr>
        <w:t>entre</w:t>
      </w:r>
      <w:r w:rsidRPr="00DD14B8">
        <w:rPr>
          <w:rFonts w:ascii="Calibri" w:eastAsia="Calibri" w:hAnsi="Calibri" w:cs="Calibri"/>
          <w:spacing w:val="-4"/>
          <w:sz w:val="19"/>
          <w:szCs w:val="19"/>
          <w:lang w:val="pt-PT" w:eastAsia="pt-PT" w:bidi="pt-PT"/>
        </w:rPr>
        <w:t xml:space="preserve"> </w:t>
      </w:r>
      <w:r w:rsidRPr="00DD14B8">
        <w:rPr>
          <w:rFonts w:ascii="Calibri" w:eastAsia="Calibri" w:hAnsi="Calibri" w:cs="Calibri"/>
          <w:sz w:val="19"/>
          <w:szCs w:val="19"/>
          <w:lang w:val="pt-PT" w:eastAsia="pt-PT" w:bidi="pt-PT"/>
        </w:rPr>
        <w:t>outros</w:t>
      </w:r>
      <w:r w:rsidRPr="00DD14B8">
        <w:rPr>
          <w:rFonts w:ascii="Calibri" w:eastAsia="Calibri" w:hAnsi="Calibri" w:cs="Calibri"/>
          <w:spacing w:val="-3"/>
          <w:sz w:val="19"/>
          <w:szCs w:val="19"/>
          <w:lang w:val="pt-PT" w:eastAsia="pt-PT" w:bidi="pt-PT"/>
        </w:rPr>
        <w:t xml:space="preserve"> </w:t>
      </w:r>
      <w:r w:rsidRPr="00DD14B8">
        <w:rPr>
          <w:rFonts w:ascii="Calibri" w:eastAsia="Calibri" w:hAnsi="Calibri" w:cs="Calibri"/>
          <w:sz w:val="19"/>
          <w:szCs w:val="19"/>
          <w:lang w:val="pt-PT" w:eastAsia="pt-PT" w:bidi="pt-PT"/>
        </w:rPr>
        <w:t>aspectos,</w:t>
      </w:r>
      <w:r w:rsidRPr="00DD14B8">
        <w:rPr>
          <w:rFonts w:ascii="Calibri" w:eastAsia="Calibri" w:hAnsi="Calibri" w:cs="Calibri"/>
          <w:spacing w:val="-5"/>
          <w:sz w:val="19"/>
          <w:szCs w:val="19"/>
          <w:lang w:val="pt-PT" w:eastAsia="pt-PT" w:bidi="pt-PT"/>
        </w:rPr>
        <w:t xml:space="preserve"> </w:t>
      </w:r>
      <w:r w:rsidRPr="00DD14B8">
        <w:rPr>
          <w:rFonts w:ascii="Calibri" w:eastAsia="Calibri" w:hAnsi="Calibri" w:cs="Calibri"/>
          <w:sz w:val="19"/>
          <w:szCs w:val="19"/>
          <w:lang w:val="pt-PT" w:eastAsia="pt-PT" w:bidi="pt-PT"/>
        </w:rPr>
        <w:t>do</w:t>
      </w:r>
      <w:r w:rsidRPr="00DD14B8">
        <w:rPr>
          <w:rFonts w:ascii="Calibri" w:eastAsia="Calibri" w:hAnsi="Calibri" w:cs="Calibri"/>
          <w:spacing w:val="-4"/>
          <w:sz w:val="19"/>
          <w:szCs w:val="19"/>
          <w:lang w:val="pt-PT" w:eastAsia="pt-PT" w:bidi="pt-PT"/>
        </w:rPr>
        <w:t xml:space="preserve"> </w:t>
      </w:r>
      <w:r w:rsidRPr="00DD14B8">
        <w:rPr>
          <w:rFonts w:ascii="Calibri" w:eastAsia="Calibri" w:hAnsi="Calibri" w:cs="Calibri"/>
          <w:sz w:val="19"/>
          <w:szCs w:val="19"/>
          <w:lang w:val="pt-PT" w:eastAsia="pt-PT" w:bidi="pt-PT"/>
        </w:rPr>
        <w:t>alcance planejado, da época da auditoria e das constatações significativas de auditoria, inclusive as eventuais deficiências significativas nos controles internos que identificamos durante nossos</w:t>
      </w:r>
      <w:r w:rsidRPr="00DD14B8">
        <w:rPr>
          <w:rFonts w:ascii="Calibri" w:eastAsia="Calibri" w:hAnsi="Calibri" w:cs="Calibri"/>
          <w:spacing w:val="-17"/>
          <w:sz w:val="19"/>
          <w:szCs w:val="19"/>
          <w:lang w:val="pt-PT" w:eastAsia="pt-PT" w:bidi="pt-PT"/>
        </w:rPr>
        <w:t xml:space="preserve"> </w:t>
      </w:r>
      <w:r w:rsidRPr="00DD14B8">
        <w:rPr>
          <w:rFonts w:ascii="Calibri" w:eastAsia="Calibri" w:hAnsi="Calibri" w:cs="Calibri"/>
          <w:sz w:val="19"/>
          <w:szCs w:val="19"/>
          <w:lang w:val="pt-PT" w:eastAsia="pt-PT" w:bidi="pt-PT"/>
        </w:rPr>
        <w:t>trabalhos.</w:t>
      </w:r>
    </w:p>
    <w:p w14:paraId="5315527A" w14:textId="77777777" w:rsidR="00DD14B8" w:rsidRPr="00DD14B8" w:rsidRDefault="00DD14B8" w:rsidP="00DD14B8">
      <w:pPr>
        <w:widowControl w:val="0"/>
        <w:autoSpaceDE w:val="0"/>
        <w:autoSpaceDN w:val="0"/>
        <w:spacing w:before="117" w:after="0" w:line="249" w:lineRule="auto"/>
        <w:ind w:left="225" w:right="301"/>
        <w:rPr>
          <w:rFonts w:ascii="Calibri" w:eastAsia="Calibri" w:hAnsi="Calibri" w:cs="Calibri"/>
          <w:sz w:val="19"/>
          <w:szCs w:val="19"/>
          <w:lang w:val="pt-PT" w:eastAsia="pt-PT" w:bidi="pt-PT"/>
        </w:rPr>
      </w:pPr>
      <w:r w:rsidRPr="00DD14B8">
        <w:rPr>
          <w:rFonts w:ascii="Calibri" w:eastAsia="Calibri" w:hAnsi="Calibri" w:cs="Calibri"/>
          <w:sz w:val="19"/>
          <w:szCs w:val="19"/>
          <w:lang w:val="pt-PT" w:eastAsia="pt-PT" w:bidi="pt-PT"/>
        </w:rPr>
        <w:t>Fornecemos também aos responsáveis pela governança declaração de que cumprimos com os requisitos éticos pertinentes, de independência e comunicamos todos os eventuais relacionamentos ou assuntos que poderiam afetar, consideravelmente, nossa independência, incluindo, quando aplicável, as ações tomadas para eliminar as ameaças ou as salvaguardas aplicadas.</w:t>
      </w:r>
    </w:p>
    <w:p w14:paraId="7409FBE4" w14:textId="77777777" w:rsidR="00DD14B8" w:rsidRPr="00DD14B8" w:rsidRDefault="00DD14B8" w:rsidP="00DD14B8">
      <w:pPr>
        <w:widowControl w:val="0"/>
        <w:autoSpaceDE w:val="0"/>
        <w:autoSpaceDN w:val="0"/>
        <w:spacing w:before="115" w:after="0" w:line="249" w:lineRule="auto"/>
        <w:ind w:left="225" w:right="444"/>
        <w:rPr>
          <w:rFonts w:ascii="Calibri" w:eastAsia="Calibri" w:hAnsi="Calibri" w:cs="Calibri"/>
          <w:sz w:val="19"/>
          <w:szCs w:val="19"/>
          <w:lang w:val="pt-PT" w:eastAsia="pt-PT" w:bidi="pt-PT"/>
        </w:rPr>
      </w:pPr>
      <w:r w:rsidRPr="00DD14B8">
        <w:rPr>
          <w:rFonts w:ascii="Calibri" w:eastAsia="Calibri" w:hAnsi="Calibri" w:cs="Calibri"/>
          <w:sz w:val="19"/>
          <w:szCs w:val="19"/>
          <w:lang w:val="pt-PT" w:eastAsia="pt-PT" w:bidi="pt-PT"/>
        </w:rPr>
        <w:t>Dos assuntos que foram objeto de comunicação com os responsáveis pela governança, determinamos aqueles que foram considerados como mais significativos na auditoria das demonstrações contábeis e individuais consolidadas do exercício corrente e que, dessa maneira constituem os principais assuntos de auditoria. Descrevemos esses assuntos em nosso relatório de auditoria, a menos que lei ou regulamento tenha proibido divulgação pública do assunto, ou quando, em circunstâncias extremamente raras, determinarmos que o assunto não deve ser comunicado em nosso relatório porque as consequências adversas de tal comunicação podem, dentro de uma perspectiva razoável, superar os benefícios da comunicação para o interesse público.</w:t>
      </w:r>
    </w:p>
    <w:p w14:paraId="3E115769" w14:textId="77777777" w:rsidR="00DD14B8" w:rsidRPr="00DD14B8" w:rsidRDefault="00DD14B8" w:rsidP="00DD14B8">
      <w:pPr>
        <w:widowControl w:val="0"/>
        <w:autoSpaceDE w:val="0"/>
        <w:autoSpaceDN w:val="0"/>
        <w:spacing w:after="0" w:line="240" w:lineRule="auto"/>
        <w:rPr>
          <w:rFonts w:ascii="Calibri" w:eastAsia="Calibri" w:hAnsi="Calibri" w:cs="Calibri"/>
          <w:sz w:val="25"/>
          <w:szCs w:val="19"/>
          <w:lang w:val="pt-PT" w:eastAsia="pt-PT" w:bidi="pt-PT"/>
        </w:rPr>
      </w:pPr>
    </w:p>
    <w:p w14:paraId="3A531B1B" w14:textId="77777777" w:rsidR="00DD14B8" w:rsidRPr="00DD14B8" w:rsidRDefault="00DD14B8" w:rsidP="00DD14B8">
      <w:pPr>
        <w:widowControl w:val="0"/>
        <w:autoSpaceDE w:val="0"/>
        <w:autoSpaceDN w:val="0"/>
        <w:spacing w:after="0" w:line="240" w:lineRule="auto"/>
        <w:ind w:left="225"/>
        <w:rPr>
          <w:rFonts w:ascii="Calibri" w:eastAsia="Calibri" w:hAnsi="Calibri" w:cs="Calibri"/>
          <w:sz w:val="19"/>
          <w:szCs w:val="19"/>
          <w:lang w:val="pt-PT" w:eastAsia="pt-PT" w:bidi="pt-PT"/>
        </w:rPr>
      </w:pPr>
      <w:r w:rsidRPr="00DD14B8">
        <w:rPr>
          <w:rFonts w:ascii="Calibri" w:eastAsia="Calibri" w:hAnsi="Calibri" w:cs="Calibri"/>
          <w:sz w:val="19"/>
          <w:szCs w:val="19"/>
          <w:lang w:val="pt-PT" w:eastAsia="pt-PT" w:bidi="pt-PT"/>
        </w:rPr>
        <w:t>Brasília, 14 de fevereiro de 2025</w:t>
      </w:r>
    </w:p>
    <w:p w14:paraId="2143AAFC" w14:textId="77777777" w:rsidR="00DD14B8" w:rsidRPr="00DD14B8" w:rsidRDefault="00DD14B8" w:rsidP="00DD14B8">
      <w:pPr>
        <w:widowControl w:val="0"/>
        <w:autoSpaceDE w:val="0"/>
        <w:autoSpaceDN w:val="0"/>
        <w:spacing w:after="0" w:line="240" w:lineRule="auto"/>
        <w:rPr>
          <w:rFonts w:ascii="Calibri" w:eastAsia="Calibri" w:hAnsi="Calibri" w:cs="Calibri"/>
          <w:sz w:val="18"/>
          <w:szCs w:val="19"/>
          <w:lang w:val="pt-PT" w:eastAsia="pt-PT" w:bidi="pt-PT"/>
        </w:rPr>
      </w:pPr>
    </w:p>
    <w:p w14:paraId="3C0346A9" w14:textId="77777777" w:rsidR="00DD14B8" w:rsidRPr="00DD14B8" w:rsidRDefault="00DD14B8" w:rsidP="00DD14B8">
      <w:pPr>
        <w:widowControl w:val="0"/>
        <w:autoSpaceDE w:val="0"/>
        <w:autoSpaceDN w:val="0"/>
        <w:spacing w:before="10" w:after="0" w:line="240" w:lineRule="auto"/>
        <w:rPr>
          <w:rFonts w:ascii="Calibri" w:eastAsia="Calibri" w:hAnsi="Calibri" w:cs="Calibri"/>
          <w:szCs w:val="19"/>
          <w:lang w:val="pt-PT" w:eastAsia="pt-PT" w:bidi="pt-PT"/>
        </w:rPr>
      </w:pPr>
    </w:p>
    <w:p w14:paraId="64BA9550" w14:textId="77777777" w:rsidR="00DD14B8" w:rsidRPr="00DD14B8" w:rsidRDefault="00DD14B8" w:rsidP="00DD14B8">
      <w:pPr>
        <w:widowControl w:val="0"/>
        <w:autoSpaceDE w:val="0"/>
        <w:autoSpaceDN w:val="0"/>
        <w:spacing w:after="0" w:line="247" w:lineRule="auto"/>
        <w:ind w:left="225" w:right="5639"/>
        <w:rPr>
          <w:rFonts w:ascii="Calibri" w:eastAsia="Calibri" w:hAnsi="Calibri" w:cs="Calibri"/>
          <w:sz w:val="19"/>
          <w:szCs w:val="19"/>
          <w:lang w:val="pt-PT" w:eastAsia="pt-PT" w:bidi="pt-PT"/>
        </w:rPr>
      </w:pPr>
      <w:r w:rsidRPr="00DD14B8">
        <w:rPr>
          <w:rFonts w:ascii="Calibri" w:eastAsia="Calibri" w:hAnsi="Calibri" w:cs="Calibri"/>
          <w:noProof/>
          <w:sz w:val="19"/>
          <w:szCs w:val="19"/>
          <w:lang w:val="pt-PT" w:eastAsia="pt-PT" w:bidi="pt-PT"/>
        </w:rPr>
        <w:drawing>
          <wp:anchor distT="0" distB="0" distL="0" distR="0" simplePos="0" relativeHeight="251659264" behindDoc="1" locked="0" layoutInCell="1" allowOverlap="1" wp14:anchorId="550063C1" wp14:editId="5349D452">
            <wp:simplePos x="0" y="0"/>
            <wp:positionH relativeFrom="page">
              <wp:posOffset>1018385</wp:posOffset>
            </wp:positionH>
            <wp:positionV relativeFrom="paragraph">
              <wp:posOffset>239621</wp:posOffset>
            </wp:positionV>
            <wp:extent cx="1573263" cy="357131"/>
            <wp:effectExtent l="0" t="0" r="0" b="0"/>
            <wp:wrapNone/>
            <wp:docPr id="1" name="image1.png"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Texto&#10;&#10;O conteúdo gerado por IA pode estar incorreto."/>
                    <pic:cNvPicPr/>
                  </pic:nvPicPr>
                  <pic:blipFill>
                    <a:blip r:embed="rId26" cstate="print"/>
                    <a:stretch>
                      <a:fillRect/>
                    </a:stretch>
                  </pic:blipFill>
                  <pic:spPr>
                    <a:xfrm>
                      <a:off x="0" y="0"/>
                      <a:ext cx="1573263" cy="357131"/>
                    </a:xfrm>
                    <a:prstGeom prst="rect">
                      <a:avLst/>
                    </a:prstGeom>
                  </pic:spPr>
                </pic:pic>
              </a:graphicData>
            </a:graphic>
          </wp:anchor>
        </w:drawing>
      </w:r>
      <w:r w:rsidRPr="00DD14B8">
        <w:rPr>
          <w:rFonts w:ascii="Calibri" w:eastAsia="Calibri" w:hAnsi="Calibri" w:cs="Calibri"/>
          <w:sz w:val="19"/>
          <w:szCs w:val="19"/>
          <w:lang w:val="pt-PT" w:eastAsia="pt-PT" w:bidi="pt-PT"/>
        </w:rPr>
        <w:t>KPMG Auditores Independentes Ltda. CRC SP – 014428/F-0</w:t>
      </w:r>
    </w:p>
    <w:p w14:paraId="64FF08AF" w14:textId="77777777" w:rsidR="00DD14B8" w:rsidRPr="00DD14B8" w:rsidRDefault="00DD14B8" w:rsidP="00DD14B8">
      <w:pPr>
        <w:widowControl w:val="0"/>
        <w:autoSpaceDE w:val="0"/>
        <w:autoSpaceDN w:val="0"/>
        <w:spacing w:after="0" w:line="240" w:lineRule="auto"/>
        <w:rPr>
          <w:rFonts w:ascii="Calibri" w:eastAsia="Calibri" w:hAnsi="Calibri" w:cs="Calibri"/>
          <w:sz w:val="18"/>
          <w:szCs w:val="19"/>
          <w:lang w:val="pt-PT" w:eastAsia="pt-PT" w:bidi="pt-PT"/>
        </w:rPr>
      </w:pPr>
    </w:p>
    <w:p w14:paraId="26FD0D9F" w14:textId="77777777" w:rsidR="00DD14B8" w:rsidRPr="00DD14B8" w:rsidRDefault="00DD14B8" w:rsidP="00DD14B8">
      <w:pPr>
        <w:widowControl w:val="0"/>
        <w:autoSpaceDE w:val="0"/>
        <w:autoSpaceDN w:val="0"/>
        <w:spacing w:before="143" w:after="0" w:line="247" w:lineRule="auto"/>
        <w:ind w:left="225" w:right="5996"/>
        <w:rPr>
          <w:rFonts w:ascii="Calibri" w:eastAsia="Calibri" w:hAnsi="Calibri" w:cs="Calibri"/>
          <w:sz w:val="19"/>
          <w:szCs w:val="19"/>
          <w:lang w:val="pt-PT" w:eastAsia="pt-PT" w:bidi="pt-PT"/>
        </w:rPr>
      </w:pPr>
      <w:r w:rsidRPr="00DD14B8">
        <w:rPr>
          <w:rFonts w:ascii="Calibri" w:eastAsia="Calibri" w:hAnsi="Calibri" w:cs="Calibri"/>
          <w:sz w:val="19"/>
          <w:szCs w:val="19"/>
          <w:lang w:val="pt-PT" w:eastAsia="pt-PT" w:bidi="pt-PT"/>
        </w:rPr>
        <w:t>Pedro Henrique Moura Machado Contador CRC GO-022139/O-4</w:t>
      </w:r>
    </w:p>
    <w:p w14:paraId="0FA68050" w14:textId="77777777" w:rsidR="00A07CF9" w:rsidRPr="00DD14B8" w:rsidRDefault="00A07CF9" w:rsidP="003039C6">
      <w:pPr>
        <w:spacing w:before="120" w:after="120" w:line="276" w:lineRule="auto"/>
        <w:rPr>
          <w:rFonts w:ascii="Arial" w:hAnsi="Arial" w:cs="Arial"/>
          <w:b/>
          <w:bCs/>
          <w:color w:val="1F3864" w:themeColor="accent1" w:themeShade="80"/>
          <w:szCs w:val="24"/>
          <w:lang w:val="pt-PT"/>
        </w:rPr>
        <w:sectPr w:rsidR="00A07CF9" w:rsidRPr="00DD14B8" w:rsidSect="009A10F0">
          <w:headerReference w:type="default" r:id="rId27"/>
          <w:pgSz w:w="11906" w:h="16838" w:code="9"/>
          <w:pgMar w:top="1134" w:right="1134" w:bottom="851" w:left="1134" w:header="851" w:footer="284" w:gutter="0"/>
          <w:cols w:space="708"/>
          <w:docGrid w:linePitch="360"/>
        </w:sectPr>
      </w:pPr>
    </w:p>
    <w:p w14:paraId="63DFC93E" w14:textId="0B9CA728" w:rsidR="0005442E" w:rsidRPr="00C373DF" w:rsidRDefault="0005442E" w:rsidP="003039C6">
      <w:pPr>
        <w:spacing w:before="120" w:after="120" w:line="276" w:lineRule="auto"/>
        <w:rPr>
          <w:rFonts w:ascii="Arial" w:hAnsi="Arial" w:cs="Arial"/>
          <w:b/>
          <w:bCs/>
          <w:color w:val="1F3864" w:themeColor="accent1" w:themeShade="80"/>
          <w:szCs w:val="24"/>
        </w:rPr>
      </w:pPr>
      <w:r w:rsidRPr="00C373DF">
        <w:rPr>
          <w:rFonts w:ascii="Arial" w:hAnsi="Arial" w:cs="Arial"/>
          <w:b/>
          <w:bCs/>
          <w:color w:val="1F3864" w:themeColor="accent1" w:themeShade="80"/>
          <w:szCs w:val="24"/>
        </w:rPr>
        <w:lastRenderedPageBreak/>
        <w:t>RESUMO DO RELATÓRIO DO COMITÊ DE AUDITORIA – EXERCÍCIO 2024</w:t>
      </w:r>
    </w:p>
    <w:p w14:paraId="797FDDE4" w14:textId="77777777" w:rsidR="00E03754" w:rsidRPr="00C373DF" w:rsidRDefault="00E03754" w:rsidP="00E03754">
      <w:pPr>
        <w:rPr>
          <w:rFonts w:ascii="Arial" w:hAnsi="Arial" w:cs="Arial"/>
          <w:b/>
          <w:bCs/>
        </w:rPr>
      </w:pPr>
    </w:p>
    <w:p w14:paraId="4F0B7BA2" w14:textId="6D3731D6" w:rsidR="00E03754" w:rsidRPr="00AA12C2" w:rsidRDefault="00E03754" w:rsidP="00E03754">
      <w:pPr>
        <w:jc w:val="both"/>
        <w:rPr>
          <w:rFonts w:ascii="Arial" w:hAnsi="Arial" w:cs="Arial"/>
          <w:b/>
          <w:bCs/>
          <w:color w:val="1F3864" w:themeColor="accent1" w:themeShade="80"/>
          <w:sz w:val="18"/>
          <w:szCs w:val="18"/>
        </w:rPr>
      </w:pPr>
      <w:r w:rsidRPr="00AA12C2">
        <w:rPr>
          <w:rFonts w:ascii="Arial" w:hAnsi="Arial" w:cs="Arial"/>
          <w:b/>
          <w:bCs/>
          <w:color w:val="1F3864" w:themeColor="accent1" w:themeShade="80"/>
          <w:sz w:val="18"/>
          <w:szCs w:val="18"/>
        </w:rPr>
        <w:t xml:space="preserve">Introdução </w:t>
      </w:r>
    </w:p>
    <w:p w14:paraId="0692E50D" w14:textId="77777777" w:rsidR="00E03754" w:rsidRPr="00C373DF" w:rsidRDefault="00E03754" w:rsidP="00E03754">
      <w:pPr>
        <w:jc w:val="both"/>
        <w:rPr>
          <w:rFonts w:ascii="Arial" w:hAnsi="Arial" w:cs="Arial"/>
          <w:sz w:val="18"/>
          <w:szCs w:val="18"/>
        </w:rPr>
      </w:pPr>
      <w:r w:rsidRPr="00C373DF">
        <w:rPr>
          <w:rFonts w:ascii="Arial" w:hAnsi="Arial" w:cs="Arial"/>
          <w:sz w:val="18"/>
          <w:szCs w:val="18"/>
        </w:rPr>
        <w:t xml:space="preserve">O Comitê de Auditoria foi instalado na BB Seguridade Participações S.A. em 2015. É um órgão estatutário de assessoramento ao Conselho de Administração, atuando de forma permanente e independente, com a finalidade precípua de avaliar e se manifestar sobre a qualidade e integridade das demonstrações financeiras da Companhia; a efetividade do sistema de controles internos e da Auditoria Interna; a atuação do Auditor Externo; as exposições de risco da Companhia e a adequação das transações com partes relacionadas. O Regimento Interno do Comitê, aprovado pelo Conselho de Administração, encontra-se disponível no endereço eletrônico </w:t>
      </w:r>
      <w:hyperlink r:id="rId28" w:history="1">
        <w:r w:rsidRPr="00C373DF">
          <w:rPr>
            <w:rStyle w:val="Hyperlink"/>
            <w:rFonts w:ascii="Arial" w:hAnsi="Arial" w:cs="Arial"/>
            <w:sz w:val="18"/>
            <w:szCs w:val="18"/>
          </w:rPr>
          <w:t>https://www.bbseguridaderi.com.br/sustentabilidade-e-governanca/administracao-e-comites/</w:t>
        </w:r>
      </w:hyperlink>
      <w:r w:rsidRPr="00C373DF">
        <w:rPr>
          <w:rFonts w:ascii="Arial" w:hAnsi="Arial" w:cs="Arial"/>
          <w:sz w:val="18"/>
          <w:szCs w:val="18"/>
        </w:rPr>
        <w:t>.</w:t>
      </w:r>
    </w:p>
    <w:p w14:paraId="4C69C61D" w14:textId="77777777" w:rsidR="00E03754" w:rsidRPr="00C373DF" w:rsidRDefault="00E03754" w:rsidP="00E03754">
      <w:pPr>
        <w:jc w:val="both"/>
        <w:rPr>
          <w:rFonts w:ascii="Arial" w:hAnsi="Arial" w:cs="Arial"/>
          <w:sz w:val="18"/>
          <w:szCs w:val="18"/>
        </w:rPr>
      </w:pPr>
      <w:r w:rsidRPr="00C373DF">
        <w:rPr>
          <w:rFonts w:ascii="Arial" w:hAnsi="Arial" w:cs="Arial"/>
          <w:sz w:val="18"/>
          <w:szCs w:val="18"/>
        </w:rPr>
        <w:t>Conforme previsto no Regimento Interno, a partir da adesão das sociedades controladas ao Comitê de Auditoria único, a composição passou a ser de até 05 (cinco) membros, sendo 01 (um) indicado pelo representante dos minoritários, 01 (um) membro independente do Conselho de Administração e os demais titulares, 03 (três), indicados pelos outros membros do Conselho de Administração.</w:t>
      </w:r>
    </w:p>
    <w:p w14:paraId="10E22EB0" w14:textId="77777777" w:rsidR="00E03754" w:rsidRPr="00C373DF" w:rsidRDefault="00E03754" w:rsidP="00E03754">
      <w:pPr>
        <w:jc w:val="both"/>
        <w:rPr>
          <w:rFonts w:ascii="Arial" w:hAnsi="Arial" w:cs="Arial"/>
          <w:sz w:val="18"/>
          <w:szCs w:val="18"/>
        </w:rPr>
      </w:pPr>
      <w:r w:rsidRPr="00C373DF">
        <w:rPr>
          <w:rFonts w:ascii="Arial" w:hAnsi="Arial" w:cs="Arial"/>
          <w:sz w:val="18"/>
          <w:szCs w:val="18"/>
        </w:rPr>
        <w:t xml:space="preserve">A Administração é responsável por elaborar e garantir a integridade das demonstrações financeiras, gerir os riscos, definir, testar e manter sistema de controles internos efetivo e zelar pela conformidade às normas legais e regulamentares. </w:t>
      </w:r>
    </w:p>
    <w:p w14:paraId="5025DBD8" w14:textId="77777777" w:rsidR="00E03754" w:rsidRPr="00C373DF" w:rsidRDefault="00E03754" w:rsidP="00E03754">
      <w:pPr>
        <w:jc w:val="both"/>
        <w:rPr>
          <w:rFonts w:ascii="Arial" w:hAnsi="Arial" w:cs="Arial"/>
          <w:sz w:val="18"/>
          <w:szCs w:val="18"/>
        </w:rPr>
      </w:pPr>
      <w:r w:rsidRPr="00C373DF">
        <w:rPr>
          <w:rFonts w:ascii="Arial" w:hAnsi="Arial" w:cs="Arial"/>
          <w:sz w:val="18"/>
          <w:szCs w:val="18"/>
        </w:rPr>
        <w:t>A Auditoria Interna responde pela realização de trabalhos periódicos, com foco nos principais riscos, avaliando, com independência, as ações de gerenciamento desses riscos e a adequação da governança e dos controles internos.</w:t>
      </w:r>
    </w:p>
    <w:p w14:paraId="576FD95D" w14:textId="77777777" w:rsidR="00E03754" w:rsidRPr="00C373DF" w:rsidRDefault="00E03754" w:rsidP="00E03754">
      <w:pPr>
        <w:jc w:val="both"/>
        <w:rPr>
          <w:rFonts w:ascii="Arial" w:hAnsi="Arial" w:cs="Arial"/>
          <w:sz w:val="18"/>
          <w:szCs w:val="18"/>
        </w:rPr>
      </w:pPr>
      <w:r w:rsidRPr="00C373DF">
        <w:rPr>
          <w:rFonts w:ascii="Arial" w:hAnsi="Arial" w:cs="Arial"/>
          <w:sz w:val="18"/>
          <w:szCs w:val="18"/>
        </w:rPr>
        <w:t>A Auditoria Externa realiza auditoria independente das demonstrações financeiras. Avalia, também, no contexto do trabalho de auditor externo, a qualidade e adequação do sistema de controles internos para fins das demonstrações financeiras e o respectivo cumprimento de dispositivos legais e regulamentares.</w:t>
      </w:r>
    </w:p>
    <w:p w14:paraId="78F2B433" w14:textId="77777777" w:rsidR="00E03754" w:rsidRPr="00C373DF" w:rsidRDefault="00E03754" w:rsidP="00E03754">
      <w:pPr>
        <w:jc w:val="both"/>
        <w:rPr>
          <w:rFonts w:ascii="Arial" w:hAnsi="Arial" w:cs="Arial"/>
          <w:b/>
          <w:bCs/>
          <w:color w:val="1F3864" w:themeColor="accent1" w:themeShade="80"/>
          <w:sz w:val="18"/>
          <w:szCs w:val="18"/>
        </w:rPr>
      </w:pPr>
      <w:r w:rsidRPr="00C373DF">
        <w:rPr>
          <w:rFonts w:ascii="Arial" w:hAnsi="Arial" w:cs="Arial"/>
          <w:b/>
          <w:bCs/>
          <w:color w:val="1F3864" w:themeColor="accent1" w:themeShade="80"/>
          <w:sz w:val="18"/>
          <w:szCs w:val="18"/>
        </w:rPr>
        <w:t xml:space="preserve">Principais Atividades </w:t>
      </w:r>
    </w:p>
    <w:p w14:paraId="11F80C8E" w14:textId="77777777" w:rsidR="00E03754" w:rsidRPr="00C373DF" w:rsidRDefault="00E03754" w:rsidP="00E03754">
      <w:pPr>
        <w:jc w:val="both"/>
        <w:rPr>
          <w:rFonts w:ascii="Arial" w:hAnsi="Arial" w:cs="Arial"/>
          <w:sz w:val="18"/>
          <w:szCs w:val="18"/>
        </w:rPr>
      </w:pPr>
      <w:r w:rsidRPr="00C373DF">
        <w:rPr>
          <w:rFonts w:ascii="Arial" w:hAnsi="Arial" w:cs="Arial"/>
          <w:sz w:val="18"/>
          <w:szCs w:val="18"/>
        </w:rPr>
        <w:t>No período de 01 de janeiro a 31 de dezembro de 2024, o Comitê fez diligências e requisições de documentos e informações junto à Direção da BB Seguridade, da BB Corretora e da BB Seguros, ao gestor de riscos e controles internos, e aos auditores interno e externo. As atividades desenvolvidas em 2024, registradas em atas, cobriram o conjunto de responsabilidades atribuídas ao órgão e estão adiante sintetizadas.</w:t>
      </w:r>
    </w:p>
    <w:p w14:paraId="74065928" w14:textId="77777777" w:rsidR="00E03754" w:rsidRPr="00C373DF" w:rsidRDefault="00E03754" w:rsidP="00E03754">
      <w:pPr>
        <w:jc w:val="both"/>
        <w:rPr>
          <w:rFonts w:ascii="Arial" w:hAnsi="Arial" w:cs="Arial"/>
          <w:sz w:val="18"/>
          <w:szCs w:val="18"/>
        </w:rPr>
      </w:pPr>
      <w:r w:rsidRPr="00C373DF">
        <w:rPr>
          <w:rFonts w:ascii="Arial" w:hAnsi="Arial" w:cs="Arial"/>
          <w:sz w:val="18"/>
          <w:szCs w:val="18"/>
        </w:rPr>
        <w:t>O Comitê de Auditoria abordou, em especial, assuntos relacionados às demonstrações financeiras, aos sistemas de controles internos, processos contábeis, processos fisco-tributários, gestão de riscos (com acompanhamento dos trabalhos do Comitê de Riscos e Capital) e os temas relativos a transações com partes relacionadas. Nas situações em que identificou necessidade de melhoria, recomendou aprimoramentos.</w:t>
      </w:r>
    </w:p>
    <w:p w14:paraId="32974EDD" w14:textId="77777777" w:rsidR="00E03754" w:rsidRPr="00C373DF" w:rsidRDefault="00E03754" w:rsidP="00E03754">
      <w:pPr>
        <w:jc w:val="both"/>
        <w:rPr>
          <w:rFonts w:ascii="Arial" w:hAnsi="Arial" w:cs="Arial"/>
          <w:sz w:val="18"/>
          <w:szCs w:val="18"/>
        </w:rPr>
      </w:pPr>
      <w:r w:rsidRPr="00C373DF">
        <w:rPr>
          <w:rFonts w:ascii="Arial" w:hAnsi="Arial" w:cs="Arial"/>
          <w:sz w:val="18"/>
          <w:szCs w:val="18"/>
        </w:rPr>
        <w:t>Manteve diálogo com as auditorias interna e externa, oportunidades em que apreciou os seus planejamentos e conheceu os resultados dos principais trabalhos, suas conclusões e recomendações.</w:t>
      </w:r>
    </w:p>
    <w:p w14:paraId="71B94D86" w14:textId="77777777" w:rsidR="00E03754" w:rsidRPr="00C373DF" w:rsidRDefault="00E03754" w:rsidP="00E03754">
      <w:pPr>
        <w:jc w:val="both"/>
        <w:rPr>
          <w:rFonts w:ascii="Arial" w:hAnsi="Arial" w:cs="Arial"/>
          <w:sz w:val="18"/>
          <w:szCs w:val="18"/>
        </w:rPr>
      </w:pPr>
      <w:r w:rsidRPr="00C373DF">
        <w:rPr>
          <w:rFonts w:ascii="Arial" w:hAnsi="Arial" w:cs="Arial"/>
          <w:sz w:val="18"/>
          <w:szCs w:val="18"/>
        </w:rPr>
        <w:t>Revisou as demonstrações financeiras, previamente à divulgação, da BB Seguridade, BB Corretora e BB Seguros, assim como as notas explicativas e o relatório da Administração, e discutiu com o auditor externo seus relatórios e apontamentos.</w:t>
      </w:r>
    </w:p>
    <w:p w14:paraId="6CDFF454" w14:textId="77777777" w:rsidR="00E03754" w:rsidRPr="00C373DF" w:rsidRDefault="00E03754" w:rsidP="00E03754">
      <w:pPr>
        <w:pageBreakBefore/>
        <w:jc w:val="both"/>
        <w:rPr>
          <w:rFonts w:ascii="Arial" w:hAnsi="Arial" w:cs="Arial"/>
          <w:color w:val="1F3864" w:themeColor="accent1" w:themeShade="80"/>
          <w:sz w:val="18"/>
          <w:szCs w:val="18"/>
        </w:rPr>
      </w:pPr>
      <w:r w:rsidRPr="00C373DF">
        <w:rPr>
          <w:rFonts w:ascii="Arial" w:hAnsi="Arial" w:cs="Arial"/>
          <w:b/>
          <w:bCs/>
          <w:color w:val="1F3864" w:themeColor="accent1" w:themeShade="80"/>
          <w:sz w:val="18"/>
          <w:szCs w:val="18"/>
        </w:rPr>
        <w:lastRenderedPageBreak/>
        <w:t>Conclusões</w:t>
      </w:r>
    </w:p>
    <w:p w14:paraId="66AD3505" w14:textId="77777777" w:rsidR="00E03754" w:rsidRPr="00C373DF" w:rsidRDefault="00E03754" w:rsidP="00E03754">
      <w:pPr>
        <w:jc w:val="both"/>
        <w:rPr>
          <w:rFonts w:ascii="Arial" w:hAnsi="Arial" w:cs="Arial"/>
          <w:sz w:val="18"/>
          <w:szCs w:val="18"/>
        </w:rPr>
      </w:pPr>
      <w:r w:rsidRPr="00C373DF">
        <w:rPr>
          <w:rFonts w:ascii="Arial" w:hAnsi="Arial" w:cs="Arial"/>
          <w:sz w:val="18"/>
          <w:szCs w:val="18"/>
        </w:rPr>
        <w:t xml:space="preserve">Com base nas atividades desenvolvidas e tendo presentes as atribuições e limitações inerentes ao escopo de sua atuação, o Comitê de Auditoria considera que: </w:t>
      </w:r>
    </w:p>
    <w:p w14:paraId="1DD8006C" w14:textId="77777777" w:rsidR="00E03754" w:rsidRPr="00C373DF" w:rsidRDefault="00E03754" w:rsidP="00E03754">
      <w:pPr>
        <w:jc w:val="both"/>
        <w:rPr>
          <w:rFonts w:ascii="Arial" w:hAnsi="Arial" w:cs="Arial"/>
          <w:sz w:val="18"/>
          <w:szCs w:val="18"/>
        </w:rPr>
      </w:pPr>
      <w:r w:rsidRPr="00C373DF">
        <w:rPr>
          <w:rFonts w:ascii="Arial" w:hAnsi="Arial" w:cs="Arial"/>
          <w:sz w:val="18"/>
          <w:szCs w:val="18"/>
        </w:rPr>
        <w:t>a)</w:t>
      </w:r>
      <w:r w:rsidRPr="00C373DF">
        <w:rPr>
          <w:rFonts w:ascii="Arial" w:hAnsi="Arial" w:cs="Arial"/>
          <w:sz w:val="18"/>
          <w:szCs w:val="18"/>
        </w:rPr>
        <w:tab/>
        <w:t>Os controles internos das Companhias evoluíram em 2024 e se mostraram adequados ao porte e à complexidade dos negócios e são objeto de permanente atenção por parte da Administração;</w:t>
      </w:r>
    </w:p>
    <w:p w14:paraId="0294EF87" w14:textId="77777777" w:rsidR="00E03754" w:rsidRPr="00C373DF" w:rsidRDefault="00E03754" w:rsidP="00E03754">
      <w:pPr>
        <w:jc w:val="both"/>
        <w:rPr>
          <w:rFonts w:ascii="Arial" w:hAnsi="Arial" w:cs="Arial"/>
          <w:sz w:val="18"/>
          <w:szCs w:val="18"/>
        </w:rPr>
      </w:pPr>
      <w:r w:rsidRPr="00C373DF">
        <w:rPr>
          <w:rFonts w:ascii="Arial" w:hAnsi="Arial" w:cs="Arial"/>
          <w:sz w:val="18"/>
          <w:szCs w:val="18"/>
        </w:rPr>
        <w:t>b)</w:t>
      </w:r>
      <w:r w:rsidRPr="00C373DF">
        <w:rPr>
          <w:rFonts w:ascii="Arial" w:hAnsi="Arial" w:cs="Arial"/>
          <w:sz w:val="18"/>
          <w:szCs w:val="18"/>
        </w:rPr>
        <w:tab/>
        <w:t>A Auditoria Interna, com orçamento e estrutura própria, desempenhou suas funções com independência, objetividade e qualidade;</w:t>
      </w:r>
    </w:p>
    <w:p w14:paraId="26B5BBAD" w14:textId="77777777" w:rsidR="00E03754" w:rsidRPr="00C373DF" w:rsidRDefault="00E03754" w:rsidP="00E03754">
      <w:pPr>
        <w:jc w:val="both"/>
        <w:rPr>
          <w:rFonts w:ascii="Arial" w:hAnsi="Arial" w:cs="Arial"/>
          <w:sz w:val="18"/>
          <w:szCs w:val="18"/>
        </w:rPr>
      </w:pPr>
      <w:r w:rsidRPr="00C373DF">
        <w:rPr>
          <w:rFonts w:ascii="Arial" w:hAnsi="Arial" w:cs="Arial"/>
          <w:sz w:val="18"/>
          <w:szCs w:val="18"/>
        </w:rPr>
        <w:t>c)</w:t>
      </w:r>
      <w:r w:rsidRPr="00C373DF">
        <w:rPr>
          <w:rFonts w:ascii="Arial" w:hAnsi="Arial" w:cs="Arial"/>
          <w:sz w:val="18"/>
          <w:szCs w:val="18"/>
        </w:rPr>
        <w:tab/>
        <w:t xml:space="preserve">Os trabalhos e as informações fornecidas pelo Auditor Externo foram adequados e apoiaram a opinião do Comitê acerca da integridade das demonstrações financeiras. Não foram identificadas ocorrências que pudessem comprometer sua independência; </w:t>
      </w:r>
    </w:p>
    <w:p w14:paraId="24EDA714" w14:textId="77777777" w:rsidR="00E03754" w:rsidRPr="00C373DF" w:rsidRDefault="00E03754" w:rsidP="00E03754">
      <w:pPr>
        <w:jc w:val="both"/>
        <w:rPr>
          <w:rFonts w:ascii="Arial" w:hAnsi="Arial" w:cs="Arial"/>
          <w:sz w:val="18"/>
          <w:szCs w:val="18"/>
        </w:rPr>
      </w:pPr>
      <w:r w:rsidRPr="00C373DF">
        <w:rPr>
          <w:rFonts w:ascii="Arial" w:hAnsi="Arial" w:cs="Arial"/>
          <w:sz w:val="18"/>
          <w:szCs w:val="18"/>
        </w:rPr>
        <w:t>d)</w:t>
      </w:r>
      <w:r w:rsidRPr="00C373DF">
        <w:rPr>
          <w:rFonts w:ascii="Arial" w:hAnsi="Arial" w:cs="Arial"/>
          <w:sz w:val="18"/>
          <w:szCs w:val="18"/>
        </w:rPr>
        <w:tab/>
        <w:t>Os processos internos de gestão de riscos evoluíram em relação ao período anterior;</w:t>
      </w:r>
    </w:p>
    <w:p w14:paraId="4C2F82D5" w14:textId="77777777" w:rsidR="00E03754" w:rsidRPr="00C373DF" w:rsidRDefault="00E03754" w:rsidP="00E03754">
      <w:pPr>
        <w:jc w:val="both"/>
        <w:rPr>
          <w:rFonts w:ascii="Arial" w:hAnsi="Arial" w:cs="Arial"/>
          <w:sz w:val="18"/>
          <w:szCs w:val="18"/>
        </w:rPr>
      </w:pPr>
      <w:r w:rsidRPr="00C373DF">
        <w:rPr>
          <w:rFonts w:ascii="Arial" w:hAnsi="Arial" w:cs="Arial"/>
          <w:sz w:val="18"/>
          <w:szCs w:val="18"/>
        </w:rPr>
        <w:t>e)</w:t>
      </w:r>
      <w:r w:rsidRPr="00C373DF">
        <w:rPr>
          <w:rFonts w:ascii="Arial" w:hAnsi="Arial" w:cs="Arial"/>
          <w:sz w:val="18"/>
          <w:szCs w:val="18"/>
        </w:rPr>
        <w:tab/>
        <w:t>apoiado na opinião e nos trabalhos desenvolvidos pelo CTPR, nas conclusões das auditorias interna e externa a esse respeito, nas divulgações em notas explicativas das demonstrações financeiras do exercício, as transações com partes relacionadas foram adequadamente realizadas e divulgadas.</w:t>
      </w:r>
    </w:p>
    <w:p w14:paraId="55BAF3AE" w14:textId="77777777" w:rsidR="00E03754" w:rsidRPr="00C373DF" w:rsidRDefault="00E03754" w:rsidP="00E03754">
      <w:pPr>
        <w:jc w:val="both"/>
        <w:rPr>
          <w:rFonts w:ascii="Arial" w:hAnsi="Arial" w:cs="Arial"/>
          <w:sz w:val="18"/>
          <w:szCs w:val="18"/>
        </w:rPr>
      </w:pPr>
      <w:r w:rsidRPr="00C373DF">
        <w:rPr>
          <w:rFonts w:ascii="Arial" w:hAnsi="Arial" w:cs="Arial"/>
          <w:b/>
          <w:bCs/>
          <w:sz w:val="18"/>
          <w:szCs w:val="18"/>
        </w:rPr>
        <w:t>Opinião</w:t>
      </w:r>
      <w:r w:rsidRPr="00C373DF">
        <w:rPr>
          <w:rFonts w:ascii="Arial" w:hAnsi="Arial" w:cs="Arial"/>
          <w:sz w:val="18"/>
          <w:szCs w:val="18"/>
        </w:rPr>
        <w:t>: Com base nos trabalhos e entrevistas realizadas ao longo do exercício e tendo presentes as atribuições e limitações inerentes ao escopo de sua atuação, e considerando o sistema de controles internos, os trabalhos realizados pelos auditores internos e auditores externos, assim como seu relatório emitido sem ressalvas em 14 de fevereiro de 2025, o Comitê de Auditoria não encontrou nenhum indício ou evidência de que as demonstrações financeiras individuais e consolidada não representem, adequadamente, em todos os aspectos relevantes, a posição patrimonial e financeira da BB Seguridade Participações S.A. e de suas Controladas em 31 de dezembro de 2024 e os resultados para o período findo naquela data. Nesse sentido, o Comitê opina que elas estão em condições de serem apreciadas pelo Conselho de Administração.</w:t>
      </w:r>
    </w:p>
    <w:p w14:paraId="00232CF0" w14:textId="77777777" w:rsidR="00E03754" w:rsidRDefault="00E03754" w:rsidP="00E03754">
      <w:pPr>
        <w:jc w:val="both"/>
        <w:rPr>
          <w:rFonts w:ascii="Arial" w:hAnsi="Arial" w:cs="Arial"/>
        </w:rPr>
      </w:pPr>
    </w:p>
    <w:p w14:paraId="078897D9" w14:textId="73F192BE" w:rsidR="00F714AD" w:rsidRPr="00F714AD" w:rsidRDefault="00F714AD" w:rsidP="00F714AD">
      <w:pPr>
        <w:jc w:val="center"/>
        <w:rPr>
          <w:rFonts w:ascii="Arial" w:hAnsi="Arial" w:cs="Arial"/>
          <w:sz w:val="18"/>
          <w:szCs w:val="18"/>
        </w:rPr>
      </w:pPr>
      <w:r w:rsidRPr="00F714AD">
        <w:rPr>
          <w:rFonts w:ascii="Arial" w:hAnsi="Arial" w:cs="Arial"/>
          <w:sz w:val="18"/>
          <w:szCs w:val="18"/>
        </w:rPr>
        <w:t>Brasília (DF), 14 de fevereiro de 2025.</w:t>
      </w:r>
    </w:p>
    <w:p w14:paraId="1E361CD3" w14:textId="77777777" w:rsidR="00F714AD" w:rsidRPr="00F714AD" w:rsidRDefault="00F714AD" w:rsidP="00F714AD">
      <w:pPr>
        <w:jc w:val="both"/>
        <w:rPr>
          <w:rFonts w:ascii="Arial" w:hAnsi="Arial" w:cs="Arial"/>
          <w:sz w:val="18"/>
          <w:szCs w:val="18"/>
        </w:rPr>
      </w:pPr>
      <w:r w:rsidRPr="00F714AD">
        <w:rPr>
          <w:rFonts w:ascii="Arial" w:hAnsi="Arial" w:cs="Arial"/>
          <w:sz w:val="18"/>
          <w:szCs w:val="18"/>
        </w:rPr>
        <w:t> </w:t>
      </w:r>
    </w:p>
    <w:p w14:paraId="1CFC9EF3" w14:textId="77777777" w:rsidR="00F714AD" w:rsidRPr="00F714AD" w:rsidRDefault="00F714AD" w:rsidP="00F714AD">
      <w:pPr>
        <w:jc w:val="both"/>
        <w:rPr>
          <w:rFonts w:ascii="Arial" w:hAnsi="Arial" w:cs="Arial"/>
          <w:sz w:val="18"/>
          <w:szCs w:val="18"/>
        </w:rPr>
      </w:pPr>
      <w:r w:rsidRPr="00F714AD">
        <w:rPr>
          <w:rFonts w:ascii="Arial" w:hAnsi="Arial" w:cs="Arial"/>
          <w:sz w:val="18"/>
          <w:szCs w:val="18"/>
        </w:rPr>
        <w:t> </w:t>
      </w:r>
    </w:p>
    <w:p w14:paraId="226A9104" w14:textId="15976B54" w:rsidR="00F714AD" w:rsidRPr="00F714AD" w:rsidRDefault="00F714AD" w:rsidP="00F714AD">
      <w:pPr>
        <w:jc w:val="center"/>
        <w:rPr>
          <w:rFonts w:ascii="Arial" w:hAnsi="Arial" w:cs="Arial"/>
          <w:sz w:val="18"/>
          <w:szCs w:val="18"/>
        </w:rPr>
      </w:pPr>
      <w:r w:rsidRPr="00F714AD">
        <w:rPr>
          <w:rFonts w:ascii="Arial" w:hAnsi="Arial" w:cs="Arial"/>
          <w:sz w:val="18"/>
          <w:szCs w:val="18"/>
        </w:rPr>
        <w:t xml:space="preserve">Antônio </w:t>
      </w:r>
      <w:proofErr w:type="spellStart"/>
      <w:r w:rsidRPr="00F714AD">
        <w:rPr>
          <w:rFonts w:ascii="Arial" w:hAnsi="Arial" w:cs="Arial"/>
          <w:sz w:val="18"/>
          <w:szCs w:val="18"/>
        </w:rPr>
        <w:t>Martiningo</w:t>
      </w:r>
      <w:proofErr w:type="spellEnd"/>
      <w:r w:rsidRPr="00F714AD">
        <w:rPr>
          <w:rFonts w:ascii="Arial" w:hAnsi="Arial" w:cs="Arial"/>
          <w:sz w:val="18"/>
          <w:szCs w:val="18"/>
        </w:rPr>
        <w:t xml:space="preserve"> Filho</w:t>
      </w:r>
      <w:r w:rsidRPr="00F714AD">
        <w:rPr>
          <w:rFonts w:ascii="Arial" w:hAnsi="Arial" w:cs="Arial"/>
          <w:sz w:val="18"/>
          <w:szCs w:val="18"/>
        </w:rPr>
        <w:tab/>
      </w:r>
      <w:r w:rsidRPr="00F714AD">
        <w:rPr>
          <w:rFonts w:ascii="Arial" w:hAnsi="Arial" w:cs="Arial"/>
          <w:sz w:val="18"/>
          <w:szCs w:val="18"/>
        </w:rPr>
        <w:tab/>
      </w:r>
      <w:r w:rsidRPr="00F714AD">
        <w:rPr>
          <w:rFonts w:ascii="Arial" w:hAnsi="Arial" w:cs="Arial"/>
          <w:sz w:val="18"/>
          <w:szCs w:val="18"/>
        </w:rPr>
        <w:tab/>
        <w:t xml:space="preserve">Cícero </w:t>
      </w:r>
      <w:proofErr w:type="spellStart"/>
      <w:r w:rsidRPr="00F714AD">
        <w:rPr>
          <w:rFonts w:ascii="Arial" w:hAnsi="Arial" w:cs="Arial"/>
          <w:sz w:val="18"/>
          <w:szCs w:val="18"/>
        </w:rPr>
        <w:t>Przendsiuk</w:t>
      </w:r>
      <w:proofErr w:type="spellEnd"/>
    </w:p>
    <w:p w14:paraId="6D4A1DE4" w14:textId="6CFD22FF" w:rsidR="00F714AD" w:rsidRPr="00F714AD" w:rsidRDefault="00F714AD" w:rsidP="00F714AD">
      <w:pPr>
        <w:jc w:val="center"/>
        <w:rPr>
          <w:rFonts w:ascii="Arial" w:hAnsi="Arial" w:cs="Arial"/>
          <w:sz w:val="18"/>
          <w:szCs w:val="18"/>
        </w:rPr>
      </w:pPr>
      <w:r w:rsidRPr="00F714AD">
        <w:rPr>
          <w:rFonts w:ascii="Arial" w:hAnsi="Arial" w:cs="Arial"/>
          <w:sz w:val="18"/>
          <w:szCs w:val="18"/>
        </w:rPr>
        <w:t xml:space="preserve">Gilberto Lourenço da Aparecida </w:t>
      </w:r>
      <w:r w:rsidRPr="00F714AD">
        <w:rPr>
          <w:rFonts w:ascii="Arial" w:hAnsi="Arial" w:cs="Arial"/>
          <w:sz w:val="18"/>
          <w:szCs w:val="18"/>
        </w:rPr>
        <w:tab/>
      </w:r>
      <w:r w:rsidRPr="00F714AD">
        <w:rPr>
          <w:rFonts w:ascii="Arial" w:hAnsi="Arial" w:cs="Arial"/>
          <w:sz w:val="18"/>
          <w:szCs w:val="18"/>
        </w:rPr>
        <w:tab/>
        <w:t>Manoel Gimenes Ruy</w:t>
      </w:r>
      <w:r w:rsidRPr="00F714AD">
        <w:rPr>
          <w:rFonts w:ascii="Arial" w:hAnsi="Arial" w:cs="Arial"/>
          <w:sz w:val="18"/>
          <w:szCs w:val="18"/>
        </w:rPr>
        <w:tab/>
        <w:t>Roberto Lamb</w:t>
      </w:r>
    </w:p>
    <w:p w14:paraId="3C9A3ADF" w14:textId="77777777" w:rsidR="00F714AD" w:rsidRPr="00C373DF" w:rsidRDefault="00F714AD" w:rsidP="00E03754">
      <w:pPr>
        <w:jc w:val="both"/>
        <w:rPr>
          <w:rFonts w:ascii="Arial" w:hAnsi="Arial" w:cs="Arial"/>
        </w:rPr>
      </w:pPr>
    </w:p>
    <w:p w14:paraId="68EFAE4A" w14:textId="77777777" w:rsidR="0005442E" w:rsidRPr="00C373DF" w:rsidRDefault="0005442E" w:rsidP="00E03754">
      <w:pPr>
        <w:jc w:val="both"/>
        <w:rPr>
          <w:rFonts w:ascii="Arial" w:hAnsi="Arial" w:cs="Arial"/>
          <w:b/>
          <w:bCs/>
          <w:color w:val="1F3864" w:themeColor="accent1" w:themeShade="80"/>
          <w:szCs w:val="24"/>
        </w:rPr>
      </w:pPr>
      <w:r w:rsidRPr="00C373DF">
        <w:rPr>
          <w:rFonts w:ascii="Arial" w:hAnsi="Arial" w:cs="Arial"/>
          <w:b/>
          <w:bCs/>
          <w:color w:val="1F3864" w:themeColor="accent1" w:themeShade="80"/>
          <w:szCs w:val="24"/>
        </w:rPr>
        <w:br w:type="page"/>
      </w:r>
    </w:p>
    <w:p w14:paraId="28EBF429" w14:textId="780B6A08" w:rsidR="0005442E" w:rsidRDefault="0005442E" w:rsidP="003039C6">
      <w:pPr>
        <w:spacing w:before="120" w:after="120" w:line="276" w:lineRule="auto"/>
        <w:jc w:val="both"/>
        <w:rPr>
          <w:rFonts w:ascii="Arial" w:hAnsi="Arial" w:cs="Arial"/>
          <w:b/>
          <w:bCs/>
          <w:color w:val="1F3864" w:themeColor="accent1" w:themeShade="80"/>
          <w:szCs w:val="24"/>
        </w:rPr>
      </w:pPr>
      <w:r w:rsidRPr="00946A7D">
        <w:rPr>
          <w:rFonts w:ascii="Arial" w:hAnsi="Arial" w:cs="Arial"/>
          <w:b/>
          <w:bCs/>
          <w:color w:val="1F3864" w:themeColor="accent1" w:themeShade="80"/>
          <w:szCs w:val="24"/>
        </w:rPr>
        <w:lastRenderedPageBreak/>
        <w:t>PARECER DO CONSELHO FISCAL</w:t>
      </w:r>
    </w:p>
    <w:p w14:paraId="541496EE" w14:textId="77777777" w:rsidR="00C7276E" w:rsidRDefault="00C7276E" w:rsidP="003039C6">
      <w:pPr>
        <w:spacing w:before="120" w:after="120" w:line="276" w:lineRule="auto"/>
        <w:jc w:val="both"/>
        <w:rPr>
          <w:rFonts w:ascii="Arial" w:hAnsi="Arial" w:cs="Arial"/>
          <w:b/>
          <w:bCs/>
          <w:color w:val="1F3864" w:themeColor="accent1" w:themeShade="80"/>
          <w:szCs w:val="24"/>
        </w:rPr>
      </w:pPr>
    </w:p>
    <w:p w14:paraId="4A8D4E87" w14:textId="77777777" w:rsidR="00C7276E" w:rsidRPr="00C7276E" w:rsidRDefault="00C7276E" w:rsidP="00C7276E">
      <w:pPr>
        <w:pStyle w:val="Recuodecorpodetexto"/>
        <w:ind w:left="0"/>
        <w:jc w:val="both"/>
        <w:rPr>
          <w:rFonts w:ascii="Arial" w:hAnsi="Arial" w:cs="Arial"/>
          <w:sz w:val="18"/>
          <w:szCs w:val="18"/>
        </w:rPr>
      </w:pPr>
      <w:r w:rsidRPr="00C7276E">
        <w:rPr>
          <w:rFonts w:ascii="Arial" w:hAnsi="Arial" w:cs="Arial"/>
          <w:b/>
          <w:sz w:val="18"/>
          <w:szCs w:val="18"/>
        </w:rPr>
        <w:t>O CONSELHO FISCAL DA BB SEGURIDADE PARTICIPAÇÕES S.A.</w:t>
      </w:r>
      <w:r w:rsidRPr="00C7276E">
        <w:rPr>
          <w:rFonts w:ascii="Arial" w:hAnsi="Arial" w:cs="Arial"/>
          <w:sz w:val="18"/>
          <w:szCs w:val="18"/>
        </w:rPr>
        <w:t>, no uso de suas atribuições legais e estatutárias, em reunião realizada nesta data, examinou o Relatório Anual da Administração, as Demonstrações Financeiras individuais e consolidadas que o acompanham, quais sejam, o Balanço Patrimonial, as Demonstrações do Resultado, do Resultado  Abrangente, das Mutações do Patrimonio Liquido, dos Fluxos de Caixa e do Valor Adicionado, bem como as Notas Explicativas relacionadas, o correspondente Parecer dos Auditores Independentes, o Resumo do Relatório do Comitê de Auditoria e a Proposta de Destinação do Resultado, todos relativos ao exercício findo em 31 de dezembro de 2024.</w:t>
      </w:r>
    </w:p>
    <w:p w14:paraId="2A0A766C" w14:textId="77777777" w:rsidR="00C7276E" w:rsidRPr="00C7276E" w:rsidRDefault="00C7276E" w:rsidP="00C7276E">
      <w:pPr>
        <w:pStyle w:val="Recuodecorpodetexto"/>
        <w:ind w:left="0"/>
        <w:jc w:val="both"/>
        <w:rPr>
          <w:rFonts w:ascii="Arial" w:hAnsi="Arial" w:cs="Arial"/>
          <w:sz w:val="18"/>
          <w:szCs w:val="18"/>
        </w:rPr>
      </w:pPr>
      <w:r w:rsidRPr="00C7276E">
        <w:rPr>
          <w:rFonts w:ascii="Arial" w:hAnsi="Arial" w:cs="Arial"/>
          <w:sz w:val="18"/>
          <w:szCs w:val="18"/>
        </w:rPr>
        <w:t>Nossos exames das demonstrações citadas no parágrafo anterior foram complementados, ainda, por análises, documentos e, substancialmente, por informações e esclarecimentos prestados aos membros do Conselho Fiscal pelos Auditores Independentes, pelo Comitê de Auditoria e pela Administração da Companhia.</w:t>
      </w:r>
    </w:p>
    <w:p w14:paraId="6E6DDDDB" w14:textId="77777777" w:rsidR="00C7276E" w:rsidRPr="00C7276E" w:rsidRDefault="00C7276E" w:rsidP="00C7276E">
      <w:pPr>
        <w:pStyle w:val="Recuodecorpodetexto"/>
        <w:ind w:left="0"/>
        <w:jc w:val="both"/>
        <w:rPr>
          <w:rFonts w:ascii="Arial" w:hAnsi="Arial" w:cs="Arial"/>
          <w:sz w:val="18"/>
          <w:szCs w:val="18"/>
        </w:rPr>
      </w:pPr>
      <w:r w:rsidRPr="00C7276E">
        <w:rPr>
          <w:rFonts w:ascii="Arial" w:hAnsi="Arial" w:cs="Arial"/>
          <w:sz w:val="18"/>
          <w:szCs w:val="18"/>
        </w:rPr>
        <w:t xml:space="preserve">Desta forma, com base nos trabalhos e esclarecimentos prestados pela </w:t>
      </w:r>
      <w:bookmarkStart w:id="151" w:name="_Hlk189666921"/>
      <w:r w:rsidRPr="00C7276E">
        <w:rPr>
          <w:rFonts w:ascii="Arial" w:hAnsi="Arial" w:cs="Arial"/>
          <w:sz w:val="18"/>
          <w:szCs w:val="18"/>
        </w:rPr>
        <w:t>KPMG Consultores Independentes</w:t>
      </w:r>
      <w:bookmarkEnd w:id="151"/>
      <w:r w:rsidRPr="00C7276E">
        <w:rPr>
          <w:rFonts w:ascii="Arial" w:hAnsi="Arial" w:cs="Arial"/>
          <w:sz w:val="18"/>
          <w:szCs w:val="18"/>
        </w:rPr>
        <w:t xml:space="preserve"> e no seu Parecer, emitido em 14 de fevereiro de 2025, sem ressalvas e, ainda, nos esclarecimentos prestados pela Administração da Companhia, este Conselho Fiscal, por unanimidade de seus membros, concluiu que as Demonstrações Financeiras, acima mencionadas, acompanhadas do Relatório Anual da Administração, e a proposta de destinação do resultado estão adequadamente apresentadas e opina favoravelmente ao seu encaminhamento para deliberação da </w:t>
      </w:r>
      <w:r w:rsidRPr="00C7276E">
        <w:rPr>
          <w:rFonts w:ascii="Arial" w:hAnsi="Arial" w:cs="Arial"/>
          <w:sz w:val="18"/>
          <w:szCs w:val="18"/>
          <w:lang w:val="pt-PT"/>
        </w:rPr>
        <w:t>Assembléia Geral dos Acionistas.</w:t>
      </w:r>
    </w:p>
    <w:p w14:paraId="07E5057C" w14:textId="77777777" w:rsidR="00C7276E" w:rsidRPr="00C7276E" w:rsidRDefault="00C7276E" w:rsidP="00C7276E">
      <w:pPr>
        <w:jc w:val="both"/>
        <w:rPr>
          <w:rFonts w:ascii="Arial" w:hAnsi="Arial" w:cs="Arial"/>
          <w:sz w:val="18"/>
          <w:szCs w:val="18"/>
        </w:rPr>
      </w:pPr>
    </w:p>
    <w:p w14:paraId="78102150" w14:textId="77777777" w:rsidR="00C7276E" w:rsidRPr="00C7276E" w:rsidRDefault="00C7276E" w:rsidP="00C7276E">
      <w:pPr>
        <w:jc w:val="both"/>
        <w:rPr>
          <w:rFonts w:ascii="Arial" w:hAnsi="Arial" w:cs="Arial"/>
          <w:sz w:val="18"/>
          <w:szCs w:val="18"/>
        </w:rPr>
      </w:pPr>
      <w:r w:rsidRPr="00C7276E">
        <w:rPr>
          <w:rFonts w:ascii="Arial" w:hAnsi="Arial" w:cs="Arial"/>
          <w:sz w:val="18"/>
          <w:szCs w:val="18"/>
        </w:rPr>
        <w:t>Brasília (DF), 14 de fevereiro de 2025.</w:t>
      </w:r>
    </w:p>
    <w:p w14:paraId="72E589DC" w14:textId="77777777" w:rsidR="00C7276E" w:rsidRPr="00C7276E" w:rsidRDefault="00C7276E" w:rsidP="00C7276E">
      <w:pPr>
        <w:jc w:val="both"/>
        <w:rPr>
          <w:rFonts w:ascii="Arial" w:hAnsi="Arial" w:cs="Arial"/>
          <w:sz w:val="18"/>
          <w:szCs w:val="18"/>
        </w:rPr>
      </w:pPr>
    </w:p>
    <w:p w14:paraId="6AE6C00B" w14:textId="77777777" w:rsidR="00C7276E" w:rsidRPr="00C7276E" w:rsidRDefault="00C7276E" w:rsidP="00C7276E">
      <w:pPr>
        <w:jc w:val="both"/>
        <w:rPr>
          <w:rFonts w:ascii="Arial" w:hAnsi="Arial" w:cs="Arial"/>
          <w:sz w:val="18"/>
          <w:szCs w:val="18"/>
        </w:rPr>
      </w:pPr>
    </w:p>
    <w:p w14:paraId="31626167" w14:textId="77777777" w:rsidR="00C7276E" w:rsidRPr="00C7276E" w:rsidRDefault="00C7276E" w:rsidP="00C7276E">
      <w:pPr>
        <w:jc w:val="both"/>
        <w:rPr>
          <w:rFonts w:ascii="Arial" w:hAnsi="Arial" w:cs="Arial"/>
          <w:sz w:val="18"/>
          <w:szCs w:val="18"/>
        </w:rPr>
      </w:pPr>
    </w:p>
    <w:p w14:paraId="263F8C8E" w14:textId="77777777" w:rsidR="00C7276E" w:rsidRPr="00C7276E" w:rsidRDefault="00C7276E" w:rsidP="00C7276E">
      <w:pPr>
        <w:jc w:val="center"/>
        <w:rPr>
          <w:rFonts w:ascii="Arial" w:hAnsi="Arial" w:cs="Arial"/>
          <w:sz w:val="18"/>
          <w:szCs w:val="18"/>
        </w:rPr>
      </w:pPr>
      <w:r w:rsidRPr="00C7276E">
        <w:rPr>
          <w:rFonts w:ascii="Arial" w:hAnsi="Arial" w:cs="Arial"/>
          <w:sz w:val="18"/>
          <w:szCs w:val="18"/>
        </w:rPr>
        <w:t xml:space="preserve">Francisco Olinto Velo Schmitt                          Rafael Rezende </w:t>
      </w:r>
      <w:proofErr w:type="spellStart"/>
      <w:r w:rsidRPr="00C7276E">
        <w:rPr>
          <w:rFonts w:ascii="Arial" w:hAnsi="Arial" w:cs="Arial"/>
          <w:sz w:val="18"/>
          <w:szCs w:val="18"/>
        </w:rPr>
        <w:t>Brigolini</w:t>
      </w:r>
      <w:proofErr w:type="spellEnd"/>
    </w:p>
    <w:p w14:paraId="6EFFD8C8" w14:textId="77777777" w:rsidR="00C7276E" w:rsidRPr="00C7276E" w:rsidRDefault="00C7276E" w:rsidP="00C7276E">
      <w:pPr>
        <w:jc w:val="center"/>
        <w:rPr>
          <w:rFonts w:ascii="Arial" w:hAnsi="Arial" w:cs="Arial"/>
          <w:sz w:val="18"/>
          <w:szCs w:val="18"/>
        </w:rPr>
      </w:pPr>
      <w:r w:rsidRPr="00C7276E">
        <w:rPr>
          <w:rFonts w:ascii="Arial" w:hAnsi="Arial" w:cs="Arial"/>
          <w:sz w:val="18"/>
          <w:szCs w:val="18"/>
        </w:rPr>
        <w:t xml:space="preserve">Conselheiro                                                      </w:t>
      </w:r>
      <w:proofErr w:type="spellStart"/>
      <w:r w:rsidRPr="00C7276E">
        <w:rPr>
          <w:rFonts w:ascii="Arial" w:hAnsi="Arial" w:cs="Arial"/>
          <w:sz w:val="18"/>
          <w:szCs w:val="18"/>
        </w:rPr>
        <w:t>Conselheiro</w:t>
      </w:r>
      <w:proofErr w:type="spellEnd"/>
    </w:p>
    <w:p w14:paraId="682C6F82" w14:textId="77777777" w:rsidR="00C7276E" w:rsidRPr="00C7276E" w:rsidRDefault="00C7276E" w:rsidP="00C7276E">
      <w:pPr>
        <w:jc w:val="both"/>
        <w:rPr>
          <w:rFonts w:ascii="Arial" w:hAnsi="Arial" w:cs="Arial"/>
          <w:sz w:val="18"/>
          <w:szCs w:val="18"/>
        </w:rPr>
      </w:pPr>
    </w:p>
    <w:p w14:paraId="0BBEBC00" w14:textId="77777777" w:rsidR="00C7276E" w:rsidRPr="00C7276E" w:rsidRDefault="00C7276E" w:rsidP="00C7276E">
      <w:pPr>
        <w:jc w:val="both"/>
        <w:rPr>
          <w:rFonts w:ascii="Arial" w:hAnsi="Arial" w:cs="Arial"/>
          <w:sz w:val="18"/>
          <w:szCs w:val="18"/>
        </w:rPr>
      </w:pPr>
    </w:p>
    <w:p w14:paraId="2F3F0373" w14:textId="77777777" w:rsidR="00C7276E" w:rsidRPr="00C7276E" w:rsidRDefault="00C7276E" w:rsidP="00C7276E">
      <w:pPr>
        <w:jc w:val="center"/>
        <w:rPr>
          <w:rFonts w:ascii="Arial" w:hAnsi="Arial" w:cs="Arial"/>
          <w:sz w:val="18"/>
          <w:szCs w:val="18"/>
        </w:rPr>
      </w:pPr>
      <w:r w:rsidRPr="00C7276E">
        <w:rPr>
          <w:rFonts w:ascii="Arial" w:hAnsi="Arial" w:cs="Arial"/>
          <w:sz w:val="18"/>
          <w:szCs w:val="18"/>
        </w:rPr>
        <w:t>Marcelo Henrique Gomes da Silva</w:t>
      </w:r>
    </w:p>
    <w:p w14:paraId="1F741624" w14:textId="77777777" w:rsidR="00C7276E" w:rsidRPr="00C7276E" w:rsidRDefault="00C7276E" w:rsidP="00C7276E">
      <w:pPr>
        <w:jc w:val="center"/>
        <w:rPr>
          <w:rFonts w:ascii="Arial" w:hAnsi="Arial" w:cs="Arial"/>
          <w:sz w:val="18"/>
          <w:szCs w:val="18"/>
        </w:rPr>
      </w:pPr>
      <w:r w:rsidRPr="00C7276E">
        <w:rPr>
          <w:rFonts w:ascii="Arial" w:hAnsi="Arial" w:cs="Arial"/>
          <w:sz w:val="18"/>
          <w:szCs w:val="18"/>
        </w:rPr>
        <w:t>Presidente</w:t>
      </w:r>
    </w:p>
    <w:p w14:paraId="438221DE" w14:textId="77777777" w:rsidR="00C7276E" w:rsidRPr="00C7276E" w:rsidRDefault="00C7276E" w:rsidP="00C7276E">
      <w:pPr>
        <w:pStyle w:val="Corpodetexto2"/>
        <w:ind w:firstLine="1418"/>
        <w:rPr>
          <w:rFonts w:ascii="Arial" w:hAnsi="Arial" w:cs="Arial"/>
          <w:sz w:val="18"/>
          <w:szCs w:val="18"/>
        </w:rPr>
      </w:pPr>
    </w:p>
    <w:p w14:paraId="77DB08C2" w14:textId="77777777" w:rsidR="0005442E" w:rsidRPr="00C7276E" w:rsidRDefault="0005442E" w:rsidP="0005442E">
      <w:pPr>
        <w:spacing w:before="120" w:after="120" w:line="276" w:lineRule="auto"/>
        <w:jc w:val="center"/>
        <w:rPr>
          <w:rFonts w:ascii="Arial" w:hAnsi="Arial" w:cs="Arial"/>
          <w:b/>
          <w:bCs/>
          <w:color w:val="1F3864" w:themeColor="accent1" w:themeShade="80"/>
          <w:sz w:val="18"/>
          <w:szCs w:val="18"/>
        </w:rPr>
      </w:pPr>
    </w:p>
    <w:p w14:paraId="11669FBA" w14:textId="77777777" w:rsidR="0005442E" w:rsidRDefault="0005442E">
      <w:pPr>
        <w:rPr>
          <w:rFonts w:ascii="Arial" w:eastAsia="Times New Roman" w:hAnsi="Arial" w:cs="Arial"/>
          <w:b/>
          <w:color w:val="1F3864" w:themeColor="accent1" w:themeShade="80"/>
          <w:spacing w:val="-2"/>
          <w:sz w:val="20"/>
          <w:szCs w:val="20"/>
          <w:lang w:eastAsia="pt-BR"/>
        </w:rPr>
      </w:pPr>
      <w:r>
        <w:rPr>
          <w:rFonts w:cs="Arial"/>
          <w:color w:val="1F3864" w:themeColor="accent1" w:themeShade="80"/>
        </w:rPr>
        <w:br w:type="page"/>
      </w:r>
    </w:p>
    <w:p w14:paraId="46D68DE9" w14:textId="7AFB2FD3" w:rsidR="00AB09B4" w:rsidRPr="00BF2AAF" w:rsidRDefault="00AB09B4" w:rsidP="00AB09B4">
      <w:pPr>
        <w:pStyle w:val="03-SubttulodeNota"/>
        <w:rPr>
          <w:rFonts w:cs="Arial"/>
          <w:color w:val="1F3864" w:themeColor="accent1" w:themeShade="80"/>
        </w:rPr>
      </w:pPr>
      <w:r w:rsidRPr="00BF2AAF">
        <w:rPr>
          <w:rFonts w:cs="Arial"/>
          <w:color w:val="1F3864" w:themeColor="accent1" w:themeShade="80"/>
        </w:rPr>
        <w:lastRenderedPageBreak/>
        <w:t>DECLARAÇÃO DOS MEMBROS DA DIRETORIA EXECUTIVA SOBRE AS DEMONSTRAÇÕES FINANCEIRAS</w:t>
      </w:r>
      <w:bookmarkEnd w:id="149"/>
    </w:p>
    <w:p w14:paraId="7C88F104" w14:textId="77777777" w:rsidR="00DD0574" w:rsidRDefault="00DD0574" w:rsidP="007B00EF">
      <w:pPr>
        <w:pStyle w:val="05-Textonormal"/>
        <w:rPr>
          <w:rFonts w:cs="Arial"/>
        </w:rPr>
      </w:pPr>
    </w:p>
    <w:p w14:paraId="7E1082E5" w14:textId="77777777" w:rsidR="007B00EF" w:rsidRPr="00C657C6" w:rsidRDefault="007B00EF" w:rsidP="007B00EF">
      <w:pPr>
        <w:pStyle w:val="05-Textonormal"/>
        <w:rPr>
          <w:rFonts w:cs="Arial"/>
        </w:rPr>
      </w:pPr>
      <w:r w:rsidRPr="00C657C6">
        <w:rPr>
          <w:rFonts w:cs="Arial"/>
        </w:rPr>
        <w:t xml:space="preserve">Em conformidade com o Artigo 27 da Resolução CVM nº 80, de 29/3/2022, declaramos que revisamos as Demonstrações Contábeis relativas ao </w:t>
      </w:r>
      <w:r>
        <w:rPr>
          <w:rFonts w:cs="Arial"/>
        </w:rPr>
        <w:t xml:space="preserve">exercício </w:t>
      </w:r>
      <w:r w:rsidRPr="00C657C6">
        <w:rPr>
          <w:rFonts w:cs="Arial"/>
        </w:rPr>
        <w:t>findo em 3</w:t>
      </w:r>
      <w:r>
        <w:rPr>
          <w:rFonts w:cs="Arial"/>
        </w:rPr>
        <w:t>1</w:t>
      </w:r>
      <w:r w:rsidRPr="00C657C6">
        <w:rPr>
          <w:rFonts w:cs="Arial"/>
        </w:rPr>
        <w:t xml:space="preserve"> de </w:t>
      </w:r>
      <w:r>
        <w:rPr>
          <w:rFonts w:cs="Arial"/>
        </w:rPr>
        <w:t>dezembro</w:t>
      </w:r>
      <w:r w:rsidRPr="00C657C6">
        <w:rPr>
          <w:rFonts w:cs="Arial"/>
        </w:rPr>
        <w:t xml:space="preserve"> de 2024 da BB Seguridade Participações S.A. e, baseados nas discussões subsequentes, concordamos que tais demonstrações refletem adequadamente, em todos os aspectos relevantes, a posição patrimonial e financeira correspondente ao período apresentado.</w:t>
      </w:r>
    </w:p>
    <w:p w14:paraId="5A7A8C84" w14:textId="77777777" w:rsidR="007B00EF" w:rsidRPr="00C657C6" w:rsidRDefault="007B00EF" w:rsidP="007B00EF">
      <w:pPr>
        <w:pStyle w:val="05-Textonormal"/>
        <w:rPr>
          <w:rFonts w:cs="Arial"/>
        </w:rPr>
      </w:pPr>
    </w:p>
    <w:p w14:paraId="2A6D9193" w14:textId="77777777" w:rsidR="007B00EF" w:rsidRPr="00C657C6" w:rsidRDefault="007B00EF" w:rsidP="007B00EF">
      <w:pPr>
        <w:pStyle w:val="05-Textonormal"/>
        <w:spacing w:before="0" w:after="0"/>
        <w:rPr>
          <w:rFonts w:cs="Arial"/>
        </w:rPr>
      </w:pPr>
      <w:bookmarkStart w:id="152" w:name="_Hlk77924916"/>
      <w:r w:rsidRPr="00C657C6">
        <w:rPr>
          <w:rFonts w:cs="Arial"/>
        </w:rPr>
        <w:t xml:space="preserve">Brasília, </w:t>
      </w:r>
      <w:r>
        <w:rPr>
          <w:rFonts w:cs="Arial"/>
        </w:rPr>
        <w:t>14</w:t>
      </w:r>
      <w:r w:rsidRPr="00C657C6">
        <w:rPr>
          <w:rFonts w:cs="Arial"/>
        </w:rPr>
        <w:t xml:space="preserve"> de </w:t>
      </w:r>
      <w:r>
        <w:rPr>
          <w:rFonts w:cs="Arial"/>
        </w:rPr>
        <w:t>fevereiro</w:t>
      </w:r>
      <w:r w:rsidRPr="00C657C6">
        <w:rPr>
          <w:rFonts w:cs="Arial"/>
        </w:rPr>
        <w:t xml:space="preserve"> de 202</w:t>
      </w:r>
      <w:r>
        <w:rPr>
          <w:rFonts w:cs="Arial"/>
        </w:rPr>
        <w:t>5</w:t>
      </w:r>
      <w:r w:rsidRPr="00C657C6">
        <w:rPr>
          <w:rFonts w:cs="Arial"/>
        </w:rPr>
        <w:t>.</w:t>
      </w:r>
    </w:p>
    <w:p w14:paraId="48768447" w14:textId="77777777" w:rsidR="007B00EF" w:rsidRPr="00C657C6" w:rsidRDefault="007B00EF" w:rsidP="007B00EF">
      <w:pPr>
        <w:pStyle w:val="05-Textonormal"/>
        <w:spacing w:before="0" w:after="0"/>
        <w:rPr>
          <w:rFonts w:cs="Arial"/>
        </w:rPr>
      </w:pPr>
    </w:p>
    <w:p w14:paraId="05BD6366" w14:textId="77777777" w:rsidR="007B00EF" w:rsidRPr="00C657C6" w:rsidRDefault="007B00EF" w:rsidP="007B00EF">
      <w:pPr>
        <w:pStyle w:val="05-Textonormal"/>
        <w:spacing w:before="0" w:after="0"/>
        <w:rPr>
          <w:rFonts w:cs="Arial"/>
        </w:rPr>
      </w:pPr>
    </w:p>
    <w:bookmarkEnd w:id="152"/>
    <w:p w14:paraId="4D9AFE18" w14:textId="77777777" w:rsidR="007B00EF" w:rsidRPr="00C657C6" w:rsidRDefault="007B00EF" w:rsidP="007B00EF">
      <w:pPr>
        <w:pStyle w:val="05-Textonormal"/>
        <w:spacing w:before="0" w:after="0" w:line="240" w:lineRule="auto"/>
        <w:rPr>
          <w:rFonts w:cs="Arial"/>
        </w:rPr>
      </w:pPr>
      <w:r w:rsidRPr="00C657C6">
        <w:rPr>
          <w:rFonts w:cs="Arial"/>
        </w:rPr>
        <w:t xml:space="preserve">André Gustavo Borba Assumpção </w:t>
      </w:r>
      <w:proofErr w:type="spellStart"/>
      <w:r w:rsidRPr="00C657C6">
        <w:rPr>
          <w:rFonts w:cs="Arial"/>
        </w:rPr>
        <w:t>Haui</w:t>
      </w:r>
      <w:proofErr w:type="spellEnd"/>
    </w:p>
    <w:p w14:paraId="4E12C7D8" w14:textId="77777777" w:rsidR="007B00EF" w:rsidRPr="00C657C6" w:rsidRDefault="007B00EF" w:rsidP="007B00EF">
      <w:pPr>
        <w:pStyle w:val="05-Textonormal"/>
        <w:spacing w:before="0" w:after="0" w:line="240" w:lineRule="auto"/>
        <w:rPr>
          <w:rFonts w:cs="Arial"/>
        </w:rPr>
      </w:pPr>
      <w:r w:rsidRPr="00C657C6">
        <w:rPr>
          <w:rFonts w:cs="Arial"/>
        </w:rPr>
        <w:t>Diretor-Presidente</w:t>
      </w:r>
    </w:p>
    <w:p w14:paraId="41897D3D" w14:textId="77777777" w:rsidR="007B00EF" w:rsidRPr="00C657C6" w:rsidRDefault="007B00EF" w:rsidP="007B00EF">
      <w:pPr>
        <w:pStyle w:val="05-Textonormal"/>
        <w:spacing w:before="0" w:after="0" w:line="240" w:lineRule="auto"/>
        <w:rPr>
          <w:rFonts w:cs="Arial"/>
        </w:rPr>
      </w:pPr>
    </w:p>
    <w:p w14:paraId="529669D8" w14:textId="77777777" w:rsidR="007B00EF" w:rsidRPr="00C657C6" w:rsidRDefault="007B00EF" w:rsidP="007B00EF">
      <w:pPr>
        <w:pStyle w:val="05-Textonormal"/>
        <w:spacing w:before="0" w:after="0" w:line="240" w:lineRule="auto"/>
        <w:rPr>
          <w:rFonts w:cs="Arial"/>
        </w:rPr>
      </w:pPr>
    </w:p>
    <w:p w14:paraId="6F6777C1" w14:textId="77777777" w:rsidR="007B00EF" w:rsidRPr="00C657C6" w:rsidRDefault="007B00EF" w:rsidP="007B00EF">
      <w:pPr>
        <w:pStyle w:val="05-Textonormal"/>
        <w:spacing w:before="0" w:after="0" w:line="240" w:lineRule="auto"/>
        <w:rPr>
          <w:rFonts w:cs="Arial"/>
          <w:snapToGrid w:val="0"/>
        </w:rPr>
      </w:pPr>
      <w:r w:rsidRPr="00C657C6">
        <w:rPr>
          <w:rFonts w:cs="Arial"/>
          <w:snapToGrid w:val="0"/>
        </w:rPr>
        <w:t>Allan Trancoso Ferraz Silva</w:t>
      </w:r>
    </w:p>
    <w:p w14:paraId="6F6A23B7" w14:textId="77777777" w:rsidR="007B00EF" w:rsidRPr="00C657C6" w:rsidRDefault="007B00EF" w:rsidP="007B00EF">
      <w:pPr>
        <w:pStyle w:val="05-Textonormal"/>
        <w:spacing w:before="0" w:after="0" w:line="240" w:lineRule="auto"/>
        <w:rPr>
          <w:rFonts w:cs="Arial"/>
          <w:snapToGrid w:val="0"/>
        </w:rPr>
      </w:pPr>
      <w:r w:rsidRPr="00C657C6">
        <w:rPr>
          <w:rFonts w:cs="Arial"/>
          <w:snapToGrid w:val="0"/>
        </w:rPr>
        <w:t>Diretor Comercial, Marketing e Clientes</w:t>
      </w:r>
    </w:p>
    <w:p w14:paraId="55E92661" w14:textId="77777777" w:rsidR="007B00EF" w:rsidRPr="00C657C6" w:rsidRDefault="007B00EF" w:rsidP="007B00EF">
      <w:pPr>
        <w:pStyle w:val="05-Textonormal"/>
        <w:spacing w:before="0" w:after="0" w:line="240" w:lineRule="auto"/>
        <w:rPr>
          <w:rFonts w:cs="Arial"/>
        </w:rPr>
      </w:pPr>
    </w:p>
    <w:p w14:paraId="6C723DAA" w14:textId="77777777" w:rsidR="007B00EF" w:rsidRPr="00C657C6" w:rsidRDefault="007B00EF" w:rsidP="007B00EF">
      <w:pPr>
        <w:pStyle w:val="05-Textonormal"/>
        <w:spacing w:before="0" w:after="0" w:line="240" w:lineRule="auto"/>
        <w:rPr>
          <w:rFonts w:cs="Arial"/>
        </w:rPr>
      </w:pPr>
    </w:p>
    <w:p w14:paraId="75B48835" w14:textId="77777777" w:rsidR="007B00EF" w:rsidRPr="00C657C6" w:rsidRDefault="007B00EF" w:rsidP="007B00EF">
      <w:pPr>
        <w:pStyle w:val="05-Textonormal"/>
        <w:spacing w:before="0" w:after="0" w:line="240" w:lineRule="auto"/>
        <w:rPr>
          <w:rFonts w:cs="Arial"/>
        </w:rPr>
      </w:pPr>
      <w:r w:rsidRPr="00C657C6">
        <w:rPr>
          <w:rFonts w:cs="Arial"/>
        </w:rPr>
        <w:t>Bruno Alves do Nascimento</w:t>
      </w:r>
    </w:p>
    <w:p w14:paraId="29DA575C" w14:textId="77777777" w:rsidR="007B00EF" w:rsidRPr="00C657C6" w:rsidRDefault="007B00EF" w:rsidP="007B00EF">
      <w:pPr>
        <w:pStyle w:val="05-Textonormal"/>
        <w:spacing w:before="0" w:after="0" w:line="240" w:lineRule="auto"/>
        <w:rPr>
          <w:rFonts w:cs="Arial"/>
        </w:rPr>
      </w:pPr>
      <w:r w:rsidRPr="00C657C6">
        <w:rPr>
          <w:rFonts w:cs="Arial"/>
        </w:rPr>
        <w:t>Diretor de Estratégia e Tecnologia</w:t>
      </w:r>
    </w:p>
    <w:p w14:paraId="385632DF" w14:textId="77777777" w:rsidR="007B00EF" w:rsidRPr="00C657C6" w:rsidRDefault="007B00EF" w:rsidP="007B00EF">
      <w:pPr>
        <w:pStyle w:val="05-Textonormal"/>
        <w:spacing w:before="0" w:after="0" w:line="240" w:lineRule="auto"/>
        <w:rPr>
          <w:rFonts w:cs="Arial"/>
        </w:rPr>
      </w:pPr>
    </w:p>
    <w:p w14:paraId="5DEA75AB" w14:textId="77777777" w:rsidR="007B00EF" w:rsidRPr="00C657C6" w:rsidRDefault="007B00EF" w:rsidP="007B00EF">
      <w:pPr>
        <w:pStyle w:val="05-Textonormal"/>
        <w:spacing w:before="0" w:after="0" w:line="240" w:lineRule="auto"/>
        <w:rPr>
          <w:rFonts w:cs="Arial"/>
          <w:snapToGrid w:val="0"/>
        </w:rPr>
      </w:pPr>
    </w:p>
    <w:p w14:paraId="06B1071A" w14:textId="77777777" w:rsidR="007B00EF" w:rsidRPr="00C657C6" w:rsidRDefault="007B00EF" w:rsidP="007B00EF">
      <w:pPr>
        <w:pStyle w:val="05-Textonormal"/>
        <w:spacing w:before="0" w:after="0" w:line="240" w:lineRule="auto"/>
        <w:rPr>
          <w:rFonts w:cs="Arial"/>
          <w:snapToGrid w:val="0"/>
        </w:rPr>
      </w:pPr>
      <w:r w:rsidRPr="00C657C6">
        <w:rPr>
          <w:rFonts w:cs="Arial"/>
          <w:snapToGrid w:val="0"/>
        </w:rPr>
        <w:t xml:space="preserve">Rafael Augusto </w:t>
      </w:r>
      <w:proofErr w:type="spellStart"/>
      <w:r w:rsidRPr="00C657C6">
        <w:rPr>
          <w:rFonts w:cs="Arial"/>
          <w:snapToGrid w:val="0"/>
        </w:rPr>
        <w:t>Sperendio</w:t>
      </w:r>
      <w:proofErr w:type="spellEnd"/>
    </w:p>
    <w:p w14:paraId="506A2C16" w14:textId="77777777" w:rsidR="007B00EF" w:rsidRPr="00C657C6" w:rsidRDefault="007B00EF" w:rsidP="007B00EF">
      <w:pPr>
        <w:pStyle w:val="05-Textonormal"/>
        <w:spacing w:before="0" w:after="0" w:line="240" w:lineRule="auto"/>
        <w:rPr>
          <w:rFonts w:cs="Arial"/>
        </w:rPr>
      </w:pPr>
      <w:r w:rsidRPr="00C657C6">
        <w:rPr>
          <w:rFonts w:cs="Arial"/>
        </w:rPr>
        <w:t>Diretor de Finanças e Relações com Investidores</w:t>
      </w:r>
    </w:p>
    <w:p w14:paraId="6913790F" w14:textId="77777777" w:rsidR="00134A3C" w:rsidRPr="00BF2AAF" w:rsidRDefault="00134A3C" w:rsidP="00134A3C">
      <w:pPr>
        <w:rPr>
          <w:rFonts w:ascii="Arial" w:hAnsi="Arial" w:cs="Arial"/>
          <w:lang w:eastAsia="pt-BR"/>
        </w:rPr>
      </w:pPr>
    </w:p>
    <w:p w14:paraId="01DEE68F" w14:textId="77777777" w:rsidR="00C35A37" w:rsidRPr="00BF2AAF" w:rsidRDefault="00C35A37" w:rsidP="00C35A37">
      <w:pPr>
        <w:pStyle w:val="05-Textonormal"/>
        <w:spacing w:before="0" w:after="0" w:line="240" w:lineRule="auto"/>
        <w:rPr>
          <w:rFonts w:cs="Arial"/>
          <w:snapToGrid w:val="0"/>
        </w:rPr>
      </w:pPr>
      <w:bookmarkStart w:id="153" w:name="_Toc141960104"/>
    </w:p>
    <w:p w14:paraId="1DEF28F2" w14:textId="448F36A3" w:rsidR="00E16F49" w:rsidRPr="00BF2AAF" w:rsidRDefault="00E16F49">
      <w:pPr>
        <w:rPr>
          <w:rFonts w:ascii="Arial" w:eastAsia="Times New Roman" w:hAnsi="Arial" w:cs="Arial"/>
          <w:b/>
          <w:color w:val="1F3864" w:themeColor="accent1" w:themeShade="80"/>
          <w:spacing w:val="-2"/>
          <w:sz w:val="20"/>
          <w:szCs w:val="20"/>
          <w:lang w:eastAsia="pt-BR"/>
        </w:rPr>
      </w:pPr>
      <w:r w:rsidRPr="00BF2AAF">
        <w:rPr>
          <w:rFonts w:ascii="Arial" w:hAnsi="Arial" w:cs="Arial"/>
          <w:color w:val="1F3864" w:themeColor="accent1" w:themeShade="80"/>
        </w:rPr>
        <w:br w:type="page"/>
      </w:r>
    </w:p>
    <w:p w14:paraId="1009CA7F" w14:textId="5828526E" w:rsidR="00AB09B4" w:rsidRPr="00BF2AAF" w:rsidRDefault="00AB09B4" w:rsidP="00AB09B4">
      <w:pPr>
        <w:pStyle w:val="03-SubttulodeNota"/>
        <w:rPr>
          <w:rFonts w:cs="Arial"/>
          <w:color w:val="1F3864" w:themeColor="accent1" w:themeShade="80"/>
        </w:rPr>
      </w:pPr>
      <w:r w:rsidRPr="00BF2AAF">
        <w:rPr>
          <w:rFonts w:cs="Arial"/>
          <w:color w:val="1F3864" w:themeColor="accent1" w:themeShade="80"/>
        </w:rPr>
        <w:lastRenderedPageBreak/>
        <w:t>DECLARAÇÃO DOS MEMBROS DA DIRETORIA EXECUTIVA SOBRE O RELATÓRIO DOS AUDITORES INDEPENDENTES</w:t>
      </w:r>
      <w:bookmarkEnd w:id="153"/>
    </w:p>
    <w:p w14:paraId="3848C74E" w14:textId="77777777" w:rsidR="00DD0574" w:rsidRDefault="00DD0574" w:rsidP="00DD0574">
      <w:pPr>
        <w:pStyle w:val="05-Textonormal"/>
        <w:rPr>
          <w:rFonts w:cs="Arial"/>
        </w:rPr>
      </w:pPr>
      <w:bookmarkStart w:id="154" w:name="_Hlk179996984"/>
    </w:p>
    <w:p w14:paraId="3D2B3CE7" w14:textId="79CC93A3" w:rsidR="00DD0574" w:rsidRPr="00C657C6" w:rsidRDefault="00DD0574" w:rsidP="00DD0574">
      <w:pPr>
        <w:pStyle w:val="05-Textonormal"/>
        <w:rPr>
          <w:rFonts w:cs="Arial"/>
        </w:rPr>
      </w:pPr>
      <w:r w:rsidRPr="00C657C6">
        <w:rPr>
          <w:rFonts w:cs="Arial"/>
        </w:rPr>
        <w:t xml:space="preserve">Em conformidade com o Artigo 27 da Resolução CVM nº 80, de 29/3/2022, declaramos que baseados no nosso conhecimento, no planejamento apresentado pelos auditores e nas discussões subsequentes sobre os resultados da auditoria, concordamos com a opinião expressa no relatório da KPMG Auditores Independentes Ltda., de </w:t>
      </w:r>
      <w:r>
        <w:rPr>
          <w:rFonts w:cs="Arial"/>
        </w:rPr>
        <w:t>14</w:t>
      </w:r>
      <w:r w:rsidRPr="00C657C6">
        <w:rPr>
          <w:rFonts w:cs="Arial"/>
        </w:rPr>
        <w:t xml:space="preserve"> de </w:t>
      </w:r>
      <w:r>
        <w:rPr>
          <w:rFonts w:cs="Arial"/>
        </w:rPr>
        <w:t>fevereiro de 2025</w:t>
      </w:r>
      <w:r w:rsidRPr="00C657C6">
        <w:rPr>
          <w:rFonts w:cs="Arial"/>
        </w:rPr>
        <w:t xml:space="preserve">, referente às demonstrações contábeis da BB Seguridade Participações S.A. relativas ao </w:t>
      </w:r>
      <w:r>
        <w:rPr>
          <w:rFonts w:cs="Arial"/>
        </w:rPr>
        <w:t>exercício</w:t>
      </w:r>
      <w:r w:rsidRPr="00C657C6">
        <w:rPr>
          <w:rFonts w:cs="Arial"/>
        </w:rPr>
        <w:t xml:space="preserve"> findo em 3</w:t>
      </w:r>
      <w:r>
        <w:rPr>
          <w:rFonts w:cs="Arial"/>
        </w:rPr>
        <w:t>1</w:t>
      </w:r>
      <w:r w:rsidRPr="00C657C6">
        <w:rPr>
          <w:rFonts w:cs="Arial"/>
        </w:rPr>
        <w:t xml:space="preserve"> de </w:t>
      </w:r>
      <w:r>
        <w:rPr>
          <w:rFonts w:cs="Arial"/>
        </w:rPr>
        <w:t>dezembro de 2024</w:t>
      </w:r>
      <w:r w:rsidRPr="00C657C6">
        <w:rPr>
          <w:rFonts w:cs="Arial"/>
        </w:rPr>
        <w:t>, não havendo qualquer discordância.</w:t>
      </w:r>
    </w:p>
    <w:p w14:paraId="3ECC3C7D" w14:textId="77777777" w:rsidR="00DD0574" w:rsidRPr="00C657C6" w:rsidRDefault="00DD0574" w:rsidP="00DD0574">
      <w:pPr>
        <w:pStyle w:val="05-Textonormal"/>
        <w:rPr>
          <w:rFonts w:cs="Arial"/>
        </w:rPr>
      </w:pPr>
    </w:p>
    <w:p w14:paraId="3C3967B2" w14:textId="77777777" w:rsidR="00DD0574" w:rsidRPr="00C657C6" w:rsidRDefault="00DD0574" w:rsidP="00DD0574">
      <w:pPr>
        <w:pStyle w:val="05-Textonormal"/>
        <w:spacing w:before="0" w:after="0"/>
        <w:rPr>
          <w:rFonts w:cs="Arial"/>
        </w:rPr>
      </w:pPr>
      <w:r w:rsidRPr="00C657C6">
        <w:rPr>
          <w:rFonts w:cs="Arial"/>
        </w:rPr>
        <w:t xml:space="preserve">Brasília, </w:t>
      </w:r>
      <w:r>
        <w:rPr>
          <w:rFonts w:cs="Arial"/>
        </w:rPr>
        <w:t>14</w:t>
      </w:r>
      <w:r w:rsidRPr="00C657C6">
        <w:rPr>
          <w:rFonts w:cs="Arial"/>
        </w:rPr>
        <w:t xml:space="preserve"> de </w:t>
      </w:r>
      <w:r>
        <w:rPr>
          <w:rFonts w:cs="Arial"/>
        </w:rPr>
        <w:t>fevereiro</w:t>
      </w:r>
      <w:r w:rsidRPr="00C657C6">
        <w:rPr>
          <w:rFonts w:cs="Arial"/>
        </w:rPr>
        <w:t xml:space="preserve"> de 202</w:t>
      </w:r>
      <w:r>
        <w:rPr>
          <w:rFonts w:cs="Arial"/>
        </w:rPr>
        <w:t>5</w:t>
      </w:r>
      <w:r w:rsidRPr="00C657C6">
        <w:rPr>
          <w:rFonts w:cs="Arial"/>
        </w:rPr>
        <w:t>.</w:t>
      </w:r>
    </w:p>
    <w:p w14:paraId="014BDACE" w14:textId="77777777" w:rsidR="00DD0574" w:rsidRPr="00C657C6" w:rsidRDefault="00DD0574" w:rsidP="00DD0574">
      <w:pPr>
        <w:pStyle w:val="05-Textonormal"/>
        <w:spacing w:before="0" w:after="0"/>
        <w:rPr>
          <w:rFonts w:cs="Arial"/>
        </w:rPr>
      </w:pPr>
    </w:p>
    <w:p w14:paraId="5615BAB8" w14:textId="77777777" w:rsidR="00DD0574" w:rsidRPr="00C657C6" w:rsidRDefault="00DD0574" w:rsidP="00DD0574">
      <w:pPr>
        <w:pStyle w:val="05-Textonormal"/>
        <w:spacing w:before="0" w:after="0"/>
        <w:rPr>
          <w:rFonts w:cs="Arial"/>
        </w:rPr>
      </w:pPr>
    </w:p>
    <w:p w14:paraId="1AA9134B" w14:textId="77777777" w:rsidR="00DD0574" w:rsidRPr="00C657C6" w:rsidRDefault="00DD0574" w:rsidP="00DD0574">
      <w:pPr>
        <w:pStyle w:val="05-Textonormal"/>
        <w:spacing w:before="0" w:after="0" w:line="240" w:lineRule="auto"/>
        <w:rPr>
          <w:rFonts w:cs="Arial"/>
        </w:rPr>
      </w:pPr>
      <w:r w:rsidRPr="00C657C6">
        <w:rPr>
          <w:rFonts w:cs="Arial"/>
        </w:rPr>
        <w:t xml:space="preserve">André Gustavo Borba Assumpção </w:t>
      </w:r>
      <w:proofErr w:type="spellStart"/>
      <w:r w:rsidRPr="00C657C6">
        <w:rPr>
          <w:rFonts w:cs="Arial"/>
        </w:rPr>
        <w:t>Haui</w:t>
      </w:r>
      <w:proofErr w:type="spellEnd"/>
    </w:p>
    <w:p w14:paraId="6355D925" w14:textId="77777777" w:rsidR="00DD0574" w:rsidRPr="00C657C6" w:rsidRDefault="00DD0574" w:rsidP="00DD0574">
      <w:pPr>
        <w:pStyle w:val="05-Textonormal"/>
        <w:spacing w:before="0" w:after="0" w:line="240" w:lineRule="auto"/>
        <w:rPr>
          <w:rFonts w:cs="Arial"/>
        </w:rPr>
      </w:pPr>
      <w:r w:rsidRPr="00C657C6">
        <w:rPr>
          <w:rFonts w:cs="Arial"/>
        </w:rPr>
        <w:t>Diretor-Presidente</w:t>
      </w:r>
    </w:p>
    <w:p w14:paraId="6F78436B" w14:textId="77777777" w:rsidR="00DD0574" w:rsidRPr="00C657C6" w:rsidRDefault="00DD0574" w:rsidP="00DD0574">
      <w:pPr>
        <w:pStyle w:val="05-Textonormal"/>
        <w:spacing w:before="0" w:after="0" w:line="240" w:lineRule="auto"/>
        <w:rPr>
          <w:rFonts w:cs="Arial"/>
        </w:rPr>
      </w:pPr>
    </w:p>
    <w:p w14:paraId="73BF5E0C" w14:textId="77777777" w:rsidR="00DD0574" w:rsidRPr="00C657C6" w:rsidRDefault="00DD0574" w:rsidP="00DD0574">
      <w:pPr>
        <w:pStyle w:val="05-Textonormal"/>
        <w:spacing w:before="0" w:after="0" w:line="240" w:lineRule="auto"/>
        <w:rPr>
          <w:rFonts w:cs="Arial"/>
        </w:rPr>
      </w:pPr>
    </w:p>
    <w:p w14:paraId="0F87EE12" w14:textId="77777777" w:rsidR="00DD0574" w:rsidRPr="00C657C6" w:rsidRDefault="00DD0574" w:rsidP="00DD0574">
      <w:pPr>
        <w:pStyle w:val="05-Textonormal"/>
        <w:spacing w:before="0" w:after="0" w:line="240" w:lineRule="auto"/>
        <w:rPr>
          <w:rFonts w:cs="Arial"/>
          <w:snapToGrid w:val="0"/>
        </w:rPr>
      </w:pPr>
      <w:r w:rsidRPr="00C657C6">
        <w:rPr>
          <w:rFonts w:cs="Arial"/>
          <w:snapToGrid w:val="0"/>
        </w:rPr>
        <w:t>Allan Trancoso Ferraz Silva</w:t>
      </w:r>
    </w:p>
    <w:p w14:paraId="6CC4D7D1" w14:textId="77777777" w:rsidR="00DD0574" w:rsidRPr="00C657C6" w:rsidRDefault="00DD0574" w:rsidP="00DD0574">
      <w:pPr>
        <w:pStyle w:val="05-Textonormal"/>
        <w:spacing w:before="0" w:after="0" w:line="240" w:lineRule="auto"/>
        <w:rPr>
          <w:rFonts w:cs="Arial"/>
          <w:snapToGrid w:val="0"/>
        </w:rPr>
      </w:pPr>
      <w:r w:rsidRPr="00C657C6">
        <w:rPr>
          <w:rFonts w:cs="Arial"/>
          <w:snapToGrid w:val="0"/>
        </w:rPr>
        <w:t>Diretor Comercial, Marketing e Clientes</w:t>
      </w:r>
    </w:p>
    <w:p w14:paraId="56985E5E" w14:textId="77777777" w:rsidR="00DD0574" w:rsidRPr="00C657C6" w:rsidRDefault="00DD0574" w:rsidP="00DD0574">
      <w:pPr>
        <w:pStyle w:val="05-Textonormal"/>
        <w:spacing w:before="0" w:after="0" w:line="240" w:lineRule="auto"/>
        <w:rPr>
          <w:rFonts w:cs="Arial"/>
        </w:rPr>
      </w:pPr>
    </w:p>
    <w:p w14:paraId="2E69164A" w14:textId="77777777" w:rsidR="00DD0574" w:rsidRPr="00C657C6" w:rsidRDefault="00DD0574" w:rsidP="00DD0574">
      <w:pPr>
        <w:pStyle w:val="05-Textonormal"/>
        <w:spacing w:before="0" w:after="0" w:line="240" w:lineRule="auto"/>
        <w:rPr>
          <w:rFonts w:cs="Arial"/>
        </w:rPr>
      </w:pPr>
    </w:p>
    <w:p w14:paraId="1088DC11" w14:textId="77777777" w:rsidR="00DD0574" w:rsidRPr="00C657C6" w:rsidRDefault="00DD0574" w:rsidP="00DD0574">
      <w:pPr>
        <w:pStyle w:val="05-Textonormal"/>
        <w:spacing w:before="0" w:after="0" w:line="240" w:lineRule="auto"/>
        <w:rPr>
          <w:rFonts w:cs="Arial"/>
        </w:rPr>
      </w:pPr>
      <w:r w:rsidRPr="00C657C6">
        <w:rPr>
          <w:rFonts w:cs="Arial"/>
        </w:rPr>
        <w:t>Bruno Alves do Nascimento</w:t>
      </w:r>
    </w:p>
    <w:p w14:paraId="6D6F4114" w14:textId="77777777" w:rsidR="00DD0574" w:rsidRPr="00C657C6" w:rsidRDefault="00DD0574" w:rsidP="00DD0574">
      <w:pPr>
        <w:pStyle w:val="05-Textonormal"/>
        <w:spacing w:before="0" w:after="0" w:line="240" w:lineRule="auto"/>
        <w:rPr>
          <w:rFonts w:cs="Arial"/>
        </w:rPr>
      </w:pPr>
      <w:r w:rsidRPr="00C657C6">
        <w:rPr>
          <w:rFonts w:cs="Arial"/>
        </w:rPr>
        <w:t>Diretor de Estratégia e Tecnologia</w:t>
      </w:r>
    </w:p>
    <w:p w14:paraId="6020925A" w14:textId="77777777" w:rsidR="00DD0574" w:rsidRPr="00C657C6" w:rsidRDefault="00DD0574" w:rsidP="00DD0574">
      <w:pPr>
        <w:pStyle w:val="05-Textonormal"/>
        <w:spacing w:before="0" w:after="0" w:line="240" w:lineRule="auto"/>
        <w:rPr>
          <w:rFonts w:cs="Arial"/>
        </w:rPr>
      </w:pPr>
    </w:p>
    <w:p w14:paraId="5C9B6AB9" w14:textId="77777777" w:rsidR="00DD0574" w:rsidRPr="00C657C6" w:rsidRDefault="00DD0574" w:rsidP="00DD0574">
      <w:pPr>
        <w:pStyle w:val="05-Textonormal"/>
        <w:spacing w:before="0" w:after="0" w:line="240" w:lineRule="auto"/>
        <w:rPr>
          <w:rFonts w:cs="Arial"/>
          <w:snapToGrid w:val="0"/>
        </w:rPr>
      </w:pPr>
    </w:p>
    <w:p w14:paraId="515A27DA" w14:textId="77777777" w:rsidR="00DD0574" w:rsidRPr="00C657C6" w:rsidRDefault="00DD0574" w:rsidP="00DD0574">
      <w:pPr>
        <w:pStyle w:val="05-Textonormal"/>
        <w:spacing w:before="0" w:after="0" w:line="240" w:lineRule="auto"/>
        <w:rPr>
          <w:rFonts w:cs="Arial"/>
          <w:snapToGrid w:val="0"/>
        </w:rPr>
      </w:pPr>
      <w:r w:rsidRPr="00C657C6">
        <w:rPr>
          <w:rFonts w:cs="Arial"/>
          <w:snapToGrid w:val="0"/>
        </w:rPr>
        <w:t xml:space="preserve">Rafael Augusto </w:t>
      </w:r>
      <w:proofErr w:type="spellStart"/>
      <w:r w:rsidRPr="00C657C6">
        <w:rPr>
          <w:rFonts w:cs="Arial"/>
          <w:snapToGrid w:val="0"/>
        </w:rPr>
        <w:t>Sperendio</w:t>
      </w:r>
      <w:proofErr w:type="spellEnd"/>
    </w:p>
    <w:p w14:paraId="0AB7BE93" w14:textId="77777777" w:rsidR="00DD0574" w:rsidRPr="00C657C6" w:rsidRDefault="00DD0574" w:rsidP="00DD0574">
      <w:pPr>
        <w:pStyle w:val="05-Textonormal"/>
        <w:spacing w:before="0" w:after="0" w:line="240" w:lineRule="auto"/>
        <w:rPr>
          <w:rFonts w:cs="Arial"/>
        </w:rPr>
      </w:pPr>
      <w:r w:rsidRPr="00C657C6">
        <w:rPr>
          <w:rFonts w:cs="Arial"/>
        </w:rPr>
        <w:t>Diretor de Finanças e Relações com Investidores</w:t>
      </w:r>
    </w:p>
    <w:bookmarkEnd w:id="154"/>
    <w:p w14:paraId="3B96297F" w14:textId="77777777" w:rsidR="00AB09B4" w:rsidRPr="00BF2AAF" w:rsidRDefault="00AB09B4" w:rsidP="00AB09B4">
      <w:pPr>
        <w:pStyle w:val="05-Textonormal"/>
        <w:spacing w:before="0" w:after="0" w:line="240" w:lineRule="auto"/>
        <w:rPr>
          <w:rFonts w:cs="Arial"/>
          <w:sz w:val="20"/>
          <w:szCs w:val="20"/>
        </w:rPr>
      </w:pPr>
    </w:p>
    <w:p w14:paraId="7E623006" w14:textId="77777777" w:rsidR="009B11EE" w:rsidRPr="00BF2AAF" w:rsidRDefault="009B11EE" w:rsidP="009B11EE">
      <w:pPr>
        <w:pStyle w:val="05-Textonormal"/>
        <w:spacing w:before="0" w:after="0" w:line="240" w:lineRule="auto"/>
        <w:rPr>
          <w:rFonts w:cs="Arial"/>
          <w:snapToGrid w:val="0"/>
        </w:rPr>
      </w:pPr>
    </w:p>
    <w:p w14:paraId="0AC2ADF4" w14:textId="77777777" w:rsidR="00AB09B4" w:rsidRPr="00BF2AAF" w:rsidRDefault="00AB09B4" w:rsidP="00AB09B4">
      <w:pPr>
        <w:rPr>
          <w:rFonts w:ascii="Arial" w:hAnsi="Arial" w:cs="Arial"/>
          <w:sz w:val="20"/>
          <w:szCs w:val="20"/>
          <w:lang w:eastAsia="pt-BR"/>
        </w:rPr>
      </w:pPr>
      <w:r w:rsidRPr="00BF2AAF">
        <w:rPr>
          <w:rFonts w:ascii="Arial" w:hAnsi="Arial" w:cs="Arial"/>
          <w:sz w:val="20"/>
          <w:szCs w:val="20"/>
          <w:lang w:eastAsia="pt-BR"/>
        </w:rPr>
        <w:br w:type="page"/>
      </w:r>
    </w:p>
    <w:p w14:paraId="7E5BE4A7" w14:textId="77777777" w:rsidR="00AF3607" w:rsidRDefault="00AF3607" w:rsidP="00AF3607">
      <w:pPr>
        <w:pStyle w:val="02-TtulodeNota"/>
        <w:spacing w:before="0" w:after="200"/>
        <w:jc w:val="left"/>
        <w:outlineLvl w:val="9"/>
        <w:rPr>
          <w:rFonts w:cs="Arial"/>
        </w:rPr>
      </w:pPr>
      <w:r w:rsidRPr="00BF2AAF">
        <w:rPr>
          <w:rFonts w:cs="Arial"/>
        </w:rPr>
        <w:lastRenderedPageBreak/>
        <w:t>MEMBROS DA ADMINISTRAÇÃO</w:t>
      </w:r>
      <w:bookmarkEnd w:id="150"/>
    </w:p>
    <w:p w14:paraId="50862E69" w14:textId="77777777" w:rsidR="00AA5EBA" w:rsidRDefault="00AA5EBA" w:rsidP="00AA5EBA">
      <w:pPr>
        <w:rPr>
          <w:lang w:eastAsia="pt-BR"/>
        </w:rPr>
      </w:pPr>
    </w:p>
    <w:p w14:paraId="553E02D6" w14:textId="77777777" w:rsidR="00AA5EBA" w:rsidRPr="00BF2AAF" w:rsidRDefault="00AA5EBA" w:rsidP="00AA5EBA">
      <w:pPr>
        <w:spacing w:line="240" w:lineRule="auto"/>
        <w:rPr>
          <w:rFonts w:ascii="Arial" w:eastAsia="Times New Roman" w:hAnsi="Arial" w:cs="Arial"/>
          <w:b/>
          <w:color w:val="1F3864" w:themeColor="accent1" w:themeShade="80"/>
          <w:spacing w:val="-2"/>
          <w:sz w:val="20"/>
          <w:szCs w:val="20"/>
          <w:lang w:eastAsia="pt-BR"/>
        </w:rPr>
      </w:pPr>
      <w:r w:rsidRPr="00BF2AAF">
        <w:rPr>
          <w:rFonts w:ascii="Arial" w:eastAsia="Times New Roman" w:hAnsi="Arial" w:cs="Arial"/>
          <w:b/>
          <w:color w:val="1F3864" w:themeColor="accent1" w:themeShade="80"/>
          <w:spacing w:val="-2"/>
          <w:sz w:val="20"/>
          <w:szCs w:val="20"/>
          <w:lang w:eastAsia="pt-BR"/>
        </w:rPr>
        <w:t>DIRETOR-PRESIDENTE</w:t>
      </w:r>
    </w:p>
    <w:p w14:paraId="46FFA967" w14:textId="77777777" w:rsidR="00AA5EBA" w:rsidRPr="00C657C6" w:rsidRDefault="00AA5EBA" w:rsidP="00AA5EBA">
      <w:pPr>
        <w:keepNext/>
        <w:spacing w:line="240" w:lineRule="auto"/>
        <w:rPr>
          <w:rFonts w:ascii="Arial" w:eastAsia="Times New Roman" w:hAnsi="Arial" w:cs="Arial"/>
          <w:snapToGrid w:val="0"/>
          <w:spacing w:val="-2"/>
          <w:sz w:val="18"/>
          <w:szCs w:val="18"/>
          <w:lang w:eastAsia="pt-BR"/>
        </w:rPr>
      </w:pPr>
      <w:r w:rsidRPr="00C657C6">
        <w:rPr>
          <w:rFonts w:ascii="Arial" w:eastAsia="Times New Roman" w:hAnsi="Arial" w:cs="Arial"/>
          <w:snapToGrid w:val="0"/>
          <w:spacing w:val="-2"/>
          <w:sz w:val="18"/>
          <w:szCs w:val="18"/>
          <w:lang w:eastAsia="pt-BR"/>
        </w:rPr>
        <w:t xml:space="preserve">André Gustavo Borba Assumpção </w:t>
      </w:r>
      <w:proofErr w:type="spellStart"/>
      <w:r w:rsidRPr="00C657C6">
        <w:rPr>
          <w:rFonts w:ascii="Arial" w:eastAsia="Times New Roman" w:hAnsi="Arial" w:cs="Arial"/>
          <w:snapToGrid w:val="0"/>
          <w:spacing w:val="-2"/>
          <w:sz w:val="18"/>
          <w:szCs w:val="18"/>
          <w:lang w:eastAsia="pt-BR"/>
        </w:rPr>
        <w:t>Haui</w:t>
      </w:r>
      <w:proofErr w:type="spellEnd"/>
    </w:p>
    <w:p w14:paraId="5912B034" w14:textId="77777777" w:rsidR="00AA5EBA" w:rsidRPr="00470A33" w:rsidRDefault="00AA5EBA" w:rsidP="00AA5EBA">
      <w:pPr>
        <w:spacing w:after="100" w:line="240" w:lineRule="auto"/>
        <w:rPr>
          <w:rFonts w:ascii="Arial" w:eastAsia="Times New Roman" w:hAnsi="Arial" w:cs="Arial"/>
          <w:b/>
          <w:color w:val="1F3864" w:themeColor="accent1" w:themeShade="80"/>
          <w:spacing w:val="-2"/>
          <w:sz w:val="20"/>
          <w:szCs w:val="20"/>
          <w:lang w:eastAsia="pt-BR"/>
        </w:rPr>
      </w:pPr>
    </w:p>
    <w:p w14:paraId="3CFEA849" w14:textId="77777777" w:rsidR="00AA5EBA" w:rsidRPr="00BF2AAF" w:rsidRDefault="00AA5EBA" w:rsidP="00AA5EBA">
      <w:pPr>
        <w:spacing w:line="240" w:lineRule="auto"/>
        <w:rPr>
          <w:rFonts w:ascii="Arial" w:eastAsia="Times New Roman" w:hAnsi="Arial" w:cs="Arial"/>
          <w:b/>
          <w:color w:val="1F3864" w:themeColor="accent1" w:themeShade="80"/>
          <w:spacing w:val="-2"/>
          <w:sz w:val="20"/>
          <w:szCs w:val="20"/>
          <w:lang w:eastAsia="pt-BR"/>
        </w:rPr>
      </w:pPr>
      <w:r w:rsidRPr="00BF2AAF">
        <w:rPr>
          <w:rFonts w:ascii="Arial" w:eastAsia="Times New Roman" w:hAnsi="Arial" w:cs="Arial"/>
          <w:b/>
          <w:color w:val="1F3864" w:themeColor="accent1" w:themeShade="80"/>
          <w:spacing w:val="-2"/>
          <w:sz w:val="20"/>
          <w:szCs w:val="20"/>
          <w:lang w:eastAsia="pt-BR"/>
        </w:rPr>
        <w:t>DIRETORES</w:t>
      </w:r>
    </w:p>
    <w:p w14:paraId="108AD9DB" w14:textId="77777777" w:rsidR="00AA5EBA" w:rsidRDefault="00AA5EBA" w:rsidP="00AA5EBA">
      <w:pPr>
        <w:keepNext/>
        <w:spacing w:line="240" w:lineRule="auto"/>
        <w:rPr>
          <w:rFonts w:ascii="Arial" w:eastAsia="Times New Roman" w:hAnsi="Arial" w:cs="Arial"/>
          <w:snapToGrid w:val="0"/>
          <w:spacing w:val="-2"/>
          <w:sz w:val="18"/>
          <w:szCs w:val="18"/>
          <w:lang w:eastAsia="pt-BR"/>
        </w:rPr>
      </w:pPr>
      <w:r w:rsidRPr="00C00F68">
        <w:rPr>
          <w:rFonts w:ascii="Arial" w:eastAsia="Times New Roman" w:hAnsi="Arial" w:cs="Arial"/>
          <w:snapToGrid w:val="0"/>
          <w:spacing w:val="-2"/>
          <w:sz w:val="18"/>
          <w:szCs w:val="18"/>
          <w:lang w:eastAsia="pt-BR"/>
        </w:rPr>
        <w:t>Allan Trancoso Ferraz Silva</w:t>
      </w:r>
    </w:p>
    <w:p w14:paraId="39D45829" w14:textId="77777777" w:rsidR="00AA5EBA" w:rsidRPr="00BF2AAF" w:rsidRDefault="00AA5EBA" w:rsidP="00AA5EBA">
      <w:pPr>
        <w:keepNext/>
        <w:spacing w:line="240" w:lineRule="auto"/>
        <w:rPr>
          <w:rFonts w:ascii="Arial" w:eastAsia="Times New Roman" w:hAnsi="Arial" w:cs="Arial"/>
          <w:snapToGrid w:val="0"/>
          <w:spacing w:val="-2"/>
          <w:sz w:val="18"/>
          <w:szCs w:val="18"/>
          <w:lang w:eastAsia="pt-BR"/>
        </w:rPr>
      </w:pPr>
      <w:r w:rsidRPr="00BF2AAF">
        <w:rPr>
          <w:rFonts w:ascii="Arial" w:eastAsia="Times New Roman" w:hAnsi="Arial" w:cs="Arial"/>
          <w:snapToGrid w:val="0"/>
          <w:spacing w:val="-2"/>
          <w:sz w:val="18"/>
          <w:szCs w:val="18"/>
          <w:lang w:eastAsia="pt-BR"/>
        </w:rPr>
        <w:t>Bruno Alves do Nascimento</w:t>
      </w:r>
    </w:p>
    <w:p w14:paraId="2247002D" w14:textId="77777777" w:rsidR="00AA5EBA" w:rsidRPr="00BF2AAF" w:rsidRDefault="00AA5EBA" w:rsidP="00AA5EBA">
      <w:pPr>
        <w:keepNext/>
        <w:spacing w:line="240" w:lineRule="auto"/>
        <w:rPr>
          <w:rFonts w:ascii="Arial" w:eastAsia="Times New Roman" w:hAnsi="Arial" w:cs="Arial"/>
          <w:snapToGrid w:val="0"/>
          <w:spacing w:val="-2"/>
          <w:sz w:val="18"/>
          <w:szCs w:val="18"/>
          <w:lang w:eastAsia="pt-BR"/>
        </w:rPr>
      </w:pPr>
      <w:r w:rsidRPr="00BF2AAF">
        <w:rPr>
          <w:rFonts w:ascii="Arial" w:eastAsia="Times New Roman" w:hAnsi="Arial" w:cs="Arial"/>
          <w:snapToGrid w:val="0"/>
          <w:spacing w:val="-2"/>
          <w:sz w:val="18"/>
          <w:szCs w:val="18"/>
          <w:lang w:eastAsia="pt-BR"/>
        </w:rPr>
        <w:t xml:space="preserve">Rafael Augusto </w:t>
      </w:r>
      <w:proofErr w:type="spellStart"/>
      <w:r w:rsidRPr="00BF2AAF">
        <w:rPr>
          <w:rFonts w:ascii="Arial" w:eastAsia="Times New Roman" w:hAnsi="Arial" w:cs="Arial"/>
          <w:snapToGrid w:val="0"/>
          <w:spacing w:val="-2"/>
          <w:sz w:val="18"/>
          <w:szCs w:val="18"/>
          <w:lang w:eastAsia="pt-BR"/>
        </w:rPr>
        <w:t>Sperendio</w:t>
      </w:r>
      <w:proofErr w:type="spellEnd"/>
    </w:p>
    <w:p w14:paraId="18DE8BAD" w14:textId="77777777" w:rsidR="00AA5EBA" w:rsidRPr="00470A33" w:rsidRDefault="00AA5EBA" w:rsidP="00AA5EBA">
      <w:pPr>
        <w:spacing w:after="100" w:line="240" w:lineRule="auto"/>
        <w:rPr>
          <w:rFonts w:ascii="Arial" w:eastAsia="Times New Roman" w:hAnsi="Arial" w:cs="Arial"/>
          <w:b/>
          <w:color w:val="1F3864" w:themeColor="accent1" w:themeShade="80"/>
          <w:spacing w:val="-2"/>
          <w:sz w:val="20"/>
          <w:szCs w:val="20"/>
          <w:lang w:eastAsia="pt-BR"/>
        </w:rPr>
      </w:pPr>
    </w:p>
    <w:p w14:paraId="2CA130B5" w14:textId="77777777" w:rsidR="00AA5EBA" w:rsidRPr="00BF2AAF" w:rsidRDefault="00AA5EBA" w:rsidP="00AA5EBA">
      <w:pPr>
        <w:spacing w:line="240" w:lineRule="auto"/>
        <w:rPr>
          <w:rFonts w:ascii="Arial" w:eastAsia="Times New Roman" w:hAnsi="Arial" w:cs="Arial"/>
          <w:b/>
          <w:color w:val="1F3864" w:themeColor="accent1" w:themeShade="80"/>
          <w:spacing w:val="-2"/>
          <w:sz w:val="20"/>
          <w:szCs w:val="20"/>
          <w:lang w:eastAsia="pt-BR"/>
        </w:rPr>
      </w:pPr>
      <w:r w:rsidRPr="00BF2AAF">
        <w:rPr>
          <w:rFonts w:ascii="Arial" w:eastAsia="Times New Roman" w:hAnsi="Arial" w:cs="Arial"/>
          <w:b/>
          <w:color w:val="1F3864" w:themeColor="accent1" w:themeShade="80"/>
          <w:spacing w:val="-2"/>
          <w:sz w:val="20"/>
          <w:szCs w:val="20"/>
          <w:lang w:eastAsia="pt-BR"/>
        </w:rPr>
        <w:t>CONSELHO DE ADMINISTRAÇÃO</w:t>
      </w:r>
    </w:p>
    <w:p w14:paraId="3ED666D2" w14:textId="77777777" w:rsidR="00AA5EBA" w:rsidRPr="00BF2AAF" w:rsidRDefault="00AA5EBA" w:rsidP="00AA5EBA">
      <w:pPr>
        <w:keepNext/>
        <w:spacing w:line="240" w:lineRule="auto"/>
        <w:rPr>
          <w:rFonts w:ascii="Arial" w:eastAsia="Times New Roman" w:hAnsi="Arial" w:cs="Arial"/>
          <w:snapToGrid w:val="0"/>
          <w:spacing w:val="-2"/>
          <w:sz w:val="18"/>
          <w:szCs w:val="18"/>
          <w:lang w:eastAsia="pt-BR"/>
        </w:rPr>
      </w:pPr>
      <w:proofErr w:type="spellStart"/>
      <w:r w:rsidRPr="00BF2AAF">
        <w:rPr>
          <w:rFonts w:ascii="Arial" w:eastAsia="Times New Roman" w:hAnsi="Arial" w:cs="Arial"/>
          <w:snapToGrid w:val="0"/>
          <w:spacing w:val="-2"/>
          <w:sz w:val="18"/>
          <w:szCs w:val="18"/>
          <w:lang w:eastAsia="pt-BR"/>
        </w:rPr>
        <w:t>Kamillo</w:t>
      </w:r>
      <w:proofErr w:type="spellEnd"/>
      <w:r w:rsidRPr="00BF2AAF">
        <w:rPr>
          <w:rFonts w:ascii="Arial" w:eastAsia="Times New Roman" w:hAnsi="Arial" w:cs="Arial"/>
          <w:snapToGrid w:val="0"/>
          <w:spacing w:val="-2"/>
          <w:sz w:val="18"/>
          <w:szCs w:val="18"/>
          <w:lang w:eastAsia="pt-BR"/>
        </w:rPr>
        <w:t xml:space="preserve"> </w:t>
      </w:r>
      <w:proofErr w:type="spellStart"/>
      <w:r w:rsidRPr="00BF2AAF">
        <w:rPr>
          <w:rFonts w:ascii="Arial" w:eastAsia="Times New Roman" w:hAnsi="Arial" w:cs="Arial"/>
          <w:snapToGrid w:val="0"/>
          <w:spacing w:val="-2"/>
          <w:sz w:val="18"/>
          <w:szCs w:val="18"/>
          <w:lang w:eastAsia="pt-BR"/>
        </w:rPr>
        <w:t>Tononi</w:t>
      </w:r>
      <w:proofErr w:type="spellEnd"/>
      <w:r w:rsidRPr="00BF2AAF">
        <w:rPr>
          <w:rFonts w:ascii="Arial" w:eastAsia="Times New Roman" w:hAnsi="Arial" w:cs="Arial"/>
          <w:snapToGrid w:val="0"/>
          <w:spacing w:val="-2"/>
          <w:sz w:val="18"/>
          <w:szCs w:val="18"/>
          <w:lang w:eastAsia="pt-BR"/>
        </w:rPr>
        <w:t xml:space="preserve"> Oliveira Silva (Presidente)</w:t>
      </w:r>
    </w:p>
    <w:p w14:paraId="423362AD" w14:textId="77777777" w:rsidR="00AA5EBA" w:rsidRPr="00C657C6" w:rsidRDefault="00AA5EBA" w:rsidP="00AA5EBA">
      <w:pPr>
        <w:keepNext/>
        <w:spacing w:line="240" w:lineRule="auto"/>
        <w:rPr>
          <w:rFonts w:ascii="Arial" w:eastAsia="Times New Roman" w:hAnsi="Arial" w:cs="Arial"/>
          <w:snapToGrid w:val="0"/>
          <w:spacing w:val="-2"/>
          <w:sz w:val="18"/>
          <w:szCs w:val="18"/>
          <w:lang w:eastAsia="pt-BR"/>
        </w:rPr>
      </w:pPr>
      <w:r w:rsidRPr="00C657C6">
        <w:rPr>
          <w:rFonts w:ascii="Arial" w:eastAsia="Times New Roman" w:hAnsi="Arial" w:cs="Arial"/>
          <w:snapToGrid w:val="0"/>
          <w:spacing w:val="-2"/>
          <w:sz w:val="18"/>
          <w:szCs w:val="18"/>
          <w:lang w:eastAsia="pt-BR"/>
        </w:rPr>
        <w:t xml:space="preserve">André Gustavo Borba Assumpção </w:t>
      </w:r>
      <w:proofErr w:type="spellStart"/>
      <w:r w:rsidRPr="00C657C6">
        <w:rPr>
          <w:rFonts w:ascii="Arial" w:eastAsia="Times New Roman" w:hAnsi="Arial" w:cs="Arial"/>
          <w:snapToGrid w:val="0"/>
          <w:spacing w:val="-2"/>
          <w:sz w:val="18"/>
          <w:szCs w:val="18"/>
          <w:lang w:eastAsia="pt-BR"/>
        </w:rPr>
        <w:t>Haui</w:t>
      </w:r>
      <w:proofErr w:type="spellEnd"/>
    </w:p>
    <w:p w14:paraId="485D5F43" w14:textId="77777777" w:rsidR="00AA5EBA" w:rsidRPr="00FF5FCC" w:rsidRDefault="00AA5EBA" w:rsidP="00AA5EBA">
      <w:pPr>
        <w:keepNext/>
        <w:spacing w:line="240" w:lineRule="auto"/>
        <w:rPr>
          <w:rFonts w:ascii="Arial" w:eastAsia="Times New Roman" w:hAnsi="Arial" w:cs="Arial"/>
          <w:snapToGrid w:val="0"/>
          <w:spacing w:val="-2"/>
          <w:sz w:val="18"/>
          <w:szCs w:val="18"/>
          <w:lang w:eastAsia="pt-BR"/>
        </w:rPr>
      </w:pPr>
      <w:r w:rsidRPr="00FF5FCC">
        <w:rPr>
          <w:rFonts w:ascii="Arial" w:eastAsia="Times New Roman" w:hAnsi="Arial" w:cs="Arial"/>
          <w:snapToGrid w:val="0"/>
          <w:spacing w:val="-2"/>
          <w:sz w:val="18"/>
          <w:szCs w:val="18"/>
          <w:lang w:eastAsia="pt-BR"/>
        </w:rPr>
        <w:t>Gilberto Lourenço da Aparecida</w:t>
      </w:r>
    </w:p>
    <w:p w14:paraId="411C7411" w14:textId="77777777" w:rsidR="00AA5EBA" w:rsidRPr="00FF5FCC" w:rsidRDefault="00AA5EBA" w:rsidP="00AA5EBA">
      <w:pPr>
        <w:keepNext/>
        <w:spacing w:line="240" w:lineRule="auto"/>
        <w:rPr>
          <w:rFonts w:ascii="Arial" w:eastAsia="Times New Roman" w:hAnsi="Arial" w:cs="Arial"/>
          <w:snapToGrid w:val="0"/>
          <w:spacing w:val="-2"/>
          <w:sz w:val="18"/>
          <w:szCs w:val="18"/>
          <w:lang w:eastAsia="pt-BR"/>
        </w:rPr>
      </w:pPr>
      <w:r w:rsidRPr="00FF5FCC">
        <w:rPr>
          <w:rFonts w:ascii="Arial" w:eastAsia="Times New Roman" w:hAnsi="Arial" w:cs="Arial"/>
          <w:snapToGrid w:val="0"/>
          <w:spacing w:val="-2"/>
          <w:sz w:val="18"/>
          <w:szCs w:val="18"/>
          <w:lang w:eastAsia="pt-BR"/>
        </w:rPr>
        <w:t>Guilherme Santos Mello</w:t>
      </w:r>
    </w:p>
    <w:p w14:paraId="7B9D8B23" w14:textId="77777777" w:rsidR="00AA5EBA" w:rsidRPr="00FF5FCC" w:rsidRDefault="00AA5EBA" w:rsidP="00AA5EBA">
      <w:pPr>
        <w:keepNext/>
        <w:spacing w:line="240" w:lineRule="auto"/>
        <w:rPr>
          <w:rFonts w:ascii="Arial" w:eastAsia="Times New Roman" w:hAnsi="Arial" w:cs="Arial"/>
          <w:snapToGrid w:val="0"/>
          <w:spacing w:val="-2"/>
          <w:sz w:val="18"/>
          <w:szCs w:val="18"/>
          <w:lang w:eastAsia="pt-BR"/>
        </w:rPr>
      </w:pPr>
      <w:r w:rsidRPr="00FF5FCC">
        <w:rPr>
          <w:rFonts w:ascii="Arial" w:eastAsia="Times New Roman" w:hAnsi="Arial" w:cs="Arial"/>
          <w:snapToGrid w:val="0"/>
          <w:spacing w:val="-2"/>
          <w:sz w:val="18"/>
          <w:szCs w:val="18"/>
          <w:lang w:eastAsia="pt-BR"/>
        </w:rPr>
        <w:t>Marcos Rogério de Souza</w:t>
      </w:r>
    </w:p>
    <w:p w14:paraId="65EFAB2F" w14:textId="77777777" w:rsidR="00AA5EBA" w:rsidRDefault="00AA5EBA" w:rsidP="00AA5EBA">
      <w:pPr>
        <w:keepNext/>
        <w:spacing w:line="240" w:lineRule="auto"/>
        <w:rPr>
          <w:rFonts w:ascii="Arial" w:eastAsia="Times New Roman" w:hAnsi="Arial" w:cs="Arial"/>
          <w:snapToGrid w:val="0"/>
          <w:spacing w:val="-2"/>
          <w:sz w:val="18"/>
          <w:szCs w:val="18"/>
          <w:lang w:eastAsia="pt-BR"/>
        </w:rPr>
      </w:pPr>
      <w:r w:rsidRPr="00BF2AAF">
        <w:rPr>
          <w:rFonts w:ascii="Arial" w:eastAsia="Times New Roman" w:hAnsi="Arial" w:cs="Arial"/>
          <w:snapToGrid w:val="0"/>
          <w:spacing w:val="-2"/>
          <w:sz w:val="18"/>
          <w:szCs w:val="18"/>
          <w:lang w:eastAsia="pt-BR"/>
        </w:rPr>
        <w:t>Maria Carolina Ferreira Lacerda</w:t>
      </w:r>
    </w:p>
    <w:p w14:paraId="36871273" w14:textId="77777777" w:rsidR="00AA5EBA" w:rsidRPr="00BF2AAF" w:rsidRDefault="00AA5EBA" w:rsidP="00AA5EBA">
      <w:pPr>
        <w:keepNext/>
        <w:spacing w:line="240" w:lineRule="auto"/>
        <w:rPr>
          <w:rFonts w:ascii="Arial" w:eastAsia="Times New Roman" w:hAnsi="Arial" w:cs="Arial"/>
          <w:snapToGrid w:val="0"/>
          <w:spacing w:val="-2"/>
          <w:sz w:val="18"/>
          <w:szCs w:val="18"/>
          <w:lang w:eastAsia="pt-BR"/>
        </w:rPr>
      </w:pPr>
      <w:r w:rsidRPr="00085C68">
        <w:rPr>
          <w:rFonts w:ascii="Arial" w:eastAsia="Times New Roman" w:hAnsi="Arial" w:cs="Arial"/>
          <w:snapToGrid w:val="0"/>
          <w:spacing w:val="-2"/>
          <w:sz w:val="18"/>
          <w:szCs w:val="18"/>
          <w:lang w:eastAsia="pt-BR"/>
        </w:rPr>
        <w:t>Rosiane Barbosa Laviola</w:t>
      </w:r>
    </w:p>
    <w:p w14:paraId="76DBA096" w14:textId="77777777" w:rsidR="00AA5EBA" w:rsidRPr="00470A33" w:rsidRDefault="00AA5EBA" w:rsidP="00AA5EBA">
      <w:pPr>
        <w:spacing w:after="100" w:line="240" w:lineRule="auto"/>
        <w:rPr>
          <w:rFonts w:ascii="Arial" w:eastAsia="Times New Roman" w:hAnsi="Arial" w:cs="Arial"/>
          <w:b/>
          <w:color w:val="1F3864" w:themeColor="accent1" w:themeShade="80"/>
          <w:spacing w:val="-2"/>
          <w:sz w:val="20"/>
          <w:szCs w:val="20"/>
          <w:lang w:eastAsia="pt-BR"/>
        </w:rPr>
      </w:pPr>
    </w:p>
    <w:p w14:paraId="62ACA063" w14:textId="77777777" w:rsidR="00AA5EBA" w:rsidRPr="00BF2AAF" w:rsidRDefault="00AA5EBA" w:rsidP="00AA5EBA">
      <w:pPr>
        <w:spacing w:line="240" w:lineRule="auto"/>
        <w:rPr>
          <w:rFonts w:ascii="Arial" w:eastAsia="Times New Roman" w:hAnsi="Arial" w:cs="Arial"/>
          <w:b/>
          <w:color w:val="1F3864" w:themeColor="accent1" w:themeShade="80"/>
          <w:spacing w:val="-2"/>
          <w:sz w:val="20"/>
          <w:szCs w:val="20"/>
          <w:lang w:eastAsia="pt-BR"/>
        </w:rPr>
      </w:pPr>
      <w:r w:rsidRPr="00BF2AAF">
        <w:rPr>
          <w:rFonts w:ascii="Arial" w:eastAsia="Times New Roman" w:hAnsi="Arial" w:cs="Arial"/>
          <w:b/>
          <w:color w:val="1F3864" w:themeColor="accent1" w:themeShade="80"/>
          <w:spacing w:val="-2"/>
          <w:sz w:val="20"/>
          <w:szCs w:val="20"/>
          <w:lang w:eastAsia="pt-BR"/>
        </w:rPr>
        <w:t>CONSELHO FISCAL</w:t>
      </w:r>
    </w:p>
    <w:p w14:paraId="1391E696" w14:textId="77777777" w:rsidR="00AA5EBA" w:rsidRPr="00DB30E9" w:rsidRDefault="00AA5EBA" w:rsidP="00AA5EBA">
      <w:pPr>
        <w:keepNext/>
        <w:spacing w:line="240" w:lineRule="auto"/>
        <w:rPr>
          <w:rFonts w:ascii="Arial" w:eastAsia="Times New Roman" w:hAnsi="Arial" w:cs="Arial"/>
          <w:snapToGrid w:val="0"/>
          <w:spacing w:val="-2"/>
          <w:sz w:val="18"/>
          <w:szCs w:val="18"/>
          <w:lang w:eastAsia="pt-BR"/>
        </w:rPr>
      </w:pPr>
      <w:r w:rsidRPr="00DB30E9">
        <w:rPr>
          <w:rFonts w:ascii="Arial" w:eastAsia="Times New Roman" w:hAnsi="Arial" w:cs="Arial"/>
          <w:snapToGrid w:val="0"/>
          <w:spacing w:val="-2"/>
          <w:sz w:val="18"/>
          <w:szCs w:val="18"/>
          <w:lang w:eastAsia="pt-BR"/>
        </w:rPr>
        <w:t xml:space="preserve">Francisco Olinto Velo Schmitt </w:t>
      </w:r>
    </w:p>
    <w:p w14:paraId="5F47BC31" w14:textId="77777777" w:rsidR="00AA5EBA" w:rsidRPr="00DB30E9" w:rsidRDefault="00AA5EBA" w:rsidP="00AA5EBA">
      <w:pPr>
        <w:keepNext/>
        <w:spacing w:line="240" w:lineRule="auto"/>
        <w:rPr>
          <w:rFonts w:ascii="Arial" w:eastAsia="Times New Roman" w:hAnsi="Arial" w:cs="Arial"/>
          <w:snapToGrid w:val="0"/>
          <w:spacing w:val="-2"/>
          <w:sz w:val="18"/>
          <w:szCs w:val="18"/>
          <w:lang w:eastAsia="pt-BR"/>
        </w:rPr>
      </w:pPr>
      <w:r w:rsidRPr="00DB30E9">
        <w:rPr>
          <w:rFonts w:ascii="Arial" w:eastAsia="Times New Roman" w:hAnsi="Arial" w:cs="Arial"/>
          <w:snapToGrid w:val="0"/>
          <w:spacing w:val="-2"/>
          <w:sz w:val="18"/>
          <w:szCs w:val="18"/>
          <w:lang w:eastAsia="pt-BR"/>
        </w:rPr>
        <w:t>Marcelo Henrique Gomes da Silva</w:t>
      </w:r>
    </w:p>
    <w:p w14:paraId="5E0B8A60" w14:textId="77777777" w:rsidR="00AA5EBA" w:rsidRPr="00BF2AAF" w:rsidRDefault="00AA5EBA" w:rsidP="00AA5EBA">
      <w:pPr>
        <w:keepNext/>
        <w:spacing w:line="240" w:lineRule="auto"/>
        <w:rPr>
          <w:rFonts w:ascii="Arial" w:eastAsia="Times New Roman" w:hAnsi="Arial" w:cs="Arial"/>
          <w:snapToGrid w:val="0"/>
          <w:spacing w:val="-2"/>
          <w:sz w:val="18"/>
          <w:szCs w:val="18"/>
          <w:lang w:eastAsia="pt-BR"/>
        </w:rPr>
      </w:pPr>
      <w:r w:rsidRPr="00DB30E9">
        <w:rPr>
          <w:rFonts w:ascii="Arial" w:eastAsia="Times New Roman" w:hAnsi="Arial" w:cs="Arial"/>
          <w:snapToGrid w:val="0"/>
          <w:spacing w:val="-2"/>
          <w:sz w:val="18"/>
          <w:szCs w:val="18"/>
          <w:lang w:eastAsia="pt-BR"/>
        </w:rPr>
        <w:t xml:space="preserve">Rafael Rezende </w:t>
      </w:r>
      <w:proofErr w:type="spellStart"/>
      <w:r w:rsidRPr="00DB30E9">
        <w:rPr>
          <w:rFonts w:ascii="Arial" w:eastAsia="Times New Roman" w:hAnsi="Arial" w:cs="Arial"/>
          <w:snapToGrid w:val="0"/>
          <w:spacing w:val="-2"/>
          <w:sz w:val="18"/>
          <w:szCs w:val="18"/>
          <w:lang w:eastAsia="pt-BR"/>
        </w:rPr>
        <w:t>Brigolini</w:t>
      </w:r>
      <w:proofErr w:type="spellEnd"/>
    </w:p>
    <w:p w14:paraId="7BC87843" w14:textId="77777777" w:rsidR="00AA5EBA" w:rsidRPr="00470A33" w:rsidRDefault="00AA5EBA" w:rsidP="00AA5EBA">
      <w:pPr>
        <w:spacing w:after="100" w:line="240" w:lineRule="auto"/>
        <w:rPr>
          <w:rFonts w:ascii="Arial" w:eastAsia="Times New Roman" w:hAnsi="Arial" w:cs="Arial"/>
          <w:b/>
          <w:color w:val="1F3864" w:themeColor="accent1" w:themeShade="80"/>
          <w:spacing w:val="-2"/>
          <w:sz w:val="20"/>
          <w:szCs w:val="20"/>
          <w:lang w:eastAsia="pt-BR"/>
        </w:rPr>
      </w:pPr>
    </w:p>
    <w:p w14:paraId="54BA980D" w14:textId="77777777" w:rsidR="00AA5EBA" w:rsidRPr="00BF2AAF" w:rsidRDefault="00AA5EBA" w:rsidP="00AA5EBA">
      <w:pPr>
        <w:spacing w:line="240" w:lineRule="auto"/>
        <w:rPr>
          <w:rFonts w:ascii="Arial" w:eastAsia="Times New Roman" w:hAnsi="Arial" w:cs="Arial"/>
          <w:b/>
          <w:color w:val="1F3864" w:themeColor="accent1" w:themeShade="80"/>
          <w:spacing w:val="-2"/>
          <w:sz w:val="20"/>
          <w:szCs w:val="20"/>
          <w:lang w:eastAsia="pt-BR"/>
        </w:rPr>
      </w:pPr>
      <w:r w:rsidRPr="00BF2AAF">
        <w:rPr>
          <w:rFonts w:ascii="Arial" w:eastAsia="Times New Roman" w:hAnsi="Arial" w:cs="Arial"/>
          <w:b/>
          <w:color w:val="1F3864" w:themeColor="accent1" w:themeShade="80"/>
          <w:spacing w:val="-2"/>
          <w:sz w:val="20"/>
          <w:szCs w:val="20"/>
          <w:lang w:eastAsia="pt-BR"/>
        </w:rPr>
        <w:t>COMITÊ DE AUDITORIA</w:t>
      </w:r>
    </w:p>
    <w:p w14:paraId="1568125A" w14:textId="335130D6" w:rsidR="00AA5EBA" w:rsidRDefault="00F61C43" w:rsidP="00AA5EBA">
      <w:pPr>
        <w:keepNext/>
        <w:spacing w:line="240" w:lineRule="auto"/>
        <w:rPr>
          <w:rFonts w:ascii="Arial" w:hAnsi="Arial" w:cs="Arial"/>
          <w:snapToGrid w:val="0"/>
          <w:sz w:val="18"/>
          <w:szCs w:val="18"/>
        </w:rPr>
      </w:pPr>
      <w:r w:rsidRPr="00CB298B">
        <w:rPr>
          <w:rFonts w:ascii="Arial" w:hAnsi="Arial" w:cs="Arial"/>
          <w:snapToGrid w:val="0"/>
          <w:sz w:val="18"/>
          <w:szCs w:val="18"/>
        </w:rPr>
        <w:t>Antônio</w:t>
      </w:r>
      <w:r w:rsidR="00AA5EBA" w:rsidRPr="00CB298B">
        <w:rPr>
          <w:rFonts w:ascii="Arial" w:hAnsi="Arial" w:cs="Arial"/>
          <w:snapToGrid w:val="0"/>
          <w:sz w:val="18"/>
          <w:szCs w:val="18"/>
        </w:rPr>
        <w:t xml:space="preserve"> </w:t>
      </w:r>
      <w:proofErr w:type="spellStart"/>
      <w:r w:rsidR="00AA5EBA" w:rsidRPr="00CB298B">
        <w:rPr>
          <w:rFonts w:ascii="Arial" w:hAnsi="Arial" w:cs="Arial"/>
          <w:snapToGrid w:val="0"/>
          <w:sz w:val="18"/>
          <w:szCs w:val="18"/>
        </w:rPr>
        <w:t>Martiningo</w:t>
      </w:r>
      <w:proofErr w:type="spellEnd"/>
      <w:r w:rsidR="00AA5EBA" w:rsidRPr="00CB298B">
        <w:rPr>
          <w:rFonts w:ascii="Arial" w:hAnsi="Arial" w:cs="Arial"/>
          <w:snapToGrid w:val="0"/>
          <w:sz w:val="18"/>
          <w:szCs w:val="18"/>
        </w:rPr>
        <w:t xml:space="preserve"> Filho</w:t>
      </w:r>
    </w:p>
    <w:p w14:paraId="5494C230" w14:textId="77777777" w:rsidR="00AA5EBA" w:rsidRDefault="00AA5EBA" w:rsidP="00AA5EBA">
      <w:pPr>
        <w:keepNext/>
        <w:spacing w:line="240" w:lineRule="auto"/>
        <w:rPr>
          <w:rFonts w:ascii="Arial" w:hAnsi="Arial" w:cs="Arial"/>
          <w:snapToGrid w:val="0"/>
          <w:sz w:val="18"/>
          <w:szCs w:val="18"/>
        </w:rPr>
      </w:pPr>
      <w:r w:rsidRPr="009F0641">
        <w:rPr>
          <w:rFonts w:ascii="Arial" w:hAnsi="Arial" w:cs="Arial"/>
          <w:snapToGrid w:val="0"/>
          <w:sz w:val="18"/>
          <w:szCs w:val="18"/>
        </w:rPr>
        <w:t xml:space="preserve">Cícero </w:t>
      </w:r>
      <w:proofErr w:type="spellStart"/>
      <w:r w:rsidRPr="009F0641">
        <w:rPr>
          <w:rFonts w:ascii="Arial" w:hAnsi="Arial" w:cs="Arial"/>
          <w:snapToGrid w:val="0"/>
          <w:sz w:val="18"/>
          <w:szCs w:val="18"/>
        </w:rPr>
        <w:t>Przendsiuk</w:t>
      </w:r>
      <w:proofErr w:type="spellEnd"/>
    </w:p>
    <w:p w14:paraId="69EA8DD1" w14:textId="77777777" w:rsidR="00AA5EBA" w:rsidRPr="00FF5FCC" w:rsidRDefault="00AA5EBA" w:rsidP="00AA5EBA">
      <w:pPr>
        <w:keepNext/>
        <w:spacing w:line="240" w:lineRule="auto"/>
        <w:rPr>
          <w:rFonts w:ascii="Arial" w:hAnsi="Arial" w:cs="Arial"/>
          <w:snapToGrid w:val="0"/>
          <w:sz w:val="18"/>
          <w:szCs w:val="18"/>
        </w:rPr>
      </w:pPr>
      <w:r w:rsidRPr="00FF5FCC">
        <w:rPr>
          <w:rFonts w:ascii="Arial" w:hAnsi="Arial" w:cs="Arial"/>
          <w:snapToGrid w:val="0"/>
          <w:sz w:val="18"/>
          <w:szCs w:val="18"/>
        </w:rPr>
        <w:t>Gilberto Lourenço da Aparecida</w:t>
      </w:r>
    </w:p>
    <w:p w14:paraId="664F77B8" w14:textId="77777777" w:rsidR="00AA5EBA" w:rsidRPr="00FF5FCC" w:rsidRDefault="00AA5EBA" w:rsidP="00AA5EBA">
      <w:pPr>
        <w:keepNext/>
        <w:spacing w:line="240" w:lineRule="auto"/>
        <w:rPr>
          <w:rFonts w:ascii="Arial" w:hAnsi="Arial" w:cs="Arial"/>
          <w:snapToGrid w:val="0"/>
          <w:sz w:val="18"/>
          <w:szCs w:val="18"/>
        </w:rPr>
      </w:pPr>
      <w:r w:rsidRPr="00FF5FCC">
        <w:rPr>
          <w:rFonts w:ascii="Arial" w:hAnsi="Arial" w:cs="Arial"/>
          <w:snapToGrid w:val="0"/>
          <w:sz w:val="18"/>
          <w:szCs w:val="18"/>
        </w:rPr>
        <w:t>Manoel Gimenes Ruy</w:t>
      </w:r>
    </w:p>
    <w:p w14:paraId="11B0C429" w14:textId="77777777" w:rsidR="00AA5EBA" w:rsidRPr="00FF5FCC" w:rsidRDefault="00AA5EBA" w:rsidP="00AA5EBA">
      <w:pPr>
        <w:keepNext/>
        <w:spacing w:line="240" w:lineRule="auto"/>
        <w:rPr>
          <w:rFonts w:ascii="Arial" w:hAnsi="Arial" w:cs="Arial"/>
          <w:snapToGrid w:val="0"/>
          <w:sz w:val="18"/>
          <w:szCs w:val="18"/>
        </w:rPr>
      </w:pPr>
      <w:r w:rsidRPr="00FF5FCC">
        <w:rPr>
          <w:rFonts w:ascii="Arial" w:hAnsi="Arial" w:cs="Arial"/>
          <w:snapToGrid w:val="0"/>
          <w:sz w:val="18"/>
          <w:szCs w:val="18"/>
        </w:rPr>
        <w:t>Roberto Lamb</w:t>
      </w:r>
    </w:p>
    <w:p w14:paraId="4562051A" w14:textId="77777777" w:rsidR="00AA5EBA" w:rsidRPr="00470A33" w:rsidRDefault="00AA5EBA" w:rsidP="00AA5EBA">
      <w:pPr>
        <w:spacing w:after="100" w:line="240" w:lineRule="auto"/>
        <w:rPr>
          <w:rFonts w:ascii="Arial" w:eastAsia="Times New Roman" w:hAnsi="Arial" w:cs="Arial"/>
          <w:b/>
          <w:color w:val="1F3864" w:themeColor="accent1" w:themeShade="80"/>
          <w:spacing w:val="-2"/>
          <w:sz w:val="20"/>
          <w:szCs w:val="20"/>
          <w:lang w:eastAsia="pt-BR"/>
        </w:rPr>
      </w:pPr>
    </w:p>
    <w:p w14:paraId="5C6A96BA" w14:textId="77777777" w:rsidR="00AA5EBA" w:rsidRPr="00BF2AAF" w:rsidRDefault="00AA5EBA" w:rsidP="00AA5EBA">
      <w:pPr>
        <w:spacing w:line="240" w:lineRule="auto"/>
        <w:rPr>
          <w:rFonts w:ascii="Arial" w:eastAsia="Times New Roman" w:hAnsi="Arial" w:cs="Arial"/>
          <w:b/>
          <w:color w:val="1F3864" w:themeColor="accent1" w:themeShade="80"/>
          <w:spacing w:val="-2"/>
          <w:sz w:val="20"/>
          <w:szCs w:val="20"/>
          <w:lang w:eastAsia="pt-BR"/>
        </w:rPr>
      </w:pPr>
      <w:r w:rsidRPr="00BF2AAF">
        <w:rPr>
          <w:rFonts w:ascii="Arial" w:eastAsia="Times New Roman" w:hAnsi="Arial" w:cs="Arial"/>
          <w:b/>
          <w:color w:val="1F3864" w:themeColor="accent1" w:themeShade="80"/>
          <w:spacing w:val="-2"/>
          <w:sz w:val="20"/>
          <w:szCs w:val="20"/>
          <w:lang w:eastAsia="pt-BR"/>
        </w:rPr>
        <w:t>CONTADOR</w:t>
      </w:r>
    </w:p>
    <w:p w14:paraId="00254713" w14:textId="77777777" w:rsidR="00AA5EBA" w:rsidRPr="00BC593B" w:rsidRDefault="00AA5EBA" w:rsidP="00AA5EBA">
      <w:pPr>
        <w:keepNext/>
        <w:spacing w:line="240" w:lineRule="auto"/>
        <w:rPr>
          <w:rFonts w:ascii="Arial" w:hAnsi="Arial" w:cs="Arial"/>
          <w:snapToGrid w:val="0"/>
          <w:sz w:val="18"/>
          <w:szCs w:val="18"/>
        </w:rPr>
      </w:pPr>
      <w:r w:rsidRPr="00BC593B">
        <w:rPr>
          <w:rFonts w:ascii="Arial" w:hAnsi="Arial" w:cs="Arial"/>
          <w:snapToGrid w:val="0"/>
          <w:sz w:val="18"/>
          <w:szCs w:val="18"/>
        </w:rPr>
        <w:t>Pedro Kiefer Braga</w:t>
      </w:r>
    </w:p>
    <w:p w14:paraId="31244DCA" w14:textId="77777777" w:rsidR="00AA5EBA" w:rsidRPr="00BC593B" w:rsidRDefault="00AA5EBA" w:rsidP="00AA5EBA">
      <w:pPr>
        <w:keepNext/>
        <w:spacing w:line="240" w:lineRule="auto"/>
        <w:rPr>
          <w:rFonts w:ascii="Arial" w:hAnsi="Arial" w:cs="Arial"/>
          <w:snapToGrid w:val="0"/>
          <w:sz w:val="18"/>
          <w:szCs w:val="18"/>
        </w:rPr>
      </w:pPr>
      <w:r w:rsidRPr="00BC593B">
        <w:rPr>
          <w:rFonts w:ascii="Arial" w:hAnsi="Arial" w:cs="Arial"/>
          <w:snapToGrid w:val="0"/>
          <w:sz w:val="18"/>
          <w:szCs w:val="18"/>
        </w:rPr>
        <w:t>CRC-DF 020.786/O-0</w:t>
      </w:r>
    </w:p>
    <w:p w14:paraId="50C5F467" w14:textId="58C90677" w:rsidR="00AF3607" w:rsidRPr="00843C23" w:rsidRDefault="00AA5EBA" w:rsidP="00843C23">
      <w:pPr>
        <w:keepNext/>
        <w:spacing w:line="240" w:lineRule="auto"/>
        <w:rPr>
          <w:rFonts w:ascii="Arial" w:hAnsi="Arial" w:cs="Arial"/>
          <w:snapToGrid w:val="0"/>
          <w:sz w:val="18"/>
          <w:szCs w:val="18"/>
        </w:rPr>
      </w:pPr>
      <w:r w:rsidRPr="00BC593B">
        <w:rPr>
          <w:rFonts w:ascii="Arial" w:hAnsi="Arial" w:cs="Arial"/>
          <w:snapToGrid w:val="0"/>
          <w:sz w:val="18"/>
          <w:szCs w:val="18"/>
        </w:rPr>
        <w:t>CPF 027.782.029-43</w:t>
      </w:r>
    </w:p>
    <w:sectPr w:rsidR="00AF3607" w:rsidRPr="00843C23" w:rsidSect="009A10F0">
      <w:headerReference w:type="default" r:id="rId29"/>
      <w:footerReference w:type="default" r:id="rId30"/>
      <w:pgSz w:w="11906" w:h="16838" w:code="9"/>
      <w:pgMar w:top="1134" w:right="1134" w:bottom="851" w:left="1134" w:header="851"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CED1B" w14:textId="77777777" w:rsidR="006A77F5" w:rsidRDefault="006A77F5" w:rsidP="00347240">
      <w:pPr>
        <w:spacing w:after="0" w:line="240" w:lineRule="auto"/>
      </w:pPr>
      <w:r>
        <w:separator/>
      </w:r>
    </w:p>
  </w:endnote>
  <w:endnote w:type="continuationSeparator" w:id="0">
    <w:p w14:paraId="6989331E" w14:textId="77777777" w:rsidR="006A77F5" w:rsidRDefault="006A77F5" w:rsidP="00347240">
      <w:pPr>
        <w:spacing w:after="0" w:line="240" w:lineRule="auto"/>
      </w:pPr>
      <w:r>
        <w:continuationSeparator/>
      </w:r>
    </w:p>
  </w:endnote>
  <w:endnote w:type="continuationNotice" w:id="1">
    <w:p w14:paraId="3A0B2EA2" w14:textId="77777777" w:rsidR="006A77F5" w:rsidRDefault="006A77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Times">
    <w:panose1 w:val="02020603050405020304"/>
    <w:charset w:val="00"/>
    <w:family w:val="roman"/>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BancoDoBrasil Textos Light">
    <w:panose1 w:val="00000400000000000000"/>
    <w:charset w:val="00"/>
    <w:family w:val="auto"/>
    <w:pitch w:val="variable"/>
    <w:sig w:usb0="00000003" w:usb1="00000001" w:usb2="00000000" w:usb3="00000000" w:csb0="00000001" w:csb1="00000000"/>
  </w:font>
  <w:font w:name="DengXian Light">
    <w:charset w:val="86"/>
    <w:family w:val="auto"/>
    <w:pitch w:val="variable"/>
    <w:sig w:usb0="A00002BF" w:usb1="38CF7CFA" w:usb2="00000016" w:usb3="00000000" w:csb0="0004000F" w:csb1="00000000"/>
  </w:font>
  <w:font w:name="KPMG Extralight">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EDE6" w14:textId="77777777" w:rsidR="001530FF" w:rsidRDefault="001530F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0278420"/>
      <w:docPartObj>
        <w:docPartGallery w:val="Page Numbers (Bottom of Page)"/>
        <w:docPartUnique/>
      </w:docPartObj>
    </w:sdtPr>
    <w:sdtEndPr>
      <w:rPr>
        <w:noProof/>
      </w:rPr>
    </w:sdtEndPr>
    <w:sdtContent>
      <w:p w14:paraId="198BF5FD" w14:textId="0D213F04" w:rsidR="00166047" w:rsidRDefault="00166047">
        <w:pPr>
          <w:pStyle w:val="Rodap"/>
          <w:jc w:val="right"/>
          <w:rPr>
            <w:noProof/>
          </w:rPr>
        </w:pPr>
        <w:r>
          <w:rPr>
            <w:noProof/>
          </w:rPr>
          <w:fldChar w:fldCharType="begin"/>
        </w:r>
        <w:r>
          <w:rPr>
            <w:noProof/>
          </w:rPr>
          <w:instrText>PAGE   \* MERGEFORMAT</w:instrText>
        </w:r>
        <w:r>
          <w:rPr>
            <w:noProof/>
          </w:rPr>
          <w:fldChar w:fldCharType="separate"/>
        </w:r>
        <w:r w:rsidR="00B10F8D">
          <w:rPr>
            <w:noProof/>
          </w:rPr>
          <w:t>72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55305" w14:textId="77777777" w:rsidR="001530FF" w:rsidRDefault="001530FF">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EDBCB" w14:textId="210318B4" w:rsidR="008D7118" w:rsidRPr="00FD1C1B" w:rsidRDefault="008D7118" w:rsidP="00FD1C1B">
    <w:pPr>
      <w:pStyle w:val="Rodap"/>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2564675"/>
      <w:docPartObj>
        <w:docPartGallery w:val="Page Numbers (Bottom of Page)"/>
        <w:docPartUnique/>
      </w:docPartObj>
    </w:sdtPr>
    <w:sdtEndPr/>
    <w:sdtContent>
      <w:p w14:paraId="29422474" w14:textId="04C23617" w:rsidR="008D7118" w:rsidRDefault="006A46FB">
        <w:pPr>
          <w:pStyle w:val="Rodap"/>
          <w:jc w:val="right"/>
        </w:pPr>
        <w:r>
          <w:fldChar w:fldCharType="begin"/>
        </w:r>
        <w:r>
          <w:instrText>PAGE   \* MERGEFORMAT</w:instrText>
        </w:r>
        <w:r>
          <w:fldChar w:fldCharType="separate"/>
        </w:r>
        <w:r w:rsidR="00B10F8D">
          <w:rPr>
            <w:noProof/>
          </w:rPr>
          <w:t>15</w:t>
        </w:r>
        <w:r>
          <w:fldChar w:fldCharType="end"/>
        </w:r>
      </w:p>
    </w:sdtContent>
  </w:sdt>
  <w:p w14:paraId="697D2C89" w14:textId="64800BD1" w:rsidR="008D7118" w:rsidRDefault="008D7118" w:rsidP="008D7118">
    <w:pPr>
      <w:pStyle w:val="Rodap"/>
      <w:tabs>
        <w:tab w:val="clear" w:pos="4252"/>
        <w:tab w:val="clear" w:pos="8504"/>
        <w:tab w:val="left" w:pos="6900"/>
      </w:tabs>
    </w:pP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2253754"/>
      <w:docPartObj>
        <w:docPartGallery w:val="Page Numbers (Bottom of Page)"/>
        <w:docPartUnique/>
      </w:docPartObj>
    </w:sdtPr>
    <w:sdtEndPr/>
    <w:sdtContent>
      <w:p w14:paraId="10E3DD0F" w14:textId="49937D13" w:rsidR="00800A07" w:rsidRDefault="00800A07">
        <w:pPr>
          <w:pStyle w:val="Rodap"/>
          <w:jc w:val="right"/>
        </w:pPr>
        <w:r>
          <w:fldChar w:fldCharType="begin"/>
        </w:r>
        <w:r>
          <w:instrText>PAGE   \* MERGEFORMAT</w:instrText>
        </w:r>
        <w:r>
          <w:fldChar w:fldCharType="separate"/>
        </w:r>
        <w:r>
          <w:t>2</w:t>
        </w:r>
        <w:r>
          <w:fldChar w:fldCharType="end"/>
        </w:r>
      </w:p>
    </w:sdtContent>
  </w:sdt>
  <w:p w14:paraId="1B1FDA40" w14:textId="30047828" w:rsidR="00FF04C6" w:rsidRPr="00FF04C6" w:rsidRDefault="00FF04C6" w:rsidP="00FF04C6">
    <w:pPr>
      <w:pStyle w:val="Rodap"/>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FFED4" w14:textId="0BD721AD" w:rsidR="00DD14B8" w:rsidRDefault="00DD14B8">
    <w:pPr>
      <w:pStyle w:val="Corpodetexto"/>
      <w:spacing w:line="14" w:lineRule="auto"/>
    </w:pPr>
    <w:r>
      <w:rPr>
        <w:noProof/>
        <w:sz w:val="19"/>
      </w:rPr>
      <mc:AlternateContent>
        <mc:Choice Requires="wps">
          <w:drawing>
            <wp:anchor distT="0" distB="0" distL="114300" distR="114300" simplePos="0" relativeHeight="251665434" behindDoc="1" locked="0" layoutInCell="1" allowOverlap="1" wp14:anchorId="0F5715F2" wp14:editId="3A51256E">
              <wp:simplePos x="0" y="0"/>
              <wp:positionH relativeFrom="page">
                <wp:posOffset>970280</wp:posOffset>
              </wp:positionH>
              <wp:positionV relativeFrom="page">
                <wp:posOffset>9823450</wp:posOffset>
              </wp:positionV>
              <wp:extent cx="2483485" cy="344805"/>
              <wp:effectExtent l="0" t="3175" r="3810" b="4445"/>
              <wp:wrapNone/>
              <wp:docPr id="2123096858" name="Caixa de Texto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3485"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921B21" w14:textId="77777777" w:rsidR="00DD14B8" w:rsidRDefault="00DD14B8" w:rsidP="00DD14B8">
                          <w:pPr>
                            <w:spacing w:before="16" w:line="240" w:lineRule="auto"/>
                            <w:ind w:left="23" w:right="17"/>
                            <w:rPr>
                              <w:rFonts w:ascii="Arial" w:hAnsi="Arial"/>
                              <w:sz w:val="11"/>
                            </w:rPr>
                          </w:pPr>
                          <w:r>
                            <w:rPr>
                              <w:rFonts w:ascii="Arial" w:hAnsi="Arial"/>
                              <w:color w:val="929497"/>
                              <w:sz w:val="11"/>
                            </w:rPr>
                            <w:t xml:space="preserve">KPMG Auditores Independentes Ltda., uma sociedade simples brasileira, de responsabilidade limitada e firma-membro da organização global KPMG de firmas-membro independentes licenciadas da KPMG </w:t>
                          </w:r>
                          <w:proofErr w:type="spellStart"/>
                          <w:r>
                            <w:rPr>
                              <w:rFonts w:ascii="Arial" w:hAnsi="Arial"/>
                              <w:color w:val="929497"/>
                              <w:sz w:val="11"/>
                            </w:rPr>
                            <w:t>International</w:t>
                          </w:r>
                          <w:proofErr w:type="spellEnd"/>
                          <w:r>
                            <w:rPr>
                              <w:rFonts w:ascii="Arial" w:hAnsi="Arial"/>
                              <w:color w:val="929497"/>
                              <w:sz w:val="11"/>
                            </w:rPr>
                            <w:t xml:space="preserve"> </w:t>
                          </w:r>
                          <w:proofErr w:type="spellStart"/>
                          <w:r>
                            <w:rPr>
                              <w:rFonts w:ascii="Arial" w:hAnsi="Arial"/>
                              <w:color w:val="929497"/>
                              <w:sz w:val="11"/>
                            </w:rPr>
                            <w:t>Limited</w:t>
                          </w:r>
                          <w:proofErr w:type="spellEnd"/>
                          <w:r>
                            <w:rPr>
                              <w:rFonts w:ascii="Arial" w:hAnsi="Arial"/>
                              <w:color w:val="929497"/>
                              <w:sz w:val="11"/>
                            </w:rPr>
                            <w:t>, uma empresa inglesa privada de responsabilidade limitada.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5715F2" id="_x0000_t202" coordsize="21600,21600" o:spt="202" path="m,l,21600r21600,l21600,xe">
              <v:stroke joinstyle="miter"/>
              <v:path gradientshapeok="t" o:connecttype="rect"/>
            </v:shapetype>
            <v:shape id="Caixa de Texto 39" o:spid="_x0000_s1043" type="#_x0000_t202" style="position:absolute;left:0;text-align:left;margin-left:76.4pt;margin-top:773.5pt;width:195.55pt;height:27.15pt;z-index:-2516510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" filled="f" stroked="f">
              <v:textbox inset="0,0,0,0">
                <w:txbxContent>
                  <w:p w14:paraId="71921B21" w14:textId="77777777" w:rsidR="00DD14B8" w:rsidRDefault="00DD14B8" w:rsidP="00DD14B8">
                    <w:pPr>
                      <w:spacing w:before="16" w:line="240" w:lineRule="auto"/>
                      <w:ind w:left="23" w:right="17"/>
                      <w:rPr>
                        <w:rFonts w:ascii="Arial" w:hAnsi="Arial"/>
                        <w:sz w:val="11"/>
                      </w:rPr>
                    </w:pPr>
                    <w:r>
                      <w:rPr>
                        <w:rFonts w:ascii="Arial" w:hAnsi="Arial"/>
                        <w:color w:val="929497"/>
                        <w:sz w:val="11"/>
                      </w:rPr>
                      <w:t xml:space="preserve">KPMG Auditores Independentes Ltda., uma sociedade simples brasileira, de responsabilidade limitada e firma-membro da organização global KPMG de firmas-membro independentes licenciadas da KPMG </w:t>
                    </w:r>
                    <w:proofErr w:type="spellStart"/>
                    <w:r>
                      <w:rPr>
                        <w:rFonts w:ascii="Arial" w:hAnsi="Arial"/>
                        <w:color w:val="929497"/>
                        <w:sz w:val="11"/>
                      </w:rPr>
                      <w:t>International</w:t>
                    </w:r>
                    <w:proofErr w:type="spellEnd"/>
                    <w:r>
                      <w:rPr>
                        <w:rFonts w:ascii="Arial" w:hAnsi="Arial"/>
                        <w:color w:val="929497"/>
                        <w:sz w:val="11"/>
                      </w:rPr>
                      <w:t xml:space="preserve"> </w:t>
                    </w:r>
                    <w:proofErr w:type="spellStart"/>
                    <w:r>
                      <w:rPr>
                        <w:rFonts w:ascii="Arial" w:hAnsi="Arial"/>
                        <w:color w:val="929497"/>
                        <w:sz w:val="11"/>
                      </w:rPr>
                      <w:t>Limited</w:t>
                    </w:r>
                    <w:proofErr w:type="spellEnd"/>
                    <w:r>
                      <w:rPr>
                        <w:rFonts w:ascii="Arial" w:hAnsi="Arial"/>
                        <w:color w:val="929497"/>
                        <w:sz w:val="11"/>
                      </w:rPr>
                      <w:t>, uma empresa inglesa privada de responsabilidade limitada.</w:t>
                    </w:r>
                  </w:p>
                </w:txbxContent>
              </v:textbox>
              <w10:wrap anchorx="page" anchory="page"/>
            </v:shape>
          </w:pict>
        </mc:Fallback>
      </mc:AlternateContent>
    </w:r>
    <w:r>
      <w:rPr>
        <w:noProof/>
        <w:sz w:val="19"/>
      </w:rPr>
      <mc:AlternateContent>
        <mc:Choice Requires="wps">
          <w:drawing>
            <wp:anchor distT="0" distB="0" distL="114300" distR="114300" simplePos="0" relativeHeight="251666458" behindDoc="1" locked="0" layoutInCell="1" allowOverlap="1" wp14:anchorId="1AF1A4E8" wp14:editId="408935FE">
              <wp:simplePos x="0" y="0"/>
              <wp:positionH relativeFrom="page">
                <wp:posOffset>3649345</wp:posOffset>
              </wp:positionH>
              <wp:positionV relativeFrom="page">
                <wp:posOffset>9823450</wp:posOffset>
              </wp:positionV>
              <wp:extent cx="2392680" cy="344805"/>
              <wp:effectExtent l="1270" t="3175" r="0" b="4445"/>
              <wp:wrapNone/>
              <wp:docPr id="1632546912" name="Caixa de Texto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2680"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7A76B" w14:textId="77777777" w:rsidR="00DD14B8" w:rsidRPr="008331F2" w:rsidRDefault="00DD14B8" w:rsidP="00DD14B8">
                          <w:pPr>
                            <w:spacing w:before="16" w:line="240" w:lineRule="auto"/>
                            <w:ind w:left="23"/>
                            <w:rPr>
                              <w:rFonts w:ascii="Arial"/>
                              <w:i/>
                              <w:sz w:val="11"/>
                              <w:lang w:val="en-US"/>
                            </w:rPr>
                          </w:pPr>
                          <w:r w:rsidRPr="008331F2">
                            <w:rPr>
                              <w:rFonts w:ascii="Arial"/>
                              <w:i/>
                              <w:color w:val="929497"/>
                              <w:sz w:val="11"/>
                              <w:lang w:val="en-US"/>
                            </w:rPr>
                            <w:t xml:space="preserve">KPMG Auditores </w:t>
                          </w:r>
                          <w:proofErr w:type="spellStart"/>
                          <w:r w:rsidRPr="008331F2">
                            <w:rPr>
                              <w:rFonts w:ascii="Arial"/>
                              <w:i/>
                              <w:color w:val="929497"/>
                              <w:sz w:val="11"/>
                              <w:lang w:val="en-US"/>
                            </w:rPr>
                            <w:t>Independentes</w:t>
                          </w:r>
                          <w:proofErr w:type="spellEnd"/>
                          <w:r w:rsidRPr="008331F2">
                            <w:rPr>
                              <w:rFonts w:ascii="Arial"/>
                              <w:i/>
                              <w:color w:val="929497"/>
                              <w:sz w:val="11"/>
                              <w:lang w:val="en-US"/>
                            </w:rPr>
                            <w:t xml:space="preserve"> Ltda., a Brazilian limited liability company and a member firm of the KPMG global organization of independent member firms affiliated with KPMG International Limited, a private </w:t>
                          </w:r>
                          <w:r w:rsidRPr="00DD14B8">
                            <w:rPr>
                              <w:rFonts w:ascii="Arial" w:eastAsia="Calibri" w:hAnsi="Calibri" w:cs="Calibri"/>
                              <w:i/>
                              <w:color w:val="929497"/>
                              <w:sz w:val="11"/>
                              <w:szCs w:val="22"/>
                              <w:lang w:val="en-US" w:eastAsia="pt-PT" w:bidi="pt-PT"/>
                            </w:rPr>
                            <w:t>English</w:t>
                          </w:r>
                          <w:r w:rsidRPr="008331F2">
                            <w:rPr>
                              <w:rFonts w:ascii="Arial"/>
                              <w:i/>
                              <w:color w:val="929497"/>
                              <w:sz w:val="11"/>
                              <w:lang w:val="en-US"/>
                            </w:rPr>
                            <w:t xml:space="preserve"> company limited by guarantee.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F1A4E8" id="Caixa de Texto 38" o:spid="_x0000_s1044" type="#_x0000_t202" style="position:absolute;left:0;text-align:left;margin-left:287.35pt;margin-top:773.5pt;width:188.4pt;height:27.15pt;z-index:-25165002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" filled="f" stroked="f">
              <v:textbox inset="0,0,0,0">
                <w:txbxContent>
                  <w:p w14:paraId="0D27A76B" w14:textId="77777777" w:rsidR="00DD14B8" w:rsidRPr="008331F2" w:rsidRDefault="00DD14B8" w:rsidP="00DD14B8">
                    <w:pPr>
                      <w:spacing w:before="16" w:line="240" w:lineRule="auto"/>
                      <w:ind w:left="23"/>
                      <w:rPr>
                        <w:rFonts w:ascii="Arial"/>
                        <w:i/>
                        <w:sz w:val="11"/>
                        <w:lang w:val="en-US"/>
                      </w:rPr>
                    </w:pPr>
                    <w:r w:rsidRPr="008331F2">
                      <w:rPr>
                        <w:rFonts w:ascii="Arial"/>
                        <w:i/>
                        <w:color w:val="929497"/>
                        <w:sz w:val="11"/>
                        <w:lang w:val="en-US"/>
                      </w:rPr>
                      <w:t xml:space="preserve">KPMG Auditores </w:t>
                    </w:r>
                    <w:proofErr w:type="spellStart"/>
                    <w:r w:rsidRPr="008331F2">
                      <w:rPr>
                        <w:rFonts w:ascii="Arial"/>
                        <w:i/>
                        <w:color w:val="929497"/>
                        <w:sz w:val="11"/>
                        <w:lang w:val="en-US"/>
                      </w:rPr>
                      <w:t>Independentes</w:t>
                    </w:r>
                    <w:proofErr w:type="spellEnd"/>
                    <w:r w:rsidRPr="008331F2">
                      <w:rPr>
                        <w:rFonts w:ascii="Arial"/>
                        <w:i/>
                        <w:color w:val="929497"/>
                        <w:sz w:val="11"/>
                        <w:lang w:val="en-US"/>
                      </w:rPr>
                      <w:t xml:space="preserve"> Ltda., a Brazilian limited liability company and a member firm of the KPMG global organization of independent member firms affiliated with KPMG International Limited, a private </w:t>
                    </w:r>
                    <w:r w:rsidRPr="00DD14B8">
                      <w:rPr>
                        <w:rFonts w:ascii="Arial" w:eastAsia="Calibri" w:hAnsi="Calibri" w:cs="Calibri"/>
                        <w:i/>
                        <w:color w:val="929497"/>
                        <w:sz w:val="11"/>
                        <w:szCs w:val="22"/>
                        <w:lang w:val="en-US" w:eastAsia="pt-PT" w:bidi="pt-PT"/>
                      </w:rPr>
                      <w:t>English</w:t>
                    </w:r>
                    <w:r w:rsidRPr="008331F2">
                      <w:rPr>
                        <w:rFonts w:ascii="Arial"/>
                        <w:i/>
                        <w:color w:val="929497"/>
                        <w:sz w:val="11"/>
                        <w:lang w:val="en-US"/>
                      </w:rPr>
                      <w:t xml:space="preserve"> company limited by guarantee.</w:t>
                    </w:r>
                  </w:p>
                </w:txbxContent>
              </v:textbox>
              <w10:wrap anchorx="page" anchory="page"/>
            </v:shape>
          </w:pict>
        </mc:Fallback>
      </mc:AlternateContent>
    </w:r>
    <w:r>
      <w:rPr>
        <w:noProof/>
        <w:sz w:val="19"/>
      </w:rPr>
      <mc:AlternateContent>
        <mc:Choice Requires="wps">
          <w:drawing>
            <wp:anchor distT="0" distB="0" distL="114300" distR="114300" simplePos="0" relativeHeight="251667482" behindDoc="1" locked="0" layoutInCell="1" allowOverlap="1" wp14:anchorId="43501067" wp14:editId="4905A6B6">
              <wp:simplePos x="0" y="0"/>
              <wp:positionH relativeFrom="page">
                <wp:posOffset>6569710</wp:posOffset>
              </wp:positionH>
              <wp:positionV relativeFrom="page">
                <wp:posOffset>10144760</wp:posOffset>
              </wp:positionV>
              <wp:extent cx="115570" cy="104140"/>
              <wp:effectExtent l="0" t="635" r="1270" b="0"/>
              <wp:wrapNone/>
              <wp:docPr id="758593566" name="Caixa de Texto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 cy="104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E7309" w14:textId="77777777" w:rsidR="00DD14B8" w:rsidRDefault="00DD14B8">
                          <w:pPr>
                            <w:spacing w:before="16"/>
                            <w:ind w:left="60"/>
                            <w:rPr>
                              <w:rFonts w:ascii="Arial"/>
                              <w:sz w:val="11"/>
                            </w:rPr>
                          </w:pPr>
                          <w:r>
                            <w:fldChar w:fldCharType="begin"/>
                          </w:r>
                          <w:r>
                            <w:rPr>
                              <w:rFonts w:ascii="Arial"/>
                              <w:sz w:val="1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501067" id="Caixa de Texto 37" o:spid="_x0000_s1045" type="#_x0000_t202" style="position:absolute;left:0;text-align:left;margin-left:517.3pt;margin-top:798.8pt;width:9.1pt;height:8.2pt;z-index:-25164899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" filled="f" stroked="f">
              <v:textbox inset="0,0,0,0">
                <w:txbxContent>
                  <w:p w14:paraId="454E7309" w14:textId="77777777" w:rsidR="00DD14B8" w:rsidRDefault="00DD14B8">
                    <w:pPr>
                      <w:spacing w:before="16"/>
                      <w:ind w:left="60"/>
                      <w:rPr>
                        <w:rFonts w:ascii="Arial"/>
                        <w:sz w:val="11"/>
                      </w:rPr>
                    </w:pPr>
                    <w:r>
                      <w:fldChar w:fldCharType="begin"/>
                    </w:r>
                    <w:r>
                      <w:rPr>
                        <w:rFonts w:ascii="Arial"/>
                        <w:sz w:val="11"/>
                      </w:rPr>
                      <w:instrText xml:space="preserve"> PAGE </w:instrText>
                    </w:r>
                    <w:r>
                      <w:fldChar w:fldCharType="separate"/>
                    </w:r>
                    <w:r>
                      <w:t>1</w:t>
                    </w:r>
                    <w: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5B3EC" w14:textId="4E676DA8" w:rsidR="00E90FCD" w:rsidRDefault="00E90FCD">
    <w:pPr>
      <w:pStyle w:val="Corpodetexto"/>
      <w:spacing w:line="14" w:lineRule="auto"/>
    </w:pPr>
    <w:r>
      <w:rPr>
        <w:noProof/>
        <w:sz w:val="19"/>
      </w:rPr>
      <mc:AlternateContent>
        <mc:Choice Requires="wps">
          <w:drawing>
            <wp:anchor distT="0" distB="0" distL="114300" distR="114300" simplePos="0" relativeHeight="251671578" behindDoc="1" locked="0" layoutInCell="1" allowOverlap="1" wp14:anchorId="6A6C74CE" wp14:editId="70E6A38A">
              <wp:simplePos x="0" y="0"/>
              <wp:positionH relativeFrom="page">
                <wp:posOffset>6569710</wp:posOffset>
              </wp:positionH>
              <wp:positionV relativeFrom="page">
                <wp:posOffset>10144760</wp:posOffset>
              </wp:positionV>
              <wp:extent cx="115570" cy="104140"/>
              <wp:effectExtent l="0" t="635" r="1270" b="0"/>
              <wp:wrapNone/>
              <wp:docPr id="1659324997" name="Caixa de Texto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 cy="104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BAE2F" w14:textId="77777777" w:rsidR="00E90FCD" w:rsidRDefault="00E90FCD">
                          <w:pPr>
                            <w:spacing w:before="16"/>
                            <w:ind w:left="60"/>
                            <w:rPr>
                              <w:rFonts w:ascii="Arial"/>
                              <w:sz w:val="11"/>
                            </w:rPr>
                          </w:pPr>
                          <w:r>
                            <w:fldChar w:fldCharType="begin"/>
                          </w:r>
                          <w:r>
                            <w:rPr>
                              <w:rFonts w:ascii="Arial"/>
                              <w:sz w:val="1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6C74CE" id="_x0000_t202" coordsize="21600,21600" o:spt="202" path="m,l,21600r21600,l21600,xe">
              <v:stroke joinstyle="miter"/>
              <v:path gradientshapeok="t" o:connecttype="rect"/>
            </v:shapetype>
            <v:shape id="_x0000_s1047" type="#_x0000_t202" style="position:absolute;left:0;text-align:left;margin-left:517.3pt;margin-top:798.8pt;width:9.1pt;height:8.2pt;z-index:-25164490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" filled="f" stroked="f">
              <v:textbox inset="0,0,0,0">
                <w:txbxContent>
                  <w:p w14:paraId="14BBAE2F" w14:textId="77777777" w:rsidR="00E90FCD" w:rsidRDefault="00E90FCD">
                    <w:pPr>
                      <w:spacing w:before="16"/>
                      <w:ind w:left="60"/>
                      <w:rPr>
                        <w:rFonts w:ascii="Arial"/>
                        <w:sz w:val="11"/>
                      </w:rPr>
                    </w:pPr>
                    <w:r>
                      <w:fldChar w:fldCharType="begin"/>
                    </w:r>
                    <w:r>
                      <w:rPr>
                        <w:rFonts w:ascii="Arial"/>
                        <w:sz w:val="1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4E258" w14:textId="77777777" w:rsidR="006A77F5" w:rsidRDefault="006A77F5" w:rsidP="00347240">
      <w:pPr>
        <w:spacing w:after="0" w:line="240" w:lineRule="auto"/>
      </w:pPr>
      <w:r>
        <w:separator/>
      </w:r>
    </w:p>
  </w:footnote>
  <w:footnote w:type="continuationSeparator" w:id="0">
    <w:p w14:paraId="0074C1B8" w14:textId="77777777" w:rsidR="006A77F5" w:rsidRDefault="006A77F5" w:rsidP="00347240">
      <w:pPr>
        <w:spacing w:after="0" w:line="240" w:lineRule="auto"/>
      </w:pPr>
      <w:r>
        <w:continuationSeparator/>
      </w:r>
    </w:p>
  </w:footnote>
  <w:footnote w:type="continuationNotice" w:id="1">
    <w:p w14:paraId="7FA619B3" w14:textId="77777777" w:rsidR="006A77F5" w:rsidRDefault="006A77F5">
      <w:pPr>
        <w:spacing w:after="0" w:line="240" w:lineRule="auto"/>
      </w:pPr>
    </w:p>
  </w:footnote>
  <w:footnote w:id="2">
    <w:p w14:paraId="18A6A3F4" w14:textId="1939CC8D" w:rsidR="00F95C65" w:rsidRDefault="003A0C86" w:rsidP="00DD56A4">
      <w:pPr>
        <w:pStyle w:val="Textodenotaderodap"/>
      </w:pPr>
      <w:r w:rsidRPr="009D6016">
        <w:rPr>
          <w:rStyle w:val="Refdenotaderodap"/>
          <w:rFonts w:ascii="Arial" w:hAnsi="Arial" w:cs="Arial"/>
          <w:sz w:val="16"/>
          <w:szCs w:val="16"/>
        </w:rPr>
        <w:footnoteRef/>
      </w:r>
    </w:p>
    <w:p w14:paraId="48C8D6C4" w14:textId="55044065" w:rsidR="003A0C86" w:rsidRDefault="003A0C86" w:rsidP="003A0C86">
      <w:pPr>
        <w:pStyle w:val="Textodenotaderodap"/>
      </w:pPr>
      <w:r w:rsidRPr="009D6016">
        <w:rPr>
          <w:rFonts w:ascii="Arial" w:hAnsi="Arial" w:cs="Arial"/>
        </w:rPr>
        <w:t xml:space="preserve"> </w:t>
      </w:r>
      <w:r>
        <w:rPr>
          <w:rFonts w:ascii="Arial" w:hAnsi="Arial" w:cs="Arial"/>
          <w:sz w:val="16"/>
          <w:szCs w:val="16"/>
        </w:rPr>
        <w:t xml:space="preserve">Não considera as ações em tesouraria.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C1591" w14:textId="77777777" w:rsidR="0068252F" w:rsidRDefault="0068252F">
    <w:pPr>
      <w:pStyle w:val="Cabealho"/>
    </w:pPr>
    <w:r>
      <w:rPr>
        <w:noProof/>
        <w:lang w:eastAsia="pt-BR"/>
      </w:rPr>
      <mc:AlternateContent>
        <mc:Choice Requires="wps">
          <w:drawing>
            <wp:anchor distT="0" distB="0" distL="114300" distR="114300" simplePos="0" relativeHeight="251658240" behindDoc="0" locked="0" layoutInCell="0" allowOverlap="1" wp14:anchorId="46F918A0" wp14:editId="66910C8F">
              <wp:simplePos x="0" y="0"/>
              <wp:positionH relativeFrom="page">
                <wp:posOffset>0</wp:posOffset>
              </wp:positionH>
              <wp:positionV relativeFrom="page">
                <wp:posOffset>190500</wp:posOffset>
              </wp:positionV>
              <wp:extent cx="7560310" cy="266700"/>
              <wp:effectExtent l="0" t="0" r="0" b="0"/>
              <wp:wrapNone/>
              <wp:docPr id="31" name="Caixa de Texto 31" descr="{&quot;HashCode&quot;:-1487292391,&quot;Height&quot;:841.0,&quot;Width&quot;:595.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2F01F6" w14:textId="77777777" w:rsidR="0068252F" w:rsidRPr="00F10B26" w:rsidRDefault="0068252F" w:rsidP="006F192E">
                          <w:pPr>
                            <w:spacing w:after="0"/>
                            <w:jc w:val="right"/>
                            <w:rPr>
                              <w:rFonts w:ascii="Calibri" w:hAnsi="Calibri" w:cs="Calibri"/>
                              <w:color w:val="000000"/>
                              <w:sz w:val="20"/>
                            </w:rPr>
                          </w:pPr>
                          <w:r w:rsidRPr="00F10B26">
                            <w:rPr>
                              <w:rFonts w:ascii="Calibri" w:hAnsi="Calibri" w:cs="Calibri"/>
                              <w:color w:val="000000"/>
                              <w:sz w:val="20"/>
                            </w:rPr>
                            <w:t>#interna</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6F918A0" id="_x0000_t202" coordsize="21600,21600" o:spt="202" path="m,l,21600r21600,l21600,xe">
              <v:stroke joinstyle="miter"/>
              <v:path gradientshapeok="t" o:connecttype="rect"/>
            </v:shapetype>
            <v:shape id="_x0000_s1035" type="#_x0000_t202" alt="{&quot;HashCode&quot;:-1487292391,&quot;Height&quot;:841.0,&quot;Width&quot;:595.0,&quot;Placement&quot;:&quot;Header&quot;,&quot;Index&quot;:&quot;OddAndEven&quot;,&quot;Section&quot;:1,&quot;Top&quot;:0.0,&quot;Left&quot;:0.0}" style="position:absolute;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" o:allowincell="f" filled="f" stroked="f" strokeweight=".5pt">
              <v:textbox inset=",0,20pt,0">
                <w:txbxContent>
                  <w:p w14:paraId="5E2F01F6" w14:textId="77777777" w:rsidR="0068252F" w:rsidRPr="00F10B26" w:rsidRDefault="0068252F" w:rsidP="006F192E">
                    <w:pPr>
                      <w:spacing w:after="0"/>
                      <w:jc w:val="right"/>
                      <w:rPr>
                        <w:rFonts w:ascii="Calibri" w:hAnsi="Calibri" w:cs="Calibri"/>
                        <w:color w:val="000000"/>
                        <w:sz w:val="20"/>
                      </w:rPr>
                    </w:pPr>
                    <w:r w:rsidRPr="00F10B26">
                      <w:rPr>
                        <w:rFonts w:ascii="Calibri" w:hAnsi="Calibri" w:cs="Calibri"/>
                        <w:color w:val="000000"/>
                        <w:sz w:val="20"/>
                      </w:rPr>
                      <w:t>#interna</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916F7" w14:textId="77777777" w:rsidR="00A07CF9" w:rsidRDefault="00A07CF9">
    <w:pPr>
      <w:pStyle w:val="Cabealho"/>
    </w:pPr>
    <w:r w:rsidRPr="0095120B">
      <w:rPr>
        <w:noProof/>
        <w:lang w:eastAsia="pt-BR"/>
      </w:rPr>
      <mc:AlternateContent>
        <mc:Choice Requires="wps">
          <w:drawing>
            <wp:anchor distT="0" distB="0" distL="114300" distR="114300" simplePos="0" relativeHeight="251662362" behindDoc="0" locked="0" layoutInCell="1" allowOverlap="1" wp14:anchorId="5D42C23E" wp14:editId="6522AD6C">
              <wp:simplePos x="0" y="0"/>
              <wp:positionH relativeFrom="column">
                <wp:posOffset>1419860</wp:posOffset>
              </wp:positionH>
              <wp:positionV relativeFrom="paragraph">
                <wp:posOffset>-476885</wp:posOffset>
              </wp:positionV>
              <wp:extent cx="5288915" cy="457200"/>
              <wp:effectExtent l="0" t="0" r="0" b="0"/>
              <wp:wrapNone/>
              <wp:docPr id="1999273381" name="Caixa de Texto 1999273381"/>
              <wp:cNvGraphicFramePr/>
              <a:graphic xmlns:a="http://schemas.openxmlformats.org/drawingml/2006/main">
                <a:graphicData uri="http://schemas.microsoft.com/office/word/2010/wordprocessingShape">
                  <wps:wsp>
                    <wps:cNvSpPr txBox="1"/>
                    <wps:spPr>
                      <a:xfrm>
                        <a:off x="0" y="0"/>
                        <a:ext cx="5288915" cy="457200"/>
                      </a:xfrm>
                      <a:prstGeom prst="rect">
                        <a:avLst/>
                      </a:prstGeom>
                      <a:noFill/>
                      <a:ln w="6350">
                        <a:noFill/>
                      </a:ln>
                    </wps:spPr>
                    <wps:txbx>
                      <w:txbxContent>
                        <w:p w14:paraId="044699DB" w14:textId="77777777" w:rsidR="00A07CF9" w:rsidRPr="00030AE6" w:rsidRDefault="00A07CF9" w:rsidP="00AB09B4">
                          <w:pPr>
                            <w:jc w:val="right"/>
                            <w:rPr>
                              <w:rFonts w:ascii="Arial" w:hAnsi="Arial" w:cs="Arial"/>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Individuais e Consolidadas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Exercício 2024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42C23E" id="_x0000_t202" coordsize="21600,21600" o:spt="202" path="m,l,21600r21600,l21600,xe">
              <v:stroke joinstyle="miter"/>
              <v:path gradientshapeok="t" o:connecttype="rect"/>
            </v:shapetype>
            <v:shape id="Caixa de Texto 1999273381" o:spid="_x0000_s1046" type="#_x0000_t202" style="position:absolute;margin-left:111.8pt;margin-top:-37.55pt;width:416.45pt;height:36pt;z-index:2516623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" filled="f" stroked="f" strokeweight=".5pt">
              <v:textbox>
                <w:txbxContent>
                  <w:p w14:paraId="044699DB" w14:textId="77777777" w:rsidR="00A07CF9" w:rsidRPr="00030AE6" w:rsidRDefault="00A07CF9" w:rsidP="00AB09B4">
                    <w:pPr>
                      <w:jc w:val="right"/>
                      <w:rPr>
                        <w:rFonts w:ascii="Arial" w:hAnsi="Arial" w:cs="Arial"/>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Individuais e Consolidadas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Exercício 2024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p>
                </w:txbxContent>
              </v:textbox>
            </v:shape>
          </w:pict>
        </mc:Fallback>
      </mc:AlternateContent>
    </w:r>
    <w:r w:rsidRPr="0069353A">
      <w:rPr>
        <w:noProof/>
        <w:sz w:val="20"/>
        <w:szCs w:val="20"/>
        <w:lang w:eastAsia="pt-BR"/>
      </w:rPr>
      <mc:AlternateContent>
        <mc:Choice Requires="wps">
          <w:drawing>
            <wp:anchor distT="0" distB="0" distL="114300" distR="114300" simplePos="0" relativeHeight="251660314" behindDoc="1" locked="0" layoutInCell="1" allowOverlap="1" wp14:anchorId="7E63ED76" wp14:editId="5A99B0EA">
              <wp:simplePos x="0" y="0"/>
              <wp:positionH relativeFrom="page">
                <wp:posOffset>-152400</wp:posOffset>
              </wp:positionH>
              <wp:positionV relativeFrom="paragraph">
                <wp:posOffset>-539750</wp:posOffset>
              </wp:positionV>
              <wp:extent cx="11062335" cy="593725"/>
              <wp:effectExtent l="0" t="0" r="5715" b="0"/>
              <wp:wrapThrough wrapText="bothSides">
                <wp:wrapPolygon edited="0">
                  <wp:start x="0" y="0"/>
                  <wp:lineTo x="0" y="20791"/>
                  <wp:lineTo x="21574" y="20791"/>
                  <wp:lineTo x="21574" y="0"/>
                  <wp:lineTo x="0" y="0"/>
                </wp:wrapPolygon>
              </wp:wrapThrough>
              <wp:docPr id="899974183" name="Retângulo 899974183"/>
              <wp:cNvGraphicFramePr/>
              <a:graphic xmlns:a="http://schemas.openxmlformats.org/drawingml/2006/main">
                <a:graphicData uri="http://schemas.microsoft.com/office/word/2010/wordprocessingShape">
                  <wps:wsp>
                    <wps:cNvSpPr/>
                    <wps:spPr>
                      <a:xfrm>
                        <a:off x="0" y="0"/>
                        <a:ext cx="11062335" cy="593725"/>
                      </a:xfrm>
                      <a:prstGeom prst="rect">
                        <a:avLst/>
                      </a:prstGeom>
                      <a:solidFill>
                        <a:srgbClr val="002D4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F12E95" id="Retângulo 899974183" o:spid="_x0000_s1026" style="position:absolute;margin-left:-12pt;margin-top:-42.5pt;width:871.05pt;height:46.75pt;z-index:-25165616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" fillcolor="#002d4b" stroked="f" strokeweight="1pt">
              <w10:wrap type="through" anchorx="page"/>
            </v:rect>
          </w:pict>
        </mc:Fallback>
      </mc:AlternateContent>
    </w:r>
    <w:r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61338" behindDoc="0" locked="0" layoutInCell="1" allowOverlap="1" wp14:anchorId="5524F452" wp14:editId="05BDDC89">
              <wp:simplePos x="0" y="0"/>
              <wp:positionH relativeFrom="page">
                <wp:posOffset>-152400</wp:posOffset>
              </wp:positionH>
              <wp:positionV relativeFrom="paragraph">
                <wp:posOffset>46050</wp:posOffset>
              </wp:positionV>
              <wp:extent cx="11159490" cy="45085"/>
              <wp:effectExtent l="0" t="0" r="3810" b="0"/>
              <wp:wrapNone/>
              <wp:docPr id="215973820" name="Retângulo 215973820"/>
              <wp:cNvGraphicFramePr/>
              <a:graphic xmlns:a="http://schemas.openxmlformats.org/drawingml/2006/main">
                <a:graphicData uri="http://schemas.microsoft.com/office/word/2010/wordprocessingShape">
                  <wps:wsp>
                    <wps:cNvSpPr/>
                    <wps:spPr>
                      <a:xfrm>
                        <a:off x="0" y="0"/>
                        <a:ext cx="11159490" cy="45085"/>
                      </a:xfrm>
                      <a:prstGeom prst="rect">
                        <a:avLst/>
                      </a:prstGeom>
                      <a:solidFill>
                        <a:srgbClr val="F5E500"/>
                      </a:solidFill>
                      <a:ln w="12700" cap="flat" cmpd="sng" algn="ctr">
                        <a:no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w:pict>
            <v:rect w14:anchorId="2AFBA29A" id="Retângulo 215973820" o:spid="_x0000_s1026" style="position:absolute;margin-left:-12pt;margin-top:3.65pt;width:878.7pt;height:3.55pt;z-index:2516613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" fillcolor="#f5e500" stroked="f" strokeweight="1pt">
              <w10:wrap anchorx="page"/>
            </v:rect>
          </w:pict>
        </mc:Fallback>
      </mc:AlternateContent>
    </w:r>
    <w:r w:rsidRPr="0095120B">
      <w:rPr>
        <w:noProof/>
        <w:lang w:eastAsia="pt-BR"/>
      </w:rPr>
      <w:drawing>
        <wp:anchor distT="0" distB="0" distL="114300" distR="114300" simplePos="0" relativeHeight="251663386" behindDoc="0" locked="0" layoutInCell="1" allowOverlap="1" wp14:anchorId="5FC23914" wp14:editId="39148EC8">
          <wp:simplePos x="0" y="0"/>
          <wp:positionH relativeFrom="margin">
            <wp:posOffset>-465455</wp:posOffset>
          </wp:positionH>
          <wp:positionV relativeFrom="paragraph">
            <wp:posOffset>-317830</wp:posOffset>
          </wp:positionV>
          <wp:extent cx="942975" cy="193040"/>
          <wp:effectExtent l="0" t="0" r="9525" b="0"/>
          <wp:wrapNone/>
          <wp:docPr id="1737080843" name="Imagem 173708084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Logotipo&#10;&#10;Descrição gerad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0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31180" w14:textId="031D9F8C" w:rsidR="0068252F" w:rsidRDefault="00EA404C">
    <w:pPr>
      <w:pStyle w:val="Cabealho"/>
    </w:pPr>
    <w:r w:rsidRPr="0095120B">
      <w:rPr>
        <w:noProof/>
        <w:lang w:eastAsia="pt-BR"/>
      </w:rPr>
      <mc:AlternateContent>
        <mc:Choice Requires="wps">
          <w:drawing>
            <wp:anchor distT="0" distB="0" distL="114300" distR="114300" simplePos="0" relativeHeight="251658253" behindDoc="0" locked="0" layoutInCell="1" allowOverlap="1" wp14:anchorId="42BB2BCB" wp14:editId="227E7E60">
              <wp:simplePos x="0" y="0"/>
              <wp:positionH relativeFrom="column">
                <wp:posOffset>2390159</wp:posOffset>
              </wp:positionH>
              <wp:positionV relativeFrom="paragraph">
                <wp:posOffset>-488870</wp:posOffset>
              </wp:positionV>
              <wp:extent cx="4285508" cy="457200"/>
              <wp:effectExtent l="0" t="0" r="0" b="0"/>
              <wp:wrapNone/>
              <wp:docPr id="1830519688" name="Caixa de Texto 1830519688"/>
              <wp:cNvGraphicFramePr/>
              <a:graphic xmlns:a="http://schemas.openxmlformats.org/drawingml/2006/main">
                <a:graphicData uri="http://schemas.microsoft.com/office/word/2010/wordprocessingShape">
                  <wps:wsp>
                    <wps:cNvSpPr txBox="1"/>
                    <wps:spPr>
                      <a:xfrm>
                        <a:off x="0" y="0"/>
                        <a:ext cx="4285508" cy="457200"/>
                      </a:xfrm>
                      <a:prstGeom prst="rect">
                        <a:avLst/>
                      </a:prstGeom>
                      <a:noFill/>
                      <a:ln w="6350">
                        <a:noFill/>
                      </a:ln>
                    </wps:spPr>
                    <wps:txbx>
                      <w:txbxContent>
                        <w:p w14:paraId="252EE4D4" w14:textId="20F63DDC" w:rsidR="00EA404C" w:rsidRPr="00030AE6" w:rsidRDefault="00EA404C" w:rsidP="00EA404C">
                          <w:pPr>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Individuais e Consolidadas</w:t>
                          </w:r>
                          <w:r w:rsidR="004B4358">
                            <w:rPr>
                              <w:rFonts w:ascii="Arial" w:hAnsi="Arial" w:cs="Arial"/>
                              <w:color w:val="FFFFFF" w:themeColor="background1"/>
                              <w:sz w:val="20"/>
                              <w:szCs w:val="20"/>
                            </w:rPr>
                            <w:t xml:space="preserve">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Exercício</w:t>
                          </w:r>
                          <w:r w:rsidRPr="006E7795">
                            <w:rPr>
                              <w:rFonts w:ascii="Arial" w:hAnsi="Arial" w:cs="Arial"/>
                              <w:color w:val="FFFFFF" w:themeColor="background1"/>
                              <w:sz w:val="20"/>
                              <w:szCs w:val="20"/>
                            </w:rPr>
                            <w:t xml:space="preserve"> 202</w:t>
                          </w:r>
                          <w:r w:rsidR="00727E3A">
                            <w:rPr>
                              <w:rFonts w:ascii="Arial" w:hAnsi="Arial" w:cs="Arial"/>
                              <w:color w:val="FFFFFF" w:themeColor="background1"/>
                              <w:sz w:val="20"/>
                              <w:szCs w:val="20"/>
                            </w:rPr>
                            <w:t>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130D709C" w14:textId="77777777" w:rsidR="00EA404C" w:rsidRPr="00030AE6" w:rsidRDefault="00EA404C" w:rsidP="00EA404C">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BB2BCB" id="_x0000_t202" coordsize="21600,21600" o:spt="202" path="m,l,21600r21600,l21600,xe">
              <v:stroke joinstyle="miter"/>
              <v:path gradientshapeok="t" o:connecttype="rect"/>
            </v:shapetype>
            <v:shape id="Caixa de Texto 1830519688" o:spid="_x0000_s1036" type="#_x0000_t202" style="position:absolute;margin-left:188.2pt;margin-top:-38.5pt;width:337.45pt;height:36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" filled="f" stroked="f" strokeweight=".5pt">
              <v:textbox>
                <w:txbxContent>
                  <w:p w14:paraId="252EE4D4" w14:textId="20F63DDC" w:rsidR="00EA404C" w:rsidRPr="00030AE6" w:rsidRDefault="00EA404C" w:rsidP="00EA404C">
                    <w:pPr>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Individuais e Consolidadas</w:t>
                    </w:r>
                    <w:r w:rsidR="004B4358">
                      <w:rPr>
                        <w:rFonts w:ascii="Arial" w:hAnsi="Arial" w:cs="Arial"/>
                        <w:color w:val="FFFFFF" w:themeColor="background1"/>
                        <w:sz w:val="20"/>
                        <w:szCs w:val="20"/>
                      </w:rPr>
                      <w:t xml:space="preserve">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Exercício</w:t>
                    </w:r>
                    <w:r w:rsidRPr="006E7795">
                      <w:rPr>
                        <w:rFonts w:ascii="Arial" w:hAnsi="Arial" w:cs="Arial"/>
                        <w:color w:val="FFFFFF" w:themeColor="background1"/>
                        <w:sz w:val="20"/>
                        <w:szCs w:val="20"/>
                      </w:rPr>
                      <w:t xml:space="preserve"> 202</w:t>
                    </w:r>
                    <w:r w:rsidR="00727E3A">
                      <w:rPr>
                        <w:rFonts w:ascii="Arial" w:hAnsi="Arial" w:cs="Arial"/>
                        <w:color w:val="FFFFFF" w:themeColor="background1"/>
                        <w:sz w:val="20"/>
                        <w:szCs w:val="20"/>
                      </w:rPr>
                      <w:t>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130D709C" w14:textId="77777777" w:rsidR="00EA404C" w:rsidRPr="00030AE6" w:rsidRDefault="00EA404C" w:rsidP="00EA404C">
                    <w:pPr>
                      <w:rPr>
                        <w:rFonts w:ascii="Arial" w:hAnsi="Arial" w:cs="Arial"/>
                        <w:sz w:val="20"/>
                        <w:szCs w:val="20"/>
                      </w:rPr>
                    </w:pPr>
                  </w:p>
                </w:txbxContent>
              </v:textbox>
            </v:shape>
          </w:pict>
        </mc:Fallback>
      </mc:AlternateContent>
    </w:r>
    <w:r w:rsidR="00DE292F" w:rsidRPr="0069353A">
      <w:rPr>
        <w:noProof/>
        <w:sz w:val="20"/>
        <w:szCs w:val="20"/>
        <w:lang w:eastAsia="pt-BR"/>
      </w:rPr>
      <mc:AlternateContent>
        <mc:Choice Requires="wps">
          <w:drawing>
            <wp:anchor distT="0" distB="0" distL="114300" distR="114300" simplePos="0" relativeHeight="251658246" behindDoc="1" locked="0" layoutInCell="1" allowOverlap="1" wp14:anchorId="39C791C0" wp14:editId="2B59CC65">
              <wp:simplePos x="0" y="0"/>
              <wp:positionH relativeFrom="page">
                <wp:posOffset>-19064</wp:posOffset>
              </wp:positionH>
              <wp:positionV relativeFrom="paragraph">
                <wp:posOffset>-574175</wp:posOffset>
              </wp:positionV>
              <wp:extent cx="7553325" cy="623570"/>
              <wp:effectExtent l="0" t="0" r="9525" b="5080"/>
              <wp:wrapThrough wrapText="bothSides">
                <wp:wrapPolygon edited="0">
                  <wp:start x="0" y="0"/>
                  <wp:lineTo x="0" y="21116"/>
                  <wp:lineTo x="21573" y="21116"/>
                  <wp:lineTo x="21573" y="0"/>
                  <wp:lineTo x="0" y="0"/>
                </wp:wrapPolygon>
              </wp:wrapThrough>
              <wp:docPr id="13905375" name="Retângulo 13905375"/>
              <wp:cNvGraphicFramePr/>
              <a:graphic xmlns:a="http://schemas.openxmlformats.org/drawingml/2006/main">
                <a:graphicData uri="http://schemas.microsoft.com/office/word/2010/wordprocessingShape">
                  <wps:wsp>
                    <wps:cNvSpPr/>
                    <wps:spPr>
                      <a:xfrm>
                        <a:off x="0" y="0"/>
                        <a:ext cx="7553325" cy="623570"/>
                      </a:xfrm>
                      <a:prstGeom prst="rect">
                        <a:avLst/>
                      </a:prstGeom>
                      <a:solidFill>
                        <a:srgbClr val="002D4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A887DB" id="Retângulo 13905375" o:spid="_x0000_s1026" style="position:absolute;margin-left:-1.5pt;margin-top:-45.2pt;width:594.75pt;height:49.1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" fillcolor="#002d4b" stroked="f" strokeweight="1pt">
              <w10:wrap type="through" anchorx="page"/>
            </v:rect>
          </w:pict>
        </mc:Fallback>
      </mc:AlternateContent>
    </w:r>
    <w:r w:rsidR="003925E1" w:rsidRPr="0095120B">
      <w:rPr>
        <w:noProof/>
        <w:lang w:eastAsia="pt-BR"/>
      </w:rPr>
      <mc:AlternateContent>
        <mc:Choice Requires="wps">
          <w:drawing>
            <wp:anchor distT="0" distB="0" distL="114300" distR="114300" simplePos="0" relativeHeight="251658242" behindDoc="0" locked="0" layoutInCell="1" allowOverlap="1" wp14:anchorId="09227541" wp14:editId="11424F28">
              <wp:simplePos x="0" y="0"/>
              <wp:positionH relativeFrom="column">
                <wp:posOffset>2833754</wp:posOffset>
              </wp:positionH>
              <wp:positionV relativeFrom="paragraph">
                <wp:posOffset>-428072</wp:posOffset>
              </wp:positionV>
              <wp:extent cx="3930015" cy="457200"/>
              <wp:effectExtent l="0" t="0" r="0" b="0"/>
              <wp:wrapNone/>
              <wp:docPr id="32" name="Caixa de Texto 32"/>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61EFBE64" w14:textId="15ED1943" w:rsidR="003925E1" w:rsidRPr="00030AE6" w:rsidRDefault="003925E1" w:rsidP="003925E1">
                          <w:pPr>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Intermediárias</w:t>
                          </w:r>
                          <w:r w:rsidRPr="00030AE6">
                            <w:rPr>
                              <w:rFonts w:ascii="Arial" w:hAnsi="Arial" w:cs="Arial"/>
                              <w:color w:val="FFFFFF" w:themeColor="background1"/>
                              <w:sz w:val="20"/>
                              <w:szCs w:val="20"/>
                            </w:rPr>
                            <w:t xml:space="preserve"> – </w:t>
                          </w:r>
                          <w:r w:rsidR="00E16F49">
                            <w:rPr>
                              <w:rFonts w:ascii="Arial" w:hAnsi="Arial" w:cs="Arial"/>
                              <w:color w:val="FFFFFF" w:themeColor="background1"/>
                              <w:sz w:val="20"/>
                              <w:szCs w:val="20"/>
                            </w:rPr>
                            <w:t>Exercício</w:t>
                          </w:r>
                          <w:r w:rsidR="006E7795" w:rsidRPr="006E7795">
                            <w:rPr>
                              <w:rFonts w:ascii="Arial" w:hAnsi="Arial" w:cs="Arial"/>
                              <w:color w:val="FFFFFF" w:themeColor="background1"/>
                              <w:sz w:val="20"/>
                              <w:szCs w:val="20"/>
                            </w:rPr>
                            <w:t xml:space="preserve"> 202</w:t>
                          </w:r>
                          <w:r w:rsidR="00D8099E">
                            <w:rPr>
                              <w:rFonts w:ascii="Arial" w:hAnsi="Arial" w:cs="Arial"/>
                              <w:color w:val="FFFFFF" w:themeColor="background1"/>
                              <w:sz w:val="20"/>
                              <w:szCs w:val="20"/>
                            </w:rPr>
                            <w:t>3</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Seguros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4567E349" w14:textId="77777777" w:rsidR="003925E1" w:rsidRPr="00030AE6" w:rsidRDefault="003925E1" w:rsidP="003925E1">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227541" id="_x0000_s1037" type="#_x0000_t202" style="position:absolute;margin-left:223.15pt;margin-top:-33.7pt;width:309.45pt;height:3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" filled="f" stroked="f" strokeweight=".5pt">
              <v:textbox>
                <w:txbxContent>
                  <w:p w14:paraId="61EFBE64" w14:textId="15ED1943" w:rsidR="003925E1" w:rsidRPr="00030AE6" w:rsidRDefault="003925E1" w:rsidP="003925E1">
                    <w:pPr>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Intermediárias</w:t>
                    </w:r>
                    <w:r w:rsidRPr="00030AE6">
                      <w:rPr>
                        <w:rFonts w:ascii="Arial" w:hAnsi="Arial" w:cs="Arial"/>
                        <w:color w:val="FFFFFF" w:themeColor="background1"/>
                        <w:sz w:val="20"/>
                        <w:szCs w:val="20"/>
                      </w:rPr>
                      <w:t xml:space="preserve"> – </w:t>
                    </w:r>
                    <w:r w:rsidR="00E16F49">
                      <w:rPr>
                        <w:rFonts w:ascii="Arial" w:hAnsi="Arial" w:cs="Arial"/>
                        <w:color w:val="FFFFFF" w:themeColor="background1"/>
                        <w:sz w:val="20"/>
                        <w:szCs w:val="20"/>
                      </w:rPr>
                      <w:t>Exercício</w:t>
                    </w:r>
                    <w:r w:rsidR="006E7795" w:rsidRPr="006E7795">
                      <w:rPr>
                        <w:rFonts w:ascii="Arial" w:hAnsi="Arial" w:cs="Arial"/>
                        <w:color w:val="FFFFFF" w:themeColor="background1"/>
                        <w:sz w:val="20"/>
                        <w:szCs w:val="20"/>
                      </w:rPr>
                      <w:t xml:space="preserve"> 202</w:t>
                    </w:r>
                    <w:r w:rsidR="00D8099E">
                      <w:rPr>
                        <w:rFonts w:ascii="Arial" w:hAnsi="Arial" w:cs="Arial"/>
                        <w:color w:val="FFFFFF" w:themeColor="background1"/>
                        <w:sz w:val="20"/>
                        <w:szCs w:val="20"/>
                      </w:rPr>
                      <w:t>3</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Seguros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4567E349" w14:textId="77777777" w:rsidR="003925E1" w:rsidRPr="00030AE6" w:rsidRDefault="003925E1" w:rsidP="003925E1">
                    <w:pPr>
                      <w:rPr>
                        <w:rFonts w:ascii="Arial" w:hAnsi="Arial" w:cs="Arial"/>
                        <w:sz w:val="20"/>
                        <w:szCs w:val="20"/>
                      </w:rPr>
                    </w:pPr>
                  </w:p>
                </w:txbxContent>
              </v:textbox>
            </v:shape>
          </w:pict>
        </mc:Fallback>
      </mc:AlternateContent>
    </w:r>
    <w:r w:rsidR="0068252F" w:rsidRPr="0095120B">
      <w:rPr>
        <w:noProof/>
        <w:lang w:eastAsia="pt-BR"/>
      </w:rPr>
      <w:drawing>
        <wp:anchor distT="0" distB="0" distL="114300" distR="114300" simplePos="0" relativeHeight="251658250" behindDoc="0" locked="0" layoutInCell="1" allowOverlap="1" wp14:anchorId="293A8530" wp14:editId="5254CB7F">
          <wp:simplePos x="0" y="0"/>
          <wp:positionH relativeFrom="margin">
            <wp:posOffset>-465455</wp:posOffset>
          </wp:positionH>
          <wp:positionV relativeFrom="paragraph">
            <wp:posOffset>-359740</wp:posOffset>
          </wp:positionV>
          <wp:extent cx="942975" cy="193040"/>
          <wp:effectExtent l="0" t="0" r="9525" b="0"/>
          <wp:wrapNone/>
          <wp:docPr id="2059954155" name="Imagem 2059954155"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Logotipo&#10;&#10;Descrição gerad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040"/>
                  </a:xfrm>
                  <a:prstGeom prst="rect">
                    <a:avLst/>
                  </a:prstGeom>
                </pic:spPr>
              </pic:pic>
            </a:graphicData>
          </a:graphic>
          <wp14:sizeRelH relativeFrom="margin">
            <wp14:pctWidth>0</wp14:pctWidth>
          </wp14:sizeRelH>
          <wp14:sizeRelV relativeFrom="margin">
            <wp14:pctHeight>0</wp14:pctHeight>
          </wp14:sizeRelV>
        </wp:anchor>
      </w:drawing>
    </w:r>
    <w:r w:rsidR="0068252F"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41" behindDoc="0" locked="0" layoutInCell="1" allowOverlap="1" wp14:anchorId="1D25935A" wp14:editId="5B508A73">
              <wp:simplePos x="0" y="0"/>
              <wp:positionH relativeFrom="page">
                <wp:posOffset>-175260</wp:posOffset>
              </wp:positionH>
              <wp:positionV relativeFrom="paragraph">
                <wp:posOffset>33020</wp:posOffset>
              </wp:positionV>
              <wp:extent cx="9144000" cy="53340"/>
              <wp:effectExtent l="0" t="0" r="0" b="3810"/>
              <wp:wrapNone/>
              <wp:docPr id="2" name="Retângulo 2"/>
              <wp:cNvGraphicFramePr/>
              <a:graphic xmlns:a="http://schemas.openxmlformats.org/drawingml/2006/main">
                <a:graphicData uri="http://schemas.microsoft.com/office/word/2010/wordprocessingShape">
                  <wps:wsp>
                    <wps:cNvSpPr/>
                    <wps:spPr>
                      <a:xfrm>
                        <a:off x="0" y="0"/>
                        <a:ext cx="9144000" cy="53340"/>
                      </a:xfrm>
                      <a:prstGeom prst="rect">
                        <a:avLst/>
                      </a:prstGeom>
                      <a:solidFill>
                        <a:srgbClr val="F5E500"/>
                      </a:solidFill>
                      <a:ln w="12700" cap="flat" cmpd="sng" algn="ctr">
                        <a:noFill/>
                        <a:prstDash val="solid"/>
                        <a:miter lim="800000"/>
                      </a:ln>
                      <a:effectLst/>
                    </wps:spPr>
                    <wps:bodyPr anchor="ctr"/>
                  </wps:wsp>
                </a:graphicData>
              </a:graphic>
            </wp:anchor>
          </w:drawing>
        </mc:Choice>
        <mc:Fallback>
          <w:pict>
            <v:rect w14:anchorId="47F84CEC" id="Retângulo 2" o:spid="_x0000_s1026" style="position:absolute;margin-left:-13.8pt;margin-top:2.6pt;width:10in;height:4.2pt;z-index:251658241;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" fillcolor="#f5e500" stroked="f" strokeweight="1pt">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BA51B" w14:textId="56E1BB85" w:rsidR="0068252F" w:rsidRPr="008D7118" w:rsidRDefault="00C229E1" w:rsidP="008D7118">
    <w:pPr>
      <w:pStyle w:val="Cabealho"/>
      <w:rPr>
        <w:sz w:val="2"/>
        <w:szCs w:val="2"/>
      </w:rPr>
    </w:pPr>
    <w:r>
      <w:rPr>
        <w:noProof/>
        <w:sz w:val="2"/>
        <w:szCs w:val="2"/>
        <w:lang w:eastAsia="pt-BR"/>
      </w:rPr>
      <mc:AlternateContent>
        <mc:Choice Requires="wps">
          <w:drawing>
            <wp:anchor distT="0" distB="0" distL="114300" distR="114300" simplePos="0" relativeHeight="251658254" behindDoc="0" locked="0" layoutInCell="0" allowOverlap="1" wp14:anchorId="2CE3CE3C" wp14:editId="0C91980D">
              <wp:simplePos x="0" y="0"/>
              <wp:positionH relativeFrom="page">
                <wp:align>right</wp:align>
              </wp:positionH>
              <wp:positionV relativeFrom="page">
                <wp:align>top</wp:align>
              </wp:positionV>
              <wp:extent cx="7772400" cy="463550"/>
              <wp:effectExtent l="0" t="0" r="0" b="12700"/>
              <wp:wrapNone/>
              <wp:docPr id="3" name="MSIPCM775141f1907b461fb28c1b4f" descr="{&quot;HashCode&quot;:-325551423,&quot;Height&quot;:9999999.0,&quot;Width&quot;:9999999.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7F8DD5" w14:textId="4A829411" w:rsidR="00C229E1" w:rsidRPr="00B10F8D" w:rsidRDefault="00B10F8D" w:rsidP="00B10F8D">
                          <w:pPr>
                            <w:spacing w:after="0"/>
                            <w:jc w:val="right"/>
                            <w:rPr>
                              <w:rFonts w:ascii="Calibri" w:hAnsi="Calibri" w:cs="Calibri"/>
                              <w:color w:val="000000"/>
                              <w:sz w:val="20"/>
                            </w:rPr>
                          </w:pPr>
                          <w:r w:rsidRPr="00B10F8D">
                            <w:rPr>
                              <w:rFonts w:ascii="Calibri" w:hAnsi="Calibri" w:cs="Calibri"/>
                              <w:color w:val="000000"/>
                              <w:sz w:val="20"/>
                            </w:rPr>
                            <w:t>#Confidencial</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2CE3CE3C" id="_x0000_t202" coordsize="21600,21600" o:spt="202" path="m,l,21600r21600,l21600,xe">
              <v:stroke joinstyle="miter"/>
              <v:path gradientshapeok="t" o:connecttype="rect"/>
            </v:shapetype>
            <v:shape id="MSIPCM775141f1907b461fb28c1b4f" o:spid="_x0000_s1038" type="#_x0000_t202" alt="{&quot;HashCode&quot;:-325551423,&quot;Height&quot;:9999999.0,&quot;Width&quot;:9999999.0,&quot;Placement&quot;:&quot;Header&quot;,&quot;Index&quot;:&quot;FirstPage&quot;,&quot;Section&quot;:1,&quot;Top&quot;:0.0,&quot;Left&quot;:0.0}" style="position:absolute;margin-left:560.8pt;margin-top:0;width:612pt;height:36.5pt;z-index:251658254;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" o:allowincell="f" filled="f" stroked="f" strokeweight=".5pt">
              <v:textbox inset=",0,20pt,0">
                <w:txbxContent>
                  <w:p w14:paraId="6B7F8DD5" w14:textId="4A829411" w:rsidR="00C229E1" w:rsidRPr="00B10F8D" w:rsidRDefault="00B10F8D" w:rsidP="00B10F8D">
                    <w:pPr>
                      <w:spacing w:after="0"/>
                      <w:jc w:val="right"/>
                      <w:rPr>
                        <w:rFonts w:ascii="Calibri" w:hAnsi="Calibri" w:cs="Calibri"/>
                        <w:color w:val="000000"/>
                        <w:sz w:val="20"/>
                      </w:rPr>
                    </w:pPr>
                    <w:r w:rsidRPr="00B10F8D">
                      <w:rPr>
                        <w:rFonts w:ascii="Calibri" w:hAnsi="Calibri" w:cs="Calibri"/>
                        <w:color w:val="000000"/>
                        <w:sz w:val="20"/>
                      </w:rPr>
                      <w:t>#Confidencial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DCAF9" w14:textId="0ED77FFE" w:rsidR="008D7118" w:rsidRPr="00147488" w:rsidRDefault="00573AFA" w:rsidP="006F192E">
    <w:pPr>
      <w:pStyle w:val="Cabealho"/>
      <w:tabs>
        <w:tab w:val="clear" w:pos="4252"/>
        <w:tab w:val="clear" w:pos="8504"/>
        <w:tab w:val="left" w:pos="5625"/>
      </w:tabs>
    </w:pPr>
    <w:r w:rsidRPr="0095120B">
      <w:rPr>
        <w:noProof/>
        <w:lang w:eastAsia="pt-BR"/>
      </w:rPr>
      <mc:AlternateContent>
        <mc:Choice Requires="wps">
          <w:drawing>
            <wp:anchor distT="0" distB="0" distL="114300" distR="114300" simplePos="0" relativeHeight="251658245" behindDoc="0" locked="0" layoutInCell="1" allowOverlap="1" wp14:anchorId="63007717" wp14:editId="535C54CB">
              <wp:simplePos x="0" y="0"/>
              <wp:positionH relativeFrom="column">
                <wp:posOffset>1099846</wp:posOffset>
              </wp:positionH>
              <wp:positionV relativeFrom="paragraph">
                <wp:posOffset>-504190</wp:posOffset>
              </wp:positionV>
              <wp:extent cx="5682615" cy="457200"/>
              <wp:effectExtent l="0" t="0" r="0" b="0"/>
              <wp:wrapNone/>
              <wp:docPr id="1579602188" name="Caixa de Texto 1579602188"/>
              <wp:cNvGraphicFramePr/>
              <a:graphic xmlns:a="http://schemas.openxmlformats.org/drawingml/2006/main">
                <a:graphicData uri="http://schemas.microsoft.com/office/word/2010/wordprocessingShape">
                  <wps:wsp>
                    <wps:cNvSpPr txBox="1"/>
                    <wps:spPr>
                      <a:xfrm>
                        <a:off x="0" y="0"/>
                        <a:ext cx="5682615" cy="457200"/>
                      </a:xfrm>
                      <a:prstGeom prst="rect">
                        <a:avLst/>
                      </a:prstGeom>
                      <a:noFill/>
                      <a:ln w="6350">
                        <a:noFill/>
                      </a:ln>
                    </wps:spPr>
                    <wps:txbx>
                      <w:txbxContent>
                        <w:p w14:paraId="6AA0AAB2" w14:textId="09E74E74" w:rsidR="008D7118" w:rsidRPr="00030AE6" w:rsidRDefault="008D7118" w:rsidP="000148A5">
                          <w:pPr>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sidR="009F6A01">
                            <w:rPr>
                              <w:rFonts w:ascii="Arial" w:hAnsi="Arial" w:cs="Arial"/>
                              <w:color w:val="FFFFFF" w:themeColor="background1"/>
                              <w:sz w:val="20"/>
                              <w:szCs w:val="20"/>
                            </w:rPr>
                            <w:t xml:space="preserve"> </w:t>
                          </w:r>
                          <w:r>
                            <w:rPr>
                              <w:rFonts w:ascii="Arial" w:hAnsi="Arial" w:cs="Arial"/>
                              <w:color w:val="FFFFFF" w:themeColor="background1"/>
                              <w:sz w:val="20"/>
                              <w:szCs w:val="20"/>
                            </w:rPr>
                            <w:t>Individuais e Consolidadas</w:t>
                          </w:r>
                          <w:r w:rsidR="004B4358">
                            <w:rPr>
                              <w:rFonts w:ascii="Arial" w:hAnsi="Arial" w:cs="Arial"/>
                              <w:color w:val="FFFFFF" w:themeColor="background1"/>
                              <w:sz w:val="20"/>
                              <w:szCs w:val="20"/>
                            </w:rPr>
                            <w:t xml:space="preserve">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w:t>
                          </w:r>
                          <w:r w:rsidR="009F6A01">
                            <w:rPr>
                              <w:rFonts w:ascii="Arial" w:hAnsi="Arial" w:cs="Arial"/>
                              <w:color w:val="FFFFFF" w:themeColor="background1"/>
                              <w:sz w:val="20"/>
                              <w:szCs w:val="20"/>
                            </w:rPr>
                            <w:t>Exercício</w:t>
                          </w:r>
                          <w:r w:rsidR="003C7B09">
                            <w:rPr>
                              <w:rFonts w:ascii="Arial" w:hAnsi="Arial" w:cs="Arial"/>
                              <w:color w:val="FFFFFF" w:themeColor="background1"/>
                              <w:sz w:val="20"/>
                              <w:szCs w:val="20"/>
                            </w:rPr>
                            <w:t xml:space="preserve"> 2024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30C15D1C" w14:textId="77777777" w:rsidR="008D7118" w:rsidRPr="00030AE6" w:rsidRDefault="008D7118" w:rsidP="000148A5">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007717" id="_x0000_t202" coordsize="21600,21600" o:spt="202" path="m,l,21600r21600,l21600,xe">
              <v:stroke joinstyle="miter"/>
              <v:path gradientshapeok="t" o:connecttype="rect"/>
            </v:shapetype>
            <v:shape id="Caixa de Texto 1579602188" o:spid="_x0000_s1039" type="#_x0000_t202" style="position:absolute;margin-left:86.6pt;margin-top:-39.7pt;width:447.45pt;height:36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" filled="f" stroked="f" strokeweight=".5pt">
              <v:textbox>
                <w:txbxContent>
                  <w:p w14:paraId="6AA0AAB2" w14:textId="09E74E74" w:rsidR="008D7118" w:rsidRPr="00030AE6" w:rsidRDefault="008D7118" w:rsidP="000148A5">
                    <w:pPr>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sidR="009F6A01">
                      <w:rPr>
                        <w:rFonts w:ascii="Arial" w:hAnsi="Arial" w:cs="Arial"/>
                        <w:color w:val="FFFFFF" w:themeColor="background1"/>
                        <w:sz w:val="20"/>
                        <w:szCs w:val="20"/>
                      </w:rPr>
                      <w:t xml:space="preserve"> </w:t>
                    </w:r>
                    <w:r>
                      <w:rPr>
                        <w:rFonts w:ascii="Arial" w:hAnsi="Arial" w:cs="Arial"/>
                        <w:color w:val="FFFFFF" w:themeColor="background1"/>
                        <w:sz w:val="20"/>
                        <w:szCs w:val="20"/>
                      </w:rPr>
                      <w:t>Individuais e Consolidadas</w:t>
                    </w:r>
                    <w:r w:rsidR="004B4358">
                      <w:rPr>
                        <w:rFonts w:ascii="Arial" w:hAnsi="Arial" w:cs="Arial"/>
                        <w:color w:val="FFFFFF" w:themeColor="background1"/>
                        <w:sz w:val="20"/>
                        <w:szCs w:val="20"/>
                      </w:rPr>
                      <w:t xml:space="preserve">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w:t>
                    </w:r>
                    <w:r w:rsidR="009F6A01">
                      <w:rPr>
                        <w:rFonts w:ascii="Arial" w:hAnsi="Arial" w:cs="Arial"/>
                        <w:color w:val="FFFFFF" w:themeColor="background1"/>
                        <w:sz w:val="20"/>
                        <w:szCs w:val="20"/>
                      </w:rPr>
                      <w:t>Exercício</w:t>
                    </w:r>
                    <w:r w:rsidR="003C7B09">
                      <w:rPr>
                        <w:rFonts w:ascii="Arial" w:hAnsi="Arial" w:cs="Arial"/>
                        <w:color w:val="FFFFFF" w:themeColor="background1"/>
                        <w:sz w:val="20"/>
                        <w:szCs w:val="20"/>
                      </w:rPr>
                      <w:t xml:space="preserve"> 2024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30C15D1C" w14:textId="77777777" w:rsidR="008D7118" w:rsidRPr="00030AE6" w:rsidRDefault="008D7118" w:rsidP="000148A5">
                    <w:pPr>
                      <w:rPr>
                        <w:rFonts w:ascii="Arial" w:hAnsi="Arial" w:cs="Arial"/>
                        <w:sz w:val="20"/>
                        <w:szCs w:val="20"/>
                      </w:rPr>
                    </w:pPr>
                  </w:p>
                </w:txbxContent>
              </v:textbox>
            </v:shape>
          </w:pict>
        </mc:Fallback>
      </mc:AlternateContent>
    </w:r>
    <w:r w:rsidR="00DC73DF" w:rsidRPr="0069353A">
      <w:rPr>
        <w:noProof/>
        <w:sz w:val="20"/>
        <w:szCs w:val="20"/>
        <w:lang w:eastAsia="pt-BR"/>
      </w:rPr>
      <mc:AlternateContent>
        <mc:Choice Requires="wps">
          <w:drawing>
            <wp:anchor distT="0" distB="0" distL="114300" distR="114300" simplePos="0" relativeHeight="251658243" behindDoc="1" locked="0" layoutInCell="1" allowOverlap="1" wp14:anchorId="39B3C17D" wp14:editId="5C567143">
              <wp:simplePos x="0" y="0"/>
              <wp:positionH relativeFrom="page">
                <wp:align>left</wp:align>
              </wp:positionH>
              <wp:positionV relativeFrom="paragraph">
                <wp:posOffset>-544830</wp:posOffset>
              </wp:positionV>
              <wp:extent cx="10674350" cy="533400"/>
              <wp:effectExtent l="0" t="0" r="0" b="0"/>
              <wp:wrapThrough wrapText="bothSides">
                <wp:wrapPolygon edited="0">
                  <wp:start x="0" y="0"/>
                  <wp:lineTo x="0" y="20829"/>
                  <wp:lineTo x="21549" y="20829"/>
                  <wp:lineTo x="21549" y="0"/>
                  <wp:lineTo x="0" y="0"/>
                </wp:wrapPolygon>
              </wp:wrapThrough>
              <wp:docPr id="1556609390" name="Retângulo 1556609390"/>
              <wp:cNvGraphicFramePr/>
              <a:graphic xmlns:a="http://schemas.openxmlformats.org/drawingml/2006/main">
                <a:graphicData uri="http://schemas.microsoft.com/office/word/2010/wordprocessingShape">
                  <wps:wsp>
                    <wps:cNvSpPr/>
                    <wps:spPr>
                      <a:xfrm>
                        <a:off x="0" y="0"/>
                        <a:ext cx="10674350" cy="533400"/>
                      </a:xfrm>
                      <a:prstGeom prst="rect">
                        <a:avLst/>
                      </a:prstGeom>
                      <a:solidFill>
                        <a:srgbClr val="002D4B"/>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94E2C6" id="Retângulo 1556609390" o:spid="_x0000_s1026" style="position:absolute;margin-left:0;margin-top:-42.9pt;width:840.5pt;height:42pt;z-index:-251658237;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" fillcolor="#002d4b" stroked="f" strokeweight="1pt">
              <w10:wrap type="through" anchorx="page"/>
            </v:rect>
          </w:pict>
        </mc:Fallback>
      </mc:AlternateContent>
    </w:r>
    <w:r w:rsidR="00DC73DF"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44" behindDoc="0" locked="0" layoutInCell="1" allowOverlap="1" wp14:anchorId="2C6A0FF5" wp14:editId="26BDCF75">
              <wp:simplePos x="0" y="0"/>
              <wp:positionH relativeFrom="page">
                <wp:align>right</wp:align>
              </wp:positionH>
              <wp:positionV relativeFrom="paragraph">
                <wp:posOffset>-6985</wp:posOffset>
              </wp:positionV>
              <wp:extent cx="10718800" cy="45719"/>
              <wp:effectExtent l="0" t="0" r="6350" b="0"/>
              <wp:wrapNone/>
              <wp:docPr id="1168953034" name="Retângulo 1168953034"/>
              <wp:cNvGraphicFramePr/>
              <a:graphic xmlns:a="http://schemas.openxmlformats.org/drawingml/2006/main">
                <a:graphicData uri="http://schemas.microsoft.com/office/word/2010/wordprocessingShape">
                  <wps:wsp>
                    <wps:cNvSpPr/>
                    <wps:spPr>
                      <a:xfrm>
                        <a:off x="0" y="0"/>
                        <a:ext cx="10718800" cy="45719"/>
                      </a:xfrm>
                      <a:prstGeom prst="rect">
                        <a:avLst/>
                      </a:prstGeom>
                      <a:solidFill>
                        <a:srgbClr val="F5E500"/>
                      </a:solidFill>
                      <a:ln>
                        <a:noFill/>
                      </a:ln>
                    </wps:spPr>
                    <wps:style>
                      <a:lnRef idx="2">
                        <a:schemeClr val="accent6">
                          <a:shade val="50000"/>
                        </a:schemeClr>
                      </a:lnRef>
                      <a:fillRef idx="1">
                        <a:schemeClr val="accent6"/>
                      </a:fillRef>
                      <a:effectRef idx="0">
                        <a:schemeClr val="accent6"/>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w:pict>
            <v:rect w14:anchorId="7FF038D3" id="Retângulo 1168953034" o:spid="_x0000_s1026" style="position:absolute;margin-left:792.8pt;margin-top:-.55pt;width:844pt;height:3.6pt;z-index:25165824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" fillcolor="#f5e500" stroked="f" strokeweight="1pt">
              <w10:wrap anchorx="page"/>
            </v:rect>
          </w:pict>
        </mc:Fallback>
      </mc:AlternateContent>
    </w:r>
    <w:r w:rsidR="008D7118" w:rsidRPr="0095120B">
      <w:rPr>
        <w:noProof/>
        <w:lang w:eastAsia="pt-BR"/>
      </w:rPr>
      <w:drawing>
        <wp:anchor distT="0" distB="0" distL="114300" distR="114300" simplePos="0" relativeHeight="251658251" behindDoc="0" locked="0" layoutInCell="1" allowOverlap="1" wp14:anchorId="27EB5752" wp14:editId="749463C4">
          <wp:simplePos x="0" y="0"/>
          <wp:positionH relativeFrom="margin">
            <wp:posOffset>-396240</wp:posOffset>
          </wp:positionH>
          <wp:positionV relativeFrom="paragraph">
            <wp:posOffset>-368935</wp:posOffset>
          </wp:positionV>
          <wp:extent cx="942975" cy="193673"/>
          <wp:effectExtent l="0" t="0" r="0" b="0"/>
          <wp:wrapNone/>
          <wp:docPr id="1929441511" name="Imagem 1929441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BB Segur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673"/>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3A19D" w14:textId="77777777" w:rsidR="00974184" w:rsidRDefault="00D8099E">
    <w:pPr>
      <w:pStyle w:val="Cabealho"/>
    </w:pPr>
    <w:r w:rsidRPr="0095120B">
      <w:rPr>
        <w:noProof/>
        <w:lang w:eastAsia="pt-BR"/>
      </w:rPr>
      <mc:AlternateContent>
        <mc:Choice Requires="wps">
          <w:drawing>
            <wp:anchor distT="0" distB="0" distL="114300" distR="114300" simplePos="0" relativeHeight="251658249" behindDoc="0" locked="0" layoutInCell="1" allowOverlap="1" wp14:anchorId="79FBD661" wp14:editId="65A171C6">
              <wp:simplePos x="0" y="0"/>
              <wp:positionH relativeFrom="column">
                <wp:posOffset>882382</wp:posOffset>
              </wp:positionH>
              <wp:positionV relativeFrom="paragraph">
                <wp:posOffset>-438785</wp:posOffset>
              </wp:positionV>
              <wp:extent cx="5822315" cy="457200"/>
              <wp:effectExtent l="0" t="0" r="0" b="0"/>
              <wp:wrapNone/>
              <wp:docPr id="107949971" name="Caixa de Texto 107949971"/>
              <wp:cNvGraphicFramePr/>
              <a:graphic xmlns:a="http://schemas.openxmlformats.org/drawingml/2006/main">
                <a:graphicData uri="http://schemas.microsoft.com/office/word/2010/wordprocessingShape">
                  <wps:wsp>
                    <wps:cNvSpPr txBox="1"/>
                    <wps:spPr>
                      <a:xfrm>
                        <a:off x="0" y="0"/>
                        <a:ext cx="5822315" cy="457200"/>
                      </a:xfrm>
                      <a:prstGeom prst="rect">
                        <a:avLst/>
                      </a:prstGeom>
                      <a:noFill/>
                      <a:ln w="6350">
                        <a:noFill/>
                      </a:ln>
                    </wps:spPr>
                    <wps:txbx>
                      <w:txbxContent>
                        <w:p w14:paraId="6E021786" w14:textId="6336796D" w:rsidR="00D8099E" w:rsidRPr="00030AE6" w:rsidRDefault="00D8099E" w:rsidP="00DC73DF">
                          <w:pPr>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sidR="009F6A01">
                            <w:rPr>
                              <w:rFonts w:ascii="Arial" w:hAnsi="Arial" w:cs="Arial"/>
                              <w:color w:val="FFFFFF" w:themeColor="background1"/>
                              <w:sz w:val="20"/>
                              <w:szCs w:val="20"/>
                            </w:rPr>
                            <w:t xml:space="preserve"> </w:t>
                          </w:r>
                          <w:r>
                            <w:rPr>
                              <w:rFonts w:ascii="Arial" w:hAnsi="Arial" w:cs="Arial"/>
                              <w:color w:val="FFFFFF" w:themeColor="background1"/>
                              <w:sz w:val="20"/>
                              <w:szCs w:val="20"/>
                            </w:rPr>
                            <w:t>Individuais e Consolidadas</w:t>
                          </w:r>
                          <w:r w:rsidR="004B4358">
                            <w:rPr>
                              <w:rFonts w:ascii="Arial" w:hAnsi="Arial" w:cs="Arial"/>
                              <w:color w:val="FFFFFF" w:themeColor="background1"/>
                              <w:sz w:val="20"/>
                              <w:szCs w:val="20"/>
                            </w:rPr>
                            <w:t xml:space="preserve">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w:t>
                          </w:r>
                          <w:r w:rsidR="009F6A01">
                            <w:rPr>
                              <w:rFonts w:ascii="Arial" w:hAnsi="Arial" w:cs="Arial"/>
                              <w:color w:val="FFFFFF" w:themeColor="background1"/>
                              <w:sz w:val="20"/>
                              <w:szCs w:val="20"/>
                            </w:rPr>
                            <w:t xml:space="preserve">Exercício </w:t>
                          </w:r>
                          <w:r w:rsidR="003C7B09">
                            <w:rPr>
                              <w:rFonts w:ascii="Arial" w:hAnsi="Arial" w:cs="Arial"/>
                              <w:color w:val="FFFFFF" w:themeColor="background1"/>
                              <w:sz w:val="20"/>
                              <w:szCs w:val="20"/>
                            </w:rPr>
                            <w:t>2024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614D52CF" w14:textId="77777777" w:rsidR="00D8099E" w:rsidRPr="00030AE6" w:rsidRDefault="00D8099E" w:rsidP="003D6C77">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FBD661" id="_x0000_t202" coordsize="21600,21600" o:spt="202" path="m,l,21600r21600,l21600,xe">
              <v:stroke joinstyle="miter"/>
              <v:path gradientshapeok="t" o:connecttype="rect"/>
            </v:shapetype>
            <v:shape id="Caixa de Texto 107949971" o:spid="_x0000_s1040" type="#_x0000_t202" style="position:absolute;margin-left:69.5pt;margin-top:-34.55pt;width:458.45pt;height:3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" filled="f" stroked="f" strokeweight=".5pt">
              <v:textbox>
                <w:txbxContent>
                  <w:p w14:paraId="6E021786" w14:textId="6336796D" w:rsidR="00D8099E" w:rsidRPr="00030AE6" w:rsidRDefault="00D8099E" w:rsidP="00DC73DF">
                    <w:pPr>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sidR="009F6A01">
                      <w:rPr>
                        <w:rFonts w:ascii="Arial" w:hAnsi="Arial" w:cs="Arial"/>
                        <w:color w:val="FFFFFF" w:themeColor="background1"/>
                        <w:sz w:val="20"/>
                        <w:szCs w:val="20"/>
                      </w:rPr>
                      <w:t xml:space="preserve"> </w:t>
                    </w:r>
                    <w:r>
                      <w:rPr>
                        <w:rFonts w:ascii="Arial" w:hAnsi="Arial" w:cs="Arial"/>
                        <w:color w:val="FFFFFF" w:themeColor="background1"/>
                        <w:sz w:val="20"/>
                        <w:szCs w:val="20"/>
                      </w:rPr>
                      <w:t>Individuais e Consolidadas</w:t>
                    </w:r>
                    <w:r w:rsidR="004B4358">
                      <w:rPr>
                        <w:rFonts w:ascii="Arial" w:hAnsi="Arial" w:cs="Arial"/>
                        <w:color w:val="FFFFFF" w:themeColor="background1"/>
                        <w:sz w:val="20"/>
                        <w:szCs w:val="20"/>
                      </w:rPr>
                      <w:t xml:space="preserve">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w:t>
                    </w:r>
                    <w:r w:rsidR="009F6A01">
                      <w:rPr>
                        <w:rFonts w:ascii="Arial" w:hAnsi="Arial" w:cs="Arial"/>
                        <w:color w:val="FFFFFF" w:themeColor="background1"/>
                        <w:sz w:val="20"/>
                        <w:szCs w:val="20"/>
                      </w:rPr>
                      <w:t xml:space="preserve">Exercício </w:t>
                    </w:r>
                    <w:r w:rsidR="003C7B09">
                      <w:rPr>
                        <w:rFonts w:ascii="Arial" w:hAnsi="Arial" w:cs="Arial"/>
                        <w:color w:val="FFFFFF" w:themeColor="background1"/>
                        <w:sz w:val="20"/>
                        <w:szCs w:val="20"/>
                      </w:rPr>
                      <w:t>2024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614D52CF" w14:textId="77777777" w:rsidR="00D8099E" w:rsidRPr="00030AE6" w:rsidRDefault="00D8099E" w:rsidP="003D6C77">
                    <w:pPr>
                      <w:rPr>
                        <w:rFonts w:ascii="Arial" w:hAnsi="Arial" w:cs="Arial"/>
                        <w:sz w:val="20"/>
                        <w:szCs w:val="20"/>
                      </w:rPr>
                    </w:pPr>
                  </w:p>
                </w:txbxContent>
              </v:textbox>
            </v:shape>
          </w:pict>
        </mc:Fallback>
      </mc:AlternateContent>
    </w:r>
    <w:r w:rsidRPr="0069353A">
      <w:rPr>
        <w:noProof/>
        <w:sz w:val="20"/>
        <w:szCs w:val="20"/>
        <w:lang w:eastAsia="pt-BR"/>
      </w:rPr>
      <mc:AlternateContent>
        <mc:Choice Requires="wps">
          <w:drawing>
            <wp:anchor distT="0" distB="0" distL="114300" distR="114300" simplePos="0" relativeHeight="251658247" behindDoc="1" locked="0" layoutInCell="1" allowOverlap="1" wp14:anchorId="6602C4D5" wp14:editId="1345FC71">
              <wp:simplePos x="0" y="0"/>
              <wp:positionH relativeFrom="page">
                <wp:posOffset>12700</wp:posOffset>
              </wp:positionH>
              <wp:positionV relativeFrom="paragraph">
                <wp:posOffset>-539750</wp:posOffset>
              </wp:positionV>
              <wp:extent cx="11062335" cy="593725"/>
              <wp:effectExtent l="0" t="0" r="5715" b="0"/>
              <wp:wrapThrough wrapText="bothSides">
                <wp:wrapPolygon edited="0">
                  <wp:start x="0" y="0"/>
                  <wp:lineTo x="0" y="20791"/>
                  <wp:lineTo x="21574" y="20791"/>
                  <wp:lineTo x="21574" y="0"/>
                  <wp:lineTo x="0" y="0"/>
                </wp:wrapPolygon>
              </wp:wrapThrough>
              <wp:docPr id="781974813" name="Retângulo 781974813"/>
              <wp:cNvGraphicFramePr/>
              <a:graphic xmlns:a="http://schemas.openxmlformats.org/drawingml/2006/main">
                <a:graphicData uri="http://schemas.microsoft.com/office/word/2010/wordprocessingShape">
                  <wps:wsp>
                    <wps:cNvSpPr/>
                    <wps:spPr>
                      <a:xfrm>
                        <a:off x="0" y="0"/>
                        <a:ext cx="11062335" cy="593725"/>
                      </a:xfrm>
                      <a:prstGeom prst="rect">
                        <a:avLst/>
                      </a:prstGeom>
                      <a:solidFill>
                        <a:srgbClr val="002D4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F5F698" id="Retângulo 781974813" o:spid="_x0000_s1026" style="position:absolute;margin-left:1pt;margin-top:-42.5pt;width:871.05pt;height:46.75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" fillcolor="#002d4b" stroked="f" strokeweight="1pt">
              <w10:wrap type="through" anchorx="page"/>
            </v:rect>
          </w:pict>
        </mc:Fallback>
      </mc:AlternateContent>
    </w:r>
    <w:r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48" behindDoc="0" locked="0" layoutInCell="1" allowOverlap="1" wp14:anchorId="7EF24573" wp14:editId="2F5F5B24">
              <wp:simplePos x="0" y="0"/>
              <wp:positionH relativeFrom="page">
                <wp:posOffset>-152400</wp:posOffset>
              </wp:positionH>
              <wp:positionV relativeFrom="paragraph">
                <wp:posOffset>46050</wp:posOffset>
              </wp:positionV>
              <wp:extent cx="11159490" cy="45085"/>
              <wp:effectExtent l="0" t="0" r="3810" b="0"/>
              <wp:wrapNone/>
              <wp:docPr id="1485778946" name="Retângulo 1485778946"/>
              <wp:cNvGraphicFramePr/>
              <a:graphic xmlns:a="http://schemas.openxmlformats.org/drawingml/2006/main">
                <a:graphicData uri="http://schemas.microsoft.com/office/word/2010/wordprocessingShape">
                  <wps:wsp>
                    <wps:cNvSpPr/>
                    <wps:spPr>
                      <a:xfrm>
                        <a:off x="0" y="0"/>
                        <a:ext cx="11159490" cy="45085"/>
                      </a:xfrm>
                      <a:prstGeom prst="rect">
                        <a:avLst/>
                      </a:prstGeom>
                      <a:solidFill>
                        <a:srgbClr val="F5E500"/>
                      </a:solidFill>
                      <a:ln w="12700" cap="flat" cmpd="sng" algn="ctr">
                        <a:no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w:pict>
            <v:rect w14:anchorId="42AF9780" id="Retângulo 1485778946" o:spid="_x0000_s1026" style="position:absolute;margin-left:-12pt;margin-top:3.65pt;width:878.7pt;height:3.5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" fillcolor="#f5e500" stroked="f" strokeweight="1pt">
              <w10:wrap anchorx="page"/>
            </v:rect>
          </w:pict>
        </mc:Fallback>
      </mc:AlternateContent>
    </w:r>
    <w:r w:rsidRPr="0095120B">
      <w:rPr>
        <w:noProof/>
        <w:lang w:eastAsia="pt-BR"/>
      </w:rPr>
      <w:drawing>
        <wp:anchor distT="0" distB="0" distL="114300" distR="114300" simplePos="0" relativeHeight="251658252" behindDoc="0" locked="0" layoutInCell="1" allowOverlap="1" wp14:anchorId="78385269" wp14:editId="23BE7A49">
          <wp:simplePos x="0" y="0"/>
          <wp:positionH relativeFrom="margin">
            <wp:posOffset>-465455</wp:posOffset>
          </wp:positionH>
          <wp:positionV relativeFrom="paragraph">
            <wp:posOffset>-317830</wp:posOffset>
          </wp:positionV>
          <wp:extent cx="942975" cy="193040"/>
          <wp:effectExtent l="0" t="0" r="9525" b="0"/>
          <wp:wrapNone/>
          <wp:docPr id="1769585235" name="Imagem 1769585235"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Logotipo&#10;&#10;Descrição gerad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04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451A9" w14:textId="10C664BC" w:rsidR="00DD01E4" w:rsidRDefault="00800C0E">
    <w:pPr>
      <w:pStyle w:val="Cabealho"/>
    </w:pPr>
    <w:r w:rsidRPr="0095120B">
      <w:rPr>
        <w:noProof/>
        <w:lang w:eastAsia="pt-BR"/>
      </w:rPr>
      <mc:AlternateContent>
        <mc:Choice Requires="wps">
          <w:drawing>
            <wp:anchor distT="0" distB="0" distL="114300" distR="114300" simplePos="0" relativeHeight="251658265" behindDoc="0" locked="0" layoutInCell="1" allowOverlap="1" wp14:anchorId="71CD9A4E" wp14:editId="65DED0F9">
              <wp:simplePos x="0" y="0"/>
              <wp:positionH relativeFrom="column">
                <wp:posOffset>4151008</wp:posOffset>
              </wp:positionH>
              <wp:positionV relativeFrom="paragraph">
                <wp:posOffset>-475201</wp:posOffset>
              </wp:positionV>
              <wp:extent cx="5822315" cy="457200"/>
              <wp:effectExtent l="0" t="0" r="0" b="0"/>
              <wp:wrapNone/>
              <wp:docPr id="119452981" name="Caixa de Texto 119452981"/>
              <wp:cNvGraphicFramePr/>
              <a:graphic xmlns:a="http://schemas.openxmlformats.org/drawingml/2006/main">
                <a:graphicData uri="http://schemas.microsoft.com/office/word/2010/wordprocessingShape">
                  <wps:wsp>
                    <wps:cNvSpPr txBox="1"/>
                    <wps:spPr>
                      <a:xfrm>
                        <a:off x="0" y="0"/>
                        <a:ext cx="5822315" cy="457200"/>
                      </a:xfrm>
                      <a:prstGeom prst="rect">
                        <a:avLst/>
                      </a:prstGeom>
                      <a:noFill/>
                      <a:ln w="6350">
                        <a:noFill/>
                      </a:ln>
                    </wps:spPr>
                    <wps:txbx>
                      <w:txbxContent>
                        <w:p w14:paraId="1BE1830E" w14:textId="77777777" w:rsidR="00DD01E4" w:rsidRPr="00030AE6" w:rsidRDefault="00DD01E4" w:rsidP="00DC73DF">
                          <w:pPr>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Individuais e Consolidadas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Exercício 2024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356D7CAA" w14:textId="77777777" w:rsidR="00DD01E4" w:rsidRPr="00030AE6" w:rsidRDefault="00DD01E4" w:rsidP="003D6C77">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D9A4E" id="_x0000_t202" coordsize="21600,21600" o:spt="202" path="m,l,21600r21600,l21600,xe">
              <v:stroke joinstyle="miter"/>
              <v:path gradientshapeok="t" o:connecttype="rect"/>
            </v:shapetype>
            <v:shape id="Caixa de Texto 119452981" o:spid="_x0000_s1041" type="#_x0000_t202" style="position:absolute;margin-left:326.85pt;margin-top:-37.4pt;width:458.45pt;height:36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" filled="f" stroked="f" strokeweight=".5pt">
              <v:textbox>
                <w:txbxContent>
                  <w:p w14:paraId="1BE1830E" w14:textId="77777777" w:rsidR="00DD01E4" w:rsidRPr="00030AE6" w:rsidRDefault="00DD01E4" w:rsidP="00DC73DF">
                    <w:pPr>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Individuais e Consolidadas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Exercício 2024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356D7CAA" w14:textId="77777777" w:rsidR="00DD01E4" w:rsidRPr="00030AE6" w:rsidRDefault="00DD01E4" w:rsidP="003D6C77">
                    <w:pPr>
                      <w:rPr>
                        <w:rFonts w:ascii="Arial" w:hAnsi="Arial" w:cs="Arial"/>
                        <w:sz w:val="20"/>
                        <w:szCs w:val="20"/>
                      </w:rPr>
                    </w:pPr>
                  </w:p>
                </w:txbxContent>
              </v:textbox>
            </v:shape>
          </w:pict>
        </mc:Fallback>
      </mc:AlternateContent>
    </w:r>
    <w:r w:rsidR="00B52F4D" w:rsidRPr="0069353A">
      <w:rPr>
        <w:noProof/>
        <w:sz w:val="20"/>
        <w:szCs w:val="20"/>
        <w:lang w:eastAsia="pt-BR"/>
      </w:rPr>
      <mc:AlternateContent>
        <mc:Choice Requires="wps">
          <w:drawing>
            <wp:anchor distT="0" distB="0" distL="114300" distR="114300" simplePos="0" relativeHeight="251658263" behindDoc="1" locked="0" layoutInCell="1" allowOverlap="1" wp14:anchorId="282B5BF3" wp14:editId="3AA4B0AA">
              <wp:simplePos x="0" y="0"/>
              <wp:positionH relativeFrom="page">
                <wp:posOffset>-81177</wp:posOffset>
              </wp:positionH>
              <wp:positionV relativeFrom="paragraph">
                <wp:posOffset>-540022</wp:posOffset>
              </wp:positionV>
              <wp:extent cx="11062335" cy="593725"/>
              <wp:effectExtent l="0" t="0" r="5715" b="0"/>
              <wp:wrapThrough wrapText="bothSides">
                <wp:wrapPolygon edited="0">
                  <wp:start x="0" y="0"/>
                  <wp:lineTo x="0" y="20791"/>
                  <wp:lineTo x="21574" y="20791"/>
                  <wp:lineTo x="21574" y="0"/>
                  <wp:lineTo x="0" y="0"/>
                </wp:wrapPolygon>
              </wp:wrapThrough>
              <wp:docPr id="1855236053" name="Retângulo 1855236053"/>
              <wp:cNvGraphicFramePr/>
              <a:graphic xmlns:a="http://schemas.openxmlformats.org/drawingml/2006/main">
                <a:graphicData uri="http://schemas.microsoft.com/office/word/2010/wordprocessingShape">
                  <wps:wsp>
                    <wps:cNvSpPr/>
                    <wps:spPr>
                      <a:xfrm>
                        <a:off x="0" y="0"/>
                        <a:ext cx="11062335" cy="593725"/>
                      </a:xfrm>
                      <a:prstGeom prst="rect">
                        <a:avLst/>
                      </a:prstGeom>
                      <a:solidFill>
                        <a:srgbClr val="002D4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C68D2F" id="Retângulo 1855236053" o:spid="_x0000_s1026" style="position:absolute;margin-left:-6.4pt;margin-top:-42.5pt;width:871.05pt;height:46.75pt;z-index:-25165821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" fillcolor="#002d4b" stroked="f" strokeweight="1pt">
              <w10:wrap type="through" anchorx="page"/>
            </v:rect>
          </w:pict>
        </mc:Fallback>
      </mc:AlternateContent>
    </w:r>
    <w:r w:rsidR="00DD01E4"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64" behindDoc="0" locked="0" layoutInCell="1" allowOverlap="1" wp14:anchorId="3CA77ED0" wp14:editId="00B8CB8E">
              <wp:simplePos x="0" y="0"/>
              <wp:positionH relativeFrom="page">
                <wp:posOffset>-152400</wp:posOffset>
              </wp:positionH>
              <wp:positionV relativeFrom="paragraph">
                <wp:posOffset>46050</wp:posOffset>
              </wp:positionV>
              <wp:extent cx="11159490" cy="45085"/>
              <wp:effectExtent l="0" t="0" r="3810" b="0"/>
              <wp:wrapNone/>
              <wp:docPr id="806997176" name="Retângulo 806997176"/>
              <wp:cNvGraphicFramePr/>
              <a:graphic xmlns:a="http://schemas.openxmlformats.org/drawingml/2006/main">
                <a:graphicData uri="http://schemas.microsoft.com/office/word/2010/wordprocessingShape">
                  <wps:wsp>
                    <wps:cNvSpPr/>
                    <wps:spPr>
                      <a:xfrm>
                        <a:off x="0" y="0"/>
                        <a:ext cx="11159490" cy="45085"/>
                      </a:xfrm>
                      <a:prstGeom prst="rect">
                        <a:avLst/>
                      </a:prstGeom>
                      <a:solidFill>
                        <a:srgbClr val="F5E500"/>
                      </a:solidFill>
                      <a:ln w="12700" cap="flat" cmpd="sng" algn="ctr">
                        <a:no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w:pict>
            <v:rect w14:anchorId="3405C9D5" id="Retângulo 806997176" o:spid="_x0000_s1026" style="position:absolute;margin-left:-12pt;margin-top:3.65pt;width:878.7pt;height:3.55pt;z-index:251658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" fillcolor="#f5e500" stroked="f" strokeweight="1pt">
              <w10:wrap anchorx="page"/>
            </v:rect>
          </w:pict>
        </mc:Fallback>
      </mc:AlternateContent>
    </w:r>
    <w:r w:rsidR="00DD01E4" w:rsidRPr="0095120B">
      <w:rPr>
        <w:noProof/>
        <w:lang w:eastAsia="pt-BR"/>
      </w:rPr>
      <w:drawing>
        <wp:anchor distT="0" distB="0" distL="114300" distR="114300" simplePos="0" relativeHeight="251658266" behindDoc="0" locked="0" layoutInCell="1" allowOverlap="1" wp14:anchorId="4C65BFD5" wp14:editId="767D1F86">
          <wp:simplePos x="0" y="0"/>
          <wp:positionH relativeFrom="margin">
            <wp:posOffset>-465455</wp:posOffset>
          </wp:positionH>
          <wp:positionV relativeFrom="paragraph">
            <wp:posOffset>-317830</wp:posOffset>
          </wp:positionV>
          <wp:extent cx="942975" cy="193040"/>
          <wp:effectExtent l="0" t="0" r="9525" b="0"/>
          <wp:wrapNone/>
          <wp:docPr id="1266570983" name="Imagem 126657098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Logotipo&#10;&#10;Descrição gerad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040"/>
                  </a:xfrm>
                  <a:prstGeom prst="rect">
                    <a:avLst/>
                  </a:prstGeom>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30921" w14:textId="77777777" w:rsidR="00134A3C" w:rsidRDefault="00134A3C">
    <w:pPr>
      <w:pStyle w:val="Cabealho"/>
    </w:pPr>
    <w:r w:rsidRPr="0095120B">
      <w:rPr>
        <w:noProof/>
        <w:lang w:eastAsia="pt-BR"/>
      </w:rPr>
      <mc:AlternateContent>
        <mc:Choice Requires="wps">
          <w:drawing>
            <wp:anchor distT="0" distB="0" distL="114300" distR="114300" simplePos="0" relativeHeight="251658257" behindDoc="0" locked="0" layoutInCell="1" allowOverlap="1" wp14:anchorId="37C2036A" wp14:editId="2909DDD7">
              <wp:simplePos x="0" y="0"/>
              <wp:positionH relativeFrom="column">
                <wp:posOffset>1419860</wp:posOffset>
              </wp:positionH>
              <wp:positionV relativeFrom="paragraph">
                <wp:posOffset>-476885</wp:posOffset>
              </wp:positionV>
              <wp:extent cx="5288915" cy="457200"/>
              <wp:effectExtent l="0" t="0" r="0" b="0"/>
              <wp:wrapNone/>
              <wp:docPr id="607332441" name="Caixa de Texto 607332441"/>
              <wp:cNvGraphicFramePr/>
              <a:graphic xmlns:a="http://schemas.openxmlformats.org/drawingml/2006/main">
                <a:graphicData uri="http://schemas.microsoft.com/office/word/2010/wordprocessingShape">
                  <wps:wsp>
                    <wps:cNvSpPr txBox="1"/>
                    <wps:spPr>
                      <a:xfrm>
                        <a:off x="0" y="0"/>
                        <a:ext cx="5288915" cy="457200"/>
                      </a:xfrm>
                      <a:prstGeom prst="rect">
                        <a:avLst/>
                      </a:prstGeom>
                      <a:noFill/>
                      <a:ln w="6350">
                        <a:noFill/>
                      </a:ln>
                    </wps:spPr>
                    <wps:txbx>
                      <w:txbxContent>
                        <w:p w14:paraId="620963A3" w14:textId="3E762623" w:rsidR="00134A3C" w:rsidRPr="00030AE6" w:rsidRDefault="00134A3C" w:rsidP="00AB09B4">
                          <w:pPr>
                            <w:jc w:val="right"/>
                            <w:rPr>
                              <w:rFonts w:ascii="Arial" w:hAnsi="Arial" w:cs="Arial"/>
                              <w:sz w:val="20"/>
                              <w:szCs w:val="20"/>
                            </w:rPr>
                          </w:pPr>
                          <w:r w:rsidRPr="00030AE6">
                            <w:rPr>
                              <w:rFonts w:ascii="Arial" w:hAnsi="Arial" w:cs="Arial"/>
                              <w:color w:val="FFFFFF" w:themeColor="background1"/>
                              <w:sz w:val="20"/>
                              <w:szCs w:val="20"/>
                            </w:rPr>
                            <w:t>Demonstrações Contábeis</w:t>
                          </w:r>
                          <w:r w:rsidR="009F6A01">
                            <w:rPr>
                              <w:rFonts w:ascii="Arial" w:hAnsi="Arial" w:cs="Arial"/>
                              <w:color w:val="FFFFFF" w:themeColor="background1"/>
                              <w:sz w:val="20"/>
                              <w:szCs w:val="20"/>
                            </w:rPr>
                            <w:t xml:space="preserve"> </w:t>
                          </w:r>
                          <w:r>
                            <w:rPr>
                              <w:rFonts w:ascii="Arial" w:hAnsi="Arial" w:cs="Arial"/>
                              <w:color w:val="FFFFFF" w:themeColor="background1"/>
                              <w:sz w:val="20"/>
                              <w:szCs w:val="20"/>
                            </w:rPr>
                            <w:t xml:space="preserve">Individuais e Consolidadas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w:t>
                          </w:r>
                          <w:r w:rsidR="009F6A01">
                            <w:rPr>
                              <w:rFonts w:ascii="Arial" w:hAnsi="Arial" w:cs="Arial"/>
                              <w:color w:val="FFFFFF" w:themeColor="background1"/>
                              <w:sz w:val="20"/>
                              <w:szCs w:val="20"/>
                            </w:rPr>
                            <w:t xml:space="preserve">Exercício </w:t>
                          </w:r>
                          <w:r w:rsidR="001530FF">
                            <w:rPr>
                              <w:rFonts w:ascii="Arial" w:hAnsi="Arial" w:cs="Arial"/>
                              <w:color w:val="FFFFFF" w:themeColor="background1"/>
                              <w:sz w:val="20"/>
                              <w:szCs w:val="20"/>
                            </w:rPr>
                            <w:t>2024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C2036A" id="_x0000_t202" coordsize="21600,21600" o:spt="202" path="m,l,21600r21600,l21600,xe">
              <v:stroke joinstyle="miter"/>
              <v:path gradientshapeok="t" o:connecttype="rect"/>
            </v:shapetype>
            <v:shape id="Caixa de Texto 607332441" o:spid="_x0000_s1042" type="#_x0000_t202" style="position:absolute;margin-left:111.8pt;margin-top:-37.55pt;width:416.45pt;height:3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" filled="f" stroked="f" strokeweight=".5pt">
              <v:textbox>
                <w:txbxContent>
                  <w:p w14:paraId="620963A3" w14:textId="3E762623" w:rsidR="00134A3C" w:rsidRPr="00030AE6" w:rsidRDefault="00134A3C" w:rsidP="00AB09B4">
                    <w:pPr>
                      <w:jc w:val="right"/>
                      <w:rPr>
                        <w:rFonts w:ascii="Arial" w:hAnsi="Arial" w:cs="Arial"/>
                        <w:sz w:val="20"/>
                        <w:szCs w:val="20"/>
                      </w:rPr>
                    </w:pPr>
                    <w:r w:rsidRPr="00030AE6">
                      <w:rPr>
                        <w:rFonts w:ascii="Arial" w:hAnsi="Arial" w:cs="Arial"/>
                        <w:color w:val="FFFFFF" w:themeColor="background1"/>
                        <w:sz w:val="20"/>
                        <w:szCs w:val="20"/>
                      </w:rPr>
                      <w:t>Demonstrações Contábeis</w:t>
                    </w:r>
                    <w:r w:rsidR="009F6A01">
                      <w:rPr>
                        <w:rFonts w:ascii="Arial" w:hAnsi="Arial" w:cs="Arial"/>
                        <w:color w:val="FFFFFF" w:themeColor="background1"/>
                        <w:sz w:val="20"/>
                        <w:szCs w:val="20"/>
                      </w:rPr>
                      <w:t xml:space="preserve"> </w:t>
                    </w:r>
                    <w:r>
                      <w:rPr>
                        <w:rFonts w:ascii="Arial" w:hAnsi="Arial" w:cs="Arial"/>
                        <w:color w:val="FFFFFF" w:themeColor="background1"/>
                        <w:sz w:val="20"/>
                        <w:szCs w:val="20"/>
                      </w:rPr>
                      <w:t xml:space="preserve">Individuais e Consolidadas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w:t>
                    </w:r>
                    <w:r w:rsidR="009F6A01">
                      <w:rPr>
                        <w:rFonts w:ascii="Arial" w:hAnsi="Arial" w:cs="Arial"/>
                        <w:color w:val="FFFFFF" w:themeColor="background1"/>
                        <w:sz w:val="20"/>
                        <w:szCs w:val="20"/>
                      </w:rPr>
                      <w:t xml:space="preserve">Exercício </w:t>
                    </w:r>
                    <w:r w:rsidR="001530FF">
                      <w:rPr>
                        <w:rFonts w:ascii="Arial" w:hAnsi="Arial" w:cs="Arial"/>
                        <w:color w:val="FFFFFF" w:themeColor="background1"/>
                        <w:sz w:val="20"/>
                        <w:szCs w:val="20"/>
                      </w:rPr>
                      <w:t>2024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p>
                </w:txbxContent>
              </v:textbox>
            </v:shape>
          </w:pict>
        </mc:Fallback>
      </mc:AlternateContent>
    </w:r>
    <w:r w:rsidRPr="0069353A">
      <w:rPr>
        <w:noProof/>
        <w:sz w:val="20"/>
        <w:szCs w:val="20"/>
        <w:lang w:eastAsia="pt-BR"/>
      </w:rPr>
      <mc:AlternateContent>
        <mc:Choice Requires="wps">
          <w:drawing>
            <wp:anchor distT="0" distB="0" distL="114300" distR="114300" simplePos="0" relativeHeight="251658255" behindDoc="1" locked="0" layoutInCell="1" allowOverlap="1" wp14:anchorId="7A903CE5" wp14:editId="0A7D1B73">
              <wp:simplePos x="0" y="0"/>
              <wp:positionH relativeFrom="page">
                <wp:posOffset>-152400</wp:posOffset>
              </wp:positionH>
              <wp:positionV relativeFrom="paragraph">
                <wp:posOffset>-539750</wp:posOffset>
              </wp:positionV>
              <wp:extent cx="11062335" cy="593725"/>
              <wp:effectExtent l="0" t="0" r="5715" b="0"/>
              <wp:wrapThrough wrapText="bothSides">
                <wp:wrapPolygon edited="0">
                  <wp:start x="0" y="0"/>
                  <wp:lineTo x="0" y="20791"/>
                  <wp:lineTo x="21574" y="20791"/>
                  <wp:lineTo x="21574" y="0"/>
                  <wp:lineTo x="0" y="0"/>
                </wp:wrapPolygon>
              </wp:wrapThrough>
              <wp:docPr id="1545643366" name="Retângulo 1545643366"/>
              <wp:cNvGraphicFramePr/>
              <a:graphic xmlns:a="http://schemas.openxmlformats.org/drawingml/2006/main">
                <a:graphicData uri="http://schemas.microsoft.com/office/word/2010/wordprocessingShape">
                  <wps:wsp>
                    <wps:cNvSpPr/>
                    <wps:spPr>
                      <a:xfrm>
                        <a:off x="0" y="0"/>
                        <a:ext cx="11062335" cy="593725"/>
                      </a:xfrm>
                      <a:prstGeom prst="rect">
                        <a:avLst/>
                      </a:prstGeom>
                      <a:solidFill>
                        <a:srgbClr val="002D4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9D6C88" id="Retângulo 1545643366" o:spid="_x0000_s1026" style="position:absolute;margin-left:-12pt;margin-top:-42.5pt;width:871.05pt;height:46.75pt;z-index:-25165822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" fillcolor="#002d4b" stroked="f" strokeweight="1pt">
              <w10:wrap type="through" anchorx="page"/>
            </v:rect>
          </w:pict>
        </mc:Fallback>
      </mc:AlternateContent>
    </w:r>
    <w:r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56" behindDoc="0" locked="0" layoutInCell="1" allowOverlap="1" wp14:anchorId="7C92C0CC" wp14:editId="1DA3A752">
              <wp:simplePos x="0" y="0"/>
              <wp:positionH relativeFrom="page">
                <wp:posOffset>-152400</wp:posOffset>
              </wp:positionH>
              <wp:positionV relativeFrom="paragraph">
                <wp:posOffset>46050</wp:posOffset>
              </wp:positionV>
              <wp:extent cx="11159490" cy="45085"/>
              <wp:effectExtent l="0" t="0" r="3810" b="0"/>
              <wp:wrapNone/>
              <wp:docPr id="748114715" name="Retângulo 748114715"/>
              <wp:cNvGraphicFramePr/>
              <a:graphic xmlns:a="http://schemas.openxmlformats.org/drawingml/2006/main">
                <a:graphicData uri="http://schemas.microsoft.com/office/word/2010/wordprocessingShape">
                  <wps:wsp>
                    <wps:cNvSpPr/>
                    <wps:spPr>
                      <a:xfrm>
                        <a:off x="0" y="0"/>
                        <a:ext cx="11159490" cy="45085"/>
                      </a:xfrm>
                      <a:prstGeom prst="rect">
                        <a:avLst/>
                      </a:prstGeom>
                      <a:solidFill>
                        <a:srgbClr val="F5E500"/>
                      </a:solidFill>
                      <a:ln w="12700" cap="flat" cmpd="sng" algn="ctr">
                        <a:no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w:pict>
            <v:rect w14:anchorId="72FEEA8D" id="Retângulo 748114715" o:spid="_x0000_s1026" style="position:absolute;margin-left:-12pt;margin-top:3.65pt;width:878.7pt;height:3.55pt;z-index:251658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" fillcolor="#f5e500" stroked="f" strokeweight="1pt">
              <w10:wrap anchorx="page"/>
            </v:rect>
          </w:pict>
        </mc:Fallback>
      </mc:AlternateContent>
    </w:r>
    <w:r w:rsidRPr="0095120B">
      <w:rPr>
        <w:noProof/>
        <w:lang w:eastAsia="pt-BR"/>
      </w:rPr>
      <w:drawing>
        <wp:anchor distT="0" distB="0" distL="114300" distR="114300" simplePos="0" relativeHeight="251658258" behindDoc="0" locked="0" layoutInCell="1" allowOverlap="1" wp14:anchorId="585AFB31" wp14:editId="132F64CC">
          <wp:simplePos x="0" y="0"/>
          <wp:positionH relativeFrom="margin">
            <wp:posOffset>-465455</wp:posOffset>
          </wp:positionH>
          <wp:positionV relativeFrom="paragraph">
            <wp:posOffset>-317830</wp:posOffset>
          </wp:positionV>
          <wp:extent cx="942975" cy="193040"/>
          <wp:effectExtent l="0" t="0" r="9525" b="0"/>
          <wp:wrapNone/>
          <wp:docPr id="1807852041" name="Imagem 1807852041"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Logotipo&#10;&#10;Descrição gerad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040"/>
                  </a:xfrm>
                  <a:prstGeom prst="rect">
                    <a:avLst/>
                  </a:prstGeom>
                </pic:spPr>
              </pic:pic>
            </a:graphicData>
          </a:graphic>
          <wp14:sizeRelH relativeFrom="margin">
            <wp14:pctWidth>0</wp14:pctWidth>
          </wp14:sizeRelH>
          <wp14:sizeRelV relativeFrom="margin">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18E27" w14:textId="639F30F1" w:rsidR="00DD14B8" w:rsidRDefault="00DD14B8">
    <w:pPr>
      <w:pStyle w:val="Cabealh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74384" w14:textId="6A416579" w:rsidR="00A07CF9" w:rsidRDefault="00A07CF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288F"/>
    <w:multiLevelType w:val="hybridMultilevel"/>
    <w:tmpl w:val="D6A063AC"/>
    <w:lvl w:ilvl="0" w:tplc="D9A05B52">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06262162"/>
    <w:multiLevelType w:val="hybridMultilevel"/>
    <w:tmpl w:val="06C62A0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9AC4508"/>
    <w:multiLevelType w:val="hybridMultilevel"/>
    <w:tmpl w:val="C2A26406"/>
    <w:lvl w:ilvl="0" w:tplc="CE761AC0">
      <w:start w:val="1"/>
      <w:numFmt w:val="decimal"/>
      <w:lvlText w:val="(%1)"/>
      <w:lvlJc w:val="left"/>
      <w:pPr>
        <w:ind w:left="360" w:hanging="360"/>
      </w:pPr>
      <w:rPr>
        <w:rFonts w:hint="default"/>
        <w:color w:val="auto"/>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C606F30"/>
    <w:multiLevelType w:val="hybridMultilevel"/>
    <w:tmpl w:val="06C62A0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EF4521E"/>
    <w:multiLevelType w:val="hybridMultilevel"/>
    <w:tmpl w:val="7AB4B556"/>
    <w:lvl w:ilvl="0" w:tplc="FE8CCFE0">
      <w:start w:val="1"/>
      <w:numFmt w:val="decimal"/>
      <w:lvlText w:val="(%1)"/>
      <w:lvlJc w:val="left"/>
      <w:pPr>
        <w:ind w:left="758" w:hanging="474"/>
      </w:pPr>
      <w:rPr>
        <w:rFonts w:hint="default"/>
      </w:rPr>
    </w:lvl>
    <w:lvl w:ilvl="1" w:tplc="04160019" w:tentative="1">
      <w:start w:val="1"/>
      <w:numFmt w:val="lowerLetter"/>
      <w:lvlText w:val="%2."/>
      <w:lvlJc w:val="left"/>
      <w:pPr>
        <w:ind w:left="1478" w:hanging="360"/>
      </w:pPr>
    </w:lvl>
    <w:lvl w:ilvl="2" w:tplc="0416001B" w:tentative="1">
      <w:start w:val="1"/>
      <w:numFmt w:val="lowerRoman"/>
      <w:lvlText w:val="%3."/>
      <w:lvlJc w:val="right"/>
      <w:pPr>
        <w:ind w:left="2198" w:hanging="180"/>
      </w:pPr>
    </w:lvl>
    <w:lvl w:ilvl="3" w:tplc="0416000F" w:tentative="1">
      <w:start w:val="1"/>
      <w:numFmt w:val="decimal"/>
      <w:lvlText w:val="%4."/>
      <w:lvlJc w:val="left"/>
      <w:pPr>
        <w:ind w:left="2918" w:hanging="360"/>
      </w:pPr>
    </w:lvl>
    <w:lvl w:ilvl="4" w:tplc="04160019" w:tentative="1">
      <w:start w:val="1"/>
      <w:numFmt w:val="lowerLetter"/>
      <w:lvlText w:val="%5."/>
      <w:lvlJc w:val="left"/>
      <w:pPr>
        <w:ind w:left="3638" w:hanging="360"/>
      </w:pPr>
    </w:lvl>
    <w:lvl w:ilvl="5" w:tplc="0416001B" w:tentative="1">
      <w:start w:val="1"/>
      <w:numFmt w:val="lowerRoman"/>
      <w:lvlText w:val="%6."/>
      <w:lvlJc w:val="right"/>
      <w:pPr>
        <w:ind w:left="4358" w:hanging="180"/>
      </w:pPr>
    </w:lvl>
    <w:lvl w:ilvl="6" w:tplc="0416000F" w:tentative="1">
      <w:start w:val="1"/>
      <w:numFmt w:val="decimal"/>
      <w:lvlText w:val="%7."/>
      <w:lvlJc w:val="left"/>
      <w:pPr>
        <w:ind w:left="5078" w:hanging="360"/>
      </w:pPr>
    </w:lvl>
    <w:lvl w:ilvl="7" w:tplc="04160019" w:tentative="1">
      <w:start w:val="1"/>
      <w:numFmt w:val="lowerLetter"/>
      <w:lvlText w:val="%8."/>
      <w:lvlJc w:val="left"/>
      <w:pPr>
        <w:ind w:left="5798" w:hanging="360"/>
      </w:pPr>
    </w:lvl>
    <w:lvl w:ilvl="8" w:tplc="0416001B" w:tentative="1">
      <w:start w:val="1"/>
      <w:numFmt w:val="lowerRoman"/>
      <w:lvlText w:val="%9."/>
      <w:lvlJc w:val="right"/>
      <w:pPr>
        <w:ind w:left="6518" w:hanging="180"/>
      </w:pPr>
    </w:lvl>
  </w:abstractNum>
  <w:abstractNum w:abstractNumId="5" w15:restartNumberingAfterBreak="0">
    <w:nsid w:val="13DD3683"/>
    <w:multiLevelType w:val="hybridMultilevel"/>
    <w:tmpl w:val="D6A063A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43F7AE1"/>
    <w:multiLevelType w:val="hybridMultilevel"/>
    <w:tmpl w:val="3FEA87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914535"/>
    <w:multiLevelType w:val="hybridMultilevel"/>
    <w:tmpl w:val="70C6C8F2"/>
    <w:lvl w:ilvl="0" w:tplc="47088150">
      <w:start w:val="1"/>
      <w:numFmt w:val="decimal"/>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52264D2"/>
    <w:multiLevelType w:val="hybridMultilevel"/>
    <w:tmpl w:val="2CCE5CC6"/>
    <w:lvl w:ilvl="0" w:tplc="EE609F70">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73328C0"/>
    <w:multiLevelType w:val="hybridMultilevel"/>
    <w:tmpl w:val="477CCC42"/>
    <w:lvl w:ilvl="0" w:tplc="A676A11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7484E99"/>
    <w:multiLevelType w:val="multilevel"/>
    <w:tmpl w:val="20026A22"/>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9304A7"/>
    <w:multiLevelType w:val="hybridMultilevel"/>
    <w:tmpl w:val="5E426CF8"/>
    <w:lvl w:ilvl="0" w:tplc="FC5878C4">
      <w:numFmt w:val="bullet"/>
      <w:lvlText w:val=""/>
      <w:lvlJc w:val="left"/>
      <w:pPr>
        <w:ind w:left="946" w:hanging="360"/>
      </w:pPr>
      <w:rPr>
        <w:rFonts w:ascii="Symbol" w:eastAsia="Symbol" w:hAnsi="Symbol" w:cs="Symbol" w:hint="default"/>
        <w:w w:val="99"/>
        <w:sz w:val="19"/>
        <w:szCs w:val="19"/>
        <w:lang w:val="pt-PT" w:eastAsia="pt-PT" w:bidi="pt-PT"/>
      </w:rPr>
    </w:lvl>
    <w:lvl w:ilvl="1" w:tplc="677C8644">
      <w:numFmt w:val="bullet"/>
      <w:lvlText w:val="•"/>
      <w:lvlJc w:val="left"/>
      <w:pPr>
        <w:ind w:left="1724" w:hanging="360"/>
      </w:pPr>
      <w:rPr>
        <w:rFonts w:hint="default"/>
        <w:lang w:val="pt-PT" w:eastAsia="pt-PT" w:bidi="pt-PT"/>
      </w:rPr>
    </w:lvl>
    <w:lvl w:ilvl="2" w:tplc="53F8E5EE">
      <w:numFmt w:val="bullet"/>
      <w:lvlText w:val="•"/>
      <w:lvlJc w:val="left"/>
      <w:pPr>
        <w:ind w:left="2509" w:hanging="360"/>
      </w:pPr>
      <w:rPr>
        <w:rFonts w:hint="default"/>
        <w:lang w:val="pt-PT" w:eastAsia="pt-PT" w:bidi="pt-PT"/>
      </w:rPr>
    </w:lvl>
    <w:lvl w:ilvl="3" w:tplc="62D88DB4">
      <w:numFmt w:val="bullet"/>
      <w:lvlText w:val="•"/>
      <w:lvlJc w:val="left"/>
      <w:pPr>
        <w:ind w:left="3293" w:hanging="360"/>
      </w:pPr>
      <w:rPr>
        <w:rFonts w:hint="default"/>
        <w:lang w:val="pt-PT" w:eastAsia="pt-PT" w:bidi="pt-PT"/>
      </w:rPr>
    </w:lvl>
    <w:lvl w:ilvl="4" w:tplc="C5E8038E">
      <w:numFmt w:val="bullet"/>
      <w:lvlText w:val="•"/>
      <w:lvlJc w:val="left"/>
      <w:pPr>
        <w:ind w:left="4078" w:hanging="360"/>
      </w:pPr>
      <w:rPr>
        <w:rFonts w:hint="default"/>
        <w:lang w:val="pt-PT" w:eastAsia="pt-PT" w:bidi="pt-PT"/>
      </w:rPr>
    </w:lvl>
    <w:lvl w:ilvl="5" w:tplc="AC5A80EC">
      <w:numFmt w:val="bullet"/>
      <w:lvlText w:val="•"/>
      <w:lvlJc w:val="left"/>
      <w:pPr>
        <w:ind w:left="4863" w:hanging="360"/>
      </w:pPr>
      <w:rPr>
        <w:rFonts w:hint="default"/>
        <w:lang w:val="pt-PT" w:eastAsia="pt-PT" w:bidi="pt-PT"/>
      </w:rPr>
    </w:lvl>
    <w:lvl w:ilvl="6" w:tplc="41E8E45E">
      <w:numFmt w:val="bullet"/>
      <w:lvlText w:val="•"/>
      <w:lvlJc w:val="left"/>
      <w:pPr>
        <w:ind w:left="5647" w:hanging="360"/>
      </w:pPr>
      <w:rPr>
        <w:rFonts w:hint="default"/>
        <w:lang w:val="pt-PT" w:eastAsia="pt-PT" w:bidi="pt-PT"/>
      </w:rPr>
    </w:lvl>
    <w:lvl w:ilvl="7" w:tplc="681A29A2">
      <w:numFmt w:val="bullet"/>
      <w:lvlText w:val="•"/>
      <w:lvlJc w:val="left"/>
      <w:pPr>
        <w:ind w:left="6432" w:hanging="360"/>
      </w:pPr>
      <w:rPr>
        <w:rFonts w:hint="default"/>
        <w:lang w:val="pt-PT" w:eastAsia="pt-PT" w:bidi="pt-PT"/>
      </w:rPr>
    </w:lvl>
    <w:lvl w:ilvl="8" w:tplc="B314A686">
      <w:numFmt w:val="bullet"/>
      <w:lvlText w:val="•"/>
      <w:lvlJc w:val="left"/>
      <w:pPr>
        <w:ind w:left="7217" w:hanging="360"/>
      </w:pPr>
      <w:rPr>
        <w:rFonts w:hint="default"/>
        <w:lang w:val="pt-PT" w:eastAsia="pt-PT" w:bidi="pt-PT"/>
      </w:rPr>
    </w:lvl>
  </w:abstractNum>
  <w:abstractNum w:abstractNumId="12" w15:restartNumberingAfterBreak="0">
    <w:nsid w:val="18CC0D17"/>
    <w:multiLevelType w:val="hybridMultilevel"/>
    <w:tmpl w:val="06C62A0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B8C6D58"/>
    <w:multiLevelType w:val="hybridMultilevel"/>
    <w:tmpl w:val="06C62A0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1B9F6290"/>
    <w:multiLevelType w:val="hybridMultilevel"/>
    <w:tmpl w:val="11DC68F8"/>
    <w:lvl w:ilvl="0" w:tplc="41E8B4DC">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E921102"/>
    <w:multiLevelType w:val="hybridMultilevel"/>
    <w:tmpl w:val="76B47C8A"/>
    <w:lvl w:ilvl="0" w:tplc="6D025D5A">
      <w:start w:val="1"/>
      <w:numFmt w:val="decimal"/>
      <w:lvlText w:val="(%1)"/>
      <w:lvlJc w:val="left"/>
      <w:pPr>
        <w:ind w:left="360" w:hanging="360"/>
      </w:pPr>
      <w:rPr>
        <w:rFonts w:ascii="Arial" w:eastAsia="Times New Roman" w:hAnsi="Arial" w:cs="Times New Roman" w:hint="default"/>
        <w:sz w:val="1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372149F"/>
    <w:multiLevelType w:val="hybridMultilevel"/>
    <w:tmpl w:val="018A826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7" w15:restartNumberingAfterBreak="0">
    <w:nsid w:val="239F4EAD"/>
    <w:multiLevelType w:val="hybridMultilevel"/>
    <w:tmpl w:val="1C2AECB8"/>
    <w:lvl w:ilvl="0" w:tplc="EE609F70">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8" w15:restartNumberingAfterBreak="0">
    <w:nsid w:val="26AC57E4"/>
    <w:multiLevelType w:val="hybridMultilevel"/>
    <w:tmpl w:val="FF502AC0"/>
    <w:lvl w:ilvl="0" w:tplc="02BC616C">
      <w:start w:val="1"/>
      <w:numFmt w:val="decimal"/>
      <w:lvlText w:val="(%1)"/>
      <w:lvlJc w:val="left"/>
      <w:pPr>
        <w:ind w:left="284" w:hanging="284"/>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9" w15:restartNumberingAfterBreak="0">
    <w:nsid w:val="284F18E1"/>
    <w:multiLevelType w:val="hybridMultilevel"/>
    <w:tmpl w:val="2EEA2498"/>
    <w:lvl w:ilvl="0" w:tplc="38C68468">
      <w:start w:val="1"/>
      <w:numFmt w:val="decimal"/>
      <w:lvlText w:val="(%1)"/>
      <w:lvlJc w:val="left"/>
      <w:pPr>
        <w:ind w:left="284" w:hanging="284"/>
      </w:pPr>
      <w:rPr>
        <w:rFonts w:hint="default"/>
      </w:rPr>
    </w:lvl>
    <w:lvl w:ilvl="1" w:tplc="04160019" w:tentative="1">
      <w:start w:val="1"/>
      <w:numFmt w:val="lowerLetter"/>
      <w:lvlText w:val="%2."/>
      <w:lvlJc w:val="left"/>
      <w:pPr>
        <w:ind w:left="1156" w:hanging="360"/>
      </w:pPr>
    </w:lvl>
    <w:lvl w:ilvl="2" w:tplc="0416001B" w:tentative="1">
      <w:start w:val="1"/>
      <w:numFmt w:val="lowerRoman"/>
      <w:lvlText w:val="%3."/>
      <w:lvlJc w:val="right"/>
      <w:pPr>
        <w:ind w:left="1876" w:hanging="180"/>
      </w:pPr>
    </w:lvl>
    <w:lvl w:ilvl="3" w:tplc="0416000F" w:tentative="1">
      <w:start w:val="1"/>
      <w:numFmt w:val="decimal"/>
      <w:lvlText w:val="%4."/>
      <w:lvlJc w:val="left"/>
      <w:pPr>
        <w:ind w:left="2596" w:hanging="360"/>
      </w:pPr>
    </w:lvl>
    <w:lvl w:ilvl="4" w:tplc="04160019" w:tentative="1">
      <w:start w:val="1"/>
      <w:numFmt w:val="lowerLetter"/>
      <w:lvlText w:val="%5."/>
      <w:lvlJc w:val="left"/>
      <w:pPr>
        <w:ind w:left="3316" w:hanging="360"/>
      </w:pPr>
    </w:lvl>
    <w:lvl w:ilvl="5" w:tplc="0416001B" w:tentative="1">
      <w:start w:val="1"/>
      <w:numFmt w:val="lowerRoman"/>
      <w:lvlText w:val="%6."/>
      <w:lvlJc w:val="right"/>
      <w:pPr>
        <w:ind w:left="4036" w:hanging="180"/>
      </w:pPr>
    </w:lvl>
    <w:lvl w:ilvl="6" w:tplc="0416000F" w:tentative="1">
      <w:start w:val="1"/>
      <w:numFmt w:val="decimal"/>
      <w:lvlText w:val="%7."/>
      <w:lvlJc w:val="left"/>
      <w:pPr>
        <w:ind w:left="4756" w:hanging="360"/>
      </w:pPr>
    </w:lvl>
    <w:lvl w:ilvl="7" w:tplc="04160019" w:tentative="1">
      <w:start w:val="1"/>
      <w:numFmt w:val="lowerLetter"/>
      <w:lvlText w:val="%8."/>
      <w:lvlJc w:val="left"/>
      <w:pPr>
        <w:ind w:left="5476" w:hanging="360"/>
      </w:pPr>
    </w:lvl>
    <w:lvl w:ilvl="8" w:tplc="0416001B" w:tentative="1">
      <w:start w:val="1"/>
      <w:numFmt w:val="lowerRoman"/>
      <w:lvlText w:val="%9."/>
      <w:lvlJc w:val="right"/>
      <w:pPr>
        <w:ind w:left="6196" w:hanging="180"/>
      </w:pPr>
    </w:lvl>
  </w:abstractNum>
  <w:abstractNum w:abstractNumId="20" w15:restartNumberingAfterBreak="0">
    <w:nsid w:val="2D5A0D51"/>
    <w:multiLevelType w:val="hybridMultilevel"/>
    <w:tmpl w:val="D6A063A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A812819"/>
    <w:multiLevelType w:val="hybridMultilevel"/>
    <w:tmpl w:val="2228DCFE"/>
    <w:lvl w:ilvl="0" w:tplc="EE609F7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B7D6276"/>
    <w:multiLevelType w:val="hybridMultilevel"/>
    <w:tmpl w:val="992E1042"/>
    <w:lvl w:ilvl="0" w:tplc="1ED2A00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C88676A"/>
    <w:multiLevelType w:val="hybridMultilevel"/>
    <w:tmpl w:val="12CC81F6"/>
    <w:lvl w:ilvl="0" w:tplc="27C899D2">
      <w:numFmt w:val="bullet"/>
      <w:lvlText w:val=""/>
      <w:lvlJc w:val="left"/>
      <w:pPr>
        <w:ind w:left="946" w:hanging="360"/>
      </w:pPr>
      <w:rPr>
        <w:rFonts w:ascii="Symbol" w:eastAsia="Symbol" w:hAnsi="Symbol" w:cs="Symbol" w:hint="default"/>
        <w:w w:val="99"/>
        <w:sz w:val="19"/>
        <w:szCs w:val="19"/>
        <w:lang w:val="pt-PT" w:eastAsia="pt-PT" w:bidi="pt-PT"/>
      </w:rPr>
    </w:lvl>
    <w:lvl w:ilvl="1" w:tplc="B672D212">
      <w:numFmt w:val="bullet"/>
      <w:lvlText w:val="•"/>
      <w:lvlJc w:val="left"/>
      <w:pPr>
        <w:ind w:left="1724" w:hanging="360"/>
      </w:pPr>
      <w:rPr>
        <w:rFonts w:hint="default"/>
        <w:lang w:val="pt-PT" w:eastAsia="pt-PT" w:bidi="pt-PT"/>
      </w:rPr>
    </w:lvl>
    <w:lvl w:ilvl="2" w:tplc="B16E4CF4">
      <w:numFmt w:val="bullet"/>
      <w:lvlText w:val="•"/>
      <w:lvlJc w:val="left"/>
      <w:pPr>
        <w:ind w:left="2509" w:hanging="360"/>
      </w:pPr>
      <w:rPr>
        <w:rFonts w:hint="default"/>
        <w:lang w:val="pt-PT" w:eastAsia="pt-PT" w:bidi="pt-PT"/>
      </w:rPr>
    </w:lvl>
    <w:lvl w:ilvl="3" w:tplc="8D84A862">
      <w:numFmt w:val="bullet"/>
      <w:lvlText w:val="•"/>
      <w:lvlJc w:val="left"/>
      <w:pPr>
        <w:ind w:left="3293" w:hanging="360"/>
      </w:pPr>
      <w:rPr>
        <w:rFonts w:hint="default"/>
        <w:lang w:val="pt-PT" w:eastAsia="pt-PT" w:bidi="pt-PT"/>
      </w:rPr>
    </w:lvl>
    <w:lvl w:ilvl="4" w:tplc="2FFE8624">
      <w:numFmt w:val="bullet"/>
      <w:lvlText w:val="•"/>
      <w:lvlJc w:val="left"/>
      <w:pPr>
        <w:ind w:left="4078" w:hanging="360"/>
      </w:pPr>
      <w:rPr>
        <w:rFonts w:hint="default"/>
        <w:lang w:val="pt-PT" w:eastAsia="pt-PT" w:bidi="pt-PT"/>
      </w:rPr>
    </w:lvl>
    <w:lvl w:ilvl="5" w:tplc="8F088924">
      <w:numFmt w:val="bullet"/>
      <w:lvlText w:val="•"/>
      <w:lvlJc w:val="left"/>
      <w:pPr>
        <w:ind w:left="4863" w:hanging="360"/>
      </w:pPr>
      <w:rPr>
        <w:rFonts w:hint="default"/>
        <w:lang w:val="pt-PT" w:eastAsia="pt-PT" w:bidi="pt-PT"/>
      </w:rPr>
    </w:lvl>
    <w:lvl w:ilvl="6" w:tplc="8E165206">
      <w:numFmt w:val="bullet"/>
      <w:lvlText w:val="•"/>
      <w:lvlJc w:val="left"/>
      <w:pPr>
        <w:ind w:left="5647" w:hanging="360"/>
      </w:pPr>
      <w:rPr>
        <w:rFonts w:hint="default"/>
        <w:lang w:val="pt-PT" w:eastAsia="pt-PT" w:bidi="pt-PT"/>
      </w:rPr>
    </w:lvl>
    <w:lvl w:ilvl="7" w:tplc="451CD732">
      <w:numFmt w:val="bullet"/>
      <w:lvlText w:val="•"/>
      <w:lvlJc w:val="left"/>
      <w:pPr>
        <w:ind w:left="6432" w:hanging="360"/>
      </w:pPr>
      <w:rPr>
        <w:rFonts w:hint="default"/>
        <w:lang w:val="pt-PT" w:eastAsia="pt-PT" w:bidi="pt-PT"/>
      </w:rPr>
    </w:lvl>
    <w:lvl w:ilvl="8" w:tplc="1B82B87C">
      <w:numFmt w:val="bullet"/>
      <w:lvlText w:val="•"/>
      <w:lvlJc w:val="left"/>
      <w:pPr>
        <w:ind w:left="7217" w:hanging="360"/>
      </w:pPr>
      <w:rPr>
        <w:rFonts w:hint="default"/>
        <w:lang w:val="pt-PT" w:eastAsia="pt-PT" w:bidi="pt-PT"/>
      </w:rPr>
    </w:lvl>
  </w:abstractNum>
  <w:abstractNum w:abstractNumId="24" w15:restartNumberingAfterBreak="0">
    <w:nsid w:val="3D1768E0"/>
    <w:multiLevelType w:val="hybridMultilevel"/>
    <w:tmpl w:val="58147096"/>
    <w:lvl w:ilvl="0" w:tplc="2F5C59CC">
      <w:start w:val="1"/>
      <w:numFmt w:val="decimal"/>
      <w:lvlText w:val="(%1)"/>
      <w:lvlJc w:val="left"/>
      <w:pPr>
        <w:ind w:left="720" w:hanging="360"/>
      </w:pPr>
      <w:rPr>
        <w:rFonts w:hint="default"/>
        <w:strike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D4F3DAD"/>
    <w:multiLevelType w:val="hybridMultilevel"/>
    <w:tmpl w:val="9EE077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3E1C69E8"/>
    <w:multiLevelType w:val="hybridMultilevel"/>
    <w:tmpl w:val="A63A736A"/>
    <w:lvl w:ilvl="0" w:tplc="102CCF3C">
      <w:start w:val="1"/>
      <w:numFmt w:val="bullet"/>
      <w:pStyle w:val="ListaRecuadotabela"/>
      <w:lvlText w:val=""/>
      <w:lvlJc w:val="left"/>
      <w:pPr>
        <w:ind w:left="1080" w:hanging="360"/>
      </w:pPr>
      <w:rPr>
        <w:rFonts w:ascii="Wingdings" w:hAnsi="Wingdings" w:hint="default"/>
      </w:rPr>
    </w:lvl>
    <w:lvl w:ilvl="1" w:tplc="04160003">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7" w15:restartNumberingAfterBreak="0">
    <w:nsid w:val="409E3CA9"/>
    <w:multiLevelType w:val="hybridMultilevel"/>
    <w:tmpl w:val="06C62A0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43973B90"/>
    <w:multiLevelType w:val="hybridMultilevel"/>
    <w:tmpl w:val="F5A4539A"/>
    <w:lvl w:ilvl="0" w:tplc="62B8AC1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AF55871"/>
    <w:multiLevelType w:val="hybridMultilevel"/>
    <w:tmpl w:val="E990E69C"/>
    <w:lvl w:ilvl="0" w:tplc="7F66FFF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B1662BD"/>
    <w:multiLevelType w:val="hybridMultilevel"/>
    <w:tmpl w:val="CACA49D0"/>
    <w:lvl w:ilvl="0" w:tplc="6B3E8C1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57B1AEC"/>
    <w:multiLevelType w:val="hybridMultilevel"/>
    <w:tmpl w:val="06C62A08"/>
    <w:lvl w:ilvl="0" w:tplc="71F65AAC">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15:restartNumberingAfterBreak="0">
    <w:nsid w:val="56FC4CBD"/>
    <w:multiLevelType w:val="hybridMultilevel"/>
    <w:tmpl w:val="63924756"/>
    <w:lvl w:ilvl="0" w:tplc="243A4EF0">
      <w:start w:val="1"/>
      <w:numFmt w:val="bullet"/>
      <w:pStyle w:val="10-Lista2"/>
      <w:lvlText w:val=""/>
      <w:lvlJc w:val="left"/>
      <w:pPr>
        <w:ind w:left="1004" w:hanging="360"/>
      </w:pPr>
      <w:rPr>
        <w:rFonts w:ascii="Wingdings" w:hAnsi="Wingdings" w:hint="default"/>
      </w:rPr>
    </w:lvl>
    <w:lvl w:ilvl="1" w:tplc="A06CEBCC" w:tentative="1">
      <w:start w:val="1"/>
      <w:numFmt w:val="bullet"/>
      <w:lvlText w:val="o"/>
      <w:lvlJc w:val="left"/>
      <w:pPr>
        <w:ind w:left="1724" w:hanging="360"/>
      </w:pPr>
      <w:rPr>
        <w:rFonts w:ascii="Courier New" w:hAnsi="Courier New" w:cs="Courier New" w:hint="default"/>
      </w:rPr>
    </w:lvl>
    <w:lvl w:ilvl="2" w:tplc="82FC9CBA" w:tentative="1">
      <w:start w:val="1"/>
      <w:numFmt w:val="bullet"/>
      <w:lvlText w:val=""/>
      <w:lvlJc w:val="left"/>
      <w:pPr>
        <w:ind w:left="2444" w:hanging="360"/>
      </w:pPr>
      <w:rPr>
        <w:rFonts w:ascii="Wingdings" w:hAnsi="Wingdings" w:hint="default"/>
      </w:rPr>
    </w:lvl>
    <w:lvl w:ilvl="3" w:tplc="036CA270" w:tentative="1">
      <w:start w:val="1"/>
      <w:numFmt w:val="bullet"/>
      <w:lvlText w:val=""/>
      <w:lvlJc w:val="left"/>
      <w:pPr>
        <w:ind w:left="3164" w:hanging="360"/>
      </w:pPr>
      <w:rPr>
        <w:rFonts w:ascii="Symbol" w:hAnsi="Symbol" w:hint="default"/>
      </w:rPr>
    </w:lvl>
    <w:lvl w:ilvl="4" w:tplc="44807950" w:tentative="1">
      <w:start w:val="1"/>
      <w:numFmt w:val="bullet"/>
      <w:lvlText w:val="o"/>
      <w:lvlJc w:val="left"/>
      <w:pPr>
        <w:ind w:left="3884" w:hanging="360"/>
      </w:pPr>
      <w:rPr>
        <w:rFonts w:ascii="Courier New" w:hAnsi="Courier New" w:cs="Courier New" w:hint="default"/>
      </w:rPr>
    </w:lvl>
    <w:lvl w:ilvl="5" w:tplc="568EE992" w:tentative="1">
      <w:start w:val="1"/>
      <w:numFmt w:val="bullet"/>
      <w:lvlText w:val=""/>
      <w:lvlJc w:val="left"/>
      <w:pPr>
        <w:ind w:left="4604" w:hanging="360"/>
      </w:pPr>
      <w:rPr>
        <w:rFonts w:ascii="Wingdings" w:hAnsi="Wingdings" w:hint="default"/>
      </w:rPr>
    </w:lvl>
    <w:lvl w:ilvl="6" w:tplc="4BA2E17E" w:tentative="1">
      <w:start w:val="1"/>
      <w:numFmt w:val="bullet"/>
      <w:lvlText w:val=""/>
      <w:lvlJc w:val="left"/>
      <w:pPr>
        <w:ind w:left="5324" w:hanging="360"/>
      </w:pPr>
      <w:rPr>
        <w:rFonts w:ascii="Symbol" w:hAnsi="Symbol" w:hint="default"/>
      </w:rPr>
    </w:lvl>
    <w:lvl w:ilvl="7" w:tplc="41407EDC" w:tentative="1">
      <w:start w:val="1"/>
      <w:numFmt w:val="bullet"/>
      <w:lvlText w:val="o"/>
      <w:lvlJc w:val="left"/>
      <w:pPr>
        <w:ind w:left="6044" w:hanging="360"/>
      </w:pPr>
      <w:rPr>
        <w:rFonts w:ascii="Courier New" w:hAnsi="Courier New" w:cs="Courier New" w:hint="default"/>
      </w:rPr>
    </w:lvl>
    <w:lvl w:ilvl="8" w:tplc="5574ADAA" w:tentative="1">
      <w:start w:val="1"/>
      <w:numFmt w:val="bullet"/>
      <w:lvlText w:val=""/>
      <w:lvlJc w:val="left"/>
      <w:pPr>
        <w:ind w:left="6764" w:hanging="360"/>
      </w:pPr>
      <w:rPr>
        <w:rFonts w:ascii="Wingdings" w:hAnsi="Wingdings" w:hint="default"/>
      </w:rPr>
    </w:lvl>
  </w:abstractNum>
  <w:abstractNum w:abstractNumId="33" w15:restartNumberingAfterBreak="0">
    <w:nsid w:val="57DC53DB"/>
    <w:multiLevelType w:val="hybridMultilevel"/>
    <w:tmpl w:val="70C0D2AC"/>
    <w:lvl w:ilvl="0" w:tplc="41E8B4DC">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7E40C06"/>
    <w:multiLevelType w:val="hybridMultilevel"/>
    <w:tmpl w:val="D902D8E2"/>
    <w:lvl w:ilvl="0" w:tplc="FFFFFFF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CBE25E9"/>
    <w:multiLevelType w:val="hybridMultilevel"/>
    <w:tmpl w:val="06C62A0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5DD7441F"/>
    <w:multiLevelType w:val="hybridMultilevel"/>
    <w:tmpl w:val="FA08D2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0D065DA"/>
    <w:multiLevelType w:val="hybridMultilevel"/>
    <w:tmpl w:val="3FEA87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1887155"/>
    <w:multiLevelType w:val="singleLevel"/>
    <w:tmpl w:val="625827F2"/>
    <w:lvl w:ilvl="0">
      <w:start w:val="1"/>
      <w:numFmt w:val="bullet"/>
      <w:pStyle w:val="09-Lista"/>
      <w:lvlText w:val=""/>
      <w:lvlJc w:val="left"/>
      <w:pPr>
        <w:tabs>
          <w:tab w:val="num" w:pos="644"/>
        </w:tabs>
        <w:ind w:left="567" w:hanging="283"/>
      </w:pPr>
      <w:rPr>
        <w:rFonts w:ascii="Symbol" w:hAnsi="Symbol" w:hint="default"/>
      </w:rPr>
    </w:lvl>
  </w:abstractNum>
  <w:abstractNum w:abstractNumId="39" w15:restartNumberingAfterBreak="0">
    <w:nsid w:val="61E97329"/>
    <w:multiLevelType w:val="hybridMultilevel"/>
    <w:tmpl w:val="6888A83C"/>
    <w:lvl w:ilvl="0" w:tplc="B9AA3B96">
      <w:start w:val="1"/>
      <w:numFmt w:val="decimal"/>
      <w:lvlText w:val="(%1)"/>
      <w:lvlJc w:val="left"/>
      <w:pPr>
        <w:ind w:left="360" w:hanging="360"/>
      </w:pPr>
      <w:rPr>
        <w:rFonts w:ascii="Arial" w:eastAsia="Times New Roman" w:hAnsi="Arial" w:cs="Times New Roman" w:hint="default"/>
        <w:sz w:val="14"/>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0" w15:restartNumberingAfterBreak="0">
    <w:nsid w:val="621A43FA"/>
    <w:multiLevelType w:val="hybridMultilevel"/>
    <w:tmpl w:val="1AF6AB8E"/>
    <w:lvl w:ilvl="0" w:tplc="866C6EA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85B47FC"/>
    <w:multiLevelType w:val="hybridMultilevel"/>
    <w:tmpl w:val="A3FEF8E6"/>
    <w:lvl w:ilvl="0" w:tplc="22E87ED2">
      <w:numFmt w:val="bullet"/>
      <w:lvlText w:val=""/>
      <w:lvlJc w:val="left"/>
      <w:pPr>
        <w:ind w:left="946" w:hanging="360"/>
      </w:pPr>
      <w:rPr>
        <w:rFonts w:ascii="Symbol" w:eastAsia="Symbol" w:hAnsi="Symbol" w:cs="Symbol" w:hint="default"/>
        <w:w w:val="99"/>
        <w:sz w:val="19"/>
        <w:szCs w:val="19"/>
        <w:lang w:val="pt-PT" w:eastAsia="pt-PT" w:bidi="pt-PT"/>
      </w:rPr>
    </w:lvl>
    <w:lvl w:ilvl="1" w:tplc="9ED03EB8">
      <w:numFmt w:val="bullet"/>
      <w:lvlText w:val="•"/>
      <w:lvlJc w:val="left"/>
      <w:pPr>
        <w:ind w:left="1724" w:hanging="360"/>
      </w:pPr>
      <w:rPr>
        <w:rFonts w:hint="default"/>
        <w:lang w:val="pt-PT" w:eastAsia="pt-PT" w:bidi="pt-PT"/>
      </w:rPr>
    </w:lvl>
    <w:lvl w:ilvl="2" w:tplc="94609ED2">
      <w:numFmt w:val="bullet"/>
      <w:lvlText w:val="•"/>
      <w:lvlJc w:val="left"/>
      <w:pPr>
        <w:ind w:left="2509" w:hanging="360"/>
      </w:pPr>
      <w:rPr>
        <w:rFonts w:hint="default"/>
        <w:lang w:val="pt-PT" w:eastAsia="pt-PT" w:bidi="pt-PT"/>
      </w:rPr>
    </w:lvl>
    <w:lvl w:ilvl="3" w:tplc="67B8847A">
      <w:numFmt w:val="bullet"/>
      <w:lvlText w:val="•"/>
      <w:lvlJc w:val="left"/>
      <w:pPr>
        <w:ind w:left="3293" w:hanging="360"/>
      </w:pPr>
      <w:rPr>
        <w:rFonts w:hint="default"/>
        <w:lang w:val="pt-PT" w:eastAsia="pt-PT" w:bidi="pt-PT"/>
      </w:rPr>
    </w:lvl>
    <w:lvl w:ilvl="4" w:tplc="BC14D94A">
      <w:numFmt w:val="bullet"/>
      <w:lvlText w:val="•"/>
      <w:lvlJc w:val="left"/>
      <w:pPr>
        <w:ind w:left="4078" w:hanging="360"/>
      </w:pPr>
      <w:rPr>
        <w:rFonts w:hint="default"/>
        <w:lang w:val="pt-PT" w:eastAsia="pt-PT" w:bidi="pt-PT"/>
      </w:rPr>
    </w:lvl>
    <w:lvl w:ilvl="5" w:tplc="87B6F83A">
      <w:numFmt w:val="bullet"/>
      <w:lvlText w:val="•"/>
      <w:lvlJc w:val="left"/>
      <w:pPr>
        <w:ind w:left="4863" w:hanging="360"/>
      </w:pPr>
      <w:rPr>
        <w:rFonts w:hint="default"/>
        <w:lang w:val="pt-PT" w:eastAsia="pt-PT" w:bidi="pt-PT"/>
      </w:rPr>
    </w:lvl>
    <w:lvl w:ilvl="6" w:tplc="4CC0B258">
      <w:numFmt w:val="bullet"/>
      <w:lvlText w:val="•"/>
      <w:lvlJc w:val="left"/>
      <w:pPr>
        <w:ind w:left="5647" w:hanging="360"/>
      </w:pPr>
      <w:rPr>
        <w:rFonts w:hint="default"/>
        <w:lang w:val="pt-PT" w:eastAsia="pt-PT" w:bidi="pt-PT"/>
      </w:rPr>
    </w:lvl>
    <w:lvl w:ilvl="7" w:tplc="83D4C4A4">
      <w:numFmt w:val="bullet"/>
      <w:lvlText w:val="•"/>
      <w:lvlJc w:val="left"/>
      <w:pPr>
        <w:ind w:left="6432" w:hanging="360"/>
      </w:pPr>
      <w:rPr>
        <w:rFonts w:hint="default"/>
        <w:lang w:val="pt-PT" w:eastAsia="pt-PT" w:bidi="pt-PT"/>
      </w:rPr>
    </w:lvl>
    <w:lvl w:ilvl="8" w:tplc="72F24114">
      <w:numFmt w:val="bullet"/>
      <w:lvlText w:val="•"/>
      <w:lvlJc w:val="left"/>
      <w:pPr>
        <w:ind w:left="7217" w:hanging="360"/>
      </w:pPr>
      <w:rPr>
        <w:rFonts w:hint="default"/>
        <w:lang w:val="pt-PT" w:eastAsia="pt-PT" w:bidi="pt-PT"/>
      </w:rPr>
    </w:lvl>
  </w:abstractNum>
  <w:abstractNum w:abstractNumId="42" w15:restartNumberingAfterBreak="0">
    <w:nsid w:val="6B736411"/>
    <w:multiLevelType w:val="hybridMultilevel"/>
    <w:tmpl w:val="87380E9C"/>
    <w:lvl w:ilvl="0" w:tplc="3B72FD40">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0216BDA"/>
    <w:multiLevelType w:val="multilevel"/>
    <w:tmpl w:val="1C1CCCC0"/>
    <w:lvl w:ilvl="0">
      <w:start w:val="1"/>
      <w:numFmt w:val="decimal"/>
      <w:lvlText w:val="(%1)"/>
      <w:lvlJc w:val="left"/>
      <w:pPr>
        <w:ind w:left="108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0D61433"/>
    <w:multiLevelType w:val="hybridMultilevel"/>
    <w:tmpl w:val="4A201A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3037CE5"/>
    <w:multiLevelType w:val="hybridMultilevel"/>
    <w:tmpl w:val="86E20592"/>
    <w:lvl w:ilvl="0" w:tplc="99B2AA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79D951DB"/>
    <w:multiLevelType w:val="hybridMultilevel"/>
    <w:tmpl w:val="FA08D2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A2B21B4"/>
    <w:multiLevelType w:val="hybridMultilevel"/>
    <w:tmpl w:val="5F52668E"/>
    <w:lvl w:ilvl="0" w:tplc="2F5C59CC">
      <w:start w:val="1"/>
      <w:numFmt w:val="decimal"/>
      <w:lvlText w:val="(%1)"/>
      <w:lvlJc w:val="left"/>
      <w:pPr>
        <w:ind w:left="1440" w:hanging="360"/>
      </w:pPr>
      <w:rPr>
        <w:rFonts w:hint="default"/>
        <w:strike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8" w15:restartNumberingAfterBreak="0">
    <w:nsid w:val="7AA00E3F"/>
    <w:multiLevelType w:val="hybridMultilevel"/>
    <w:tmpl w:val="9842B68C"/>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7C035341"/>
    <w:multiLevelType w:val="hybridMultilevel"/>
    <w:tmpl w:val="8E3C1FE6"/>
    <w:lvl w:ilvl="0" w:tplc="1DF48568">
      <w:start w:val="1"/>
      <w:numFmt w:val="decimal"/>
      <w:lvlText w:val="(%1)"/>
      <w:lvlJc w:val="left"/>
      <w:pPr>
        <w:ind w:left="4613" w:hanging="360"/>
      </w:pPr>
      <w:rPr>
        <w:rFonts w:hint="default"/>
      </w:rPr>
    </w:lvl>
    <w:lvl w:ilvl="1" w:tplc="04160019" w:tentative="1">
      <w:start w:val="1"/>
      <w:numFmt w:val="lowerLetter"/>
      <w:lvlText w:val="%2."/>
      <w:lvlJc w:val="left"/>
      <w:pPr>
        <w:ind w:left="5333" w:hanging="360"/>
      </w:pPr>
    </w:lvl>
    <w:lvl w:ilvl="2" w:tplc="0416001B" w:tentative="1">
      <w:start w:val="1"/>
      <w:numFmt w:val="lowerRoman"/>
      <w:lvlText w:val="%3."/>
      <w:lvlJc w:val="right"/>
      <w:pPr>
        <w:ind w:left="6053" w:hanging="180"/>
      </w:pPr>
    </w:lvl>
    <w:lvl w:ilvl="3" w:tplc="0416000F" w:tentative="1">
      <w:start w:val="1"/>
      <w:numFmt w:val="decimal"/>
      <w:lvlText w:val="%4."/>
      <w:lvlJc w:val="left"/>
      <w:pPr>
        <w:ind w:left="6773" w:hanging="360"/>
      </w:pPr>
    </w:lvl>
    <w:lvl w:ilvl="4" w:tplc="04160019" w:tentative="1">
      <w:start w:val="1"/>
      <w:numFmt w:val="lowerLetter"/>
      <w:lvlText w:val="%5."/>
      <w:lvlJc w:val="left"/>
      <w:pPr>
        <w:ind w:left="7493" w:hanging="360"/>
      </w:pPr>
    </w:lvl>
    <w:lvl w:ilvl="5" w:tplc="0416001B" w:tentative="1">
      <w:start w:val="1"/>
      <w:numFmt w:val="lowerRoman"/>
      <w:lvlText w:val="%6."/>
      <w:lvlJc w:val="right"/>
      <w:pPr>
        <w:ind w:left="8213" w:hanging="180"/>
      </w:pPr>
    </w:lvl>
    <w:lvl w:ilvl="6" w:tplc="0416000F" w:tentative="1">
      <w:start w:val="1"/>
      <w:numFmt w:val="decimal"/>
      <w:lvlText w:val="%7."/>
      <w:lvlJc w:val="left"/>
      <w:pPr>
        <w:ind w:left="8933" w:hanging="360"/>
      </w:pPr>
    </w:lvl>
    <w:lvl w:ilvl="7" w:tplc="04160019" w:tentative="1">
      <w:start w:val="1"/>
      <w:numFmt w:val="lowerLetter"/>
      <w:lvlText w:val="%8."/>
      <w:lvlJc w:val="left"/>
      <w:pPr>
        <w:ind w:left="9653" w:hanging="360"/>
      </w:pPr>
    </w:lvl>
    <w:lvl w:ilvl="8" w:tplc="0416001B" w:tentative="1">
      <w:start w:val="1"/>
      <w:numFmt w:val="lowerRoman"/>
      <w:lvlText w:val="%9."/>
      <w:lvlJc w:val="right"/>
      <w:pPr>
        <w:ind w:left="10373" w:hanging="180"/>
      </w:pPr>
    </w:lvl>
  </w:abstractNum>
  <w:abstractNum w:abstractNumId="50" w15:restartNumberingAfterBreak="0">
    <w:nsid w:val="7C064F52"/>
    <w:multiLevelType w:val="hybridMultilevel"/>
    <w:tmpl w:val="1C2AECB8"/>
    <w:lvl w:ilvl="0" w:tplc="EE609F70">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1" w15:restartNumberingAfterBreak="0">
    <w:nsid w:val="7D2008CF"/>
    <w:multiLevelType w:val="hybridMultilevel"/>
    <w:tmpl w:val="16B2F906"/>
    <w:lvl w:ilvl="0" w:tplc="2F5C59CC">
      <w:start w:val="1"/>
      <w:numFmt w:val="decimal"/>
      <w:lvlText w:val="(%1)"/>
      <w:lvlJc w:val="left"/>
      <w:pPr>
        <w:ind w:left="1590" w:hanging="360"/>
      </w:pPr>
      <w:rPr>
        <w:rFonts w:hint="default"/>
        <w:strike w:val="0"/>
      </w:rPr>
    </w:lvl>
    <w:lvl w:ilvl="1" w:tplc="04160019" w:tentative="1">
      <w:start w:val="1"/>
      <w:numFmt w:val="lowerLetter"/>
      <w:lvlText w:val="%2."/>
      <w:lvlJc w:val="left"/>
      <w:pPr>
        <w:ind w:left="2310" w:hanging="360"/>
      </w:pPr>
    </w:lvl>
    <w:lvl w:ilvl="2" w:tplc="0416001B" w:tentative="1">
      <w:start w:val="1"/>
      <w:numFmt w:val="lowerRoman"/>
      <w:lvlText w:val="%3."/>
      <w:lvlJc w:val="right"/>
      <w:pPr>
        <w:ind w:left="3030" w:hanging="180"/>
      </w:pPr>
    </w:lvl>
    <w:lvl w:ilvl="3" w:tplc="0416000F" w:tentative="1">
      <w:start w:val="1"/>
      <w:numFmt w:val="decimal"/>
      <w:lvlText w:val="%4."/>
      <w:lvlJc w:val="left"/>
      <w:pPr>
        <w:ind w:left="3750" w:hanging="360"/>
      </w:pPr>
    </w:lvl>
    <w:lvl w:ilvl="4" w:tplc="04160019" w:tentative="1">
      <w:start w:val="1"/>
      <w:numFmt w:val="lowerLetter"/>
      <w:lvlText w:val="%5."/>
      <w:lvlJc w:val="left"/>
      <w:pPr>
        <w:ind w:left="4470" w:hanging="360"/>
      </w:pPr>
    </w:lvl>
    <w:lvl w:ilvl="5" w:tplc="0416001B" w:tentative="1">
      <w:start w:val="1"/>
      <w:numFmt w:val="lowerRoman"/>
      <w:lvlText w:val="%6."/>
      <w:lvlJc w:val="right"/>
      <w:pPr>
        <w:ind w:left="5190" w:hanging="180"/>
      </w:pPr>
    </w:lvl>
    <w:lvl w:ilvl="6" w:tplc="0416000F" w:tentative="1">
      <w:start w:val="1"/>
      <w:numFmt w:val="decimal"/>
      <w:lvlText w:val="%7."/>
      <w:lvlJc w:val="left"/>
      <w:pPr>
        <w:ind w:left="5910" w:hanging="360"/>
      </w:pPr>
    </w:lvl>
    <w:lvl w:ilvl="7" w:tplc="04160019" w:tentative="1">
      <w:start w:val="1"/>
      <w:numFmt w:val="lowerLetter"/>
      <w:lvlText w:val="%8."/>
      <w:lvlJc w:val="left"/>
      <w:pPr>
        <w:ind w:left="6630" w:hanging="360"/>
      </w:pPr>
    </w:lvl>
    <w:lvl w:ilvl="8" w:tplc="0416001B" w:tentative="1">
      <w:start w:val="1"/>
      <w:numFmt w:val="lowerRoman"/>
      <w:lvlText w:val="%9."/>
      <w:lvlJc w:val="right"/>
      <w:pPr>
        <w:ind w:left="7350" w:hanging="180"/>
      </w:pPr>
    </w:lvl>
  </w:abstractNum>
  <w:abstractNum w:abstractNumId="52" w15:restartNumberingAfterBreak="0">
    <w:nsid w:val="7D253958"/>
    <w:multiLevelType w:val="hybridMultilevel"/>
    <w:tmpl w:val="44CA4C7C"/>
    <w:lvl w:ilvl="0" w:tplc="2E920D2C">
      <w:start w:val="1"/>
      <w:numFmt w:val="decimal"/>
      <w:lvlText w:val="(%1)"/>
      <w:lvlJc w:val="left"/>
      <w:pPr>
        <w:ind w:left="1004" w:hanging="360"/>
      </w:pPr>
    </w:lvl>
    <w:lvl w:ilvl="1" w:tplc="04160019">
      <w:start w:val="1"/>
      <w:numFmt w:val="lowerLetter"/>
      <w:lvlText w:val="%2."/>
      <w:lvlJc w:val="left"/>
      <w:pPr>
        <w:ind w:left="1724" w:hanging="360"/>
      </w:pPr>
    </w:lvl>
    <w:lvl w:ilvl="2" w:tplc="0416001B">
      <w:start w:val="1"/>
      <w:numFmt w:val="lowerRoman"/>
      <w:lvlText w:val="%3."/>
      <w:lvlJc w:val="right"/>
      <w:pPr>
        <w:ind w:left="2444" w:hanging="180"/>
      </w:pPr>
    </w:lvl>
    <w:lvl w:ilvl="3" w:tplc="0416000F">
      <w:start w:val="1"/>
      <w:numFmt w:val="decimal"/>
      <w:lvlText w:val="%4."/>
      <w:lvlJc w:val="left"/>
      <w:pPr>
        <w:ind w:left="3164" w:hanging="360"/>
      </w:pPr>
    </w:lvl>
    <w:lvl w:ilvl="4" w:tplc="04160019">
      <w:start w:val="1"/>
      <w:numFmt w:val="lowerLetter"/>
      <w:lvlText w:val="%5."/>
      <w:lvlJc w:val="left"/>
      <w:pPr>
        <w:ind w:left="3884" w:hanging="360"/>
      </w:pPr>
    </w:lvl>
    <w:lvl w:ilvl="5" w:tplc="0416001B">
      <w:start w:val="1"/>
      <w:numFmt w:val="lowerRoman"/>
      <w:lvlText w:val="%6."/>
      <w:lvlJc w:val="right"/>
      <w:pPr>
        <w:ind w:left="4604" w:hanging="180"/>
      </w:pPr>
    </w:lvl>
    <w:lvl w:ilvl="6" w:tplc="0416000F">
      <w:start w:val="1"/>
      <w:numFmt w:val="decimal"/>
      <w:lvlText w:val="%7."/>
      <w:lvlJc w:val="left"/>
      <w:pPr>
        <w:ind w:left="5324" w:hanging="360"/>
      </w:pPr>
    </w:lvl>
    <w:lvl w:ilvl="7" w:tplc="04160019">
      <w:start w:val="1"/>
      <w:numFmt w:val="lowerLetter"/>
      <w:lvlText w:val="%8."/>
      <w:lvlJc w:val="left"/>
      <w:pPr>
        <w:ind w:left="6044" w:hanging="360"/>
      </w:pPr>
    </w:lvl>
    <w:lvl w:ilvl="8" w:tplc="0416001B">
      <w:start w:val="1"/>
      <w:numFmt w:val="lowerRoman"/>
      <w:lvlText w:val="%9."/>
      <w:lvlJc w:val="right"/>
      <w:pPr>
        <w:ind w:left="6764" w:hanging="180"/>
      </w:pPr>
    </w:lvl>
  </w:abstractNum>
  <w:abstractNum w:abstractNumId="53" w15:restartNumberingAfterBreak="0">
    <w:nsid w:val="7FA40FF3"/>
    <w:multiLevelType w:val="hybridMultilevel"/>
    <w:tmpl w:val="D902D8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36471208">
    <w:abstractNumId w:val="38"/>
  </w:num>
  <w:num w:numId="2" w16cid:durableId="1844126856">
    <w:abstractNumId w:val="40"/>
  </w:num>
  <w:num w:numId="3" w16cid:durableId="1491869638">
    <w:abstractNumId w:val="46"/>
  </w:num>
  <w:num w:numId="4" w16cid:durableId="686180727">
    <w:abstractNumId w:val="36"/>
  </w:num>
  <w:num w:numId="5" w16cid:durableId="1584870559">
    <w:abstractNumId w:val="14"/>
  </w:num>
  <w:num w:numId="6" w16cid:durableId="2084906685">
    <w:abstractNumId w:val="49"/>
  </w:num>
  <w:num w:numId="7" w16cid:durableId="1373117794">
    <w:abstractNumId w:val="22"/>
  </w:num>
  <w:num w:numId="8" w16cid:durableId="999891702">
    <w:abstractNumId w:val="19"/>
  </w:num>
  <w:num w:numId="9" w16cid:durableId="2026664340">
    <w:abstractNumId w:val="42"/>
  </w:num>
  <w:num w:numId="10" w16cid:durableId="1661426610">
    <w:abstractNumId w:val="16"/>
  </w:num>
  <w:num w:numId="11" w16cid:durableId="2079009938">
    <w:abstractNumId w:val="39"/>
  </w:num>
  <w:num w:numId="12" w16cid:durableId="1778520194">
    <w:abstractNumId w:val="18"/>
  </w:num>
  <w:num w:numId="13" w16cid:durableId="94281113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58148710">
    <w:abstractNumId w:val="28"/>
  </w:num>
  <w:num w:numId="15" w16cid:durableId="14775132">
    <w:abstractNumId w:val="4"/>
  </w:num>
  <w:num w:numId="16" w16cid:durableId="885020878">
    <w:abstractNumId w:val="17"/>
  </w:num>
  <w:num w:numId="17" w16cid:durableId="873690109">
    <w:abstractNumId w:val="48"/>
  </w:num>
  <w:num w:numId="18" w16cid:durableId="84766276">
    <w:abstractNumId w:val="50"/>
  </w:num>
  <w:num w:numId="19" w16cid:durableId="2054501505">
    <w:abstractNumId w:val="2"/>
  </w:num>
  <w:num w:numId="20" w16cid:durableId="1757901318">
    <w:abstractNumId w:val="31"/>
  </w:num>
  <w:num w:numId="21" w16cid:durableId="1733189709">
    <w:abstractNumId w:val="35"/>
  </w:num>
  <w:num w:numId="22" w16cid:durableId="2096319303">
    <w:abstractNumId w:val="1"/>
  </w:num>
  <w:num w:numId="23" w16cid:durableId="11038078">
    <w:abstractNumId w:val="3"/>
  </w:num>
  <w:num w:numId="24" w16cid:durableId="904992391">
    <w:abstractNumId w:val="0"/>
  </w:num>
  <w:num w:numId="25" w16cid:durableId="964507720">
    <w:abstractNumId w:val="7"/>
  </w:num>
  <w:num w:numId="26" w16cid:durableId="1208954416">
    <w:abstractNumId w:val="44"/>
  </w:num>
  <w:num w:numId="27" w16cid:durableId="283583226">
    <w:abstractNumId w:val="25"/>
  </w:num>
  <w:num w:numId="28" w16cid:durableId="308437488">
    <w:abstractNumId w:val="37"/>
  </w:num>
  <w:num w:numId="29" w16cid:durableId="110981933">
    <w:abstractNumId w:val="6"/>
  </w:num>
  <w:num w:numId="30" w16cid:durableId="1569803634">
    <w:abstractNumId w:val="24"/>
  </w:num>
  <w:num w:numId="31" w16cid:durableId="1521621242">
    <w:abstractNumId w:val="47"/>
  </w:num>
  <w:num w:numId="32" w16cid:durableId="742917751">
    <w:abstractNumId w:val="51"/>
  </w:num>
  <w:num w:numId="33" w16cid:durableId="1302536921">
    <w:abstractNumId w:val="43"/>
  </w:num>
  <w:num w:numId="34" w16cid:durableId="1760759347">
    <w:abstractNumId w:val="21"/>
  </w:num>
  <w:num w:numId="35" w16cid:durableId="586115951">
    <w:abstractNumId w:val="26"/>
  </w:num>
  <w:num w:numId="36" w16cid:durableId="1672295989">
    <w:abstractNumId w:val="10"/>
  </w:num>
  <w:num w:numId="37" w16cid:durableId="1910143580">
    <w:abstractNumId w:val="32"/>
  </w:num>
  <w:num w:numId="38" w16cid:durableId="1851984734">
    <w:abstractNumId w:val="29"/>
  </w:num>
  <w:num w:numId="39" w16cid:durableId="1699770642">
    <w:abstractNumId w:val="15"/>
  </w:num>
  <w:num w:numId="40" w16cid:durableId="1593927">
    <w:abstractNumId w:val="20"/>
  </w:num>
  <w:num w:numId="41" w16cid:durableId="1453136381">
    <w:abstractNumId w:val="12"/>
  </w:num>
  <w:num w:numId="42" w16cid:durableId="222524872">
    <w:abstractNumId w:val="5"/>
  </w:num>
  <w:num w:numId="43" w16cid:durableId="328412393">
    <w:abstractNumId w:val="13"/>
  </w:num>
  <w:num w:numId="44" w16cid:durableId="605431557">
    <w:abstractNumId w:val="8"/>
  </w:num>
  <w:num w:numId="45" w16cid:durableId="893395284">
    <w:abstractNumId w:val="9"/>
  </w:num>
  <w:num w:numId="46" w16cid:durableId="470483627">
    <w:abstractNumId w:val="45"/>
  </w:num>
  <w:num w:numId="47" w16cid:durableId="670959594">
    <w:abstractNumId w:val="30"/>
  </w:num>
  <w:num w:numId="48" w16cid:durableId="1303078846">
    <w:abstractNumId w:val="27"/>
  </w:num>
  <w:num w:numId="49" w16cid:durableId="368183741">
    <w:abstractNumId w:val="34"/>
  </w:num>
  <w:num w:numId="50" w16cid:durableId="110562980">
    <w:abstractNumId w:val="33"/>
  </w:num>
  <w:num w:numId="51" w16cid:durableId="509609312">
    <w:abstractNumId w:val="53"/>
  </w:num>
  <w:num w:numId="52" w16cid:durableId="894202599">
    <w:abstractNumId w:val="23"/>
  </w:num>
  <w:num w:numId="53" w16cid:durableId="1008796791">
    <w:abstractNumId w:val="11"/>
  </w:num>
  <w:num w:numId="54" w16cid:durableId="537279094">
    <w:abstractNumId w:val="4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activeWritingStyle w:appName="MSWord" w:lang="pt-BR" w:vendorID="64" w:dllVersion="6" w:nlCheck="1" w:checkStyle="0"/>
  <w:activeWritingStyle w:appName="MSWord" w:lang="pt-BR" w:vendorID="64" w:dllVersion="4096" w:nlCheck="1" w:checkStyle="0"/>
  <w:activeWritingStyle w:appName="MSWord" w:lang="pt-BR" w:vendorID="64" w:dllVersion="0" w:nlCheck="1" w:checkStyle="0"/>
  <w:activeWritingStyle w:appName="MSWord" w:lang="en-US" w:vendorID="64" w:dllVersion="0" w:nlCheck="1" w:checkStyle="0"/>
  <w:activeWritingStyle w:appName="MSWord" w:lang="en-US" w:vendorID="64" w:dllVersion="6" w:nlCheck="1" w:checkStyle="1"/>
  <w:activeWritingStyle w:appName="MSWord" w:lang="es-ES" w:vendorID="64" w:dllVersion="0" w:nlCheck="1" w:checkStyle="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8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V_HIDDEN_GRID_QUERY_LIST_4F35BF76-6C0D-4D9B-82B2-816C12CF3733" w:val="empty_477D106A-C0D6-4607-AEBD-E2C9D60EA279"/>
    <w:docVar w:name="SV_QUERY_LIST_4F35BF76-6C0D-4D9B-82B2-816C12CF3733" w:val="empty_477D106A-C0D6-4607-AEBD-E2C9D60EA279"/>
  </w:docVars>
  <w:rsids>
    <w:rsidRoot w:val="00623380"/>
    <w:rsid w:val="0000093D"/>
    <w:rsid w:val="00001C0F"/>
    <w:rsid w:val="000028D1"/>
    <w:rsid w:val="00003192"/>
    <w:rsid w:val="00003A86"/>
    <w:rsid w:val="00003B53"/>
    <w:rsid w:val="00003E98"/>
    <w:rsid w:val="000042D7"/>
    <w:rsid w:val="00004806"/>
    <w:rsid w:val="0000580D"/>
    <w:rsid w:val="00007075"/>
    <w:rsid w:val="000072F9"/>
    <w:rsid w:val="00007643"/>
    <w:rsid w:val="0000768F"/>
    <w:rsid w:val="000076D8"/>
    <w:rsid w:val="00007700"/>
    <w:rsid w:val="0000771D"/>
    <w:rsid w:val="00007A2E"/>
    <w:rsid w:val="00010017"/>
    <w:rsid w:val="00010275"/>
    <w:rsid w:val="00010A6C"/>
    <w:rsid w:val="0001126F"/>
    <w:rsid w:val="0001191D"/>
    <w:rsid w:val="00012188"/>
    <w:rsid w:val="00012781"/>
    <w:rsid w:val="00012828"/>
    <w:rsid w:val="000129CE"/>
    <w:rsid w:val="000130AC"/>
    <w:rsid w:val="00013619"/>
    <w:rsid w:val="00013773"/>
    <w:rsid w:val="00013A69"/>
    <w:rsid w:val="00013BB4"/>
    <w:rsid w:val="00014691"/>
    <w:rsid w:val="000148A5"/>
    <w:rsid w:val="00014A93"/>
    <w:rsid w:val="00014BC3"/>
    <w:rsid w:val="00014F83"/>
    <w:rsid w:val="0001513A"/>
    <w:rsid w:val="000154CD"/>
    <w:rsid w:val="00015659"/>
    <w:rsid w:val="0001588C"/>
    <w:rsid w:val="00020E2C"/>
    <w:rsid w:val="00021418"/>
    <w:rsid w:val="00021B87"/>
    <w:rsid w:val="000233C8"/>
    <w:rsid w:val="0002363B"/>
    <w:rsid w:val="00023B01"/>
    <w:rsid w:val="00024155"/>
    <w:rsid w:val="000252D8"/>
    <w:rsid w:val="000254E5"/>
    <w:rsid w:val="0002588F"/>
    <w:rsid w:val="00025BF4"/>
    <w:rsid w:val="0002688C"/>
    <w:rsid w:val="000276E8"/>
    <w:rsid w:val="000302DA"/>
    <w:rsid w:val="00030631"/>
    <w:rsid w:val="0003075B"/>
    <w:rsid w:val="00031824"/>
    <w:rsid w:val="00032433"/>
    <w:rsid w:val="000335D7"/>
    <w:rsid w:val="0003363A"/>
    <w:rsid w:val="0003426E"/>
    <w:rsid w:val="0003434E"/>
    <w:rsid w:val="000344C6"/>
    <w:rsid w:val="0003465E"/>
    <w:rsid w:val="00034846"/>
    <w:rsid w:val="000349C5"/>
    <w:rsid w:val="000351C5"/>
    <w:rsid w:val="00035562"/>
    <w:rsid w:val="0003560A"/>
    <w:rsid w:val="000356A5"/>
    <w:rsid w:val="00035C86"/>
    <w:rsid w:val="000362EC"/>
    <w:rsid w:val="00036500"/>
    <w:rsid w:val="00036961"/>
    <w:rsid w:val="00036ABE"/>
    <w:rsid w:val="00036B25"/>
    <w:rsid w:val="00036F9C"/>
    <w:rsid w:val="0003743A"/>
    <w:rsid w:val="00037A94"/>
    <w:rsid w:val="00037DD6"/>
    <w:rsid w:val="00040641"/>
    <w:rsid w:val="00040AE7"/>
    <w:rsid w:val="00041896"/>
    <w:rsid w:val="00041C6F"/>
    <w:rsid w:val="00042553"/>
    <w:rsid w:val="00042646"/>
    <w:rsid w:val="0004281F"/>
    <w:rsid w:val="00042E11"/>
    <w:rsid w:val="000430B0"/>
    <w:rsid w:val="000432FB"/>
    <w:rsid w:val="00043B1A"/>
    <w:rsid w:val="00043E75"/>
    <w:rsid w:val="00044025"/>
    <w:rsid w:val="00044667"/>
    <w:rsid w:val="000447BE"/>
    <w:rsid w:val="00044A3E"/>
    <w:rsid w:val="00044E70"/>
    <w:rsid w:val="00045241"/>
    <w:rsid w:val="000452DC"/>
    <w:rsid w:val="00045DED"/>
    <w:rsid w:val="00046283"/>
    <w:rsid w:val="00046DBB"/>
    <w:rsid w:val="00047531"/>
    <w:rsid w:val="0004786E"/>
    <w:rsid w:val="00047AC8"/>
    <w:rsid w:val="00047E8D"/>
    <w:rsid w:val="00050BDA"/>
    <w:rsid w:val="00051BAC"/>
    <w:rsid w:val="00052435"/>
    <w:rsid w:val="00052E5D"/>
    <w:rsid w:val="00053473"/>
    <w:rsid w:val="00053858"/>
    <w:rsid w:val="00053C93"/>
    <w:rsid w:val="000540EA"/>
    <w:rsid w:val="00054220"/>
    <w:rsid w:val="000543D2"/>
    <w:rsid w:val="0005442E"/>
    <w:rsid w:val="00055182"/>
    <w:rsid w:val="0005527F"/>
    <w:rsid w:val="00055964"/>
    <w:rsid w:val="00055D60"/>
    <w:rsid w:val="000562FF"/>
    <w:rsid w:val="00056A3A"/>
    <w:rsid w:val="00056E56"/>
    <w:rsid w:val="00056F6B"/>
    <w:rsid w:val="000574BE"/>
    <w:rsid w:val="00057893"/>
    <w:rsid w:val="00060A4A"/>
    <w:rsid w:val="00060DB2"/>
    <w:rsid w:val="00060DCB"/>
    <w:rsid w:val="000611CC"/>
    <w:rsid w:val="00061266"/>
    <w:rsid w:val="0006139A"/>
    <w:rsid w:val="000614A6"/>
    <w:rsid w:val="000614E5"/>
    <w:rsid w:val="00061612"/>
    <w:rsid w:val="00061B5B"/>
    <w:rsid w:val="00061ECF"/>
    <w:rsid w:val="00062877"/>
    <w:rsid w:val="0006336A"/>
    <w:rsid w:val="00063E0C"/>
    <w:rsid w:val="000644AB"/>
    <w:rsid w:val="00065549"/>
    <w:rsid w:val="00065688"/>
    <w:rsid w:val="00065751"/>
    <w:rsid w:val="00065D1B"/>
    <w:rsid w:val="000665CF"/>
    <w:rsid w:val="00066FFF"/>
    <w:rsid w:val="0006750A"/>
    <w:rsid w:val="000676A6"/>
    <w:rsid w:val="00070232"/>
    <w:rsid w:val="000702BE"/>
    <w:rsid w:val="0007030B"/>
    <w:rsid w:val="00070AFC"/>
    <w:rsid w:val="000713A0"/>
    <w:rsid w:val="00072104"/>
    <w:rsid w:val="00072D6E"/>
    <w:rsid w:val="0007359C"/>
    <w:rsid w:val="00073C46"/>
    <w:rsid w:val="00074A55"/>
    <w:rsid w:val="00074DB7"/>
    <w:rsid w:val="000754FC"/>
    <w:rsid w:val="000755E3"/>
    <w:rsid w:val="00075933"/>
    <w:rsid w:val="000762AD"/>
    <w:rsid w:val="000765C5"/>
    <w:rsid w:val="00076F6E"/>
    <w:rsid w:val="00077946"/>
    <w:rsid w:val="00077B8A"/>
    <w:rsid w:val="00077D88"/>
    <w:rsid w:val="0008028F"/>
    <w:rsid w:val="000808A8"/>
    <w:rsid w:val="00080E1D"/>
    <w:rsid w:val="00081161"/>
    <w:rsid w:val="0008228B"/>
    <w:rsid w:val="0008249B"/>
    <w:rsid w:val="0008260C"/>
    <w:rsid w:val="0008272F"/>
    <w:rsid w:val="000837F9"/>
    <w:rsid w:val="00083AC2"/>
    <w:rsid w:val="000840BC"/>
    <w:rsid w:val="00084467"/>
    <w:rsid w:val="000845F5"/>
    <w:rsid w:val="00085204"/>
    <w:rsid w:val="000857C1"/>
    <w:rsid w:val="00086AAF"/>
    <w:rsid w:val="00086D33"/>
    <w:rsid w:val="00086E9D"/>
    <w:rsid w:val="000875DE"/>
    <w:rsid w:val="00090259"/>
    <w:rsid w:val="00090336"/>
    <w:rsid w:val="0009090F"/>
    <w:rsid w:val="000913E8"/>
    <w:rsid w:val="00092770"/>
    <w:rsid w:val="00092817"/>
    <w:rsid w:val="00092FAE"/>
    <w:rsid w:val="00093CE5"/>
    <w:rsid w:val="00093D0C"/>
    <w:rsid w:val="00094458"/>
    <w:rsid w:val="00094782"/>
    <w:rsid w:val="000948B1"/>
    <w:rsid w:val="00094E8F"/>
    <w:rsid w:val="000954AB"/>
    <w:rsid w:val="00095670"/>
    <w:rsid w:val="00095AF1"/>
    <w:rsid w:val="00095DE7"/>
    <w:rsid w:val="000962C2"/>
    <w:rsid w:val="000963E7"/>
    <w:rsid w:val="0009687C"/>
    <w:rsid w:val="000970FD"/>
    <w:rsid w:val="000971D5"/>
    <w:rsid w:val="00097C51"/>
    <w:rsid w:val="000A097A"/>
    <w:rsid w:val="000A0F2A"/>
    <w:rsid w:val="000A1021"/>
    <w:rsid w:val="000A2028"/>
    <w:rsid w:val="000A243B"/>
    <w:rsid w:val="000A2A80"/>
    <w:rsid w:val="000A2AF6"/>
    <w:rsid w:val="000A2CF4"/>
    <w:rsid w:val="000A32D4"/>
    <w:rsid w:val="000A38AC"/>
    <w:rsid w:val="000A38B2"/>
    <w:rsid w:val="000A3E92"/>
    <w:rsid w:val="000A4B97"/>
    <w:rsid w:val="000A4BBA"/>
    <w:rsid w:val="000A4DAB"/>
    <w:rsid w:val="000A562B"/>
    <w:rsid w:val="000A5891"/>
    <w:rsid w:val="000A5EAC"/>
    <w:rsid w:val="000A782B"/>
    <w:rsid w:val="000A78B0"/>
    <w:rsid w:val="000B0498"/>
    <w:rsid w:val="000B08BD"/>
    <w:rsid w:val="000B0BBE"/>
    <w:rsid w:val="000B0C28"/>
    <w:rsid w:val="000B0F47"/>
    <w:rsid w:val="000B1672"/>
    <w:rsid w:val="000B195B"/>
    <w:rsid w:val="000B2247"/>
    <w:rsid w:val="000B2290"/>
    <w:rsid w:val="000B24E0"/>
    <w:rsid w:val="000B28DA"/>
    <w:rsid w:val="000B2A6F"/>
    <w:rsid w:val="000B3E25"/>
    <w:rsid w:val="000B4030"/>
    <w:rsid w:val="000B432C"/>
    <w:rsid w:val="000B4843"/>
    <w:rsid w:val="000B49AC"/>
    <w:rsid w:val="000B4AA0"/>
    <w:rsid w:val="000B5030"/>
    <w:rsid w:val="000B5396"/>
    <w:rsid w:val="000B5678"/>
    <w:rsid w:val="000B58A1"/>
    <w:rsid w:val="000B6328"/>
    <w:rsid w:val="000B6591"/>
    <w:rsid w:val="000B6BA3"/>
    <w:rsid w:val="000B7E70"/>
    <w:rsid w:val="000B7F81"/>
    <w:rsid w:val="000B7F82"/>
    <w:rsid w:val="000C0520"/>
    <w:rsid w:val="000C05FC"/>
    <w:rsid w:val="000C0D0F"/>
    <w:rsid w:val="000C1536"/>
    <w:rsid w:val="000C3B73"/>
    <w:rsid w:val="000C6B0A"/>
    <w:rsid w:val="000C6CF2"/>
    <w:rsid w:val="000C6E11"/>
    <w:rsid w:val="000C7076"/>
    <w:rsid w:val="000C7620"/>
    <w:rsid w:val="000C7981"/>
    <w:rsid w:val="000C7A49"/>
    <w:rsid w:val="000D000B"/>
    <w:rsid w:val="000D1A44"/>
    <w:rsid w:val="000D2776"/>
    <w:rsid w:val="000D27D6"/>
    <w:rsid w:val="000D3665"/>
    <w:rsid w:val="000D3732"/>
    <w:rsid w:val="000D3C6C"/>
    <w:rsid w:val="000D585A"/>
    <w:rsid w:val="000D6851"/>
    <w:rsid w:val="000D6D95"/>
    <w:rsid w:val="000D75DB"/>
    <w:rsid w:val="000D77AF"/>
    <w:rsid w:val="000E03DF"/>
    <w:rsid w:val="000E0E43"/>
    <w:rsid w:val="000E1DC7"/>
    <w:rsid w:val="000E1F95"/>
    <w:rsid w:val="000E1FD3"/>
    <w:rsid w:val="000E2D53"/>
    <w:rsid w:val="000E3B52"/>
    <w:rsid w:val="000E3C38"/>
    <w:rsid w:val="000E438C"/>
    <w:rsid w:val="000E4727"/>
    <w:rsid w:val="000E4C28"/>
    <w:rsid w:val="000E5362"/>
    <w:rsid w:val="000E6780"/>
    <w:rsid w:val="000E6DC9"/>
    <w:rsid w:val="000E75BD"/>
    <w:rsid w:val="000E77BD"/>
    <w:rsid w:val="000E7BCC"/>
    <w:rsid w:val="000E7FBA"/>
    <w:rsid w:val="000F05A2"/>
    <w:rsid w:val="000F0C9B"/>
    <w:rsid w:val="000F0D88"/>
    <w:rsid w:val="000F1310"/>
    <w:rsid w:val="000F3899"/>
    <w:rsid w:val="000F4612"/>
    <w:rsid w:val="000F4AFD"/>
    <w:rsid w:val="000F4BF3"/>
    <w:rsid w:val="000F4E47"/>
    <w:rsid w:val="000F4E5B"/>
    <w:rsid w:val="000F4E86"/>
    <w:rsid w:val="000F50D6"/>
    <w:rsid w:val="000F6596"/>
    <w:rsid w:val="000F6677"/>
    <w:rsid w:val="000F6703"/>
    <w:rsid w:val="000F712A"/>
    <w:rsid w:val="000F7D74"/>
    <w:rsid w:val="000F7E45"/>
    <w:rsid w:val="00101D33"/>
    <w:rsid w:val="00101E48"/>
    <w:rsid w:val="00102174"/>
    <w:rsid w:val="001026C7"/>
    <w:rsid w:val="00102947"/>
    <w:rsid w:val="00102B63"/>
    <w:rsid w:val="0010330C"/>
    <w:rsid w:val="0010386D"/>
    <w:rsid w:val="00103968"/>
    <w:rsid w:val="00103D07"/>
    <w:rsid w:val="001041AC"/>
    <w:rsid w:val="00104BC0"/>
    <w:rsid w:val="001057B3"/>
    <w:rsid w:val="0010602E"/>
    <w:rsid w:val="00106142"/>
    <w:rsid w:val="0010619B"/>
    <w:rsid w:val="00106C06"/>
    <w:rsid w:val="00106E5C"/>
    <w:rsid w:val="00107072"/>
    <w:rsid w:val="00107B8D"/>
    <w:rsid w:val="00107EBD"/>
    <w:rsid w:val="001102AC"/>
    <w:rsid w:val="001105FC"/>
    <w:rsid w:val="00110A2C"/>
    <w:rsid w:val="00110DD7"/>
    <w:rsid w:val="00111011"/>
    <w:rsid w:val="00111B41"/>
    <w:rsid w:val="001122BE"/>
    <w:rsid w:val="00112A68"/>
    <w:rsid w:val="00112F30"/>
    <w:rsid w:val="0011360A"/>
    <w:rsid w:val="001146AA"/>
    <w:rsid w:val="00114DDC"/>
    <w:rsid w:val="00115495"/>
    <w:rsid w:val="001155EA"/>
    <w:rsid w:val="00116067"/>
    <w:rsid w:val="001164B5"/>
    <w:rsid w:val="001164E6"/>
    <w:rsid w:val="001166A2"/>
    <w:rsid w:val="00116D52"/>
    <w:rsid w:val="00117A7E"/>
    <w:rsid w:val="001208AF"/>
    <w:rsid w:val="001212DE"/>
    <w:rsid w:val="00121403"/>
    <w:rsid w:val="00121650"/>
    <w:rsid w:val="00121753"/>
    <w:rsid w:val="00122990"/>
    <w:rsid w:val="00122A0A"/>
    <w:rsid w:val="00122B42"/>
    <w:rsid w:val="00122C4E"/>
    <w:rsid w:val="00122C63"/>
    <w:rsid w:val="00122F02"/>
    <w:rsid w:val="0012353E"/>
    <w:rsid w:val="001235AB"/>
    <w:rsid w:val="00123A84"/>
    <w:rsid w:val="00124920"/>
    <w:rsid w:val="00124CC8"/>
    <w:rsid w:val="00124DA5"/>
    <w:rsid w:val="001250C5"/>
    <w:rsid w:val="001251CD"/>
    <w:rsid w:val="001258F6"/>
    <w:rsid w:val="00126206"/>
    <w:rsid w:val="001266EF"/>
    <w:rsid w:val="001274D9"/>
    <w:rsid w:val="0013063A"/>
    <w:rsid w:val="001316D9"/>
    <w:rsid w:val="001319E6"/>
    <w:rsid w:val="00131DA2"/>
    <w:rsid w:val="00132303"/>
    <w:rsid w:val="001327F4"/>
    <w:rsid w:val="0013299B"/>
    <w:rsid w:val="00133829"/>
    <w:rsid w:val="00133A82"/>
    <w:rsid w:val="00133AB3"/>
    <w:rsid w:val="0013479F"/>
    <w:rsid w:val="00134A3C"/>
    <w:rsid w:val="00134A5D"/>
    <w:rsid w:val="00136105"/>
    <w:rsid w:val="00136454"/>
    <w:rsid w:val="001367D9"/>
    <w:rsid w:val="00136C77"/>
    <w:rsid w:val="00136C7B"/>
    <w:rsid w:val="00136DCA"/>
    <w:rsid w:val="0013739D"/>
    <w:rsid w:val="00137F12"/>
    <w:rsid w:val="00140962"/>
    <w:rsid w:val="00141A63"/>
    <w:rsid w:val="00141C8E"/>
    <w:rsid w:val="00142311"/>
    <w:rsid w:val="00143D4A"/>
    <w:rsid w:val="001442CC"/>
    <w:rsid w:val="00144525"/>
    <w:rsid w:val="0014497F"/>
    <w:rsid w:val="00144CC3"/>
    <w:rsid w:val="001452E4"/>
    <w:rsid w:val="001455EF"/>
    <w:rsid w:val="00145AC3"/>
    <w:rsid w:val="001464D3"/>
    <w:rsid w:val="001466DB"/>
    <w:rsid w:val="001469AB"/>
    <w:rsid w:val="00146D19"/>
    <w:rsid w:val="00146D1E"/>
    <w:rsid w:val="001473CD"/>
    <w:rsid w:val="00147E6B"/>
    <w:rsid w:val="00147F70"/>
    <w:rsid w:val="0015076A"/>
    <w:rsid w:val="00151F3B"/>
    <w:rsid w:val="00152A79"/>
    <w:rsid w:val="00152E92"/>
    <w:rsid w:val="001530FF"/>
    <w:rsid w:val="0015355A"/>
    <w:rsid w:val="001535BD"/>
    <w:rsid w:val="00153650"/>
    <w:rsid w:val="00153669"/>
    <w:rsid w:val="00153CF5"/>
    <w:rsid w:val="00153D2C"/>
    <w:rsid w:val="00154BD7"/>
    <w:rsid w:val="00154C39"/>
    <w:rsid w:val="0015557E"/>
    <w:rsid w:val="00155A20"/>
    <w:rsid w:val="00155FF6"/>
    <w:rsid w:val="0015633F"/>
    <w:rsid w:val="00156593"/>
    <w:rsid w:val="00157A77"/>
    <w:rsid w:val="001606DF"/>
    <w:rsid w:val="00160B07"/>
    <w:rsid w:val="00161675"/>
    <w:rsid w:val="00162022"/>
    <w:rsid w:val="00162661"/>
    <w:rsid w:val="00163DE7"/>
    <w:rsid w:val="0016469B"/>
    <w:rsid w:val="001659EA"/>
    <w:rsid w:val="00165D44"/>
    <w:rsid w:val="00166047"/>
    <w:rsid w:val="001660BD"/>
    <w:rsid w:val="001667BE"/>
    <w:rsid w:val="00167A24"/>
    <w:rsid w:val="00167EAB"/>
    <w:rsid w:val="001701FA"/>
    <w:rsid w:val="0017034F"/>
    <w:rsid w:val="00170E62"/>
    <w:rsid w:val="001710D4"/>
    <w:rsid w:val="00171200"/>
    <w:rsid w:val="0017166D"/>
    <w:rsid w:val="00171B32"/>
    <w:rsid w:val="00171F94"/>
    <w:rsid w:val="0017217F"/>
    <w:rsid w:val="00172BD8"/>
    <w:rsid w:val="00172F9E"/>
    <w:rsid w:val="00173E17"/>
    <w:rsid w:val="00173F47"/>
    <w:rsid w:val="0017498B"/>
    <w:rsid w:val="00174C45"/>
    <w:rsid w:val="00174CCD"/>
    <w:rsid w:val="00174DA7"/>
    <w:rsid w:val="00175FC2"/>
    <w:rsid w:val="001760A3"/>
    <w:rsid w:val="00177141"/>
    <w:rsid w:val="001771D3"/>
    <w:rsid w:val="00177250"/>
    <w:rsid w:val="00177EAC"/>
    <w:rsid w:val="001812D2"/>
    <w:rsid w:val="0018172E"/>
    <w:rsid w:val="00181940"/>
    <w:rsid w:val="00181956"/>
    <w:rsid w:val="00182FCA"/>
    <w:rsid w:val="00183017"/>
    <w:rsid w:val="001834A1"/>
    <w:rsid w:val="001838B0"/>
    <w:rsid w:val="00184709"/>
    <w:rsid w:val="00184729"/>
    <w:rsid w:val="00184B99"/>
    <w:rsid w:val="00184F92"/>
    <w:rsid w:val="0018543D"/>
    <w:rsid w:val="00185A57"/>
    <w:rsid w:val="00185AE8"/>
    <w:rsid w:val="00185EBF"/>
    <w:rsid w:val="001861F4"/>
    <w:rsid w:val="0018621C"/>
    <w:rsid w:val="00186606"/>
    <w:rsid w:val="00187691"/>
    <w:rsid w:val="00190671"/>
    <w:rsid w:val="00190986"/>
    <w:rsid w:val="00190AF2"/>
    <w:rsid w:val="00192323"/>
    <w:rsid w:val="00192690"/>
    <w:rsid w:val="00192B30"/>
    <w:rsid w:val="00192C11"/>
    <w:rsid w:val="00192DCE"/>
    <w:rsid w:val="0019406E"/>
    <w:rsid w:val="00194149"/>
    <w:rsid w:val="0019463B"/>
    <w:rsid w:val="001947F1"/>
    <w:rsid w:val="0019577D"/>
    <w:rsid w:val="001A0442"/>
    <w:rsid w:val="001A0B8B"/>
    <w:rsid w:val="001A12E0"/>
    <w:rsid w:val="001A13F3"/>
    <w:rsid w:val="001A1940"/>
    <w:rsid w:val="001A2838"/>
    <w:rsid w:val="001A32E0"/>
    <w:rsid w:val="001A3501"/>
    <w:rsid w:val="001A36D5"/>
    <w:rsid w:val="001A3B0A"/>
    <w:rsid w:val="001A3B98"/>
    <w:rsid w:val="001A4A4B"/>
    <w:rsid w:val="001A4BB4"/>
    <w:rsid w:val="001A540A"/>
    <w:rsid w:val="001A5D4F"/>
    <w:rsid w:val="001A5D91"/>
    <w:rsid w:val="001A6731"/>
    <w:rsid w:val="001A6999"/>
    <w:rsid w:val="001A7422"/>
    <w:rsid w:val="001A76C3"/>
    <w:rsid w:val="001A770D"/>
    <w:rsid w:val="001A7B3B"/>
    <w:rsid w:val="001A7EEA"/>
    <w:rsid w:val="001B0C8F"/>
    <w:rsid w:val="001B219D"/>
    <w:rsid w:val="001B2D68"/>
    <w:rsid w:val="001B3116"/>
    <w:rsid w:val="001B33BA"/>
    <w:rsid w:val="001B41C6"/>
    <w:rsid w:val="001B4C54"/>
    <w:rsid w:val="001B509B"/>
    <w:rsid w:val="001B50D8"/>
    <w:rsid w:val="001B5703"/>
    <w:rsid w:val="001B5F6B"/>
    <w:rsid w:val="001B71FE"/>
    <w:rsid w:val="001B7A9D"/>
    <w:rsid w:val="001C0051"/>
    <w:rsid w:val="001C0179"/>
    <w:rsid w:val="001C0918"/>
    <w:rsid w:val="001C0CD1"/>
    <w:rsid w:val="001C0FB3"/>
    <w:rsid w:val="001C18A5"/>
    <w:rsid w:val="001C26AC"/>
    <w:rsid w:val="001C2793"/>
    <w:rsid w:val="001C318F"/>
    <w:rsid w:val="001C363F"/>
    <w:rsid w:val="001C3D77"/>
    <w:rsid w:val="001C4086"/>
    <w:rsid w:val="001C4AA9"/>
    <w:rsid w:val="001C5616"/>
    <w:rsid w:val="001C5CCA"/>
    <w:rsid w:val="001C5EE8"/>
    <w:rsid w:val="001C5F2E"/>
    <w:rsid w:val="001C600B"/>
    <w:rsid w:val="001C6037"/>
    <w:rsid w:val="001C60B3"/>
    <w:rsid w:val="001C698C"/>
    <w:rsid w:val="001C7FF9"/>
    <w:rsid w:val="001D000C"/>
    <w:rsid w:val="001D04DD"/>
    <w:rsid w:val="001D14D6"/>
    <w:rsid w:val="001D150D"/>
    <w:rsid w:val="001D27F7"/>
    <w:rsid w:val="001D2CB5"/>
    <w:rsid w:val="001D2DE6"/>
    <w:rsid w:val="001D32DE"/>
    <w:rsid w:val="001D3E44"/>
    <w:rsid w:val="001D3EB5"/>
    <w:rsid w:val="001D5332"/>
    <w:rsid w:val="001D63A7"/>
    <w:rsid w:val="001D7971"/>
    <w:rsid w:val="001E0466"/>
    <w:rsid w:val="001E0A0C"/>
    <w:rsid w:val="001E0C1B"/>
    <w:rsid w:val="001E130D"/>
    <w:rsid w:val="001E18E8"/>
    <w:rsid w:val="001E1A95"/>
    <w:rsid w:val="001E2147"/>
    <w:rsid w:val="001E24C0"/>
    <w:rsid w:val="001E2511"/>
    <w:rsid w:val="001E2515"/>
    <w:rsid w:val="001E26DB"/>
    <w:rsid w:val="001E2A7F"/>
    <w:rsid w:val="001E4DBA"/>
    <w:rsid w:val="001E53FD"/>
    <w:rsid w:val="001E56B6"/>
    <w:rsid w:val="001E5999"/>
    <w:rsid w:val="001E5DA1"/>
    <w:rsid w:val="001E5F3D"/>
    <w:rsid w:val="001E6A57"/>
    <w:rsid w:val="001E6B90"/>
    <w:rsid w:val="001E7A66"/>
    <w:rsid w:val="001F0256"/>
    <w:rsid w:val="001F0E61"/>
    <w:rsid w:val="001F138E"/>
    <w:rsid w:val="001F1F28"/>
    <w:rsid w:val="001F22CF"/>
    <w:rsid w:val="001F23D1"/>
    <w:rsid w:val="001F2698"/>
    <w:rsid w:val="001F2C84"/>
    <w:rsid w:val="001F2FB7"/>
    <w:rsid w:val="001F306C"/>
    <w:rsid w:val="001F39A8"/>
    <w:rsid w:val="001F40B1"/>
    <w:rsid w:val="001F432F"/>
    <w:rsid w:val="001F473A"/>
    <w:rsid w:val="001F5070"/>
    <w:rsid w:val="001F552B"/>
    <w:rsid w:val="001F58C5"/>
    <w:rsid w:val="001F58CE"/>
    <w:rsid w:val="001F66DD"/>
    <w:rsid w:val="001F681C"/>
    <w:rsid w:val="001F6E1F"/>
    <w:rsid w:val="001F71BD"/>
    <w:rsid w:val="001F73E2"/>
    <w:rsid w:val="001F7E4B"/>
    <w:rsid w:val="0020027D"/>
    <w:rsid w:val="00200924"/>
    <w:rsid w:val="00200A98"/>
    <w:rsid w:val="002013AC"/>
    <w:rsid w:val="0020198E"/>
    <w:rsid w:val="002032B7"/>
    <w:rsid w:val="00203504"/>
    <w:rsid w:val="00204520"/>
    <w:rsid w:val="00204EF4"/>
    <w:rsid w:val="002052DA"/>
    <w:rsid w:val="00205769"/>
    <w:rsid w:val="002057CE"/>
    <w:rsid w:val="002061D4"/>
    <w:rsid w:val="00206282"/>
    <w:rsid w:val="00206814"/>
    <w:rsid w:val="0020710C"/>
    <w:rsid w:val="00207B6B"/>
    <w:rsid w:val="00207D93"/>
    <w:rsid w:val="00210371"/>
    <w:rsid w:val="002109C9"/>
    <w:rsid w:val="00210B56"/>
    <w:rsid w:val="00210BB5"/>
    <w:rsid w:val="002115D4"/>
    <w:rsid w:val="00211B77"/>
    <w:rsid w:val="002126A6"/>
    <w:rsid w:val="002131B9"/>
    <w:rsid w:val="00213415"/>
    <w:rsid w:val="00213AE4"/>
    <w:rsid w:val="00214699"/>
    <w:rsid w:val="00214A0A"/>
    <w:rsid w:val="00214EF3"/>
    <w:rsid w:val="00214F4E"/>
    <w:rsid w:val="0021591C"/>
    <w:rsid w:val="00215A87"/>
    <w:rsid w:val="0021680F"/>
    <w:rsid w:val="00216BE2"/>
    <w:rsid w:val="002217F3"/>
    <w:rsid w:val="00221AD9"/>
    <w:rsid w:val="00221C26"/>
    <w:rsid w:val="00221F87"/>
    <w:rsid w:val="002222A6"/>
    <w:rsid w:val="00222380"/>
    <w:rsid w:val="00222523"/>
    <w:rsid w:val="00222DB0"/>
    <w:rsid w:val="00223681"/>
    <w:rsid w:val="002238DE"/>
    <w:rsid w:val="002248FD"/>
    <w:rsid w:val="0022493C"/>
    <w:rsid w:val="0022501A"/>
    <w:rsid w:val="00225984"/>
    <w:rsid w:val="00227CB8"/>
    <w:rsid w:val="00227D78"/>
    <w:rsid w:val="00230445"/>
    <w:rsid w:val="00230B73"/>
    <w:rsid w:val="00230CC5"/>
    <w:rsid w:val="002315DD"/>
    <w:rsid w:val="00231D11"/>
    <w:rsid w:val="0023362B"/>
    <w:rsid w:val="0023451D"/>
    <w:rsid w:val="00235110"/>
    <w:rsid w:val="00235353"/>
    <w:rsid w:val="00236359"/>
    <w:rsid w:val="00236950"/>
    <w:rsid w:val="00237429"/>
    <w:rsid w:val="00237825"/>
    <w:rsid w:val="00237AAA"/>
    <w:rsid w:val="002403ED"/>
    <w:rsid w:val="00240B2A"/>
    <w:rsid w:val="00241360"/>
    <w:rsid w:val="00242156"/>
    <w:rsid w:val="00243F7B"/>
    <w:rsid w:val="0024439C"/>
    <w:rsid w:val="002443C6"/>
    <w:rsid w:val="00244CAC"/>
    <w:rsid w:val="0024522E"/>
    <w:rsid w:val="002459FF"/>
    <w:rsid w:val="00245C58"/>
    <w:rsid w:val="0024630A"/>
    <w:rsid w:val="00246CA3"/>
    <w:rsid w:val="0024704D"/>
    <w:rsid w:val="00247127"/>
    <w:rsid w:val="00247250"/>
    <w:rsid w:val="00247531"/>
    <w:rsid w:val="002477B1"/>
    <w:rsid w:val="0024798B"/>
    <w:rsid w:val="00247F3A"/>
    <w:rsid w:val="00250F53"/>
    <w:rsid w:val="00251F6F"/>
    <w:rsid w:val="00252AB9"/>
    <w:rsid w:val="00252C79"/>
    <w:rsid w:val="002532AB"/>
    <w:rsid w:val="002542EC"/>
    <w:rsid w:val="00254865"/>
    <w:rsid w:val="0025540F"/>
    <w:rsid w:val="00255DA3"/>
    <w:rsid w:val="002572C9"/>
    <w:rsid w:val="0026119B"/>
    <w:rsid w:val="00262107"/>
    <w:rsid w:val="0026251A"/>
    <w:rsid w:val="00262D32"/>
    <w:rsid w:val="002632A1"/>
    <w:rsid w:val="002633C0"/>
    <w:rsid w:val="00263451"/>
    <w:rsid w:val="00263718"/>
    <w:rsid w:val="00263B37"/>
    <w:rsid w:val="00263EF9"/>
    <w:rsid w:val="00265C23"/>
    <w:rsid w:val="00265E37"/>
    <w:rsid w:val="00266607"/>
    <w:rsid w:val="00266F83"/>
    <w:rsid w:val="00267562"/>
    <w:rsid w:val="00267C66"/>
    <w:rsid w:val="00267FF1"/>
    <w:rsid w:val="002702B4"/>
    <w:rsid w:val="0027036C"/>
    <w:rsid w:val="00271226"/>
    <w:rsid w:val="00271AA4"/>
    <w:rsid w:val="00271E04"/>
    <w:rsid w:val="00272556"/>
    <w:rsid w:val="002736A1"/>
    <w:rsid w:val="00273D20"/>
    <w:rsid w:val="00274B1D"/>
    <w:rsid w:val="00274CB5"/>
    <w:rsid w:val="0027501F"/>
    <w:rsid w:val="00275176"/>
    <w:rsid w:val="002753FF"/>
    <w:rsid w:val="0027554D"/>
    <w:rsid w:val="002763DA"/>
    <w:rsid w:val="0027678B"/>
    <w:rsid w:val="002771C9"/>
    <w:rsid w:val="00277DD1"/>
    <w:rsid w:val="0028090A"/>
    <w:rsid w:val="0028098B"/>
    <w:rsid w:val="00280AF2"/>
    <w:rsid w:val="00281489"/>
    <w:rsid w:val="002815F9"/>
    <w:rsid w:val="002816B0"/>
    <w:rsid w:val="00281D93"/>
    <w:rsid w:val="0028283D"/>
    <w:rsid w:val="00282E7E"/>
    <w:rsid w:val="00282FD8"/>
    <w:rsid w:val="0028309A"/>
    <w:rsid w:val="00283451"/>
    <w:rsid w:val="002844EB"/>
    <w:rsid w:val="0028496B"/>
    <w:rsid w:val="00285022"/>
    <w:rsid w:val="00285474"/>
    <w:rsid w:val="0028550A"/>
    <w:rsid w:val="00285779"/>
    <w:rsid w:val="00285CF2"/>
    <w:rsid w:val="00286037"/>
    <w:rsid w:val="002860EE"/>
    <w:rsid w:val="002861CA"/>
    <w:rsid w:val="00286681"/>
    <w:rsid w:val="00286EBF"/>
    <w:rsid w:val="00287A47"/>
    <w:rsid w:val="00287B01"/>
    <w:rsid w:val="00290829"/>
    <w:rsid w:val="002908CD"/>
    <w:rsid w:val="00291F44"/>
    <w:rsid w:val="00292573"/>
    <w:rsid w:val="00292E3C"/>
    <w:rsid w:val="00293236"/>
    <w:rsid w:val="00293589"/>
    <w:rsid w:val="002936FF"/>
    <w:rsid w:val="00293AA1"/>
    <w:rsid w:val="002943B5"/>
    <w:rsid w:val="00295409"/>
    <w:rsid w:val="002956E6"/>
    <w:rsid w:val="002957A1"/>
    <w:rsid w:val="002959AC"/>
    <w:rsid w:val="00295FBC"/>
    <w:rsid w:val="002965B6"/>
    <w:rsid w:val="002968AF"/>
    <w:rsid w:val="00297080"/>
    <w:rsid w:val="002A0322"/>
    <w:rsid w:val="002A0784"/>
    <w:rsid w:val="002A0A54"/>
    <w:rsid w:val="002A1A07"/>
    <w:rsid w:val="002A2697"/>
    <w:rsid w:val="002A2DBD"/>
    <w:rsid w:val="002A2FDD"/>
    <w:rsid w:val="002A35B7"/>
    <w:rsid w:val="002A3D14"/>
    <w:rsid w:val="002A406E"/>
    <w:rsid w:val="002A4966"/>
    <w:rsid w:val="002A5193"/>
    <w:rsid w:val="002A53D5"/>
    <w:rsid w:val="002A54AD"/>
    <w:rsid w:val="002A6771"/>
    <w:rsid w:val="002A68A7"/>
    <w:rsid w:val="002A7083"/>
    <w:rsid w:val="002A71E6"/>
    <w:rsid w:val="002A734B"/>
    <w:rsid w:val="002A7547"/>
    <w:rsid w:val="002A75E4"/>
    <w:rsid w:val="002A7858"/>
    <w:rsid w:val="002B00E5"/>
    <w:rsid w:val="002B07AD"/>
    <w:rsid w:val="002B0ABE"/>
    <w:rsid w:val="002B16F3"/>
    <w:rsid w:val="002B2242"/>
    <w:rsid w:val="002B255F"/>
    <w:rsid w:val="002B26B9"/>
    <w:rsid w:val="002B287F"/>
    <w:rsid w:val="002B290B"/>
    <w:rsid w:val="002B3295"/>
    <w:rsid w:val="002B3559"/>
    <w:rsid w:val="002B375F"/>
    <w:rsid w:val="002B396D"/>
    <w:rsid w:val="002B39F7"/>
    <w:rsid w:val="002B3F85"/>
    <w:rsid w:val="002B440C"/>
    <w:rsid w:val="002B4416"/>
    <w:rsid w:val="002B4815"/>
    <w:rsid w:val="002B4B83"/>
    <w:rsid w:val="002B4EBC"/>
    <w:rsid w:val="002B56F7"/>
    <w:rsid w:val="002B5844"/>
    <w:rsid w:val="002B5FFC"/>
    <w:rsid w:val="002B610A"/>
    <w:rsid w:val="002B613E"/>
    <w:rsid w:val="002B63E7"/>
    <w:rsid w:val="002B766F"/>
    <w:rsid w:val="002C081E"/>
    <w:rsid w:val="002C08DF"/>
    <w:rsid w:val="002C1311"/>
    <w:rsid w:val="002C1A90"/>
    <w:rsid w:val="002C358C"/>
    <w:rsid w:val="002C359C"/>
    <w:rsid w:val="002C39B5"/>
    <w:rsid w:val="002C3B56"/>
    <w:rsid w:val="002C42CB"/>
    <w:rsid w:val="002C4890"/>
    <w:rsid w:val="002C65F4"/>
    <w:rsid w:val="002C69C7"/>
    <w:rsid w:val="002C6D0D"/>
    <w:rsid w:val="002C6F44"/>
    <w:rsid w:val="002C77AD"/>
    <w:rsid w:val="002C7809"/>
    <w:rsid w:val="002C7B94"/>
    <w:rsid w:val="002C7DAE"/>
    <w:rsid w:val="002D226A"/>
    <w:rsid w:val="002D2644"/>
    <w:rsid w:val="002D36D1"/>
    <w:rsid w:val="002D39F5"/>
    <w:rsid w:val="002D3D67"/>
    <w:rsid w:val="002D498E"/>
    <w:rsid w:val="002D5344"/>
    <w:rsid w:val="002D5BFF"/>
    <w:rsid w:val="002D618A"/>
    <w:rsid w:val="002D7247"/>
    <w:rsid w:val="002D75A7"/>
    <w:rsid w:val="002D7E81"/>
    <w:rsid w:val="002E0419"/>
    <w:rsid w:val="002E0455"/>
    <w:rsid w:val="002E0690"/>
    <w:rsid w:val="002E06EC"/>
    <w:rsid w:val="002E18CB"/>
    <w:rsid w:val="002E1A98"/>
    <w:rsid w:val="002E1C94"/>
    <w:rsid w:val="002E22B4"/>
    <w:rsid w:val="002E25DC"/>
    <w:rsid w:val="002E2C18"/>
    <w:rsid w:val="002E2CB8"/>
    <w:rsid w:val="002E37D6"/>
    <w:rsid w:val="002E41A0"/>
    <w:rsid w:val="002E44F0"/>
    <w:rsid w:val="002E4A72"/>
    <w:rsid w:val="002E5448"/>
    <w:rsid w:val="002E633D"/>
    <w:rsid w:val="002E6430"/>
    <w:rsid w:val="002E6BC9"/>
    <w:rsid w:val="002E72C4"/>
    <w:rsid w:val="002E7A7E"/>
    <w:rsid w:val="002E7BB5"/>
    <w:rsid w:val="002F043E"/>
    <w:rsid w:val="002F048D"/>
    <w:rsid w:val="002F0ADD"/>
    <w:rsid w:val="002F1F27"/>
    <w:rsid w:val="002F211D"/>
    <w:rsid w:val="002F226F"/>
    <w:rsid w:val="002F2E71"/>
    <w:rsid w:val="002F3318"/>
    <w:rsid w:val="002F34AC"/>
    <w:rsid w:val="002F3716"/>
    <w:rsid w:val="002F3927"/>
    <w:rsid w:val="002F3D45"/>
    <w:rsid w:val="002F4465"/>
    <w:rsid w:val="002F4481"/>
    <w:rsid w:val="002F4A60"/>
    <w:rsid w:val="002F4C92"/>
    <w:rsid w:val="002F53AA"/>
    <w:rsid w:val="002F55F7"/>
    <w:rsid w:val="002F56EA"/>
    <w:rsid w:val="002F59CD"/>
    <w:rsid w:val="002F5B6C"/>
    <w:rsid w:val="002F68CA"/>
    <w:rsid w:val="002F6D2B"/>
    <w:rsid w:val="002F76B7"/>
    <w:rsid w:val="002F7909"/>
    <w:rsid w:val="002F7A8C"/>
    <w:rsid w:val="00301484"/>
    <w:rsid w:val="00301592"/>
    <w:rsid w:val="0030164A"/>
    <w:rsid w:val="00301C40"/>
    <w:rsid w:val="00302A46"/>
    <w:rsid w:val="00303833"/>
    <w:rsid w:val="003039C6"/>
    <w:rsid w:val="00306633"/>
    <w:rsid w:val="003069B4"/>
    <w:rsid w:val="00306A70"/>
    <w:rsid w:val="00310208"/>
    <w:rsid w:val="00311664"/>
    <w:rsid w:val="003118EB"/>
    <w:rsid w:val="00311AB1"/>
    <w:rsid w:val="00311BC4"/>
    <w:rsid w:val="00311F13"/>
    <w:rsid w:val="0031272C"/>
    <w:rsid w:val="00313105"/>
    <w:rsid w:val="00313348"/>
    <w:rsid w:val="00313A7E"/>
    <w:rsid w:val="00314AF4"/>
    <w:rsid w:val="00314FEA"/>
    <w:rsid w:val="00315143"/>
    <w:rsid w:val="003165A4"/>
    <w:rsid w:val="00316736"/>
    <w:rsid w:val="0031716B"/>
    <w:rsid w:val="0031737C"/>
    <w:rsid w:val="00317FEC"/>
    <w:rsid w:val="003203AD"/>
    <w:rsid w:val="003205BF"/>
    <w:rsid w:val="00320F5B"/>
    <w:rsid w:val="003214EB"/>
    <w:rsid w:val="00322105"/>
    <w:rsid w:val="00322135"/>
    <w:rsid w:val="003222E1"/>
    <w:rsid w:val="003231D2"/>
    <w:rsid w:val="00323D6A"/>
    <w:rsid w:val="00323E2D"/>
    <w:rsid w:val="00324AEE"/>
    <w:rsid w:val="003256B0"/>
    <w:rsid w:val="00325D19"/>
    <w:rsid w:val="0032636D"/>
    <w:rsid w:val="0032680B"/>
    <w:rsid w:val="00326D49"/>
    <w:rsid w:val="00326EB3"/>
    <w:rsid w:val="0032778C"/>
    <w:rsid w:val="00327ABD"/>
    <w:rsid w:val="00330645"/>
    <w:rsid w:val="00330674"/>
    <w:rsid w:val="00330836"/>
    <w:rsid w:val="00330915"/>
    <w:rsid w:val="00331DDA"/>
    <w:rsid w:val="003321FA"/>
    <w:rsid w:val="00332288"/>
    <w:rsid w:val="0033284B"/>
    <w:rsid w:val="00332989"/>
    <w:rsid w:val="00332FB0"/>
    <w:rsid w:val="00333426"/>
    <w:rsid w:val="003334C6"/>
    <w:rsid w:val="003337CF"/>
    <w:rsid w:val="00333CAA"/>
    <w:rsid w:val="00333E7C"/>
    <w:rsid w:val="0033412E"/>
    <w:rsid w:val="003345AE"/>
    <w:rsid w:val="00334856"/>
    <w:rsid w:val="00335845"/>
    <w:rsid w:val="00335C46"/>
    <w:rsid w:val="00336F2B"/>
    <w:rsid w:val="003374DC"/>
    <w:rsid w:val="00337551"/>
    <w:rsid w:val="00337A89"/>
    <w:rsid w:val="00340203"/>
    <w:rsid w:val="00341C73"/>
    <w:rsid w:val="00343018"/>
    <w:rsid w:val="00343110"/>
    <w:rsid w:val="003432E6"/>
    <w:rsid w:val="00343B37"/>
    <w:rsid w:val="003443F3"/>
    <w:rsid w:val="00344607"/>
    <w:rsid w:val="0034477F"/>
    <w:rsid w:val="00344893"/>
    <w:rsid w:val="00345BF4"/>
    <w:rsid w:val="00346102"/>
    <w:rsid w:val="00346215"/>
    <w:rsid w:val="00346429"/>
    <w:rsid w:val="00346771"/>
    <w:rsid w:val="00347240"/>
    <w:rsid w:val="00347607"/>
    <w:rsid w:val="00351A24"/>
    <w:rsid w:val="00352324"/>
    <w:rsid w:val="003525AC"/>
    <w:rsid w:val="00352CB8"/>
    <w:rsid w:val="003537AE"/>
    <w:rsid w:val="003543F3"/>
    <w:rsid w:val="003546E2"/>
    <w:rsid w:val="00355941"/>
    <w:rsid w:val="00356A98"/>
    <w:rsid w:val="00356E7F"/>
    <w:rsid w:val="003573C5"/>
    <w:rsid w:val="003578BE"/>
    <w:rsid w:val="00357E5C"/>
    <w:rsid w:val="0036125C"/>
    <w:rsid w:val="00361613"/>
    <w:rsid w:val="0036235E"/>
    <w:rsid w:val="00362450"/>
    <w:rsid w:val="003626AC"/>
    <w:rsid w:val="00363381"/>
    <w:rsid w:val="003633A2"/>
    <w:rsid w:val="00364057"/>
    <w:rsid w:val="00364B05"/>
    <w:rsid w:val="00364C04"/>
    <w:rsid w:val="00364D98"/>
    <w:rsid w:val="00365499"/>
    <w:rsid w:val="00365C99"/>
    <w:rsid w:val="00365D04"/>
    <w:rsid w:val="003664EA"/>
    <w:rsid w:val="0036668D"/>
    <w:rsid w:val="00367042"/>
    <w:rsid w:val="003673AF"/>
    <w:rsid w:val="00367E72"/>
    <w:rsid w:val="00370587"/>
    <w:rsid w:val="00370D76"/>
    <w:rsid w:val="00370E64"/>
    <w:rsid w:val="00371107"/>
    <w:rsid w:val="00372312"/>
    <w:rsid w:val="0037233D"/>
    <w:rsid w:val="00372B8C"/>
    <w:rsid w:val="00372DD9"/>
    <w:rsid w:val="00373765"/>
    <w:rsid w:val="00373CA7"/>
    <w:rsid w:val="00373E33"/>
    <w:rsid w:val="00373E7C"/>
    <w:rsid w:val="00373EA5"/>
    <w:rsid w:val="00374474"/>
    <w:rsid w:val="003750C7"/>
    <w:rsid w:val="00375652"/>
    <w:rsid w:val="00375E56"/>
    <w:rsid w:val="003762B2"/>
    <w:rsid w:val="0037631C"/>
    <w:rsid w:val="00377095"/>
    <w:rsid w:val="00377431"/>
    <w:rsid w:val="00380017"/>
    <w:rsid w:val="0038018B"/>
    <w:rsid w:val="00380417"/>
    <w:rsid w:val="003808D3"/>
    <w:rsid w:val="00381791"/>
    <w:rsid w:val="0038193D"/>
    <w:rsid w:val="00381F0F"/>
    <w:rsid w:val="003823DE"/>
    <w:rsid w:val="003825B3"/>
    <w:rsid w:val="00384595"/>
    <w:rsid w:val="00384880"/>
    <w:rsid w:val="0038514F"/>
    <w:rsid w:val="003859A5"/>
    <w:rsid w:val="00385ED1"/>
    <w:rsid w:val="00386B2C"/>
    <w:rsid w:val="0038757D"/>
    <w:rsid w:val="00387B26"/>
    <w:rsid w:val="00387D2F"/>
    <w:rsid w:val="00390F57"/>
    <w:rsid w:val="00391157"/>
    <w:rsid w:val="003916A4"/>
    <w:rsid w:val="003921A7"/>
    <w:rsid w:val="003925E1"/>
    <w:rsid w:val="00392840"/>
    <w:rsid w:val="00392847"/>
    <w:rsid w:val="003928F4"/>
    <w:rsid w:val="00392B37"/>
    <w:rsid w:val="00392F3D"/>
    <w:rsid w:val="00393630"/>
    <w:rsid w:val="003943CF"/>
    <w:rsid w:val="00394856"/>
    <w:rsid w:val="00394CC3"/>
    <w:rsid w:val="00395AC8"/>
    <w:rsid w:val="00396702"/>
    <w:rsid w:val="00396861"/>
    <w:rsid w:val="003975F5"/>
    <w:rsid w:val="003976B7"/>
    <w:rsid w:val="00397EEB"/>
    <w:rsid w:val="003A0927"/>
    <w:rsid w:val="003A0C86"/>
    <w:rsid w:val="003A0DBE"/>
    <w:rsid w:val="003A2CF8"/>
    <w:rsid w:val="003A35DE"/>
    <w:rsid w:val="003A386A"/>
    <w:rsid w:val="003A47EC"/>
    <w:rsid w:val="003A5498"/>
    <w:rsid w:val="003A54B5"/>
    <w:rsid w:val="003A5B64"/>
    <w:rsid w:val="003A6657"/>
    <w:rsid w:val="003A6F90"/>
    <w:rsid w:val="003A7C27"/>
    <w:rsid w:val="003B00C4"/>
    <w:rsid w:val="003B099A"/>
    <w:rsid w:val="003B0C56"/>
    <w:rsid w:val="003B0F64"/>
    <w:rsid w:val="003B0FE4"/>
    <w:rsid w:val="003B26BB"/>
    <w:rsid w:val="003B30C1"/>
    <w:rsid w:val="003B32BE"/>
    <w:rsid w:val="003B406D"/>
    <w:rsid w:val="003B4751"/>
    <w:rsid w:val="003B4D59"/>
    <w:rsid w:val="003B4D97"/>
    <w:rsid w:val="003B5675"/>
    <w:rsid w:val="003B58B3"/>
    <w:rsid w:val="003B61F4"/>
    <w:rsid w:val="003B68CE"/>
    <w:rsid w:val="003B6A13"/>
    <w:rsid w:val="003B7006"/>
    <w:rsid w:val="003B701A"/>
    <w:rsid w:val="003B7372"/>
    <w:rsid w:val="003C0E2D"/>
    <w:rsid w:val="003C29AB"/>
    <w:rsid w:val="003C2EEC"/>
    <w:rsid w:val="003C31B1"/>
    <w:rsid w:val="003C3984"/>
    <w:rsid w:val="003C3EC0"/>
    <w:rsid w:val="003C4037"/>
    <w:rsid w:val="003C4766"/>
    <w:rsid w:val="003C4916"/>
    <w:rsid w:val="003C5079"/>
    <w:rsid w:val="003C52D1"/>
    <w:rsid w:val="003C55DA"/>
    <w:rsid w:val="003C5C0B"/>
    <w:rsid w:val="003C5C1A"/>
    <w:rsid w:val="003C5CDA"/>
    <w:rsid w:val="003C64CF"/>
    <w:rsid w:val="003C79AD"/>
    <w:rsid w:val="003C7B09"/>
    <w:rsid w:val="003C7B7D"/>
    <w:rsid w:val="003C7CD1"/>
    <w:rsid w:val="003C7EBB"/>
    <w:rsid w:val="003C7F26"/>
    <w:rsid w:val="003D0003"/>
    <w:rsid w:val="003D0196"/>
    <w:rsid w:val="003D0A2F"/>
    <w:rsid w:val="003D20BF"/>
    <w:rsid w:val="003D229A"/>
    <w:rsid w:val="003D23B8"/>
    <w:rsid w:val="003D24D3"/>
    <w:rsid w:val="003D2551"/>
    <w:rsid w:val="003D370B"/>
    <w:rsid w:val="003D5049"/>
    <w:rsid w:val="003D5F81"/>
    <w:rsid w:val="003D6C77"/>
    <w:rsid w:val="003D6DE6"/>
    <w:rsid w:val="003D710E"/>
    <w:rsid w:val="003D79A7"/>
    <w:rsid w:val="003D7D66"/>
    <w:rsid w:val="003E173A"/>
    <w:rsid w:val="003E1740"/>
    <w:rsid w:val="003E1F3C"/>
    <w:rsid w:val="003E25E0"/>
    <w:rsid w:val="003E286D"/>
    <w:rsid w:val="003E3536"/>
    <w:rsid w:val="003E405D"/>
    <w:rsid w:val="003E4133"/>
    <w:rsid w:val="003E50FD"/>
    <w:rsid w:val="003E57EE"/>
    <w:rsid w:val="003E59B8"/>
    <w:rsid w:val="003E6FAD"/>
    <w:rsid w:val="003E76F1"/>
    <w:rsid w:val="003E7CEC"/>
    <w:rsid w:val="003F025E"/>
    <w:rsid w:val="003F0404"/>
    <w:rsid w:val="003F0436"/>
    <w:rsid w:val="003F08C3"/>
    <w:rsid w:val="003F0D40"/>
    <w:rsid w:val="003F1B30"/>
    <w:rsid w:val="003F1E05"/>
    <w:rsid w:val="003F2264"/>
    <w:rsid w:val="003F2561"/>
    <w:rsid w:val="003F26E0"/>
    <w:rsid w:val="003F2802"/>
    <w:rsid w:val="003F2BA5"/>
    <w:rsid w:val="003F2D2E"/>
    <w:rsid w:val="003F3063"/>
    <w:rsid w:val="003F33B3"/>
    <w:rsid w:val="003F36EB"/>
    <w:rsid w:val="003F3D97"/>
    <w:rsid w:val="003F4312"/>
    <w:rsid w:val="003F4A9C"/>
    <w:rsid w:val="003F4FD2"/>
    <w:rsid w:val="003F51F0"/>
    <w:rsid w:val="003F5363"/>
    <w:rsid w:val="003F619D"/>
    <w:rsid w:val="003F6E7B"/>
    <w:rsid w:val="003F74AA"/>
    <w:rsid w:val="00400FBF"/>
    <w:rsid w:val="00401AEB"/>
    <w:rsid w:val="00401DA6"/>
    <w:rsid w:val="00401DCF"/>
    <w:rsid w:val="00403099"/>
    <w:rsid w:val="00403203"/>
    <w:rsid w:val="004038BF"/>
    <w:rsid w:val="00403EE6"/>
    <w:rsid w:val="00403F53"/>
    <w:rsid w:val="0040408A"/>
    <w:rsid w:val="00404513"/>
    <w:rsid w:val="00404B22"/>
    <w:rsid w:val="00405A77"/>
    <w:rsid w:val="00405EFC"/>
    <w:rsid w:val="00405F8F"/>
    <w:rsid w:val="00406239"/>
    <w:rsid w:val="0040797E"/>
    <w:rsid w:val="004108D8"/>
    <w:rsid w:val="00410AC5"/>
    <w:rsid w:val="004115E5"/>
    <w:rsid w:val="00411890"/>
    <w:rsid w:val="004119E2"/>
    <w:rsid w:val="004122BA"/>
    <w:rsid w:val="00412BBC"/>
    <w:rsid w:val="004136B6"/>
    <w:rsid w:val="004137C9"/>
    <w:rsid w:val="00413BC4"/>
    <w:rsid w:val="00414317"/>
    <w:rsid w:val="0041458D"/>
    <w:rsid w:val="00415CD9"/>
    <w:rsid w:val="00416407"/>
    <w:rsid w:val="00416CEC"/>
    <w:rsid w:val="00416E1B"/>
    <w:rsid w:val="0041776D"/>
    <w:rsid w:val="00417DC0"/>
    <w:rsid w:val="00417DDD"/>
    <w:rsid w:val="00421A30"/>
    <w:rsid w:val="00421EA0"/>
    <w:rsid w:val="00422430"/>
    <w:rsid w:val="00422B41"/>
    <w:rsid w:val="00423588"/>
    <w:rsid w:val="00423790"/>
    <w:rsid w:val="00423B9F"/>
    <w:rsid w:val="004242EF"/>
    <w:rsid w:val="00424DA5"/>
    <w:rsid w:val="00425635"/>
    <w:rsid w:val="00425B31"/>
    <w:rsid w:val="00425CD9"/>
    <w:rsid w:val="00425EEA"/>
    <w:rsid w:val="00426701"/>
    <w:rsid w:val="00426E4B"/>
    <w:rsid w:val="004273E4"/>
    <w:rsid w:val="00430088"/>
    <w:rsid w:val="0043036C"/>
    <w:rsid w:val="00430870"/>
    <w:rsid w:val="00430FC8"/>
    <w:rsid w:val="00431CAD"/>
    <w:rsid w:val="00431E51"/>
    <w:rsid w:val="004320F9"/>
    <w:rsid w:val="00432139"/>
    <w:rsid w:val="0043262B"/>
    <w:rsid w:val="00432B5A"/>
    <w:rsid w:val="004336E0"/>
    <w:rsid w:val="00433E30"/>
    <w:rsid w:val="00433E62"/>
    <w:rsid w:val="004340C9"/>
    <w:rsid w:val="004340EF"/>
    <w:rsid w:val="00434D1F"/>
    <w:rsid w:val="00435191"/>
    <w:rsid w:val="00435745"/>
    <w:rsid w:val="00435930"/>
    <w:rsid w:val="00435C16"/>
    <w:rsid w:val="00435E34"/>
    <w:rsid w:val="00436045"/>
    <w:rsid w:val="0043692B"/>
    <w:rsid w:val="00436A59"/>
    <w:rsid w:val="00436ABC"/>
    <w:rsid w:val="00436CB9"/>
    <w:rsid w:val="0043705D"/>
    <w:rsid w:val="00437596"/>
    <w:rsid w:val="00437A85"/>
    <w:rsid w:val="00437B07"/>
    <w:rsid w:val="00437C75"/>
    <w:rsid w:val="00440458"/>
    <w:rsid w:val="00440763"/>
    <w:rsid w:val="00440A09"/>
    <w:rsid w:val="00440BCF"/>
    <w:rsid w:val="00442222"/>
    <w:rsid w:val="00442532"/>
    <w:rsid w:val="00442869"/>
    <w:rsid w:val="00442DB3"/>
    <w:rsid w:val="00442E20"/>
    <w:rsid w:val="00443022"/>
    <w:rsid w:val="0044306B"/>
    <w:rsid w:val="00443366"/>
    <w:rsid w:val="00443413"/>
    <w:rsid w:val="00443592"/>
    <w:rsid w:val="004435E6"/>
    <w:rsid w:val="00443610"/>
    <w:rsid w:val="0044361A"/>
    <w:rsid w:val="0044367E"/>
    <w:rsid w:val="00443683"/>
    <w:rsid w:val="00443794"/>
    <w:rsid w:val="004439EC"/>
    <w:rsid w:val="00443B9D"/>
    <w:rsid w:val="00443E41"/>
    <w:rsid w:val="00443FBA"/>
    <w:rsid w:val="004447AD"/>
    <w:rsid w:val="004460D4"/>
    <w:rsid w:val="004461DC"/>
    <w:rsid w:val="00446978"/>
    <w:rsid w:val="0044703D"/>
    <w:rsid w:val="004470D4"/>
    <w:rsid w:val="004470DF"/>
    <w:rsid w:val="004473DA"/>
    <w:rsid w:val="004479E6"/>
    <w:rsid w:val="00447C23"/>
    <w:rsid w:val="004513AE"/>
    <w:rsid w:val="004523AE"/>
    <w:rsid w:val="00452B3E"/>
    <w:rsid w:val="004530E8"/>
    <w:rsid w:val="00453325"/>
    <w:rsid w:val="004534CF"/>
    <w:rsid w:val="00453DDA"/>
    <w:rsid w:val="00454734"/>
    <w:rsid w:val="00454831"/>
    <w:rsid w:val="00454A07"/>
    <w:rsid w:val="00454C75"/>
    <w:rsid w:val="00455783"/>
    <w:rsid w:val="0045581E"/>
    <w:rsid w:val="004560E9"/>
    <w:rsid w:val="00456176"/>
    <w:rsid w:val="00456185"/>
    <w:rsid w:val="004575AE"/>
    <w:rsid w:val="00457FD0"/>
    <w:rsid w:val="00460162"/>
    <w:rsid w:val="004605FF"/>
    <w:rsid w:val="00460959"/>
    <w:rsid w:val="00460AE6"/>
    <w:rsid w:val="00460CEE"/>
    <w:rsid w:val="00461077"/>
    <w:rsid w:val="00461231"/>
    <w:rsid w:val="004612A2"/>
    <w:rsid w:val="00461C5E"/>
    <w:rsid w:val="00461CAE"/>
    <w:rsid w:val="00461E6D"/>
    <w:rsid w:val="00461F96"/>
    <w:rsid w:val="0046245A"/>
    <w:rsid w:val="00462801"/>
    <w:rsid w:val="00462C9A"/>
    <w:rsid w:val="00463D32"/>
    <w:rsid w:val="0046542D"/>
    <w:rsid w:val="0046566D"/>
    <w:rsid w:val="00465B94"/>
    <w:rsid w:val="00465E5D"/>
    <w:rsid w:val="00465FBA"/>
    <w:rsid w:val="004660FE"/>
    <w:rsid w:val="00466EC7"/>
    <w:rsid w:val="00467505"/>
    <w:rsid w:val="00467BE4"/>
    <w:rsid w:val="004708C0"/>
    <w:rsid w:val="00471190"/>
    <w:rsid w:val="0047226D"/>
    <w:rsid w:val="00472D5B"/>
    <w:rsid w:val="0047306C"/>
    <w:rsid w:val="00473C2D"/>
    <w:rsid w:val="00473E61"/>
    <w:rsid w:val="004758A9"/>
    <w:rsid w:val="00475A78"/>
    <w:rsid w:val="00476327"/>
    <w:rsid w:val="00477AD6"/>
    <w:rsid w:val="00480676"/>
    <w:rsid w:val="004812F8"/>
    <w:rsid w:val="00481E7E"/>
    <w:rsid w:val="00481F10"/>
    <w:rsid w:val="004821E7"/>
    <w:rsid w:val="0048226D"/>
    <w:rsid w:val="00482A12"/>
    <w:rsid w:val="00482CE2"/>
    <w:rsid w:val="004832D4"/>
    <w:rsid w:val="00484194"/>
    <w:rsid w:val="0048486C"/>
    <w:rsid w:val="00484907"/>
    <w:rsid w:val="00485757"/>
    <w:rsid w:val="0048583E"/>
    <w:rsid w:val="00485890"/>
    <w:rsid w:val="00486324"/>
    <w:rsid w:val="00486B4D"/>
    <w:rsid w:val="00487A67"/>
    <w:rsid w:val="0049013A"/>
    <w:rsid w:val="004916E3"/>
    <w:rsid w:val="00491785"/>
    <w:rsid w:val="004924D1"/>
    <w:rsid w:val="00492574"/>
    <w:rsid w:val="00493202"/>
    <w:rsid w:val="004937D6"/>
    <w:rsid w:val="00493884"/>
    <w:rsid w:val="00493F2E"/>
    <w:rsid w:val="00494614"/>
    <w:rsid w:val="004954FF"/>
    <w:rsid w:val="004958C1"/>
    <w:rsid w:val="00495CD1"/>
    <w:rsid w:val="00495F99"/>
    <w:rsid w:val="00496E1E"/>
    <w:rsid w:val="004972A5"/>
    <w:rsid w:val="0049778B"/>
    <w:rsid w:val="00497913"/>
    <w:rsid w:val="004A006B"/>
    <w:rsid w:val="004A0D93"/>
    <w:rsid w:val="004A0DA0"/>
    <w:rsid w:val="004A1009"/>
    <w:rsid w:val="004A1263"/>
    <w:rsid w:val="004A24D2"/>
    <w:rsid w:val="004A3D92"/>
    <w:rsid w:val="004A43A0"/>
    <w:rsid w:val="004A493F"/>
    <w:rsid w:val="004A4D53"/>
    <w:rsid w:val="004A4E77"/>
    <w:rsid w:val="004A5533"/>
    <w:rsid w:val="004A5801"/>
    <w:rsid w:val="004A6189"/>
    <w:rsid w:val="004A67E6"/>
    <w:rsid w:val="004A6970"/>
    <w:rsid w:val="004A6F77"/>
    <w:rsid w:val="004A764A"/>
    <w:rsid w:val="004A77AD"/>
    <w:rsid w:val="004A7E29"/>
    <w:rsid w:val="004B05AA"/>
    <w:rsid w:val="004B05FD"/>
    <w:rsid w:val="004B0AF2"/>
    <w:rsid w:val="004B1643"/>
    <w:rsid w:val="004B1C78"/>
    <w:rsid w:val="004B3784"/>
    <w:rsid w:val="004B3BF3"/>
    <w:rsid w:val="004B3CAB"/>
    <w:rsid w:val="004B3DDE"/>
    <w:rsid w:val="004B4265"/>
    <w:rsid w:val="004B4320"/>
    <w:rsid w:val="004B4358"/>
    <w:rsid w:val="004B4970"/>
    <w:rsid w:val="004B5956"/>
    <w:rsid w:val="004B5A3E"/>
    <w:rsid w:val="004B5D93"/>
    <w:rsid w:val="004B6614"/>
    <w:rsid w:val="004B68B3"/>
    <w:rsid w:val="004B70CE"/>
    <w:rsid w:val="004B7AB4"/>
    <w:rsid w:val="004B7DBB"/>
    <w:rsid w:val="004C1B30"/>
    <w:rsid w:val="004C2A2C"/>
    <w:rsid w:val="004C3E54"/>
    <w:rsid w:val="004C45CC"/>
    <w:rsid w:val="004C4B80"/>
    <w:rsid w:val="004C4D18"/>
    <w:rsid w:val="004C54BB"/>
    <w:rsid w:val="004C59B9"/>
    <w:rsid w:val="004C6666"/>
    <w:rsid w:val="004C6765"/>
    <w:rsid w:val="004C7A6D"/>
    <w:rsid w:val="004D0937"/>
    <w:rsid w:val="004D0B46"/>
    <w:rsid w:val="004D12BC"/>
    <w:rsid w:val="004D1385"/>
    <w:rsid w:val="004D1967"/>
    <w:rsid w:val="004D209A"/>
    <w:rsid w:val="004D255E"/>
    <w:rsid w:val="004D26F0"/>
    <w:rsid w:val="004D2AA5"/>
    <w:rsid w:val="004D307B"/>
    <w:rsid w:val="004D3109"/>
    <w:rsid w:val="004D3576"/>
    <w:rsid w:val="004D3618"/>
    <w:rsid w:val="004D39A5"/>
    <w:rsid w:val="004D3B2B"/>
    <w:rsid w:val="004D402E"/>
    <w:rsid w:val="004D4A19"/>
    <w:rsid w:val="004D4EE2"/>
    <w:rsid w:val="004D7046"/>
    <w:rsid w:val="004D72D1"/>
    <w:rsid w:val="004D75FC"/>
    <w:rsid w:val="004D7DE7"/>
    <w:rsid w:val="004E08E5"/>
    <w:rsid w:val="004E0A37"/>
    <w:rsid w:val="004E11CB"/>
    <w:rsid w:val="004E125B"/>
    <w:rsid w:val="004E130D"/>
    <w:rsid w:val="004E1B15"/>
    <w:rsid w:val="004E1B1A"/>
    <w:rsid w:val="004E2108"/>
    <w:rsid w:val="004E305B"/>
    <w:rsid w:val="004E32C3"/>
    <w:rsid w:val="004E3760"/>
    <w:rsid w:val="004E37ED"/>
    <w:rsid w:val="004E401B"/>
    <w:rsid w:val="004E41E6"/>
    <w:rsid w:val="004E4961"/>
    <w:rsid w:val="004E4AB1"/>
    <w:rsid w:val="004E531C"/>
    <w:rsid w:val="004E5CA3"/>
    <w:rsid w:val="004E603D"/>
    <w:rsid w:val="004E6771"/>
    <w:rsid w:val="004E6F9D"/>
    <w:rsid w:val="004E751E"/>
    <w:rsid w:val="004E7828"/>
    <w:rsid w:val="004E7ABD"/>
    <w:rsid w:val="004E7EEF"/>
    <w:rsid w:val="004E7EFF"/>
    <w:rsid w:val="004F0C19"/>
    <w:rsid w:val="004F0FA4"/>
    <w:rsid w:val="004F120B"/>
    <w:rsid w:val="004F178C"/>
    <w:rsid w:val="004F1DE3"/>
    <w:rsid w:val="004F2674"/>
    <w:rsid w:val="004F29D9"/>
    <w:rsid w:val="004F2D16"/>
    <w:rsid w:val="004F346A"/>
    <w:rsid w:val="004F34EC"/>
    <w:rsid w:val="004F3BB1"/>
    <w:rsid w:val="004F45C9"/>
    <w:rsid w:val="004F47AA"/>
    <w:rsid w:val="004F4A04"/>
    <w:rsid w:val="004F530A"/>
    <w:rsid w:val="004F5736"/>
    <w:rsid w:val="004F6065"/>
    <w:rsid w:val="004F7569"/>
    <w:rsid w:val="004F7CB4"/>
    <w:rsid w:val="004F7CF0"/>
    <w:rsid w:val="00500A21"/>
    <w:rsid w:val="0050191C"/>
    <w:rsid w:val="00501EA7"/>
    <w:rsid w:val="005027B0"/>
    <w:rsid w:val="00502856"/>
    <w:rsid w:val="00503BFF"/>
    <w:rsid w:val="0050582E"/>
    <w:rsid w:val="00505D83"/>
    <w:rsid w:val="00505E1C"/>
    <w:rsid w:val="00506AA2"/>
    <w:rsid w:val="00506E2D"/>
    <w:rsid w:val="005076C4"/>
    <w:rsid w:val="00511060"/>
    <w:rsid w:val="00512FB8"/>
    <w:rsid w:val="00514594"/>
    <w:rsid w:val="00514893"/>
    <w:rsid w:val="00514B33"/>
    <w:rsid w:val="00514F02"/>
    <w:rsid w:val="00515130"/>
    <w:rsid w:val="005158CA"/>
    <w:rsid w:val="005179A3"/>
    <w:rsid w:val="00517E3E"/>
    <w:rsid w:val="00520073"/>
    <w:rsid w:val="005211FE"/>
    <w:rsid w:val="005214F4"/>
    <w:rsid w:val="0052150A"/>
    <w:rsid w:val="005215C8"/>
    <w:rsid w:val="005219FC"/>
    <w:rsid w:val="00521D36"/>
    <w:rsid w:val="0052254A"/>
    <w:rsid w:val="00522880"/>
    <w:rsid w:val="00522DAB"/>
    <w:rsid w:val="00522E1B"/>
    <w:rsid w:val="00522E88"/>
    <w:rsid w:val="00522FB7"/>
    <w:rsid w:val="005237C6"/>
    <w:rsid w:val="0052380B"/>
    <w:rsid w:val="00523819"/>
    <w:rsid w:val="00523DC8"/>
    <w:rsid w:val="00523DEE"/>
    <w:rsid w:val="005240E8"/>
    <w:rsid w:val="00524B30"/>
    <w:rsid w:val="00524C28"/>
    <w:rsid w:val="00525335"/>
    <w:rsid w:val="00526255"/>
    <w:rsid w:val="00527540"/>
    <w:rsid w:val="005277EE"/>
    <w:rsid w:val="00527FD0"/>
    <w:rsid w:val="00531558"/>
    <w:rsid w:val="0053280C"/>
    <w:rsid w:val="00532C67"/>
    <w:rsid w:val="005333FE"/>
    <w:rsid w:val="00533500"/>
    <w:rsid w:val="005339CA"/>
    <w:rsid w:val="00533E02"/>
    <w:rsid w:val="00534901"/>
    <w:rsid w:val="00536366"/>
    <w:rsid w:val="00536AB1"/>
    <w:rsid w:val="00536F49"/>
    <w:rsid w:val="005374FD"/>
    <w:rsid w:val="00537727"/>
    <w:rsid w:val="00537A37"/>
    <w:rsid w:val="0054089D"/>
    <w:rsid w:val="00540BBD"/>
    <w:rsid w:val="005411D4"/>
    <w:rsid w:val="0054126E"/>
    <w:rsid w:val="00541481"/>
    <w:rsid w:val="00541624"/>
    <w:rsid w:val="00541D8A"/>
    <w:rsid w:val="005428F8"/>
    <w:rsid w:val="00543075"/>
    <w:rsid w:val="0054462D"/>
    <w:rsid w:val="00544EB2"/>
    <w:rsid w:val="00544F46"/>
    <w:rsid w:val="00545AE0"/>
    <w:rsid w:val="00545EA7"/>
    <w:rsid w:val="00545F43"/>
    <w:rsid w:val="0054721D"/>
    <w:rsid w:val="005507B2"/>
    <w:rsid w:val="00551114"/>
    <w:rsid w:val="00551799"/>
    <w:rsid w:val="00553CF3"/>
    <w:rsid w:val="00553D2E"/>
    <w:rsid w:val="00554437"/>
    <w:rsid w:val="00555065"/>
    <w:rsid w:val="005555C7"/>
    <w:rsid w:val="00555A60"/>
    <w:rsid w:val="00556E89"/>
    <w:rsid w:val="00557523"/>
    <w:rsid w:val="00560AD1"/>
    <w:rsid w:val="00560E25"/>
    <w:rsid w:val="00560FF3"/>
    <w:rsid w:val="00561549"/>
    <w:rsid w:val="005618A3"/>
    <w:rsid w:val="00561902"/>
    <w:rsid w:val="00562073"/>
    <w:rsid w:val="00562441"/>
    <w:rsid w:val="00563993"/>
    <w:rsid w:val="00563EE1"/>
    <w:rsid w:val="00564680"/>
    <w:rsid w:val="00564E69"/>
    <w:rsid w:val="00566992"/>
    <w:rsid w:val="00567BB0"/>
    <w:rsid w:val="0057036F"/>
    <w:rsid w:val="00570575"/>
    <w:rsid w:val="00570B01"/>
    <w:rsid w:val="00570D55"/>
    <w:rsid w:val="0057180D"/>
    <w:rsid w:val="005721E4"/>
    <w:rsid w:val="00572275"/>
    <w:rsid w:val="00573AFA"/>
    <w:rsid w:val="0057432F"/>
    <w:rsid w:val="005754CA"/>
    <w:rsid w:val="00575C9D"/>
    <w:rsid w:val="00576936"/>
    <w:rsid w:val="005774A4"/>
    <w:rsid w:val="00577962"/>
    <w:rsid w:val="00577D4E"/>
    <w:rsid w:val="00577E1A"/>
    <w:rsid w:val="00580B47"/>
    <w:rsid w:val="00580D58"/>
    <w:rsid w:val="00580E9E"/>
    <w:rsid w:val="00580F8A"/>
    <w:rsid w:val="00581388"/>
    <w:rsid w:val="005813BC"/>
    <w:rsid w:val="0058244F"/>
    <w:rsid w:val="00582746"/>
    <w:rsid w:val="00582DD0"/>
    <w:rsid w:val="00583262"/>
    <w:rsid w:val="005832B3"/>
    <w:rsid w:val="00583D0B"/>
    <w:rsid w:val="00583EFF"/>
    <w:rsid w:val="005843FD"/>
    <w:rsid w:val="005847EC"/>
    <w:rsid w:val="00584B77"/>
    <w:rsid w:val="00584F79"/>
    <w:rsid w:val="005851EF"/>
    <w:rsid w:val="00585711"/>
    <w:rsid w:val="00585CF0"/>
    <w:rsid w:val="00586825"/>
    <w:rsid w:val="00587FB0"/>
    <w:rsid w:val="005909D7"/>
    <w:rsid w:val="005911FD"/>
    <w:rsid w:val="0059222A"/>
    <w:rsid w:val="00592383"/>
    <w:rsid w:val="00592D2F"/>
    <w:rsid w:val="00592D77"/>
    <w:rsid w:val="005931A1"/>
    <w:rsid w:val="005933AA"/>
    <w:rsid w:val="00593A62"/>
    <w:rsid w:val="00593EE5"/>
    <w:rsid w:val="005944E1"/>
    <w:rsid w:val="00594CE0"/>
    <w:rsid w:val="00595211"/>
    <w:rsid w:val="00595CCC"/>
    <w:rsid w:val="00595D02"/>
    <w:rsid w:val="00595FB0"/>
    <w:rsid w:val="00596107"/>
    <w:rsid w:val="00596918"/>
    <w:rsid w:val="005969CF"/>
    <w:rsid w:val="00596B86"/>
    <w:rsid w:val="00596D16"/>
    <w:rsid w:val="00597167"/>
    <w:rsid w:val="00597725"/>
    <w:rsid w:val="005A05A0"/>
    <w:rsid w:val="005A072B"/>
    <w:rsid w:val="005A0AB1"/>
    <w:rsid w:val="005A0B69"/>
    <w:rsid w:val="005A0C05"/>
    <w:rsid w:val="005A107F"/>
    <w:rsid w:val="005A14E1"/>
    <w:rsid w:val="005A16FE"/>
    <w:rsid w:val="005A198F"/>
    <w:rsid w:val="005A1E1B"/>
    <w:rsid w:val="005A24EC"/>
    <w:rsid w:val="005A3025"/>
    <w:rsid w:val="005A3399"/>
    <w:rsid w:val="005A37D1"/>
    <w:rsid w:val="005A39EF"/>
    <w:rsid w:val="005A3EBF"/>
    <w:rsid w:val="005A4420"/>
    <w:rsid w:val="005A4EE8"/>
    <w:rsid w:val="005A5A54"/>
    <w:rsid w:val="005A5AF3"/>
    <w:rsid w:val="005A60BF"/>
    <w:rsid w:val="005A66AA"/>
    <w:rsid w:val="005A6901"/>
    <w:rsid w:val="005A7062"/>
    <w:rsid w:val="005A75AA"/>
    <w:rsid w:val="005A77D2"/>
    <w:rsid w:val="005A7EF5"/>
    <w:rsid w:val="005B0761"/>
    <w:rsid w:val="005B09D2"/>
    <w:rsid w:val="005B0A85"/>
    <w:rsid w:val="005B0C2B"/>
    <w:rsid w:val="005B0CC8"/>
    <w:rsid w:val="005B20FA"/>
    <w:rsid w:val="005B2B95"/>
    <w:rsid w:val="005B334A"/>
    <w:rsid w:val="005B3513"/>
    <w:rsid w:val="005B3AE3"/>
    <w:rsid w:val="005B3DD3"/>
    <w:rsid w:val="005B3E3D"/>
    <w:rsid w:val="005B4364"/>
    <w:rsid w:val="005B44AE"/>
    <w:rsid w:val="005B4BCB"/>
    <w:rsid w:val="005B5976"/>
    <w:rsid w:val="005B5CD0"/>
    <w:rsid w:val="005B64A3"/>
    <w:rsid w:val="005B6541"/>
    <w:rsid w:val="005B6870"/>
    <w:rsid w:val="005B6A27"/>
    <w:rsid w:val="005B6C1F"/>
    <w:rsid w:val="005B6E4A"/>
    <w:rsid w:val="005B71C5"/>
    <w:rsid w:val="005C079A"/>
    <w:rsid w:val="005C07A9"/>
    <w:rsid w:val="005C1139"/>
    <w:rsid w:val="005C14CA"/>
    <w:rsid w:val="005C15A6"/>
    <w:rsid w:val="005C1628"/>
    <w:rsid w:val="005C1783"/>
    <w:rsid w:val="005C1CA6"/>
    <w:rsid w:val="005C1EC1"/>
    <w:rsid w:val="005C1FDF"/>
    <w:rsid w:val="005C261B"/>
    <w:rsid w:val="005C2A94"/>
    <w:rsid w:val="005C2CC7"/>
    <w:rsid w:val="005C381D"/>
    <w:rsid w:val="005C3DE1"/>
    <w:rsid w:val="005C47AE"/>
    <w:rsid w:val="005C49AE"/>
    <w:rsid w:val="005C50FB"/>
    <w:rsid w:val="005C557E"/>
    <w:rsid w:val="005C5A08"/>
    <w:rsid w:val="005C5A87"/>
    <w:rsid w:val="005C5B9B"/>
    <w:rsid w:val="005C5F98"/>
    <w:rsid w:val="005C62D8"/>
    <w:rsid w:val="005C6C41"/>
    <w:rsid w:val="005C7C01"/>
    <w:rsid w:val="005C7ED3"/>
    <w:rsid w:val="005D00F9"/>
    <w:rsid w:val="005D018F"/>
    <w:rsid w:val="005D06B6"/>
    <w:rsid w:val="005D1C7F"/>
    <w:rsid w:val="005D1D5C"/>
    <w:rsid w:val="005D1F6B"/>
    <w:rsid w:val="005D267D"/>
    <w:rsid w:val="005D2F2C"/>
    <w:rsid w:val="005D2F6F"/>
    <w:rsid w:val="005D3B80"/>
    <w:rsid w:val="005D40FE"/>
    <w:rsid w:val="005D41D6"/>
    <w:rsid w:val="005D421A"/>
    <w:rsid w:val="005D45AC"/>
    <w:rsid w:val="005D48AF"/>
    <w:rsid w:val="005D4B5B"/>
    <w:rsid w:val="005D5279"/>
    <w:rsid w:val="005D622C"/>
    <w:rsid w:val="005D6A2B"/>
    <w:rsid w:val="005D6FD0"/>
    <w:rsid w:val="005D7316"/>
    <w:rsid w:val="005D7AEC"/>
    <w:rsid w:val="005D7FF7"/>
    <w:rsid w:val="005E01C8"/>
    <w:rsid w:val="005E02D8"/>
    <w:rsid w:val="005E08E6"/>
    <w:rsid w:val="005E28A2"/>
    <w:rsid w:val="005E2CC4"/>
    <w:rsid w:val="005E309A"/>
    <w:rsid w:val="005E3682"/>
    <w:rsid w:val="005E3B98"/>
    <w:rsid w:val="005E4949"/>
    <w:rsid w:val="005E4AB2"/>
    <w:rsid w:val="005E5592"/>
    <w:rsid w:val="005E56A7"/>
    <w:rsid w:val="005E5EB5"/>
    <w:rsid w:val="005E6ACC"/>
    <w:rsid w:val="005E6EA4"/>
    <w:rsid w:val="005E6F51"/>
    <w:rsid w:val="005E72D0"/>
    <w:rsid w:val="005E7382"/>
    <w:rsid w:val="005E7470"/>
    <w:rsid w:val="005E76DA"/>
    <w:rsid w:val="005E774C"/>
    <w:rsid w:val="005E7BEA"/>
    <w:rsid w:val="005E7E04"/>
    <w:rsid w:val="005F04C6"/>
    <w:rsid w:val="005F0AC9"/>
    <w:rsid w:val="005F0BBB"/>
    <w:rsid w:val="005F11DA"/>
    <w:rsid w:val="005F12DB"/>
    <w:rsid w:val="005F1C05"/>
    <w:rsid w:val="005F1DF5"/>
    <w:rsid w:val="005F1FF2"/>
    <w:rsid w:val="005F241B"/>
    <w:rsid w:val="005F26BF"/>
    <w:rsid w:val="005F3834"/>
    <w:rsid w:val="005F3EA0"/>
    <w:rsid w:val="005F425F"/>
    <w:rsid w:val="005F491A"/>
    <w:rsid w:val="005F4E99"/>
    <w:rsid w:val="005F5A44"/>
    <w:rsid w:val="005F5C87"/>
    <w:rsid w:val="005F651C"/>
    <w:rsid w:val="005F6D1A"/>
    <w:rsid w:val="005F721F"/>
    <w:rsid w:val="005F7648"/>
    <w:rsid w:val="005F7C96"/>
    <w:rsid w:val="0060019B"/>
    <w:rsid w:val="00600C79"/>
    <w:rsid w:val="0060146B"/>
    <w:rsid w:val="0060257D"/>
    <w:rsid w:val="00602DDF"/>
    <w:rsid w:val="0060329C"/>
    <w:rsid w:val="00603506"/>
    <w:rsid w:val="0060356C"/>
    <w:rsid w:val="00603677"/>
    <w:rsid w:val="006037DF"/>
    <w:rsid w:val="00603E1C"/>
    <w:rsid w:val="00603E92"/>
    <w:rsid w:val="00604709"/>
    <w:rsid w:val="00604E54"/>
    <w:rsid w:val="006053BA"/>
    <w:rsid w:val="006059EB"/>
    <w:rsid w:val="0060612B"/>
    <w:rsid w:val="00606684"/>
    <w:rsid w:val="00606C54"/>
    <w:rsid w:val="006072C5"/>
    <w:rsid w:val="006106ED"/>
    <w:rsid w:val="00610A76"/>
    <w:rsid w:val="00610C60"/>
    <w:rsid w:val="00610E35"/>
    <w:rsid w:val="006111DB"/>
    <w:rsid w:val="006112D0"/>
    <w:rsid w:val="006114A8"/>
    <w:rsid w:val="006114C8"/>
    <w:rsid w:val="0061247C"/>
    <w:rsid w:val="0061247F"/>
    <w:rsid w:val="00612611"/>
    <w:rsid w:val="0061288F"/>
    <w:rsid w:val="00612924"/>
    <w:rsid w:val="00614968"/>
    <w:rsid w:val="0061518D"/>
    <w:rsid w:val="006153DC"/>
    <w:rsid w:val="006169EB"/>
    <w:rsid w:val="00616E0F"/>
    <w:rsid w:val="00616E31"/>
    <w:rsid w:val="00616E53"/>
    <w:rsid w:val="00617C3E"/>
    <w:rsid w:val="00620C62"/>
    <w:rsid w:val="00620FB0"/>
    <w:rsid w:val="006212D8"/>
    <w:rsid w:val="00621AB3"/>
    <w:rsid w:val="00622B87"/>
    <w:rsid w:val="00623380"/>
    <w:rsid w:val="00624721"/>
    <w:rsid w:val="00624741"/>
    <w:rsid w:val="0062494F"/>
    <w:rsid w:val="00624A1E"/>
    <w:rsid w:val="006253B0"/>
    <w:rsid w:val="006264CD"/>
    <w:rsid w:val="006266C2"/>
    <w:rsid w:val="00626791"/>
    <w:rsid w:val="0062741F"/>
    <w:rsid w:val="00627532"/>
    <w:rsid w:val="00627845"/>
    <w:rsid w:val="0062795E"/>
    <w:rsid w:val="00627BEB"/>
    <w:rsid w:val="00627CC1"/>
    <w:rsid w:val="006302A7"/>
    <w:rsid w:val="00631498"/>
    <w:rsid w:val="006321DF"/>
    <w:rsid w:val="0063231C"/>
    <w:rsid w:val="0063287B"/>
    <w:rsid w:val="00632E48"/>
    <w:rsid w:val="00632EEB"/>
    <w:rsid w:val="00632FC9"/>
    <w:rsid w:val="006330FB"/>
    <w:rsid w:val="006342E6"/>
    <w:rsid w:val="00636B71"/>
    <w:rsid w:val="00636E98"/>
    <w:rsid w:val="006371DB"/>
    <w:rsid w:val="0063762C"/>
    <w:rsid w:val="00637CB5"/>
    <w:rsid w:val="00637FA6"/>
    <w:rsid w:val="00640EE6"/>
    <w:rsid w:val="00641AD0"/>
    <w:rsid w:val="006427A9"/>
    <w:rsid w:val="0064290A"/>
    <w:rsid w:val="00642A78"/>
    <w:rsid w:val="00642E46"/>
    <w:rsid w:val="00642F81"/>
    <w:rsid w:val="006431CE"/>
    <w:rsid w:val="00643AB7"/>
    <w:rsid w:val="006447F2"/>
    <w:rsid w:val="00645798"/>
    <w:rsid w:val="00645FE7"/>
    <w:rsid w:val="00646254"/>
    <w:rsid w:val="00646544"/>
    <w:rsid w:val="00646999"/>
    <w:rsid w:val="00646BDB"/>
    <w:rsid w:val="00646C53"/>
    <w:rsid w:val="00646CBD"/>
    <w:rsid w:val="00647129"/>
    <w:rsid w:val="006478E0"/>
    <w:rsid w:val="00650313"/>
    <w:rsid w:val="0065073D"/>
    <w:rsid w:val="0065088F"/>
    <w:rsid w:val="00650AD0"/>
    <w:rsid w:val="00651DAA"/>
    <w:rsid w:val="00652326"/>
    <w:rsid w:val="00652356"/>
    <w:rsid w:val="00653285"/>
    <w:rsid w:val="006538A3"/>
    <w:rsid w:val="00653CA3"/>
    <w:rsid w:val="00654551"/>
    <w:rsid w:val="0065510C"/>
    <w:rsid w:val="00655CE3"/>
    <w:rsid w:val="00655D4C"/>
    <w:rsid w:val="0066231F"/>
    <w:rsid w:val="006623DB"/>
    <w:rsid w:val="006627A4"/>
    <w:rsid w:val="00662D2A"/>
    <w:rsid w:val="00662FDA"/>
    <w:rsid w:val="00663AA4"/>
    <w:rsid w:val="0066495E"/>
    <w:rsid w:val="006649C4"/>
    <w:rsid w:val="00664A70"/>
    <w:rsid w:val="00666485"/>
    <w:rsid w:val="00667104"/>
    <w:rsid w:val="00667757"/>
    <w:rsid w:val="006704BF"/>
    <w:rsid w:val="0067061A"/>
    <w:rsid w:val="00670B20"/>
    <w:rsid w:val="00670F64"/>
    <w:rsid w:val="00670FC3"/>
    <w:rsid w:val="006712D9"/>
    <w:rsid w:val="006713B5"/>
    <w:rsid w:val="006716FE"/>
    <w:rsid w:val="00671798"/>
    <w:rsid w:val="00671A3E"/>
    <w:rsid w:val="00671D5E"/>
    <w:rsid w:val="00671EC0"/>
    <w:rsid w:val="006720B7"/>
    <w:rsid w:val="006727CA"/>
    <w:rsid w:val="0067343C"/>
    <w:rsid w:val="006736E4"/>
    <w:rsid w:val="00673788"/>
    <w:rsid w:val="00673CA9"/>
    <w:rsid w:val="00674DAF"/>
    <w:rsid w:val="00675684"/>
    <w:rsid w:val="0067577E"/>
    <w:rsid w:val="00675A2A"/>
    <w:rsid w:val="00675E6C"/>
    <w:rsid w:val="0067612D"/>
    <w:rsid w:val="00676A53"/>
    <w:rsid w:val="00676D17"/>
    <w:rsid w:val="00676D21"/>
    <w:rsid w:val="00676FA4"/>
    <w:rsid w:val="0067729D"/>
    <w:rsid w:val="00677D12"/>
    <w:rsid w:val="00677DB2"/>
    <w:rsid w:val="006800FF"/>
    <w:rsid w:val="00680674"/>
    <w:rsid w:val="006807AB"/>
    <w:rsid w:val="006808CE"/>
    <w:rsid w:val="00680B2D"/>
    <w:rsid w:val="00680D46"/>
    <w:rsid w:val="0068107B"/>
    <w:rsid w:val="00681203"/>
    <w:rsid w:val="00681383"/>
    <w:rsid w:val="00681938"/>
    <w:rsid w:val="00681BFE"/>
    <w:rsid w:val="0068245A"/>
    <w:rsid w:val="0068252F"/>
    <w:rsid w:val="006825EF"/>
    <w:rsid w:val="00683653"/>
    <w:rsid w:val="006836CE"/>
    <w:rsid w:val="006836DD"/>
    <w:rsid w:val="00684562"/>
    <w:rsid w:val="006847C7"/>
    <w:rsid w:val="00684F2F"/>
    <w:rsid w:val="00685AC4"/>
    <w:rsid w:val="0068660A"/>
    <w:rsid w:val="00686650"/>
    <w:rsid w:val="00686866"/>
    <w:rsid w:val="00686EDB"/>
    <w:rsid w:val="006878F9"/>
    <w:rsid w:val="00687D2F"/>
    <w:rsid w:val="006900DB"/>
    <w:rsid w:val="00690305"/>
    <w:rsid w:val="0069038D"/>
    <w:rsid w:val="00690755"/>
    <w:rsid w:val="00690767"/>
    <w:rsid w:val="00691913"/>
    <w:rsid w:val="00691A48"/>
    <w:rsid w:val="00692414"/>
    <w:rsid w:val="00692751"/>
    <w:rsid w:val="00692D45"/>
    <w:rsid w:val="00693722"/>
    <w:rsid w:val="00695206"/>
    <w:rsid w:val="006952FF"/>
    <w:rsid w:val="00695909"/>
    <w:rsid w:val="0069592D"/>
    <w:rsid w:val="00695BD6"/>
    <w:rsid w:val="00695DEA"/>
    <w:rsid w:val="0069607E"/>
    <w:rsid w:val="00696B17"/>
    <w:rsid w:val="006970A5"/>
    <w:rsid w:val="006970EA"/>
    <w:rsid w:val="006976ED"/>
    <w:rsid w:val="00697ADF"/>
    <w:rsid w:val="006A06B1"/>
    <w:rsid w:val="006A1675"/>
    <w:rsid w:val="006A1A55"/>
    <w:rsid w:val="006A1D92"/>
    <w:rsid w:val="006A220B"/>
    <w:rsid w:val="006A30D6"/>
    <w:rsid w:val="006A374E"/>
    <w:rsid w:val="006A4381"/>
    <w:rsid w:val="006A46FB"/>
    <w:rsid w:val="006A549C"/>
    <w:rsid w:val="006A5CA1"/>
    <w:rsid w:val="006A5F62"/>
    <w:rsid w:val="006A666B"/>
    <w:rsid w:val="006A6E4C"/>
    <w:rsid w:val="006A71D5"/>
    <w:rsid w:val="006A742F"/>
    <w:rsid w:val="006A77F5"/>
    <w:rsid w:val="006B00B0"/>
    <w:rsid w:val="006B04BD"/>
    <w:rsid w:val="006B0F2D"/>
    <w:rsid w:val="006B0F49"/>
    <w:rsid w:val="006B1012"/>
    <w:rsid w:val="006B15E1"/>
    <w:rsid w:val="006B1666"/>
    <w:rsid w:val="006B2394"/>
    <w:rsid w:val="006B250E"/>
    <w:rsid w:val="006B3865"/>
    <w:rsid w:val="006B487B"/>
    <w:rsid w:val="006B4B6F"/>
    <w:rsid w:val="006B515A"/>
    <w:rsid w:val="006B51AB"/>
    <w:rsid w:val="006B566F"/>
    <w:rsid w:val="006B5AE6"/>
    <w:rsid w:val="006B640A"/>
    <w:rsid w:val="006B642E"/>
    <w:rsid w:val="006B6C35"/>
    <w:rsid w:val="006B75E2"/>
    <w:rsid w:val="006B7D7D"/>
    <w:rsid w:val="006C06A3"/>
    <w:rsid w:val="006C0CCD"/>
    <w:rsid w:val="006C13E0"/>
    <w:rsid w:val="006C1988"/>
    <w:rsid w:val="006C1DEF"/>
    <w:rsid w:val="006C24CE"/>
    <w:rsid w:val="006C2F82"/>
    <w:rsid w:val="006C3373"/>
    <w:rsid w:val="006C39EF"/>
    <w:rsid w:val="006C4578"/>
    <w:rsid w:val="006C4608"/>
    <w:rsid w:val="006C48CA"/>
    <w:rsid w:val="006C55A3"/>
    <w:rsid w:val="006D015D"/>
    <w:rsid w:val="006D0BF5"/>
    <w:rsid w:val="006D1EB5"/>
    <w:rsid w:val="006D1F93"/>
    <w:rsid w:val="006D2480"/>
    <w:rsid w:val="006D248F"/>
    <w:rsid w:val="006D2522"/>
    <w:rsid w:val="006D264B"/>
    <w:rsid w:val="006D28D3"/>
    <w:rsid w:val="006D2A10"/>
    <w:rsid w:val="006D2B08"/>
    <w:rsid w:val="006D30A2"/>
    <w:rsid w:val="006D3DB2"/>
    <w:rsid w:val="006D3FD4"/>
    <w:rsid w:val="006D42AD"/>
    <w:rsid w:val="006D469D"/>
    <w:rsid w:val="006D507D"/>
    <w:rsid w:val="006D50E6"/>
    <w:rsid w:val="006D523F"/>
    <w:rsid w:val="006D549A"/>
    <w:rsid w:val="006D5ABA"/>
    <w:rsid w:val="006D5E0F"/>
    <w:rsid w:val="006D6851"/>
    <w:rsid w:val="006D68E8"/>
    <w:rsid w:val="006D6CD8"/>
    <w:rsid w:val="006D7631"/>
    <w:rsid w:val="006D7750"/>
    <w:rsid w:val="006D7CCF"/>
    <w:rsid w:val="006D7E43"/>
    <w:rsid w:val="006E0006"/>
    <w:rsid w:val="006E00EC"/>
    <w:rsid w:val="006E00F7"/>
    <w:rsid w:val="006E03E5"/>
    <w:rsid w:val="006E0A4B"/>
    <w:rsid w:val="006E17FB"/>
    <w:rsid w:val="006E1853"/>
    <w:rsid w:val="006E1DE8"/>
    <w:rsid w:val="006E2D2E"/>
    <w:rsid w:val="006E3C60"/>
    <w:rsid w:val="006E3D5A"/>
    <w:rsid w:val="006E3FA1"/>
    <w:rsid w:val="006E4356"/>
    <w:rsid w:val="006E48FB"/>
    <w:rsid w:val="006E4ACE"/>
    <w:rsid w:val="006E4C57"/>
    <w:rsid w:val="006E59DC"/>
    <w:rsid w:val="006E5AF5"/>
    <w:rsid w:val="006E5C93"/>
    <w:rsid w:val="006E5E01"/>
    <w:rsid w:val="006E720F"/>
    <w:rsid w:val="006E74C1"/>
    <w:rsid w:val="006E7795"/>
    <w:rsid w:val="006E78C1"/>
    <w:rsid w:val="006F07B0"/>
    <w:rsid w:val="006F07D5"/>
    <w:rsid w:val="006F0B11"/>
    <w:rsid w:val="006F0D43"/>
    <w:rsid w:val="006F10E6"/>
    <w:rsid w:val="006F192E"/>
    <w:rsid w:val="006F2837"/>
    <w:rsid w:val="006F2BA4"/>
    <w:rsid w:val="006F393A"/>
    <w:rsid w:val="006F3D7B"/>
    <w:rsid w:val="006F4316"/>
    <w:rsid w:val="006F4F76"/>
    <w:rsid w:val="006F5145"/>
    <w:rsid w:val="006F5339"/>
    <w:rsid w:val="006F556B"/>
    <w:rsid w:val="006F6B63"/>
    <w:rsid w:val="0070003D"/>
    <w:rsid w:val="007000F9"/>
    <w:rsid w:val="007009C7"/>
    <w:rsid w:val="00700A66"/>
    <w:rsid w:val="00701256"/>
    <w:rsid w:val="00702167"/>
    <w:rsid w:val="00702427"/>
    <w:rsid w:val="007027AC"/>
    <w:rsid w:val="00702A36"/>
    <w:rsid w:val="00702CC9"/>
    <w:rsid w:val="0070438F"/>
    <w:rsid w:val="007044C8"/>
    <w:rsid w:val="00704865"/>
    <w:rsid w:val="00704E95"/>
    <w:rsid w:val="007050F8"/>
    <w:rsid w:val="00705622"/>
    <w:rsid w:val="007059D9"/>
    <w:rsid w:val="00705DEB"/>
    <w:rsid w:val="007060CC"/>
    <w:rsid w:val="007060EF"/>
    <w:rsid w:val="00706170"/>
    <w:rsid w:val="0070680C"/>
    <w:rsid w:val="00706B9A"/>
    <w:rsid w:val="0070752E"/>
    <w:rsid w:val="00707A6B"/>
    <w:rsid w:val="00710181"/>
    <w:rsid w:val="00710AD5"/>
    <w:rsid w:val="00711A3E"/>
    <w:rsid w:val="0071289E"/>
    <w:rsid w:val="00712B54"/>
    <w:rsid w:val="00712E97"/>
    <w:rsid w:val="00713C42"/>
    <w:rsid w:val="007142EC"/>
    <w:rsid w:val="00714809"/>
    <w:rsid w:val="007157C3"/>
    <w:rsid w:val="007164CF"/>
    <w:rsid w:val="00716D57"/>
    <w:rsid w:val="00716DCD"/>
    <w:rsid w:val="00717043"/>
    <w:rsid w:val="0071761D"/>
    <w:rsid w:val="007176AA"/>
    <w:rsid w:val="007177A5"/>
    <w:rsid w:val="00717B98"/>
    <w:rsid w:val="00720072"/>
    <w:rsid w:val="00720159"/>
    <w:rsid w:val="0072023B"/>
    <w:rsid w:val="00720B65"/>
    <w:rsid w:val="00720C31"/>
    <w:rsid w:val="00720DDB"/>
    <w:rsid w:val="007211B4"/>
    <w:rsid w:val="0072169A"/>
    <w:rsid w:val="00721A4F"/>
    <w:rsid w:val="00721E21"/>
    <w:rsid w:val="00721E86"/>
    <w:rsid w:val="00721F7C"/>
    <w:rsid w:val="007221B4"/>
    <w:rsid w:val="007226F9"/>
    <w:rsid w:val="00722F1A"/>
    <w:rsid w:val="007237D2"/>
    <w:rsid w:val="00723AA5"/>
    <w:rsid w:val="00723C66"/>
    <w:rsid w:val="00723E76"/>
    <w:rsid w:val="00723FCF"/>
    <w:rsid w:val="00724407"/>
    <w:rsid w:val="00724DF3"/>
    <w:rsid w:val="00725C00"/>
    <w:rsid w:val="00725D16"/>
    <w:rsid w:val="00725EAA"/>
    <w:rsid w:val="00727C27"/>
    <w:rsid w:val="00727E3A"/>
    <w:rsid w:val="0073007D"/>
    <w:rsid w:val="00730409"/>
    <w:rsid w:val="007306BD"/>
    <w:rsid w:val="00730D57"/>
    <w:rsid w:val="00731070"/>
    <w:rsid w:val="007322D4"/>
    <w:rsid w:val="0073259C"/>
    <w:rsid w:val="00732944"/>
    <w:rsid w:val="00732C3F"/>
    <w:rsid w:val="00733525"/>
    <w:rsid w:val="0073373D"/>
    <w:rsid w:val="007340AC"/>
    <w:rsid w:val="007340C0"/>
    <w:rsid w:val="00734925"/>
    <w:rsid w:val="007349E2"/>
    <w:rsid w:val="00735347"/>
    <w:rsid w:val="00736361"/>
    <w:rsid w:val="0073638C"/>
    <w:rsid w:val="007370E5"/>
    <w:rsid w:val="00737D4F"/>
    <w:rsid w:val="00740078"/>
    <w:rsid w:val="00740DF0"/>
    <w:rsid w:val="00741CB1"/>
    <w:rsid w:val="00741E6E"/>
    <w:rsid w:val="007423A9"/>
    <w:rsid w:val="00743046"/>
    <w:rsid w:val="007431B2"/>
    <w:rsid w:val="007444C3"/>
    <w:rsid w:val="00744937"/>
    <w:rsid w:val="00744C9A"/>
    <w:rsid w:val="00744F89"/>
    <w:rsid w:val="00746AC3"/>
    <w:rsid w:val="00746C47"/>
    <w:rsid w:val="00747333"/>
    <w:rsid w:val="0075066A"/>
    <w:rsid w:val="0075106D"/>
    <w:rsid w:val="0075200D"/>
    <w:rsid w:val="00752868"/>
    <w:rsid w:val="007532DD"/>
    <w:rsid w:val="00753CA6"/>
    <w:rsid w:val="0075443F"/>
    <w:rsid w:val="007555B6"/>
    <w:rsid w:val="00755DBD"/>
    <w:rsid w:val="007565C5"/>
    <w:rsid w:val="00756859"/>
    <w:rsid w:val="00756A20"/>
    <w:rsid w:val="00757EF0"/>
    <w:rsid w:val="007600DD"/>
    <w:rsid w:val="007607B8"/>
    <w:rsid w:val="00760C3F"/>
    <w:rsid w:val="00761A92"/>
    <w:rsid w:val="00761BFF"/>
    <w:rsid w:val="00762D08"/>
    <w:rsid w:val="00763849"/>
    <w:rsid w:val="007638F9"/>
    <w:rsid w:val="00763C25"/>
    <w:rsid w:val="00763EC6"/>
    <w:rsid w:val="0076432E"/>
    <w:rsid w:val="00764845"/>
    <w:rsid w:val="007648FD"/>
    <w:rsid w:val="00765680"/>
    <w:rsid w:val="00765F23"/>
    <w:rsid w:val="00766EB6"/>
    <w:rsid w:val="00770A28"/>
    <w:rsid w:val="00770B54"/>
    <w:rsid w:val="00770F45"/>
    <w:rsid w:val="00771195"/>
    <w:rsid w:val="00771A5D"/>
    <w:rsid w:val="00771FA9"/>
    <w:rsid w:val="007720D3"/>
    <w:rsid w:val="00772C48"/>
    <w:rsid w:val="00772E6C"/>
    <w:rsid w:val="00772ECA"/>
    <w:rsid w:val="00773427"/>
    <w:rsid w:val="00773825"/>
    <w:rsid w:val="00774190"/>
    <w:rsid w:val="00774BA3"/>
    <w:rsid w:val="00774DA7"/>
    <w:rsid w:val="007751A9"/>
    <w:rsid w:val="007757B3"/>
    <w:rsid w:val="007759CF"/>
    <w:rsid w:val="00775C37"/>
    <w:rsid w:val="00775C6A"/>
    <w:rsid w:val="00776836"/>
    <w:rsid w:val="00777149"/>
    <w:rsid w:val="00777C06"/>
    <w:rsid w:val="00777F33"/>
    <w:rsid w:val="00780517"/>
    <w:rsid w:val="00780626"/>
    <w:rsid w:val="00780C71"/>
    <w:rsid w:val="00780EF2"/>
    <w:rsid w:val="00781009"/>
    <w:rsid w:val="00781087"/>
    <w:rsid w:val="007818DB"/>
    <w:rsid w:val="007825B0"/>
    <w:rsid w:val="007826D2"/>
    <w:rsid w:val="00782902"/>
    <w:rsid w:val="00782B37"/>
    <w:rsid w:val="007830FB"/>
    <w:rsid w:val="00783F1F"/>
    <w:rsid w:val="00784BBA"/>
    <w:rsid w:val="00784CE9"/>
    <w:rsid w:val="00784CF1"/>
    <w:rsid w:val="0078573C"/>
    <w:rsid w:val="00785741"/>
    <w:rsid w:val="007858B1"/>
    <w:rsid w:val="00786BCB"/>
    <w:rsid w:val="007909C7"/>
    <w:rsid w:val="00790E9F"/>
    <w:rsid w:val="0079120F"/>
    <w:rsid w:val="007916A2"/>
    <w:rsid w:val="0079283D"/>
    <w:rsid w:val="00792E7D"/>
    <w:rsid w:val="007930DC"/>
    <w:rsid w:val="007938DE"/>
    <w:rsid w:val="007940E1"/>
    <w:rsid w:val="00794159"/>
    <w:rsid w:val="00794319"/>
    <w:rsid w:val="007947FB"/>
    <w:rsid w:val="00795823"/>
    <w:rsid w:val="00796E72"/>
    <w:rsid w:val="00797255"/>
    <w:rsid w:val="007A01C4"/>
    <w:rsid w:val="007A0253"/>
    <w:rsid w:val="007A091A"/>
    <w:rsid w:val="007A0EB4"/>
    <w:rsid w:val="007A2930"/>
    <w:rsid w:val="007A2CAF"/>
    <w:rsid w:val="007A3FD8"/>
    <w:rsid w:val="007A4ADF"/>
    <w:rsid w:val="007A71E9"/>
    <w:rsid w:val="007A746C"/>
    <w:rsid w:val="007B00EF"/>
    <w:rsid w:val="007B023A"/>
    <w:rsid w:val="007B1720"/>
    <w:rsid w:val="007B17E5"/>
    <w:rsid w:val="007B1AA1"/>
    <w:rsid w:val="007B1CE0"/>
    <w:rsid w:val="007B1F1E"/>
    <w:rsid w:val="007B2406"/>
    <w:rsid w:val="007B2464"/>
    <w:rsid w:val="007B24E0"/>
    <w:rsid w:val="007B2846"/>
    <w:rsid w:val="007B2B02"/>
    <w:rsid w:val="007B337C"/>
    <w:rsid w:val="007B358B"/>
    <w:rsid w:val="007B37BB"/>
    <w:rsid w:val="007B4AFA"/>
    <w:rsid w:val="007B555F"/>
    <w:rsid w:val="007B7132"/>
    <w:rsid w:val="007B769C"/>
    <w:rsid w:val="007B76FF"/>
    <w:rsid w:val="007B7A78"/>
    <w:rsid w:val="007C084C"/>
    <w:rsid w:val="007C1068"/>
    <w:rsid w:val="007C1207"/>
    <w:rsid w:val="007C232E"/>
    <w:rsid w:val="007C2E8E"/>
    <w:rsid w:val="007C3507"/>
    <w:rsid w:val="007C36E4"/>
    <w:rsid w:val="007C39C1"/>
    <w:rsid w:val="007C4593"/>
    <w:rsid w:val="007C47B3"/>
    <w:rsid w:val="007C4D66"/>
    <w:rsid w:val="007C5A0E"/>
    <w:rsid w:val="007C649E"/>
    <w:rsid w:val="007C7EF8"/>
    <w:rsid w:val="007D03F9"/>
    <w:rsid w:val="007D098F"/>
    <w:rsid w:val="007D0E71"/>
    <w:rsid w:val="007D13D1"/>
    <w:rsid w:val="007D1410"/>
    <w:rsid w:val="007D1458"/>
    <w:rsid w:val="007D16F1"/>
    <w:rsid w:val="007D335F"/>
    <w:rsid w:val="007D41D6"/>
    <w:rsid w:val="007D49D7"/>
    <w:rsid w:val="007D4AB0"/>
    <w:rsid w:val="007D4BFC"/>
    <w:rsid w:val="007D4ED5"/>
    <w:rsid w:val="007D5325"/>
    <w:rsid w:val="007D745D"/>
    <w:rsid w:val="007E04CD"/>
    <w:rsid w:val="007E07A9"/>
    <w:rsid w:val="007E0AD1"/>
    <w:rsid w:val="007E1644"/>
    <w:rsid w:val="007E1728"/>
    <w:rsid w:val="007E2DBC"/>
    <w:rsid w:val="007E2FEE"/>
    <w:rsid w:val="007E3974"/>
    <w:rsid w:val="007E4548"/>
    <w:rsid w:val="007E461E"/>
    <w:rsid w:val="007E4B67"/>
    <w:rsid w:val="007E4C40"/>
    <w:rsid w:val="007E4F3E"/>
    <w:rsid w:val="007E5CA8"/>
    <w:rsid w:val="007E6AE4"/>
    <w:rsid w:val="007E6F31"/>
    <w:rsid w:val="007E6F52"/>
    <w:rsid w:val="007E6FA0"/>
    <w:rsid w:val="007E7B17"/>
    <w:rsid w:val="007E7D6E"/>
    <w:rsid w:val="007E7D89"/>
    <w:rsid w:val="007E7EE5"/>
    <w:rsid w:val="007F050C"/>
    <w:rsid w:val="007F062C"/>
    <w:rsid w:val="007F07FB"/>
    <w:rsid w:val="007F0A83"/>
    <w:rsid w:val="007F0FB5"/>
    <w:rsid w:val="007F1816"/>
    <w:rsid w:val="007F1AB4"/>
    <w:rsid w:val="007F1B2D"/>
    <w:rsid w:val="007F242E"/>
    <w:rsid w:val="007F3136"/>
    <w:rsid w:val="007F355F"/>
    <w:rsid w:val="007F365E"/>
    <w:rsid w:val="007F3805"/>
    <w:rsid w:val="007F3D39"/>
    <w:rsid w:val="007F45F6"/>
    <w:rsid w:val="007F491F"/>
    <w:rsid w:val="007F5037"/>
    <w:rsid w:val="007F61A0"/>
    <w:rsid w:val="007F6AFE"/>
    <w:rsid w:val="007F6E44"/>
    <w:rsid w:val="007F7033"/>
    <w:rsid w:val="007F7935"/>
    <w:rsid w:val="007F79AB"/>
    <w:rsid w:val="00800499"/>
    <w:rsid w:val="00800950"/>
    <w:rsid w:val="00800A07"/>
    <w:rsid w:val="00800C0E"/>
    <w:rsid w:val="00801172"/>
    <w:rsid w:val="0080151F"/>
    <w:rsid w:val="008017EE"/>
    <w:rsid w:val="00801983"/>
    <w:rsid w:val="00801E1D"/>
    <w:rsid w:val="00801E80"/>
    <w:rsid w:val="00802492"/>
    <w:rsid w:val="00802790"/>
    <w:rsid w:val="00802DC2"/>
    <w:rsid w:val="00803709"/>
    <w:rsid w:val="00803904"/>
    <w:rsid w:val="008045B5"/>
    <w:rsid w:val="00804D07"/>
    <w:rsid w:val="00805172"/>
    <w:rsid w:val="0080565B"/>
    <w:rsid w:val="00805E5B"/>
    <w:rsid w:val="00805F9E"/>
    <w:rsid w:val="008067F4"/>
    <w:rsid w:val="00806FA8"/>
    <w:rsid w:val="008103BE"/>
    <w:rsid w:val="008104B8"/>
    <w:rsid w:val="008106C0"/>
    <w:rsid w:val="00810806"/>
    <w:rsid w:val="008109CE"/>
    <w:rsid w:val="00810E9E"/>
    <w:rsid w:val="008120D1"/>
    <w:rsid w:val="00812310"/>
    <w:rsid w:val="008127B7"/>
    <w:rsid w:val="00812863"/>
    <w:rsid w:val="00814510"/>
    <w:rsid w:val="008149A8"/>
    <w:rsid w:val="00816703"/>
    <w:rsid w:val="00816CF6"/>
    <w:rsid w:val="00816E64"/>
    <w:rsid w:val="00817523"/>
    <w:rsid w:val="00820168"/>
    <w:rsid w:val="008206DF"/>
    <w:rsid w:val="008207D2"/>
    <w:rsid w:val="008211C5"/>
    <w:rsid w:val="0082155F"/>
    <w:rsid w:val="00822121"/>
    <w:rsid w:val="008221F7"/>
    <w:rsid w:val="00822480"/>
    <w:rsid w:val="00822924"/>
    <w:rsid w:val="008235C2"/>
    <w:rsid w:val="0082450A"/>
    <w:rsid w:val="0082525F"/>
    <w:rsid w:val="00825B25"/>
    <w:rsid w:val="0083031F"/>
    <w:rsid w:val="00830835"/>
    <w:rsid w:val="008314ED"/>
    <w:rsid w:val="008318ED"/>
    <w:rsid w:val="00831E34"/>
    <w:rsid w:val="00832896"/>
    <w:rsid w:val="00832C1F"/>
    <w:rsid w:val="00834441"/>
    <w:rsid w:val="0083458A"/>
    <w:rsid w:val="00834885"/>
    <w:rsid w:val="00834A20"/>
    <w:rsid w:val="00834B6E"/>
    <w:rsid w:val="00834F71"/>
    <w:rsid w:val="00835120"/>
    <w:rsid w:val="008353DA"/>
    <w:rsid w:val="00835791"/>
    <w:rsid w:val="00835DA4"/>
    <w:rsid w:val="00835FB9"/>
    <w:rsid w:val="00836A51"/>
    <w:rsid w:val="00836D83"/>
    <w:rsid w:val="00836F84"/>
    <w:rsid w:val="0083718E"/>
    <w:rsid w:val="00840578"/>
    <w:rsid w:val="008410A7"/>
    <w:rsid w:val="008412CA"/>
    <w:rsid w:val="0084165C"/>
    <w:rsid w:val="0084166D"/>
    <w:rsid w:val="0084183E"/>
    <w:rsid w:val="0084206F"/>
    <w:rsid w:val="008423E5"/>
    <w:rsid w:val="008438C9"/>
    <w:rsid w:val="0084392A"/>
    <w:rsid w:val="00843C23"/>
    <w:rsid w:val="00844647"/>
    <w:rsid w:val="00845FD0"/>
    <w:rsid w:val="00846567"/>
    <w:rsid w:val="00846C7B"/>
    <w:rsid w:val="00846D58"/>
    <w:rsid w:val="00846E38"/>
    <w:rsid w:val="0084701E"/>
    <w:rsid w:val="008502C8"/>
    <w:rsid w:val="00850CB0"/>
    <w:rsid w:val="00850E12"/>
    <w:rsid w:val="0085160E"/>
    <w:rsid w:val="008516CD"/>
    <w:rsid w:val="00851ADB"/>
    <w:rsid w:val="008522E1"/>
    <w:rsid w:val="008526F2"/>
    <w:rsid w:val="0085301B"/>
    <w:rsid w:val="008534B6"/>
    <w:rsid w:val="00853593"/>
    <w:rsid w:val="0085385F"/>
    <w:rsid w:val="00853B13"/>
    <w:rsid w:val="008542CF"/>
    <w:rsid w:val="00854A6A"/>
    <w:rsid w:val="00854D02"/>
    <w:rsid w:val="0085518F"/>
    <w:rsid w:val="00855621"/>
    <w:rsid w:val="008558B2"/>
    <w:rsid w:val="00856086"/>
    <w:rsid w:val="008560ED"/>
    <w:rsid w:val="0085697C"/>
    <w:rsid w:val="00856C73"/>
    <w:rsid w:val="00856DAD"/>
    <w:rsid w:val="008575C3"/>
    <w:rsid w:val="008577D5"/>
    <w:rsid w:val="008579C2"/>
    <w:rsid w:val="008579D6"/>
    <w:rsid w:val="00861366"/>
    <w:rsid w:val="00862555"/>
    <w:rsid w:val="0086374F"/>
    <w:rsid w:val="008637B2"/>
    <w:rsid w:val="00863D02"/>
    <w:rsid w:val="00864065"/>
    <w:rsid w:val="008645E2"/>
    <w:rsid w:val="00864671"/>
    <w:rsid w:val="0086467C"/>
    <w:rsid w:val="00864824"/>
    <w:rsid w:val="00864A01"/>
    <w:rsid w:val="00864D01"/>
    <w:rsid w:val="008654D4"/>
    <w:rsid w:val="00865D2F"/>
    <w:rsid w:val="008664DF"/>
    <w:rsid w:val="00866587"/>
    <w:rsid w:val="00866813"/>
    <w:rsid w:val="00866C79"/>
    <w:rsid w:val="00867765"/>
    <w:rsid w:val="00867A66"/>
    <w:rsid w:val="00870328"/>
    <w:rsid w:val="00870646"/>
    <w:rsid w:val="008708F7"/>
    <w:rsid w:val="0087098A"/>
    <w:rsid w:val="00871307"/>
    <w:rsid w:val="00871A7A"/>
    <w:rsid w:val="008720F4"/>
    <w:rsid w:val="00872120"/>
    <w:rsid w:val="00872740"/>
    <w:rsid w:val="008729AF"/>
    <w:rsid w:val="00872CFF"/>
    <w:rsid w:val="00872D65"/>
    <w:rsid w:val="00873574"/>
    <w:rsid w:val="0087454B"/>
    <w:rsid w:val="00874714"/>
    <w:rsid w:val="008747BF"/>
    <w:rsid w:val="0087609F"/>
    <w:rsid w:val="008767F6"/>
    <w:rsid w:val="00876A81"/>
    <w:rsid w:val="00876B71"/>
    <w:rsid w:val="00876BC6"/>
    <w:rsid w:val="00876C48"/>
    <w:rsid w:val="00876FEC"/>
    <w:rsid w:val="0087701E"/>
    <w:rsid w:val="00880F59"/>
    <w:rsid w:val="0088185E"/>
    <w:rsid w:val="00881EB1"/>
    <w:rsid w:val="00882126"/>
    <w:rsid w:val="0088253F"/>
    <w:rsid w:val="00882741"/>
    <w:rsid w:val="00882B6B"/>
    <w:rsid w:val="00882C0A"/>
    <w:rsid w:val="00882F16"/>
    <w:rsid w:val="0088318E"/>
    <w:rsid w:val="00883359"/>
    <w:rsid w:val="00883563"/>
    <w:rsid w:val="00884FD1"/>
    <w:rsid w:val="00884FF3"/>
    <w:rsid w:val="00885AD4"/>
    <w:rsid w:val="00885BD1"/>
    <w:rsid w:val="008863C0"/>
    <w:rsid w:val="00887814"/>
    <w:rsid w:val="00887A05"/>
    <w:rsid w:val="00887DE1"/>
    <w:rsid w:val="00891063"/>
    <w:rsid w:val="00891373"/>
    <w:rsid w:val="008914BD"/>
    <w:rsid w:val="0089167A"/>
    <w:rsid w:val="00891880"/>
    <w:rsid w:val="00892417"/>
    <w:rsid w:val="00893C98"/>
    <w:rsid w:val="00894089"/>
    <w:rsid w:val="00894244"/>
    <w:rsid w:val="00894731"/>
    <w:rsid w:val="00894774"/>
    <w:rsid w:val="00894A6F"/>
    <w:rsid w:val="00894B27"/>
    <w:rsid w:val="008951E1"/>
    <w:rsid w:val="00895CA2"/>
    <w:rsid w:val="00895DB3"/>
    <w:rsid w:val="0089650E"/>
    <w:rsid w:val="00896636"/>
    <w:rsid w:val="0089786F"/>
    <w:rsid w:val="00897DE3"/>
    <w:rsid w:val="008A09E3"/>
    <w:rsid w:val="008A1299"/>
    <w:rsid w:val="008A2518"/>
    <w:rsid w:val="008A25BD"/>
    <w:rsid w:val="008A262B"/>
    <w:rsid w:val="008A2733"/>
    <w:rsid w:val="008A31B8"/>
    <w:rsid w:val="008A3636"/>
    <w:rsid w:val="008A4130"/>
    <w:rsid w:val="008A41E1"/>
    <w:rsid w:val="008A43BB"/>
    <w:rsid w:val="008A4F23"/>
    <w:rsid w:val="008A504D"/>
    <w:rsid w:val="008A582C"/>
    <w:rsid w:val="008A596A"/>
    <w:rsid w:val="008A5F55"/>
    <w:rsid w:val="008A6050"/>
    <w:rsid w:val="008A632B"/>
    <w:rsid w:val="008A7002"/>
    <w:rsid w:val="008A753F"/>
    <w:rsid w:val="008A770B"/>
    <w:rsid w:val="008A78B6"/>
    <w:rsid w:val="008A7F7A"/>
    <w:rsid w:val="008B0C41"/>
    <w:rsid w:val="008B16DD"/>
    <w:rsid w:val="008B1C9A"/>
    <w:rsid w:val="008B2108"/>
    <w:rsid w:val="008B2DC1"/>
    <w:rsid w:val="008B2E94"/>
    <w:rsid w:val="008B3214"/>
    <w:rsid w:val="008B4604"/>
    <w:rsid w:val="008B4634"/>
    <w:rsid w:val="008B49D1"/>
    <w:rsid w:val="008B53F0"/>
    <w:rsid w:val="008B55E7"/>
    <w:rsid w:val="008B5BBC"/>
    <w:rsid w:val="008B6917"/>
    <w:rsid w:val="008B6C06"/>
    <w:rsid w:val="008B72A3"/>
    <w:rsid w:val="008B73BE"/>
    <w:rsid w:val="008B753F"/>
    <w:rsid w:val="008B78D4"/>
    <w:rsid w:val="008B7B7A"/>
    <w:rsid w:val="008C0580"/>
    <w:rsid w:val="008C0C39"/>
    <w:rsid w:val="008C1970"/>
    <w:rsid w:val="008C1C59"/>
    <w:rsid w:val="008C1DE0"/>
    <w:rsid w:val="008C27B2"/>
    <w:rsid w:val="008C2ED9"/>
    <w:rsid w:val="008C33FD"/>
    <w:rsid w:val="008C3D1F"/>
    <w:rsid w:val="008C3F11"/>
    <w:rsid w:val="008C41A4"/>
    <w:rsid w:val="008C43E2"/>
    <w:rsid w:val="008C4435"/>
    <w:rsid w:val="008C468C"/>
    <w:rsid w:val="008C46B8"/>
    <w:rsid w:val="008C47B4"/>
    <w:rsid w:val="008C4B68"/>
    <w:rsid w:val="008C4E9A"/>
    <w:rsid w:val="008C4EFF"/>
    <w:rsid w:val="008C52E7"/>
    <w:rsid w:val="008C73C0"/>
    <w:rsid w:val="008D08C0"/>
    <w:rsid w:val="008D0FDB"/>
    <w:rsid w:val="008D14BA"/>
    <w:rsid w:val="008D2F62"/>
    <w:rsid w:val="008D369E"/>
    <w:rsid w:val="008D3A11"/>
    <w:rsid w:val="008D45F2"/>
    <w:rsid w:val="008D4AAD"/>
    <w:rsid w:val="008D4D02"/>
    <w:rsid w:val="008D501E"/>
    <w:rsid w:val="008D5EB6"/>
    <w:rsid w:val="008D629B"/>
    <w:rsid w:val="008D6A3E"/>
    <w:rsid w:val="008D6C04"/>
    <w:rsid w:val="008D6E31"/>
    <w:rsid w:val="008D7118"/>
    <w:rsid w:val="008D787B"/>
    <w:rsid w:val="008D78AB"/>
    <w:rsid w:val="008E0673"/>
    <w:rsid w:val="008E0E70"/>
    <w:rsid w:val="008E0EA3"/>
    <w:rsid w:val="008E26B2"/>
    <w:rsid w:val="008E3596"/>
    <w:rsid w:val="008E376B"/>
    <w:rsid w:val="008E38A9"/>
    <w:rsid w:val="008E39E7"/>
    <w:rsid w:val="008E3C06"/>
    <w:rsid w:val="008E41E6"/>
    <w:rsid w:val="008E4C7A"/>
    <w:rsid w:val="008E4E36"/>
    <w:rsid w:val="008E5512"/>
    <w:rsid w:val="008E5BC4"/>
    <w:rsid w:val="008E5D6E"/>
    <w:rsid w:val="008E5DAC"/>
    <w:rsid w:val="008E6846"/>
    <w:rsid w:val="008E7101"/>
    <w:rsid w:val="008E7516"/>
    <w:rsid w:val="008E7AD0"/>
    <w:rsid w:val="008F0055"/>
    <w:rsid w:val="008F0C0F"/>
    <w:rsid w:val="008F0E5C"/>
    <w:rsid w:val="008F16A2"/>
    <w:rsid w:val="008F18D7"/>
    <w:rsid w:val="008F1BE9"/>
    <w:rsid w:val="008F1E39"/>
    <w:rsid w:val="008F2E27"/>
    <w:rsid w:val="008F3537"/>
    <w:rsid w:val="008F419F"/>
    <w:rsid w:val="008F44EB"/>
    <w:rsid w:val="008F4760"/>
    <w:rsid w:val="008F47C9"/>
    <w:rsid w:val="008F5459"/>
    <w:rsid w:val="008F5465"/>
    <w:rsid w:val="008F5C4E"/>
    <w:rsid w:val="008F5FDB"/>
    <w:rsid w:val="008F61CA"/>
    <w:rsid w:val="008F6811"/>
    <w:rsid w:val="008F72A7"/>
    <w:rsid w:val="008F730B"/>
    <w:rsid w:val="008F765D"/>
    <w:rsid w:val="008F76B1"/>
    <w:rsid w:val="008F77FB"/>
    <w:rsid w:val="008F7B1B"/>
    <w:rsid w:val="008F7BFA"/>
    <w:rsid w:val="009000B3"/>
    <w:rsid w:val="009000C3"/>
    <w:rsid w:val="00900EA9"/>
    <w:rsid w:val="0090113D"/>
    <w:rsid w:val="00901753"/>
    <w:rsid w:val="00902522"/>
    <w:rsid w:val="00902973"/>
    <w:rsid w:val="00903B9C"/>
    <w:rsid w:val="0090480D"/>
    <w:rsid w:val="009048C7"/>
    <w:rsid w:val="00904D11"/>
    <w:rsid w:val="00905150"/>
    <w:rsid w:val="009055C1"/>
    <w:rsid w:val="00906E21"/>
    <w:rsid w:val="00907040"/>
    <w:rsid w:val="0090765C"/>
    <w:rsid w:val="00910EA1"/>
    <w:rsid w:val="0091110F"/>
    <w:rsid w:val="00912DC4"/>
    <w:rsid w:val="00913924"/>
    <w:rsid w:val="00913CE4"/>
    <w:rsid w:val="00914471"/>
    <w:rsid w:val="00914875"/>
    <w:rsid w:val="009148EC"/>
    <w:rsid w:val="0091546A"/>
    <w:rsid w:val="00915E07"/>
    <w:rsid w:val="009168CD"/>
    <w:rsid w:val="00916F75"/>
    <w:rsid w:val="00917023"/>
    <w:rsid w:val="0091727D"/>
    <w:rsid w:val="009177CD"/>
    <w:rsid w:val="00917939"/>
    <w:rsid w:val="00917BDD"/>
    <w:rsid w:val="009206E9"/>
    <w:rsid w:val="00920AC3"/>
    <w:rsid w:val="00920FC9"/>
    <w:rsid w:val="009213AF"/>
    <w:rsid w:val="009213B8"/>
    <w:rsid w:val="009221AB"/>
    <w:rsid w:val="00922D69"/>
    <w:rsid w:val="00923633"/>
    <w:rsid w:val="0092393A"/>
    <w:rsid w:val="00923CD8"/>
    <w:rsid w:val="00923D27"/>
    <w:rsid w:val="00924273"/>
    <w:rsid w:val="00924DAB"/>
    <w:rsid w:val="00924F77"/>
    <w:rsid w:val="0092515E"/>
    <w:rsid w:val="00925B14"/>
    <w:rsid w:val="00926226"/>
    <w:rsid w:val="009262EA"/>
    <w:rsid w:val="0092782E"/>
    <w:rsid w:val="00927E3F"/>
    <w:rsid w:val="00927F94"/>
    <w:rsid w:val="009302CD"/>
    <w:rsid w:val="00930D5C"/>
    <w:rsid w:val="00930EBC"/>
    <w:rsid w:val="00930EEE"/>
    <w:rsid w:val="00930F0A"/>
    <w:rsid w:val="00931049"/>
    <w:rsid w:val="00931158"/>
    <w:rsid w:val="00931377"/>
    <w:rsid w:val="0093142A"/>
    <w:rsid w:val="0093183B"/>
    <w:rsid w:val="009325DD"/>
    <w:rsid w:val="0093285D"/>
    <w:rsid w:val="00932F11"/>
    <w:rsid w:val="009331A4"/>
    <w:rsid w:val="009334F5"/>
    <w:rsid w:val="0093493A"/>
    <w:rsid w:val="00934A4D"/>
    <w:rsid w:val="00936B1C"/>
    <w:rsid w:val="0093712B"/>
    <w:rsid w:val="009377E4"/>
    <w:rsid w:val="0094060C"/>
    <w:rsid w:val="00940B46"/>
    <w:rsid w:val="00940C19"/>
    <w:rsid w:val="00941436"/>
    <w:rsid w:val="00942896"/>
    <w:rsid w:val="00942AD1"/>
    <w:rsid w:val="009431A9"/>
    <w:rsid w:val="0094381E"/>
    <w:rsid w:val="00945030"/>
    <w:rsid w:val="00945142"/>
    <w:rsid w:val="009457FD"/>
    <w:rsid w:val="00945B32"/>
    <w:rsid w:val="00945D64"/>
    <w:rsid w:val="00946A7D"/>
    <w:rsid w:val="00946D54"/>
    <w:rsid w:val="00946F84"/>
    <w:rsid w:val="0094716B"/>
    <w:rsid w:val="00947632"/>
    <w:rsid w:val="00947FBB"/>
    <w:rsid w:val="0095073D"/>
    <w:rsid w:val="00950BE0"/>
    <w:rsid w:val="0095120B"/>
    <w:rsid w:val="0095144D"/>
    <w:rsid w:val="00952D3B"/>
    <w:rsid w:val="00953013"/>
    <w:rsid w:val="0095358C"/>
    <w:rsid w:val="0095384A"/>
    <w:rsid w:val="0095396D"/>
    <w:rsid w:val="00953CC6"/>
    <w:rsid w:val="00953F72"/>
    <w:rsid w:val="00954240"/>
    <w:rsid w:val="00954344"/>
    <w:rsid w:val="00954386"/>
    <w:rsid w:val="00955001"/>
    <w:rsid w:val="009550D1"/>
    <w:rsid w:val="0095627B"/>
    <w:rsid w:val="009566E2"/>
    <w:rsid w:val="00957186"/>
    <w:rsid w:val="00957CDD"/>
    <w:rsid w:val="00957E60"/>
    <w:rsid w:val="00960665"/>
    <w:rsid w:val="0096078D"/>
    <w:rsid w:val="00960833"/>
    <w:rsid w:val="00960E2D"/>
    <w:rsid w:val="009615AC"/>
    <w:rsid w:val="0096185D"/>
    <w:rsid w:val="00961885"/>
    <w:rsid w:val="00961C26"/>
    <w:rsid w:val="00961DF3"/>
    <w:rsid w:val="00961F62"/>
    <w:rsid w:val="0096202F"/>
    <w:rsid w:val="009621F2"/>
    <w:rsid w:val="00962B17"/>
    <w:rsid w:val="009634F3"/>
    <w:rsid w:val="00964739"/>
    <w:rsid w:val="00964A83"/>
    <w:rsid w:val="00964D2D"/>
    <w:rsid w:val="00965928"/>
    <w:rsid w:val="00965B3C"/>
    <w:rsid w:val="00966483"/>
    <w:rsid w:val="00966666"/>
    <w:rsid w:val="009666DE"/>
    <w:rsid w:val="009674F0"/>
    <w:rsid w:val="00967570"/>
    <w:rsid w:val="00967F48"/>
    <w:rsid w:val="00970F14"/>
    <w:rsid w:val="0097138E"/>
    <w:rsid w:val="00972D91"/>
    <w:rsid w:val="00973012"/>
    <w:rsid w:val="00973577"/>
    <w:rsid w:val="00973E31"/>
    <w:rsid w:val="00974184"/>
    <w:rsid w:val="009748CA"/>
    <w:rsid w:val="009755DB"/>
    <w:rsid w:val="009763B5"/>
    <w:rsid w:val="009764DA"/>
    <w:rsid w:val="00976961"/>
    <w:rsid w:val="0097747B"/>
    <w:rsid w:val="00977577"/>
    <w:rsid w:val="00977E36"/>
    <w:rsid w:val="00977E6B"/>
    <w:rsid w:val="0098004D"/>
    <w:rsid w:val="00980719"/>
    <w:rsid w:val="00980D43"/>
    <w:rsid w:val="00980FE3"/>
    <w:rsid w:val="00981081"/>
    <w:rsid w:val="009811E0"/>
    <w:rsid w:val="00981ED3"/>
    <w:rsid w:val="00982491"/>
    <w:rsid w:val="00982B58"/>
    <w:rsid w:val="00982ED1"/>
    <w:rsid w:val="00983009"/>
    <w:rsid w:val="009833E0"/>
    <w:rsid w:val="00983423"/>
    <w:rsid w:val="00983E1B"/>
    <w:rsid w:val="009847CF"/>
    <w:rsid w:val="009869DC"/>
    <w:rsid w:val="00987094"/>
    <w:rsid w:val="009870C1"/>
    <w:rsid w:val="00990155"/>
    <w:rsid w:val="00990285"/>
    <w:rsid w:val="0099042F"/>
    <w:rsid w:val="00991497"/>
    <w:rsid w:val="00991B86"/>
    <w:rsid w:val="00992044"/>
    <w:rsid w:val="009920BB"/>
    <w:rsid w:val="0099299A"/>
    <w:rsid w:val="00993104"/>
    <w:rsid w:val="00994E38"/>
    <w:rsid w:val="009956B3"/>
    <w:rsid w:val="00995905"/>
    <w:rsid w:val="0099591D"/>
    <w:rsid w:val="009962BF"/>
    <w:rsid w:val="0099667E"/>
    <w:rsid w:val="00996D6E"/>
    <w:rsid w:val="009A03C3"/>
    <w:rsid w:val="009A03F2"/>
    <w:rsid w:val="009A0C3A"/>
    <w:rsid w:val="009A0CB0"/>
    <w:rsid w:val="009A10F0"/>
    <w:rsid w:val="009A1D86"/>
    <w:rsid w:val="009A20D9"/>
    <w:rsid w:val="009A2763"/>
    <w:rsid w:val="009A29A0"/>
    <w:rsid w:val="009A2B43"/>
    <w:rsid w:val="009A2DBC"/>
    <w:rsid w:val="009A30A8"/>
    <w:rsid w:val="009A3458"/>
    <w:rsid w:val="009A3804"/>
    <w:rsid w:val="009A3A75"/>
    <w:rsid w:val="009A40D4"/>
    <w:rsid w:val="009A451F"/>
    <w:rsid w:val="009A453F"/>
    <w:rsid w:val="009A474E"/>
    <w:rsid w:val="009A5213"/>
    <w:rsid w:val="009A54AD"/>
    <w:rsid w:val="009A59FE"/>
    <w:rsid w:val="009A5F89"/>
    <w:rsid w:val="009A6160"/>
    <w:rsid w:val="009A6424"/>
    <w:rsid w:val="009A6ACC"/>
    <w:rsid w:val="009A714A"/>
    <w:rsid w:val="009A753B"/>
    <w:rsid w:val="009B0C59"/>
    <w:rsid w:val="009B11EE"/>
    <w:rsid w:val="009B1444"/>
    <w:rsid w:val="009B1DFD"/>
    <w:rsid w:val="009B22AB"/>
    <w:rsid w:val="009B25B6"/>
    <w:rsid w:val="009B266D"/>
    <w:rsid w:val="009B26A3"/>
    <w:rsid w:val="009B2B0B"/>
    <w:rsid w:val="009B3E1E"/>
    <w:rsid w:val="009B4325"/>
    <w:rsid w:val="009B62B1"/>
    <w:rsid w:val="009B65B8"/>
    <w:rsid w:val="009B698B"/>
    <w:rsid w:val="009B7127"/>
    <w:rsid w:val="009B79AE"/>
    <w:rsid w:val="009B7DF2"/>
    <w:rsid w:val="009C1644"/>
    <w:rsid w:val="009C1DF0"/>
    <w:rsid w:val="009C1E92"/>
    <w:rsid w:val="009C225D"/>
    <w:rsid w:val="009C284C"/>
    <w:rsid w:val="009C2FE8"/>
    <w:rsid w:val="009C313F"/>
    <w:rsid w:val="009C49E5"/>
    <w:rsid w:val="009C49F4"/>
    <w:rsid w:val="009C4E19"/>
    <w:rsid w:val="009C56D1"/>
    <w:rsid w:val="009C5C2D"/>
    <w:rsid w:val="009C6699"/>
    <w:rsid w:val="009C71BE"/>
    <w:rsid w:val="009D146A"/>
    <w:rsid w:val="009D1A43"/>
    <w:rsid w:val="009D1DFF"/>
    <w:rsid w:val="009D29EC"/>
    <w:rsid w:val="009D2B2E"/>
    <w:rsid w:val="009D2BCB"/>
    <w:rsid w:val="009D2CD0"/>
    <w:rsid w:val="009D2E1C"/>
    <w:rsid w:val="009D3DB7"/>
    <w:rsid w:val="009D456F"/>
    <w:rsid w:val="009D4669"/>
    <w:rsid w:val="009D4855"/>
    <w:rsid w:val="009D4B47"/>
    <w:rsid w:val="009D4B6F"/>
    <w:rsid w:val="009D5C47"/>
    <w:rsid w:val="009D5FD3"/>
    <w:rsid w:val="009D6100"/>
    <w:rsid w:val="009D62CC"/>
    <w:rsid w:val="009D6416"/>
    <w:rsid w:val="009D66DD"/>
    <w:rsid w:val="009D6DB5"/>
    <w:rsid w:val="009D7DFC"/>
    <w:rsid w:val="009D7E9E"/>
    <w:rsid w:val="009E036A"/>
    <w:rsid w:val="009E0E9C"/>
    <w:rsid w:val="009E1883"/>
    <w:rsid w:val="009E1A2C"/>
    <w:rsid w:val="009E1BC5"/>
    <w:rsid w:val="009E2F00"/>
    <w:rsid w:val="009E305D"/>
    <w:rsid w:val="009E308D"/>
    <w:rsid w:val="009E30B6"/>
    <w:rsid w:val="009E4142"/>
    <w:rsid w:val="009E44C1"/>
    <w:rsid w:val="009E46BD"/>
    <w:rsid w:val="009E4703"/>
    <w:rsid w:val="009E4A06"/>
    <w:rsid w:val="009E4D64"/>
    <w:rsid w:val="009E50A7"/>
    <w:rsid w:val="009E6103"/>
    <w:rsid w:val="009E643D"/>
    <w:rsid w:val="009E683F"/>
    <w:rsid w:val="009E6AE7"/>
    <w:rsid w:val="009E7255"/>
    <w:rsid w:val="009E75C7"/>
    <w:rsid w:val="009E77D3"/>
    <w:rsid w:val="009E7932"/>
    <w:rsid w:val="009F07B9"/>
    <w:rsid w:val="009F0F4A"/>
    <w:rsid w:val="009F1082"/>
    <w:rsid w:val="009F16DB"/>
    <w:rsid w:val="009F215F"/>
    <w:rsid w:val="009F2960"/>
    <w:rsid w:val="009F3937"/>
    <w:rsid w:val="009F47CE"/>
    <w:rsid w:val="009F514E"/>
    <w:rsid w:val="009F5631"/>
    <w:rsid w:val="009F5E60"/>
    <w:rsid w:val="009F5F4B"/>
    <w:rsid w:val="009F5FD6"/>
    <w:rsid w:val="009F6116"/>
    <w:rsid w:val="009F6300"/>
    <w:rsid w:val="009F6321"/>
    <w:rsid w:val="009F687E"/>
    <w:rsid w:val="009F69F8"/>
    <w:rsid w:val="009F6A01"/>
    <w:rsid w:val="009F6BDE"/>
    <w:rsid w:val="009F6D43"/>
    <w:rsid w:val="009F72B1"/>
    <w:rsid w:val="009F77B2"/>
    <w:rsid w:val="009F7855"/>
    <w:rsid w:val="009F7926"/>
    <w:rsid w:val="009F7B14"/>
    <w:rsid w:val="00A008AB"/>
    <w:rsid w:val="00A00E94"/>
    <w:rsid w:val="00A00F4F"/>
    <w:rsid w:val="00A012AB"/>
    <w:rsid w:val="00A01B7F"/>
    <w:rsid w:val="00A01FFB"/>
    <w:rsid w:val="00A03736"/>
    <w:rsid w:val="00A0389A"/>
    <w:rsid w:val="00A05267"/>
    <w:rsid w:val="00A057C2"/>
    <w:rsid w:val="00A0597D"/>
    <w:rsid w:val="00A05C84"/>
    <w:rsid w:val="00A067AC"/>
    <w:rsid w:val="00A068DB"/>
    <w:rsid w:val="00A06DA1"/>
    <w:rsid w:val="00A07895"/>
    <w:rsid w:val="00A07CF9"/>
    <w:rsid w:val="00A10272"/>
    <w:rsid w:val="00A10BA7"/>
    <w:rsid w:val="00A10C7C"/>
    <w:rsid w:val="00A125C2"/>
    <w:rsid w:val="00A127B6"/>
    <w:rsid w:val="00A13493"/>
    <w:rsid w:val="00A13782"/>
    <w:rsid w:val="00A14004"/>
    <w:rsid w:val="00A1436D"/>
    <w:rsid w:val="00A14713"/>
    <w:rsid w:val="00A14773"/>
    <w:rsid w:val="00A149E8"/>
    <w:rsid w:val="00A14B9F"/>
    <w:rsid w:val="00A14F90"/>
    <w:rsid w:val="00A154A1"/>
    <w:rsid w:val="00A162F8"/>
    <w:rsid w:val="00A1654B"/>
    <w:rsid w:val="00A166F9"/>
    <w:rsid w:val="00A168F7"/>
    <w:rsid w:val="00A1718D"/>
    <w:rsid w:val="00A1737C"/>
    <w:rsid w:val="00A17945"/>
    <w:rsid w:val="00A2025B"/>
    <w:rsid w:val="00A2071B"/>
    <w:rsid w:val="00A2093F"/>
    <w:rsid w:val="00A20B97"/>
    <w:rsid w:val="00A21728"/>
    <w:rsid w:val="00A21D68"/>
    <w:rsid w:val="00A21F43"/>
    <w:rsid w:val="00A22598"/>
    <w:rsid w:val="00A2281A"/>
    <w:rsid w:val="00A22877"/>
    <w:rsid w:val="00A234E9"/>
    <w:rsid w:val="00A23B92"/>
    <w:rsid w:val="00A23CEF"/>
    <w:rsid w:val="00A23E5A"/>
    <w:rsid w:val="00A240B0"/>
    <w:rsid w:val="00A240EB"/>
    <w:rsid w:val="00A247EC"/>
    <w:rsid w:val="00A248C6"/>
    <w:rsid w:val="00A24DEF"/>
    <w:rsid w:val="00A25A56"/>
    <w:rsid w:val="00A25C90"/>
    <w:rsid w:val="00A2602E"/>
    <w:rsid w:val="00A263BB"/>
    <w:rsid w:val="00A271FF"/>
    <w:rsid w:val="00A27F66"/>
    <w:rsid w:val="00A27FA2"/>
    <w:rsid w:val="00A30C15"/>
    <w:rsid w:val="00A31664"/>
    <w:rsid w:val="00A319A4"/>
    <w:rsid w:val="00A3201B"/>
    <w:rsid w:val="00A3224B"/>
    <w:rsid w:val="00A3224E"/>
    <w:rsid w:val="00A32DCA"/>
    <w:rsid w:val="00A337F4"/>
    <w:rsid w:val="00A33D33"/>
    <w:rsid w:val="00A34232"/>
    <w:rsid w:val="00A34B84"/>
    <w:rsid w:val="00A34DC3"/>
    <w:rsid w:val="00A34F0F"/>
    <w:rsid w:val="00A3518B"/>
    <w:rsid w:val="00A35328"/>
    <w:rsid w:val="00A358CB"/>
    <w:rsid w:val="00A35A9A"/>
    <w:rsid w:val="00A36C68"/>
    <w:rsid w:val="00A36FC8"/>
    <w:rsid w:val="00A370F4"/>
    <w:rsid w:val="00A3782E"/>
    <w:rsid w:val="00A4040D"/>
    <w:rsid w:val="00A40A24"/>
    <w:rsid w:val="00A410E5"/>
    <w:rsid w:val="00A411DA"/>
    <w:rsid w:val="00A417D1"/>
    <w:rsid w:val="00A43131"/>
    <w:rsid w:val="00A44657"/>
    <w:rsid w:val="00A44874"/>
    <w:rsid w:val="00A46202"/>
    <w:rsid w:val="00A467C5"/>
    <w:rsid w:val="00A469CE"/>
    <w:rsid w:val="00A46E25"/>
    <w:rsid w:val="00A475E2"/>
    <w:rsid w:val="00A478E9"/>
    <w:rsid w:val="00A47E4E"/>
    <w:rsid w:val="00A50100"/>
    <w:rsid w:val="00A50A22"/>
    <w:rsid w:val="00A51668"/>
    <w:rsid w:val="00A51A23"/>
    <w:rsid w:val="00A51B70"/>
    <w:rsid w:val="00A52041"/>
    <w:rsid w:val="00A5245B"/>
    <w:rsid w:val="00A52698"/>
    <w:rsid w:val="00A52CB8"/>
    <w:rsid w:val="00A52F52"/>
    <w:rsid w:val="00A52FF2"/>
    <w:rsid w:val="00A53D7A"/>
    <w:rsid w:val="00A54082"/>
    <w:rsid w:val="00A543A8"/>
    <w:rsid w:val="00A54701"/>
    <w:rsid w:val="00A54AAD"/>
    <w:rsid w:val="00A54CEE"/>
    <w:rsid w:val="00A54D0D"/>
    <w:rsid w:val="00A5538F"/>
    <w:rsid w:val="00A55499"/>
    <w:rsid w:val="00A5561F"/>
    <w:rsid w:val="00A55E79"/>
    <w:rsid w:val="00A56132"/>
    <w:rsid w:val="00A5657E"/>
    <w:rsid w:val="00A56818"/>
    <w:rsid w:val="00A56A74"/>
    <w:rsid w:val="00A56A82"/>
    <w:rsid w:val="00A576AA"/>
    <w:rsid w:val="00A60314"/>
    <w:rsid w:val="00A60BE9"/>
    <w:rsid w:val="00A6189A"/>
    <w:rsid w:val="00A61B52"/>
    <w:rsid w:val="00A61C98"/>
    <w:rsid w:val="00A61F92"/>
    <w:rsid w:val="00A6295D"/>
    <w:rsid w:val="00A62BCF"/>
    <w:rsid w:val="00A62F64"/>
    <w:rsid w:val="00A6392B"/>
    <w:rsid w:val="00A6394A"/>
    <w:rsid w:val="00A63AD5"/>
    <w:rsid w:val="00A63EB3"/>
    <w:rsid w:val="00A641BF"/>
    <w:rsid w:val="00A64B0A"/>
    <w:rsid w:val="00A654B5"/>
    <w:rsid w:val="00A654E0"/>
    <w:rsid w:val="00A65E45"/>
    <w:rsid w:val="00A66084"/>
    <w:rsid w:val="00A665FF"/>
    <w:rsid w:val="00A673A3"/>
    <w:rsid w:val="00A718BE"/>
    <w:rsid w:val="00A71A26"/>
    <w:rsid w:val="00A71E54"/>
    <w:rsid w:val="00A723C0"/>
    <w:rsid w:val="00A727BA"/>
    <w:rsid w:val="00A72C22"/>
    <w:rsid w:val="00A73B15"/>
    <w:rsid w:val="00A73D87"/>
    <w:rsid w:val="00A73DFA"/>
    <w:rsid w:val="00A74CE4"/>
    <w:rsid w:val="00A75653"/>
    <w:rsid w:val="00A7573C"/>
    <w:rsid w:val="00A765E1"/>
    <w:rsid w:val="00A76A2B"/>
    <w:rsid w:val="00A77286"/>
    <w:rsid w:val="00A7780D"/>
    <w:rsid w:val="00A80C38"/>
    <w:rsid w:val="00A80D54"/>
    <w:rsid w:val="00A814F1"/>
    <w:rsid w:val="00A818E2"/>
    <w:rsid w:val="00A81FB4"/>
    <w:rsid w:val="00A81FF2"/>
    <w:rsid w:val="00A8253D"/>
    <w:rsid w:val="00A83124"/>
    <w:rsid w:val="00A83EC6"/>
    <w:rsid w:val="00A842F0"/>
    <w:rsid w:val="00A843EE"/>
    <w:rsid w:val="00A84A22"/>
    <w:rsid w:val="00A84C23"/>
    <w:rsid w:val="00A84E3D"/>
    <w:rsid w:val="00A84F40"/>
    <w:rsid w:val="00A85AA9"/>
    <w:rsid w:val="00A86258"/>
    <w:rsid w:val="00A86B7A"/>
    <w:rsid w:val="00A87559"/>
    <w:rsid w:val="00A90799"/>
    <w:rsid w:val="00A90E7D"/>
    <w:rsid w:val="00A9188F"/>
    <w:rsid w:val="00A91DAB"/>
    <w:rsid w:val="00A92224"/>
    <w:rsid w:val="00A92B8E"/>
    <w:rsid w:val="00A92E5E"/>
    <w:rsid w:val="00A93B94"/>
    <w:rsid w:val="00A943F4"/>
    <w:rsid w:val="00A950E4"/>
    <w:rsid w:val="00A952BB"/>
    <w:rsid w:val="00A96094"/>
    <w:rsid w:val="00A96619"/>
    <w:rsid w:val="00A970E5"/>
    <w:rsid w:val="00A97C49"/>
    <w:rsid w:val="00A97CCA"/>
    <w:rsid w:val="00A97F63"/>
    <w:rsid w:val="00AA049A"/>
    <w:rsid w:val="00AA0B5B"/>
    <w:rsid w:val="00AA0BC2"/>
    <w:rsid w:val="00AA0F1A"/>
    <w:rsid w:val="00AA12C2"/>
    <w:rsid w:val="00AA162F"/>
    <w:rsid w:val="00AA1F39"/>
    <w:rsid w:val="00AA298A"/>
    <w:rsid w:val="00AA2BDF"/>
    <w:rsid w:val="00AA2E78"/>
    <w:rsid w:val="00AA3737"/>
    <w:rsid w:val="00AA38C1"/>
    <w:rsid w:val="00AA4BD3"/>
    <w:rsid w:val="00AA4F53"/>
    <w:rsid w:val="00AA5CAB"/>
    <w:rsid w:val="00AA5EBA"/>
    <w:rsid w:val="00AA67F2"/>
    <w:rsid w:val="00AA6BBC"/>
    <w:rsid w:val="00AA6BD5"/>
    <w:rsid w:val="00AA6CCF"/>
    <w:rsid w:val="00AA6E52"/>
    <w:rsid w:val="00AA7976"/>
    <w:rsid w:val="00AB04EF"/>
    <w:rsid w:val="00AB09B4"/>
    <w:rsid w:val="00AB0B07"/>
    <w:rsid w:val="00AB15E7"/>
    <w:rsid w:val="00AB209C"/>
    <w:rsid w:val="00AB28B8"/>
    <w:rsid w:val="00AB2A8D"/>
    <w:rsid w:val="00AB2B08"/>
    <w:rsid w:val="00AB34FC"/>
    <w:rsid w:val="00AB3B02"/>
    <w:rsid w:val="00AB3D0C"/>
    <w:rsid w:val="00AB453F"/>
    <w:rsid w:val="00AB5255"/>
    <w:rsid w:val="00AB5777"/>
    <w:rsid w:val="00AB57F4"/>
    <w:rsid w:val="00AB59AB"/>
    <w:rsid w:val="00AB6021"/>
    <w:rsid w:val="00AB67DF"/>
    <w:rsid w:val="00AB6833"/>
    <w:rsid w:val="00AB6837"/>
    <w:rsid w:val="00AB6D0F"/>
    <w:rsid w:val="00AB7018"/>
    <w:rsid w:val="00AB75A6"/>
    <w:rsid w:val="00AB7B01"/>
    <w:rsid w:val="00AC01D7"/>
    <w:rsid w:val="00AC1AC7"/>
    <w:rsid w:val="00AC25D1"/>
    <w:rsid w:val="00AC38CE"/>
    <w:rsid w:val="00AC3CE6"/>
    <w:rsid w:val="00AC3D67"/>
    <w:rsid w:val="00AC463C"/>
    <w:rsid w:val="00AC58D7"/>
    <w:rsid w:val="00AC58E0"/>
    <w:rsid w:val="00AC5A85"/>
    <w:rsid w:val="00AC5B8D"/>
    <w:rsid w:val="00AC5F5E"/>
    <w:rsid w:val="00AC6453"/>
    <w:rsid w:val="00AC7A09"/>
    <w:rsid w:val="00AD012B"/>
    <w:rsid w:val="00AD027C"/>
    <w:rsid w:val="00AD0984"/>
    <w:rsid w:val="00AD111F"/>
    <w:rsid w:val="00AD1680"/>
    <w:rsid w:val="00AD16E4"/>
    <w:rsid w:val="00AD173D"/>
    <w:rsid w:val="00AD1A73"/>
    <w:rsid w:val="00AD1B70"/>
    <w:rsid w:val="00AD1BC5"/>
    <w:rsid w:val="00AD2722"/>
    <w:rsid w:val="00AD28B8"/>
    <w:rsid w:val="00AD313D"/>
    <w:rsid w:val="00AD321C"/>
    <w:rsid w:val="00AD343E"/>
    <w:rsid w:val="00AD385E"/>
    <w:rsid w:val="00AD38FC"/>
    <w:rsid w:val="00AD3AC1"/>
    <w:rsid w:val="00AD3AFD"/>
    <w:rsid w:val="00AD491E"/>
    <w:rsid w:val="00AD4B42"/>
    <w:rsid w:val="00AD53B5"/>
    <w:rsid w:val="00AD5542"/>
    <w:rsid w:val="00AD5996"/>
    <w:rsid w:val="00AD5A4F"/>
    <w:rsid w:val="00AD624C"/>
    <w:rsid w:val="00AD658D"/>
    <w:rsid w:val="00AD65B0"/>
    <w:rsid w:val="00AD69E8"/>
    <w:rsid w:val="00AD6A39"/>
    <w:rsid w:val="00AD6B7E"/>
    <w:rsid w:val="00AD6E2D"/>
    <w:rsid w:val="00AD712C"/>
    <w:rsid w:val="00AD7522"/>
    <w:rsid w:val="00AD77DB"/>
    <w:rsid w:val="00AD78BB"/>
    <w:rsid w:val="00AD7EBE"/>
    <w:rsid w:val="00AE0206"/>
    <w:rsid w:val="00AE02ED"/>
    <w:rsid w:val="00AE04C5"/>
    <w:rsid w:val="00AE0B9E"/>
    <w:rsid w:val="00AE1241"/>
    <w:rsid w:val="00AE1244"/>
    <w:rsid w:val="00AE1A45"/>
    <w:rsid w:val="00AE1C0F"/>
    <w:rsid w:val="00AE1D24"/>
    <w:rsid w:val="00AE20DE"/>
    <w:rsid w:val="00AE2698"/>
    <w:rsid w:val="00AE2E96"/>
    <w:rsid w:val="00AE4841"/>
    <w:rsid w:val="00AE560C"/>
    <w:rsid w:val="00AE566E"/>
    <w:rsid w:val="00AE6DD5"/>
    <w:rsid w:val="00AE738B"/>
    <w:rsid w:val="00AE7748"/>
    <w:rsid w:val="00AE799A"/>
    <w:rsid w:val="00AE7A8F"/>
    <w:rsid w:val="00AF0AFC"/>
    <w:rsid w:val="00AF262F"/>
    <w:rsid w:val="00AF27BE"/>
    <w:rsid w:val="00AF2E5D"/>
    <w:rsid w:val="00AF35BA"/>
    <w:rsid w:val="00AF3607"/>
    <w:rsid w:val="00AF37D5"/>
    <w:rsid w:val="00AF3A9B"/>
    <w:rsid w:val="00AF3FDE"/>
    <w:rsid w:val="00AF4C2B"/>
    <w:rsid w:val="00AF4CD4"/>
    <w:rsid w:val="00AF5366"/>
    <w:rsid w:val="00AF56E5"/>
    <w:rsid w:val="00AF59B7"/>
    <w:rsid w:val="00AF5F9E"/>
    <w:rsid w:val="00AF65B5"/>
    <w:rsid w:val="00AF6BC5"/>
    <w:rsid w:val="00AF7479"/>
    <w:rsid w:val="00AF76D2"/>
    <w:rsid w:val="00AF7819"/>
    <w:rsid w:val="00AF7849"/>
    <w:rsid w:val="00AF7E45"/>
    <w:rsid w:val="00B00719"/>
    <w:rsid w:val="00B014E5"/>
    <w:rsid w:val="00B01BA1"/>
    <w:rsid w:val="00B029D5"/>
    <w:rsid w:val="00B02AE8"/>
    <w:rsid w:val="00B02B8E"/>
    <w:rsid w:val="00B04604"/>
    <w:rsid w:val="00B04BB1"/>
    <w:rsid w:val="00B05489"/>
    <w:rsid w:val="00B05693"/>
    <w:rsid w:val="00B0595B"/>
    <w:rsid w:val="00B05A0E"/>
    <w:rsid w:val="00B05CCE"/>
    <w:rsid w:val="00B0605F"/>
    <w:rsid w:val="00B068DD"/>
    <w:rsid w:val="00B06F4E"/>
    <w:rsid w:val="00B06F8D"/>
    <w:rsid w:val="00B071A3"/>
    <w:rsid w:val="00B07975"/>
    <w:rsid w:val="00B101F2"/>
    <w:rsid w:val="00B10F8D"/>
    <w:rsid w:val="00B10FC1"/>
    <w:rsid w:val="00B1137A"/>
    <w:rsid w:val="00B113B2"/>
    <w:rsid w:val="00B120A6"/>
    <w:rsid w:val="00B1242D"/>
    <w:rsid w:val="00B12EB3"/>
    <w:rsid w:val="00B1407F"/>
    <w:rsid w:val="00B148C8"/>
    <w:rsid w:val="00B14B13"/>
    <w:rsid w:val="00B14E5F"/>
    <w:rsid w:val="00B14FEE"/>
    <w:rsid w:val="00B150C5"/>
    <w:rsid w:val="00B15AAB"/>
    <w:rsid w:val="00B16600"/>
    <w:rsid w:val="00B169A7"/>
    <w:rsid w:val="00B16AA4"/>
    <w:rsid w:val="00B173C4"/>
    <w:rsid w:val="00B20049"/>
    <w:rsid w:val="00B200B0"/>
    <w:rsid w:val="00B2038A"/>
    <w:rsid w:val="00B20436"/>
    <w:rsid w:val="00B20B06"/>
    <w:rsid w:val="00B21351"/>
    <w:rsid w:val="00B2195E"/>
    <w:rsid w:val="00B2216C"/>
    <w:rsid w:val="00B22236"/>
    <w:rsid w:val="00B22290"/>
    <w:rsid w:val="00B222DE"/>
    <w:rsid w:val="00B2281D"/>
    <w:rsid w:val="00B22871"/>
    <w:rsid w:val="00B22961"/>
    <w:rsid w:val="00B22F7E"/>
    <w:rsid w:val="00B2323B"/>
    <w:rsid w:val="00B23FCC"/>
    <w:rsid w:val="00B24CC8"/>
    <w:rsid w:val="00B24D64"/>
    <w:rsid w:val="00B253EB"/>
    <w:rsid w:val="00B25711"/>
    <w:rsid w:val="00B26B92"/>
    <w:rsid w:val="00B26CAA"/>
    <w:rsid w:val="00B26D44"/>
    <w:rsid w:val="00B272D2"/>
    <w:rsid w:val="00B279AF"/>
    <w:rsid w:val="00B3013E"/>
    <w:rsid w:val="00B31A55"/>
    <w:rsid w:val="00B31C30"/>
    <w:rsid w:val="00B329EF"/>
    <w:rsid w:val="00B3309B"/>
    <w:rsid w:val="00B3331F"/>
    <w:rsid w:val="00B335AA"/>
    <w:rsid w:val="00B34359"/>
    <w:rsid w:val="00B34771"/>
    <w:rsid w:val="00B349C5"/>
    <w:rsid w:val="00B35951"/>
    <w:rsid w:val="00B35B28"/>
    <w:rsid w:val="00B361A7"/>
    <w:rsid w:val="00B37290"/>
    <w:rsid w:val="00B376E0"/>
    <w:rsid w:val="00B4004C"/>
    <w:rsid w:val="00B40548"/>
    <w:rsid w:val="00B40740"/>
    <w:rsid w:val="00B41BB7"/>
    <w:rsid w:val="00B41C20"/>
    <w:rsid w:val="00B41C9D"/>
    <w:rsid w:val="00B421B7"/>
    <w:rsid w:val="00B42FDE"/>
    <w:rsid w:val="00B433FD"/>
    <w:rsid w:val="00B4430E"/>
    <w:rsid w:val="00B45A3F"/>
    <w:rsid w:val="00B45F03"/>
    <w:rsid w:val="00B465F2"/>
    <w:rsid w:val="00B46A42"/>
    <w:rsid w:val="00B46F35"/>
    <w:rsid w:val="00B501CA"/>
    <w:rsid w:val="00B502F0"/>
    <w:rsid w:val="00B50808"/>
    <w:rsid w:val="00B50810"/>
    <w:rsid w:val="00B50B0C"/>
    <w:rsid w:val="00B51384"/>
    <w:rsid w:val="00B516F8"/>
    <w:rsid w:val="00B52053"/>
    <w:rsid w:val="00B525E6"/>
    <w:rsid w:val="00B52F4D"/>
    <w:rsid w:val="00B533C3"/>
    <w:rsid w:val="00B53F7C"/>
    <w:rsid w:val="00B5410C"/>
    <w:rsid w:val="00B54683"/>
    <w:rsid w:val="00B54739"/>
    <w:rsid w:val="00B54BA2"/>
    <w:rsid w:val="00B54D71"/>
    <w:rsid w:val="00B54FF5"/>
    <w:rsid w:val="00B55D0C"/>
    <w:rsid w:val="00B55D64"/>
    <w:rsid w:val="00B563A1"/>
    <w:rsid w:val="00B56685"/>
    <w:rsid w:val="00B57190"/>
    <w:rsid w:val="00B579DC"/>
    <w:rsid w:val="00B57A41"/>
    <w:rsid w:val="00B57D67"/>
    <w:rsid w:val="00B600D5"/>
    <w:rsid w:val="00B61367"/>
    <w:rsid w:val="00B61A0B"/>
    <w:rsid w:val="00B61A60"/>
    <w:rsid w:val="00B62060"/>
    <w:rsid w:val="00B6214B"/>
    <w:rsid w:val="00B625B1"/>
    <w:rsid w:val="00B62EED"/>
    <w:rsid w:val="00B6341E"/>
    <w:rsid w:val="00B639A6"/>
    <w:rsid w:val="00B63CAC"/>
    <w:rsid w:val="00B63F8F"/>
    <w:rsid w:val="00B63FBB"/>
    <w:rsid w:val="00B65026"/>
    <w:rsid w:val="00B65655"/>
    <w:rsid w:val="00B65A13"/>
    <w:rsid w:val="00B65B5D"/>
    <w:rsid w:val="00B66061"/>
    <w:rsid w:val="00B67275"/>
    <w:rsid w:val="00B674A0"/>
    <w:rsid w:val="00B67D88"/>
    <w:rsid w:val="00B67E0B"/>
    <w:rsid w:val="00B700D4"/>
    <w:rsid w:val="00B7089B"/>
    <w:rsid w:val="00B70982"/>
    <w:rsid w:val="00B70C98"/>
    <w:rsid w:val="00B71759"/>
    <w:rsid w:val="00B71AC5"/>
    <w:rsid w:val="00B7248A"/>
    <w:rsid w:val="00B72B4B"/>
    <w:rsid w:val="00B72F41"/>
    <w:rsid w:val="00B73865"/>
    <w:rsid w:val="00B73BB6"/>
    <w:rsid w:val="00B75126"/>
    <w:rsid w:val="00B75B07"/>
    <w:rsid w:val="00B760BB"/>
    <w:rsid w:val="00B76461"/>
    <w:rsid w:val="00B76764"/>
    <w:rsid w:val="00B77642"/>
    <w:rsid w:val="00B77CE8"/>
    <w:rsid w:val="00B802B8"/>
    <w:rsid w:val="00B81606"/>
    <w:rsid w:val="00B81E37"/>
    <w:rsid w:val="00B81E53"/>
    <w:rsid w:val="00B81F1F"/>
    <w:rsid w:val="00B820B9"/>
    <w:rsid w:val="00B820E0"/>
    <w:rsid w:val="00B82AF1"/>
    <w:rsid w:val="00B8411E"/>
    <w:rsid w:val="00B85089"/>
    <w:rsid w:val="00B856BB"/>
    <w:rsid w:val="00B8575E"/>
    <w:rsid w:val="00B85C12"/>
    <w:rsid w:val="00B85C69"/>
    <w:rsid w:val="00B86B98"/>
    <w:rsid w:val="00B86FE6"/>
    <w:rsid w:val="00B87610"/>
    <w:rsid w:val="00B87A2D"/>
    <w:rsid w:val="00B90B6D"/>
    <w:rsid w:val="00B90F39"/>
    <w:rsid w:val="00B91292"/>
    <w:rsid w:val="00B913ED"/>
    <w:rsid w:val="00B91579"/>
    <w:rsid w:val="00B91DFB"/>
    <w:rsid w:val="00B91ED5"/>
    <w:rsid w:val="00B926CC"/>
    <w:rsid w:val="00B92951"/>
    <w:rsid w:val="00B92B88"/>
    <w:rsid w:val="00B92D3B"/>
    <w:rsid w:val="00B94E37"/>
    <w:rsid w:val="00B94ED1"/>
    <w:rsid w:val="00B94FDB"/>
    <w:rsid w:val="00B950F4"/>
    <w:rsid w:val="00B959CE"/>
    <w:rsid w:val="00B97211"/>
    <w:rsid w:val="00B973E1"/>
    <w:rsid w:val="00B975C8"/>
    <w:rsid w:val="00B9794B"/>
    <w:rsid w:val="00B97CC0"/>
    <w:rsid w:val="00BA014B"/>
    <w:rsid w:val="00BA03E8"/>
    <w:rsid w:val="00BA049B"/>
    <w:rsid w:val="00BA083C"/>
    <w:rsid w:val="00BA1757"/>
    <w:rsid w:val="00BA3AF9"/>
    <w:rsid w:val="00BA3ECD"/>
    <w:rsid w:val="00BA4B04"/>
    <w:rsid w:val="00BA5B77"/>
    <w:rsid w:val="00BA5BD5"/>
    <w:rsid w:val="00BA5D9B"/>
    <w:rsid w:val="00BA67DB"/>
    <w:rsid w:val="00BA6BAF"/>
    <w:rsid w:val="00BA7557"/>
    <w:rsid w:val="00BA7CE8"/>
    <w:rsid w:val="00BB0831"/>
    <w:rsid w:val="00BB110F"/>
    <w:rsid w:val="00BB114C"/>
    <w:rsid w:val="00BB2268"/>
    <w:rsid w:val="00BB28B7"/>
    <w:rsid w:val="00BB28C8"/>
    <w:rsid w:val="00BB2AA5"/>
    <w:rsid w:val="00BB2FF3"/>
    <w:rsid w:val="00BB3423"/>
    <w:rsid w:val="00BB3BEA"/>
    <w:rsid w:val="00BB4572"/>
    <w:rsid w:val="00BB5DB0"/>
    <w:rsid w:val="00BB61F8"/>
    <w:rsid w:val="00BB70CB"/>
    <w:rsid w:val="00BB7BC0"/>
    <w:rsid w:val="00BC028E"/>
    <w:rsid w:val="00BC05AC"/>
    <w:rsid w:val="00BC09D5"/>
    <w:rsid w:val="00BC0C8E"/>
    <w:rsid w:val="00BC0F87"/>
    <w:rsid w:val="00BC1DED"/>
    <w:rsid w:val="00BC318C"/>
    <w:rsid w:val="00BC31A6"/>
    <w:rsid w:val="00BC3600"/>
    <w:rsid w:val="00BC3BB0"/>
    <w:rsid w:val="00BC3D98"/>
    <w:rsid w:val="00BC400E"/>
    <w:rsid w:val="00BC53FC"/>
    <w:rsid w:val="00BC6115"/>
    <w:rsid w:val="00BC794F"/>
    <w:rsid w:val="00BD006F"/>
    <w:rsid w:val="00BD029C"/>
    <w:rsid w:val="00BD02E1"/>
    <w:rsid w:val="00BD057E"/>
    <w:rsid w:val="00BD0595"/>
    <w:rsid w:val="00BD1401"/>
    <w:rsid w:val="00BD1900"/>
    <w:rsid w:val="00BD19D3"/>
    <w:rsid w:val="00BD2504"/>
    <w:rsid w:val="00BD2542"/>
    <w:rsid w:val="00BD4BD1"/>
    <w:rsid w:val="00BD558E"/>
    <w:rsid w:val="00BD5730"/>
    <w:rsid w:val="00BD5B89"/>
    <w:rsid w:val="00BD6A49"/>
    <w:rsid w:val="00BD6CAC"/>
    <w:rsid w:val="00BD75C1"/>
    <w:rsid w:val="00BD77A4"/>
    <w:rsid w:val="00BD78BC"/>
    <w:rsid w:val="00BE01E1"/>
    <w:rsid w:val="00BE0259"/>
    <w:rsid w:val="00BE0387"/>
    <w:rsid w:val="00BE0A8B"/>
    <w:rsid w:val="00BE0D62"/>
    <w:rsid w:val="00BE0DF4"/>
    <w:rsid w:val="00BE150A"/>
    <w:rsid w:val="00BE1CF5"/>
    <w:rsid w:val="00BE1F76"/>
    <w:rsid w:val="00BE3AC3"/>
    <w:rsid w:val="00BE3C65"/>
    <w:rsid w:val="00BE41E9"/>
    <w:rsid w:val="00BE494A"/>
    <w:rsid w:val="00BE4B31"/>
    <w:rsid w:val="00BE50E4"/>
    <w:rsid w:val="00BE58FA"/>
    <w:rsid w:val="00BE599C"/>
    <w:rsid w:val="00BE65E7"/>
    <w:rsid w:val="00BE66EB"/>
    <w:rsid w:val="00BE6E65"/>
    <w:rsid w:val="00BF0C43"/>
    <w:rsid w:val="00BF1000"/>
    <w:rsid w:val="00BF19F1"/>
    <w:rsid w:val="00BF1EDD"/>
    <w:rsid w:val="00BF2041"/>
    <w:rsid w:val="00BF2773"/>
    <w:rsid w:val="00BF2AAF"/>
    <w:rsid w:val="00BF41A3"/>
    <w:rsid w:val="00BF4890"/>
    <w:rsid w:val="00BF4B76"/>
    <w:rsid w:val="00BF65AB"/>
    <w:rsid w:val="00BF6C09"/>
    <w:rsid w:val="00BF7E2D"/>
    <w:rsid w:val="00BF7EA8"/>
    <w:rsid w:val="00BF7FCC"/>
    <w:rsid w:val="00C00AB2"/>
    <w:rsid w:val="00C00B0C"/>
    <w:rsid w:val="00C011DE"/>
    <w:rsid w:val="00C012C2"/>
    <w:rsid w:val="00C01B03"/>
    <w:rsid w:val="00C01F06"/>
    <w:rsid w:val="00C01FA8"/>
    <w:rsid w:val="00C01FCA"/>
    <w:rsid w:val="00C02A72"/>
    <w:rsid w:val="00C037F0"/>
    <w:rsid w:val="00C041AD"/>
    <w:rsid w:val="00C041F3"/>
    <w:rsid w:val="00C044C3"/>
    <w:rsid w:val="00C0587F"/>
    <w:rsid w:val="00C059AE"/>
    <w:rsid w:val="00C05B6F"/>
    <w:rsid w:val="00C07905"/>
    <w:rsid w:val="00C07D63"/>
    <w:rsid w:val="00C07E50"/>
    <w:rsid w:val="00C1007A"/>
    <w:rsid w:val="00C1008B"/>
    <w:rsid w:val="00C10D3C"/>
    <w:rsid w:val="00C11219"/>
    <w:rsid w:val="00C1182F"/>
    <w:rsid w:val="00C11C89"/>
    <w:rsid w:val="00C11DFE"/>
    <w:rsid w:val="00C1232B"/>
    <w:rsid w:val="00C1241D"/>
    <w:rsid w:val="00C12593"/>
    <w:rsid w:val="00C12659"/>
    <w:rsid w:val="00C12855"/>
    <w:rsid w:val="00C12AF9"/>
    <w:rsid w:val="00C136DF"/>
    <w:rsid w:val="00C13D8F"/>
    <w:rsid w:val="00C13E25"/>
    <w:rsid w:val="00C14681"/>
    <w:rsid w:val="00C153F4"/>
    <w:rsid w:val="00C161D9"/>
    <w:rsid w:val="00C16840"/>
    <w:rsid w:val="00C174A8"/>
    <w:rsid w:val="00C17780"/>
    <w:rsid w:val="00C17808"/>
    <w:rsid w:val="00C1799C"/>
    <w:rsid w:val="00C17C06"/>
    <w:rsid w:val="00C201A5"/>
    <w:rsid w:val="00C204FD"/>
    <w:rsid w:val="00C2068B"/>
    <w:rsid w:val="00C2174F"/>
    <w:rsid w:val="00C229E1"/>
    <w:rsid w:val="00C23602"/>
    <w:rsid w:val="00C23E59"/>
    <w:rsid w:val="00C2410D"/>
    <w:rsid w:val="00C25D19"/>
    <w:rsid w:val="00C25E6F"/>
    <w:rsid w:val="00C26993"/>
    <w:rsid w:val="00C276F6"/>
    <w:rsid w:val="00C27A0F"/>
    <w:rsid w:val="00C308B5"/>
    <w:rsid w:val="00C30A45"/>
    <w:rsid w:val="00C30D60"/>
    <w:rsid w:val="00C30D62"/>
    <w:rsid w:val="00C3106F"/>
    <w:rsid w:val="00C31563"/>
    <w:rsid w:val="00C31B04"/>
    <w:rsid w:val="00C31E1F"/>
    <w:rsid w:val="00C322FF"/>
    <w:rsid w:val="00C32A96"/>
    <w:rsid w:val="00C33607"/>
    <w:rsid w:val="00C33E54"/>
    <w:rsid w:val="00C34377"/>
    <w:rsid w:val="00C34390"/>
    <w:rsid w:val="00C34664"/>
    <w:rsid w:val="00C3489E"/>
    <w:rsid w:val="00C353A1"/>
    <w:rsid w:val="00C35427"/>
    <w:rsid w:val="00C35A37"/>
    <w:rsid w:val="00C35D53"/>
    <w:rsid w:val="00C36C9E"/>
    <w:rsid w:val="00C37007"/>
    <w:rsid w:val="00C370AB"/>
    <w:rsid w:val="00C37210"/>
    <w:rsid w:val="00C373DF"/>
    <w:rsid w:val="00C37637"/>
    <w:rsid w:val="00C37757"/>
    <w:rsid w:val="00C37A04"/>
    <w:rsid w:val="00C37A9C"/>
    <w:rsid w:val="00C37CC2"/>
    <w:rsid w:val="00C37F4E"/>
    <w:rsid w:val="00C404FA"/>
    <w:rsid w:val="00C40904"/>
    <w:rsid w:val="00C409D6"/>
    <w:rsid w:val="00C40A96"/>
    <w:rsid w:val="00C426A4"/>
    <w:rsid w:val="00C42E0D"/>
    <w:rsid w:val="00C43126"/>
    <w:rsid w:val="00C435C7"/>
    <w:rsid w:val="00C436F3"/>
    <w:rsid w:val="00C44B4A"/>
    <w:rsid w:val="00C458A6"/>
    <w:rsid w:val="00C45E4C"/>
    <w:rsid w:val="00C47468"/>
    <w:rsid w:val="00C4756C"/>
    <w:rsid w:val="00C4760A"/>
    <w:rsid w:val="00C47709"/>
    <w:rsid w:val="00C47EAF"/>
    <w:rsid w:val="00C509F1"/>
    <w:rsid w:val="00C50A93"/>
    <w:rsid w:val="00C50F3C"/>
    <w:rsid w:val="00C50F70"/>
    <w:rsid w:val="00C513FD"/>
    <w:rsid w:val="00C51AC9"/>
    <w:rsid w:val="00C52168"/>
    <w:rsid w:val="00C52E75"/>
    <w:rsid w:val="00C53060"/>
    <w:rsid w:val="00C530C7"/>
    <w:rsid w:val="00C54560"/>
    <w:rsid w:val="00C549DD"/>
    <w:rsid w:val="00C54E9F"/>
    <w:rsid w:val="00C552D1"/>
    <w:rsid w:val="00C55338"/>
    <w:rsid w:val="00C56454"/>
    <w:rsid w:val="00C564E6"/>
    <w:rsid w:val="00C60416"/>
    <w:rsid w:val="00C6182E"/>
    <w:rsid w:val="00C629DC"/>
    <w:rsid w:val="00C62C74"/>
    <w:rsid w:val="00C65779"/>
    <w:rsid w:val="00C65A64"/>
    <w:rsid w:val="00C65AC8"/>
    <w:rsid w:val="00C65C4A"/>
    <w:rsid w:val="00C6731D"/>
    <w:rsid w:val="00C67526"/>
    <w:rsid w:val="00C70494"/>
    <w:rsid w:val="00C70778"/>
    <w:rsid w:val="00C710A7"/>
    <w:rsid w:val="00C710AF"/>
    <w:rsid w:val="00C7202D"/>
    <w:rsid w:val="00C7276E"/>
    <w:rsid w:val="00C727C1"/>
    <w:rsid w:val="00C727CF"/>
    <w:rsid w:val="00C7385A"/>
    <w:rsid w:val="00C73EEC"/>
    <w:rsid w:val="00C74C5A"/>
    <w:rsid w:val="00C74D4A"/>
    <w:rsid w:val="00C74E4A"/>
    <w:rsid w:val="00C75D78"/>
    <w:rsid w:val="00C75F2B"/>
    <w:rsid w:val="00C77AE2"/>
    <w:rsid w:val="00C77D95"/>
    <w:rsid w:val="00C77DA7"/>
    <w:rsid w:val="00C77E13"/>
    <w:rsid w:val="00C809E6"/>
    <w:rsid w:val="00C80B74"/>
    <w:rsid w:val="00C819C0"/>
    <w:rsid w:val="00C82A94"/>
    <w:rsid w:val="00C82C46"/>
    <w:rsid w:val="00C82DC4"/>
    <w:rsid w:val="00C83076"/>
    <w:rsid w:val="00C8424D"/>
    <w:rsid w:val="00C84443"/>
    <w:rsid w:val="00C84465"/>
    <w:rsid w:val="00C84EC3"/>
    <w:rsid w:val="00C85A15"/>
    <w:rsid w:val="00C868B9"/>
    <w:rsid w:val="00C868FD"/>
    <w:rsid w:val="00C86A47"/>
    <w:rsid w:val="00C86FAE"/>
    <w:rsid w:val="00C9005F"/>
    <w:rsid w:val="00C904AD"/>
    <w:rsid w:val="00C90A53"/>
    <w:rsid w:val="00C90A8D"/>
    <w:rsid w:val="00C91241"/>
    <w:rsid w:val="00C91537"/>
    <w:rsid w:val="00C91D56"/>
    <w:rsid w:val="00C91F24"/>
    <w:rsid w:val="00C91FF7"/>
    <w:rsid w:val="00C9288D"/>
    <w:rsid w:val="00C92C18"/>
    <w:rsid w:val="00C933BE"/>
    <w:rsid w:val="00C9413E"/>
    <w:rsid w:val="00C943C6"/>
    <w:rsid w:val="00C9459C"/>
    <w:rsid w:val="00C94B44"/>
    <w:rsid w:val="00C9507B"/>
    <w:rsid w:val="00C950A9"/>
    <w:rsid w:val="00C9544E"/>
    <w:rsid w:val="00C95783"/>
    <w:rsid w:val="00C959DE"/>
    <w:rsid w:val="00C970D2"/>
    <w:rsid w:val="00C97457"/>
    <w:rsid w:val="00C976F5"/>
    <w:rsid w:val="00C97941"/>
    <w:rsid w:val="00CA017B"/>
    <w:rsid w:val="00CA041E"/>
    <w:rsid w:val="00CA045C"/>
    <w:rsid w:val="00CA13F2"/>
    <w:rsid w:val="00CA15D0"/>
    <w:rsid w:val="00CA15D9"/>
    <w:rsid w:val="00CA1C77"/>
    <w:rsid w:val="00CA2152"/>
    <w:rsid w:val="00CA2868"/>
    <w:rsid w:val="00CA29E0"/>
    <w:rsid w:val="00CA318A"/>
    <w:rsid w:val="00CA319E"/>
    <w:rsid w:val="00CA31B0"/>
    <w:rsid w:val="00CA3241"/>
    <w:rsid w:val="00CA3604"/>
    <w:rsid w:val="00CA367C"/>
    <w:rsid w:val="00CA3FED"/>
    <w:rsid w:val="00CA45B9"/>
    <w:rsid w:val="00CA484C"/>
    <w:rsid w:val="00CA4BAB"/>
    <w:rsid w:val="00CA4BDA"/>
    <w:rsid w:val="00CA59F2"/>
    <w:rsid w:val="00CA5AAA"/>
    <w:rsid w:val="00CA6376"/>
    <w:rsid w:val="00CA6F89"/>
    <w:rsid w:val="00CA7495"/>
    <w:rsid w:val="00CA7513"/>
    <w:rsid w:val="00CB0588"/>
    <w:rsid w:val="00CB0D08"/>
    <w:rsid w:val="00CB103D"/>
    <w:rsid w:val="00CB13A2"/>
    <w:rsid w:val="00CB24E1"/>
    <w:rsid w:val="00CB2879"/>
    <w:rsid w:val="00CB41F3"/>
    <w:rsid w:val="00CB42ED"/>
    <w:rsid w:val="00CB4364"/>
    <w:rsid w:val="00CB5D40"/>
    <w:rsid w:val="00CB7979"/>
    <w:rsid w:val="00CB7B5C"/>
    <w:rsid w:val="00CC091A"/>
    <w:rsid w:val="00CC0CE9"/>
    <w:rsid w:val="00CC0F05"/>
    <w:rsid w:val="00CC10B5"/>
    <w:rsid w:val="00CC13CD"/>
    <w:rsid w:val="00CC1723"/>
    <w:rsid w:val="00CC2005"/>
    <w:rsid w:val="00CC39B4"/>
    <w:rsid w:val="00CC3C17"/>
    <w:rsid w:val="00CC41E8"/>
    <w:rsid w:val="00CC4DCB"/>
    <w:rsid w:val="00CC4F0D"/>
    <w:rsid w:val="00CC5490"/>
    <w:rsid w:val="00CC6112"/>
    <w:rsid w:val="00CC6B5A"/>
    <w:rsid w:val="00CC7829"/>
    <w:rsid w:val="00CC78F7"/>
    <w:rsid w:val="00CC7CAA"/>
    <w:rsid w:val="00CD0548"/>
    <w:rsid w:val="00CD0B9F"/>
    <w:rsid w:val="00CD0CA5"/>
    <w:rsid w:val="00CD0FEE"/>
    <w:rsid w:val="00CD1505"/>
    <w:rsid w:val="00CD16BA"/>
    <w:rsid w:val="00CD192B"/>
    <w:rsid w:val="00CD1FCA"/>
    <w:rsid w:val="00CD2427"/>
    <w:rsid w:val="00CD24A4"/>
    <w:rsid w:val="00CD2A77"/>
    <w:rsid w:val="00CD2E6B"/>
    <w:rsid w:val="00CD3EFF"/>
    <w:rsid w:val="00CD4834"/>
    <w:rsid w:val="00CD4FCC"/>
    <w:rsid w:val="00CD55CF"/>
    <w:rsid w:val="00CD58B5"/>
    <w:rsid w:val="00CD59D3"/>
    <w:rsid w:val="00CD69E6"/>
    <w:rsid w:val="00CD6ABA"/>
    <w:rsid w:val="00CD7261"/>
    <w:rsid w:val="00CD75A6"/>
    <w:rsid w:val="00CD76C6"/>
    <w:rsid w:val="00CD780F"/>
    <w:rsid w:val="00CE103A"/>
    <w:rsid w:val="00CE2D30"/>
    <w:rsid w:val="00CE32C1"/>
    <w:rsid w:val="00CE376B"/>
    <w:rsid w:val="00CE3C43"/>
    <w:rsid w:val="00CE3E55"/>
    <w:rsid w:val="00CE450D"/>
    <w:rsid w:val="00CE4CBD"/>
    <w:rsid w:val="00CE506E"/>
    <w:rsid w:val="00CE511D"/>
    <w:rsid w:val="00CE5768"/>
    <w:rsid w:val="00CE5D4F"/>
    <w:rsid w:val="00CE671A"/>
    <w:rsid w:val="00CE6BB1"/>
    <w:rsid w:val="00CE6BB4"/>
    <w:rsid w:val="00CE70CB"/>
    <w:rsid w:val="00CE7D75"/>
    <w:rsid w:val="00CF0EE2"/>
    <w:rsid w:val="00CF14EA"/>
    <w:rsid w:val="00CF1AAA"/>
    <w:rsid w:val="00CF1B33"/>
    <w:rsid w:val="00CF2264"/>
    <w:rsid w:val="00CF288A"/>
    <w:rsid w:val="00CF2A11"/>
    <w:rsid w:val="00CF2CB5"/>
    <w:rsid w:val="00CF31D8"/>
    <w:rsid w:val="00CF3E10"/>
    <w:rsid w:val="00CF4650"/>
    <w:rsid w:val="00CF46FF"/>
    <w:rsid w:val="00CF4731"/>
    <w:rsid w:val="00CF47F8"/>
    <w:rsid w:val="00CF480A"/>
    <w:rsid w:val="00CF49AB"/>
    <w:rsid w:val="00CF49F5"/>
    <w:rsid w:val="00CF4AAB"/>
    <w:rsid w:val="00CF4E41"/>
    <w:rsid w:val="00CF5D7D"/>
    <w:rsid w:val="00CF6C45"/>
    <w:rsid w:val="00CF6C95"/>
    <w:rsid w:val="00CF6DC9"/>
    <w:rsid w:val="00CF7480"/>
    <w:rsid w:val="00CF76EB"/>
    <w:rsid w:val="00CF78DB"/>
    <w:rsid w:val="00CF7C7A"/>
    <w:rsid w:val="00D0032C"/>
    <w:rsid w:val="00D009DC"/>
    <w:rsid w:val="00D013B1"/>
    <w:rsid w:val="00D013E7"/>
    <w:rsid w:val="00D01F67"/>
    <w:rsid w:val="00D029DC"/>
    <w:rsid w:val="00D02BDF"/>
    <w:rsid w:val="00D02C8A"/>
    <w:rsid w:val="00D03456"/>
    <w:rsid w:val="00D037F9"/>
    <w:rsid w:val="00D04417"/>
    <w:rsid w:val="00D04A2D"/>
    <w:rsid w:val="00D04CF2"/>
    <w:rsid w:val="00D051F1"/>
    <w:rsid w:val="00D0556E"/>
    <w:rsid w:val="00D05E7A"/>
    <w:rsid w:val="00D05EAF"/>
    <w:rsid w:val="00D06194"/>
    <w:rsid w:val="00D0657A"/>
    <w:rsid w:val="00D067EB"/>
    <w:rsid w:val="00D06D00"/>
    <w:rsid w:val="00D06FBF"/>
    <w:rsid w:val="00D07226"/>
    <w:rsid w:val="00D07C90"/>
    <w:rsid w:val="00D07D26"/>
    <w:rsid w:val="00D10634"/>
    <w:rsid w:val="00D10BF2"/>
    <w:rsid w:val="00D11173"/>
    <w:rsid w:val="00D11DC9"/>
    <w:rsid w:val="00D11EF2"/>
    <w:rsid w:val="00D12188"/>
    <w:rsid w:val="00D121CA"/>
    <w:rsid w:val="00D12556"/>
    <w:rsid w:val="00D13DD3"/>
    <w:rsid w:val="00D14487"/>
    <w:rsid w:val="00D14BE9"/>
    <w:rsid w:val="00D15179"/>
    <w:rsid w:val="00D16938"/>
    <w:rsid w:val="00D17C59"/>
    <w:rsid w:val="00D2039A"/>
    <w:rsid w:val="00D203ED"/>
    <w:rsid w:val="00D204F4"/>
    <w:rsid w:val="00D20699"/>
    <w:rsid w:val="00D2099F"/>
    <w:rsid w:val="00D20E56"/>
    <w:rsid w:val="00D21156"/>
    <w:rsid w:val="00D21382"/>
    <w:rsid w:val="00D2298F"/>
    <w:rsid w:val="00D22A19"/>
    <w:rsid w:val="00D24AAC"/>
    <w:rsid w:val="00D24F8F"/>
    <w:rsid w:val="00D25927"/>
    <w:rsid w:val="00D26EE1"/>
    <w:rsid w:val="00D2749E"/>
    <w:rsid w:val="00D27707"/>
    <w:rsid w:val="00D27E1F"/>
    <w:rsid w:val="00D30133"/>
    <w:rsid w:val="00D309EC"/>
    <w:rsid w:val="00D31140"/>
    <w:rsid w:val="00D31EBE"/>
    <w:rsid w:val="00D31F44"/>
    <w:rsid w:val="00D31F4F"/>
    <w:rsid w:val="00D321CB"/>
    <w:rsid w:val="00D33335"/>
    <w:rsid w:val="00D33631"/>
    <w:rsid w:val="00D33BE0"/>
    <w:rsid w:val="00D33F9A"/>
    <w:rsid w:val="00D34CB1"/>
    <w:rsid w:val="00D34F08"/>
    <w:rsid w:val="00D364EB"/>
    <w:rsid w:val="00D36978"/>
    <w:rsid w:val="00D37C81"/>
    <w:rsid w:val="00D37FD3"/>
    <w:rsid w:val="00D40496"/>
    <w:rsid w:val="00D408A9"/>
    <w:rsid w:val="00D40E1F"/>
    <w:rsid w:val="00D41BAD"/>
    <w:rsid w:val="00D41FB9"/>
    <w:rsid w:val="00D421EC"/>
    <w:rsid w:val="00D429FE"/>
    <w:rsid w:val="00D43178"/>
    <w:rsid w:val="00D433D8"/>
    <w:rsid w:val="00D4384E"/>
    <w:rsid w:val="00D43EBB"/>
    <w:rsid w:val="00D442CF"/>
    <w:rsid w:val="00D443DC"/>
    <w:rsid w:val="00D4453B"/>
    <w:rsid w:val="00D4581E"/>
    <w:rsid w:val="00D46F23"/>
    <w:rsid w:val="00D470DA"/>
    <w:rsid w:val="00D47639"/>
    <w:rsid w:val="00D477EB"/>
    <w:rsid w:val="00D47955"/>
    <w:rsid w:val="00D47AF6"/>
    <w:rsid w:val="00D47BF4"/>
    <w:rsid w:val="00D47D92"/>
    <w:rsid w:val="00D47DD0"/>
    <w:rsid w:val="00D5017C"/>
    <w:rsid w:val="00D5032B"/>
    <w:rsid w:val="00D50ABF"/>
    <w:rsid w:val="00D50B25"/>
    <w:rsid w:val="00D51514"/>
    <w:rsid w:val="00D5164B"/>
    <w:rsid w:val="00D5228F"/>
    <w:rsid w:val="00D522F8"/>
    <w:rsid w:val="00D523BA"/>
    <w:rsid w:val="00D529C5"/>
    <w:rsid w:val="00D529D3"/>
    <w:rsid w:val="00D52A41"/>
    <w:rsid w:val="00D52C03"/>
    <w:rsid w:val="00D52C3C"/>
    <w:rsid w:val="00D52D38"/>
    <w:rsid w:val="00D52EBB"/>
    <w:rsid w:val="00D5365B"/>
    <w:rsid w:val="00D53C7B"/>
    <w:rsid w:val="00D53CC0"/>
    <w:rsid w:val="00D53D40"/>
    <w:rsid w:val="00D54A40"/>
    <w:rsid w:val="00D5525A"/>
    <w:rsid w:val="00D553E0"/>
    <w:rsid w:val="00D55561"/>
    <w:rsid w:val="00D55AA9"/>
    <w:rsid w:val="00D55E48"/>
    <w:rsid w:val="00D55E6B"/>
    <w:rsid w:val="00D55F73"/>
    <w:rsid w:val="00D56461"/>
    <w:rsid w:val="00D5649F"/>
    <w:rsid w:val="00D565DC"/>
    <w:rsid w:val="00D56670"/>
    <w:rsid w:val="00D56757"/>
    <w:rsid w:val="00D56C1A"/>
    <w:rsid w:val="00D575CD"/>
    <w:rsid w:val="00D57699"/>
    <w:rsid w:val="00D57767"/>
    <w:rsid w:val="00D57C94"/>
    <w:rsid w:val="00D6036B"/>
    <w:rsid w:val="00D60D49"/>
    <w:rsid w:val="00D61252"/>
    <w:rsid w:val="00D628F5"/>
    <w:rsid w:val="00D6307D"/>
    <w:rsid w:val="00D63A3B"/>
    <w:rsid w:val="00D63BFF"/>
    <w:rsid w:val="00D65A2D"/>
    <w:rsid w:val="00D65D63"/>
    <w:rsid w:val="00D6636B"/>
    <w:rsid w:val="00D66637"/>
    <w:rsid w:val="00D66926"/>
    <w:rsid w:val="00D6776C"/>
    <w:rsid w:val="00D67997"/>
    <w:rsid w:val="00D67F07"/>
    <w:rsid w:val="00D70E76"/>
    <w:rsid w:val="00D7133F"/>
    <w:rsid w:val="00D727B4"/>
    <w:rsid w:val="00D730AF"/>
    <w:rsid w:val="00D730DF"/>
    <w:rsid w:val="00D737E8"/>
    <w:rsid w:val="00D73BD2"/>
    <w:rsid w:val="00D74995"/>
    <w:rsid w:val="00D74AA3"/>
    <w:rsid w:val="00D74AD3"/>
    <w:rsid w:val="00D74BAF"/>
    <w:rsid w:val="00D74C46"/>
    <w:rsid w:val="00D758F5"/>
    <w:rsid w:val="00D75E4F"/>
    <w:rsid w:val="00D7619C"/>
    <w:rsid w:val="00D770A6"/>
    <w:rsid w:val="00D77519"/>
    <w:rsid w:val="00D77A33"/>
    <w:rsid w:val="00D77AC7"/>
    <w:rsid w:val="00D77C39"/>
    <w:rsid w:val="00D77E25"/>
    <w:rsid w:val="00D8018B"/>
    <w:rsid w:val="00D8099E"/>
    <w:rsid w:val="00D80D02"/>
    <w:rsid w:val="00D80FB9"/>
    <w:rsid w:val="00D81A05"/>
    <w:rsid w:val="00D829DE"/>
    <w:rsid w:val="00D82B9F"/>
    <w:rsid w:val="00D83417"/>
    <w:rsid w:val="00D83705"/>
    <w:rsid w:val="00D83DD6"/>
    <w:rsid w:val="00D840C5"/>
    <w:rsid w:val="00D843C5"/>
    <w:rsid w:val="00D845CD"/>
    <w:rsid w:val="00D84BF4"/>
    <w:rsid w:val="00D85377"/>
    <w:rsid w:val="00D85394"/>
    <w:rsid w:val="00D85AE1"/>
    <w:rsid w:val="00D85D43"/>
    <w:rsid w:val="00D86B14"/>
    <w:rsid w:val="00D86CCD"/>
    <w:rsid w:val="00D86D27"/>
    <w:rsid w:val="00D86DD7"/>
    <w:rsid w:val="00D92233"/>
    <w:rsid w:val="00D92CF5"/>
    <w:rsid w:val="00D93281"/>
    <w:rsid w:val="00D964A2"/>
    <w:rsid w:val="00D96C29"/>
    <w:rsid w:val="00D96F5F"/>
    <w:rsid w:val="00D97E73"/>
    <w:rsid w:val="00D97E7D"/>
    <w:rsid w:val="00DA0318"/>
    <w:rsid w:val="00DA055E"/>
    <w:rsid w:val="00DA08E6"/>
    <w:rsid w:val="00DA109C"/>
    <w:rsid w:val="00DA1557"/>
    <w:rsid w:val="00DA239A"/>
    <w:rsid w:val="00DA29FF"/>
    <w:rsid w:val="00DA2A7C"/>
    <w:rsid w:val="00DA2FB5"/>
    <w:rsid w:val="00DA31EC"/>
    <w:rsid w:val="00DA3334"/>
    <w:rsid w:val="00DA3829"/>
    <w:rsid w:val="00DA3CEB"/>
    <w:rsid w:val="00DA3E43"/>
    <w:rsid w:val="00DA3EB6"/>
    <w:rsid w:val="00DA4044"/>
    <w:rsid w:val="00DA445C"/>
    <w:rsid w:val="00DA4775"/>
    <w:rsid w:val="00DA498A"/>
    <w:rsid w:val="00DA4A94"/>
    <w:rsid w:val="00DA4BAD"/>
    <w:rsid w:val="00DA4CDF"/>
    <w:rsid w:val="00DA4D40"/>
    <w:rsid w:val="00DA5345"/>
    <w:rsid w:val="00DA65FF"/>
    <w:rsid w:val="00DA6767"/>
    <w:rsid w:val="00DA69CA"/>
    <w:rsid w:val="00DA7155"/>
    <w:rsid w:val="00DA715F"/>
    <w:rsid w:val="00DA7752"/>
    <w:rsid w:val="00DA7825"/>
    <w:rsid w:val="00DA7924"/>
    <w:rsid w:val="00DB02F2"/>
    <w:rsid w:val="00DB1EC6"/>
    <w:rsid w:val="00DB23EF"/>
    <w:rsid w:val="00DB277B"/>
    <w:rsid w:val="00DB33C9"/>
    <w:rsid w:val="00DB3AA9"/>
    <w:rsid w:val="00DB4B29"/>
    <w:rsid w:val="00DB55EF"/>
    <w:rsid w:val="00DB5C12"/>
    <w:rsid w:val="00DB6537"/>
    <w:rsid w:val="00DB6F67"/>
    <w:rsid w:val="00DB772E"/>
    <w:rsid w:val="00DB7D1C"/>
    <w:rsid w:val="00DC0CAC"/>
    <w:rsid w:val="00DC104F"/>
    <w:rsid w:val="00DC1097"/>
    <w:rsid w:val="00DC11B0"/>
    <w:rsid w:val="00DC18F9"/>
    <w:rsid w:val="00DC2236"/>
    <w:rsid w:val="00DC243C"/>
    <w:rsid w:val="00DC27F0"/>
    <w:rsid w:val="00DC29DF"/>
    <w:rsid w:val="00DC2E5D"/>
    <w:rsid w:val="00DC3F58"/>
    <w:rsid w:val="00DC47B8"/>
    <w:rsid w:val="00DC4822"/>
    <w:rsid w:val="00DC5E04"/>
    <w:rsid w:val="00DC6846"/>
    <w:rsid w:val="00DC73DF"/>
    <w:rsid w:val="00DC78D2"/>
    <w:rsid w:val="00DC7D25"/>
    <w:rsid w:val="00DC7D32"/>
    <w:rsid w:val="00DD01E4"/>
    <w:rsid w:val="00DD0214"/>
    <w:rsid w:val="00DD0574"/>
    <w:rsid w:val="00DD06D9"/>
    <w:rsid w:val="00DD0F13"/>
    <w:rsid w:val="00DD14B8"/>
    <w:rsid w:val="00DD16B9"/>
    <w:rsid w:val="00DD2069"/>
    <w:rsid w:val="00DD22ED"/>
    <w:rsid w:val="00DD25F6"/>
    <w:rsid w:val="00DD2C43"/>
    <w:rsid w:val="00DD35EF"/>
    <w:rsid w:val="00DD3666"/>
    <w:rsid w:val="00DD3BE6"/>
    <w:rsid w:val="00DD3CF8"/>
    <w:rsid w:val="00DD3F42"/>
    <w:rsid w:val="00DD3FC7"/>
    <w:rsid w:val="00DD4039"/>
    <w:rsid w:val="00DD4503"/>
    <w:rsid w:val="00DD4FF1"/>
    <w:rsid w:val="00DD56A4"/>
    <w:rsid w:val="00DD5E58"/>
    <w:rsid w:val="00DD5F93"/>
    <w:rsid w:val="00DD69C2"/>
    <w:rsid w:val="00DD7A5B"/>
    <w:rsid w:val="00DD7F5C"/>
    <w:rsid w:val="00DD7FA3"/>
    <w:rsid w:val="00DE03F9"/>
    <w:rsid w:val="00DE0428"/>
    <w:rsid w:val="00DE051B"/>
    <w:rsid w:val="00DE052E"/>
    <w:rsid w:val="00DE054F"/>
    <w:rsid w:val="00DE0A0D"/>
    <w:rsid w:val="00DE0E88"/>
    <w:rsid w:val="00DE118E"/>
    <w:rsid w:val="00DE207A"/>
    <w:rsid w:val="00DE2082"/>
    <w:rsid w:val="00DE21CA"/>
    <w:rsid w:val="00DE26C2"/>
    <w:rsid w:val="00DE27A8"/>
    <w:rsid w:val="00DE28A5"/>
    <w:rsid w:val="00DE292F"/>
    <w:rsid w:val="00DE3459"/>
    <w:rsid w:val="00DE3DF5"/>
    <w:rsid w:val="00DE4744"/>
    <w:rsid w:val="00DE4D3B"/>
    <w:rsid w:val="00DE570C"/>
    <w:rsid w:val="00DE574D"/>
    <w:rsid w:val="00DE59D3"/>
    <w:rsid w:val="00DE5A7F"/>
    <w:rsid w:val="00DE666B"/>
    <w:rsid w:val="00DE6733"/>
    <w:rsid w:val="00DE687B"/>
    <w:rsid w:val="00DE7E51"/>
    <w:rsid w:val="00DF168A"/>
    <w:rsid w:val="00DF3383"/>
    <w:rsid w:val="00DF42D8"/>
    <w:rsid w:val="00DF4526"/>
    <w:rsid w:val="00DF4AC5"/>
    <w:rsid w:val="00DF4CEE"/>
    <w:rsid w:val="00DF4F42"/>
    <w:rsid w:val="00DF4FBB"/>
    <w:rsid w:val="00DF58BE"/>
    <w:rsid w:val="00DF5C0F"/>
    <w:rsid w:val="00DF5E7E"/>
    <w:rsid w:val="00DF60ED"/>
    <w:rsid w:val="00DF6878"/>
    <w:rsid w:val="00DF6E56"/>
    <w:rsid w:val="00DF704B"/>
    <w:rsid w:val="00DF79E5"/>
    <w:rsid w:val="00E00073"/>
    <w:rsid w:val="00E00474"/>
    <w:rsid w:val="00E008E5"/>
    <w:rsid w:val="00E00D74"/>
    <w:rsid w:val="00E010D5"/>
    <w:rsid w:val="00E017BB"/>
    <w:rsid w:val="00E01ABC"/>
    <w:rsid w:val="00E01C6B"/>
    <w:rsid w:val="00E01DB2"/>
    <w:rsid w:val="00E01DD6"/>
    <w:rsid w:val="00E0204A"/>
    <w:rsid w:val="00E02B37"/>
    <w:rsid w:val="00E0301B"/>
    <w:rsid w:val="00E034D5"/>
    <w:rsid w:val="00E036C8"/>
    <w:rsid w:val="00E03754"/>
    <w:rsid w:val="00E03C73"/>
    <w:rsid w:val="00E04133"/>
    <w:rsid w:val="00E04404"/>
    <w:rsid w:val="00E051AD"/>
    <w:rsid w:val="00E05A59"/>
    <w:rsid w:val="00E06150"/>
    <w:rsid w:val="00E0658B"/>
    <w:rsid w:val="00E07549"/>
    <w:rsid w:val="00E078B0"/>
    <w:rsid w:val="00E0791E"/>
    <w:rsid w:val="00E07A18"/>
    <w:rsid w:val="00E10278"/>
    <w:rsid w:val="00E10316"/>
    <w:rsid w:val="00E106D6"/>
    <w:rsid w:val="00E107B9"/>
    <w:rsid w:val="00E11839"/>
    <w:rsid w:val="00E119EF"/>
    <w:rsid w:val="00E12DD5"/>
    <w:rsid w:val="00E12F26"/>
    <w:rsid w:val="00E14177"/>
    <w:rsid w:val="00E14798"/>
    <w:rsid w:val="00E14E6B"/>
    <w:rsid w:val="00E14FA6"/>
    <w:rsid w:val="00E155EA"/>
    <w:rsid w:val="00E157E1"/>
    <w:rsid w:val="00E1588D"/>
    <w:rsid w:val="00E15DBA"/>
    <w:rsid w:val="00E15E4E"/>
    <w:rsid w:val="00E16587"/>
    <w:rsid w:val="00E16657"/>
    <w:rsid w:val="00E16B8F"/>
    <w:rsid w:val="00E16C1A"/>
    <w:rsid w:val="00E16F49"/>
    <w:rsid w:val="00E17BC5"/>
    <w:rsid w:val="00E20568"/>
    <w:rsid w:val="00E2062D"/>
    <w:rsid w:val="00E22252"/>
    <w:rsid w:val="00E22B3C"/>
    <w:rsid w:val="00E23690"/>
    <w:rsid w:val="00E23905"/>
    <w:rsid w:val="00E24060"/>
    <w:rsid w:val="00E24F92"/>
    <w:rsid w:val="00E25606"/>
    <w:rsid w:val="00E25A02"/>
    <w:rsid w:val="00E26095"/>
    <w:rsid w:val="00E26D0E"/>
    <w:rsid w:val="00E2781B"/>
    <w:rsid w:val="00E27D07"/>
    <w:rsid w:val="00E301F5"/>
    <w:rsid w:val="00E30956"/>
    <w:rsid w:val="00E30B50"/>
    <w:rsid w:val="00E30D31"/>
    <w:rsid w:val="00E30ECE"/>
    <w:rsid w:val="00E31A44"/>
    <w:rsid w:val="00E31D67"/>
    <w:rsid w:val="00E32795"/>
    <w:rsid w:val="00E32D86"/>
    <w:rsid w:val="00E32FE1"/>
    <w:rsid w:val="00E33D23"/>
    <w:rsid w:val="00E343AF"/>
    <w:rsid w:val="00E3457F"/>
    <w:rsid w:val="00E34A71"/>
    <w:rsid w:val="00E34E2E"/>
    <w:rsid w:val="00E34E9B"/>
    <w:rsid w:val="00E35AD8"/>
    <w:rsid w:val="00E36AB4"/>
    <w:rsid w:val="00E371AE"/>
    <w:rsid w:val="00E37693"/>
    <w:rsid w:val="00E3774A"/>
    <w:rsid w:val="00E37E0C"/>
    <w:rsid w:val="00E37E9E"/>
    <w:rsid w:val="00E40895"/>
    <w:rsid w:val="00E4264C"/>
    <w:rsid w:val="00E42A85"/>
    <w:rsid w:val="00E42CEA"/>
    <w:rsid w:val="00E43353"/>
    <w:rsid w:val="00E433AE"/>
    <w:rsid w:val="00E44163"/>
    <w:rsid w:val="00E443D0"/>
    <w:rsid w:val="00E44477"/>
    <w:rsid w:val="00E4458F"/>
    <w:rsid w:val="00E457E4"/>
    <w:rsid w:val="00E45CAF"/>
    <w:rsid w:val="00E462A1"/>
    <w:rsid w:val="00E47F12"/>
    <w:rsid w:val="00E51345"/>
    <w:rsid w:val="00E51AC2"/>
    <w:rsid w:val="00E51C9F"/>
    <w:rsid w:val="00E52A57"/>
    <w:rsid w:val="00E531E5"/>
    <w:rsid w:val="00E532FE"/>
    <w:rsid w:val="00E53575"/>
    <w:rsid w:val="00E537F5"/>
    <w:rsid w:val="00E548D8"/>
    <w:rsid w:val="00E54CD6"/>
    <w:rsid w:val="00E553ED"/>
    <w:rsid w:val="00E5571C"/>
    <w:rsid w:val="00E55AD8"/>
    <w:rsid w:val="00E561DB"/>
    <w:rsid w:val="00E572C8"/>
    <w:rsid w:val="00E574B1"/>
    <w:rsid w:val="00E57E92"/>
    <w:rsid w:val="00E61112"/>
    <w:rsid w:val="00E61546"/>
    <w:rsid w:val="00E617DF"/>
    <w:rsid w:val="00E627E3"/>
    <w:rsid w:val="00E62E91"/>
    <w:rsid w:val="00E63952"/>
    <w:rsid w:val="00E63A44"/>
    <w:rsid w:val="00E63E34"/>
    <w:rsid w:val="00E64EF2"/>
    <w:rsid w:val="00E65A50"/>
    <w:rsid w:val="00E65C52"/>
    <w:rsid w:val="00E668B2"/>
    <w:rsid w:val="00E66AB0"/>
    <w:rsid w:val="00E677E9"/>
    <w:rsid w:val="00E67907"/>
    <w:rsid w:val="00E67A8E"/>
    <w:rsid w:val="00E67E60"/>
    <w:rsid w:val="00E70443"/>
    <w:rsid w:val="00E70469"/>
    <w:rsid w:val="00E70AB0"/>
    <w:rsid w:val="00E7167A"/>
    <w:rsid w:val="00E71728"/>
    <w:rsid w:val="00E72025"/>
    <w:rsid w:val="00E723D7"/>
    <w:rsid w:val="00E72653"/>
    <w:rsid w:val="00E72EEF"/>
    <w:rsid w:val="00E73047"/>
    <w:rsid w:val="00E731FA"/>
    <w:rsid w:val="00E733C8"/>
    <w:rsid w:val="00E73AF3"/>
    <w:rsid w:val="00E74591"/>
    <w:rsid w:val="00E74680"/>
    <w:rsid w:val="00E746CD"/>
    <w:rsid w:val="00E747F9"/>
    <w:rsid w:val="00E750CD"/>
    <w:rsid w:val="00E752B9"/>
    <w:rsid w:val="00E75436"/>
    <w:rsid w:val="00E75CA4"/>
    <w:rsid w:val="00E7600C"/>
    <w:rsid w:val="00E76580"/>
    <w:rsid w:val="00E77366"/>
    <w:rsid w:val="00E77522"/>
    <w:rsid w:val="00E77DFF"/>
    <w:rsid w:val="00E80292"/>
    <w:rsid w:val="00E8079D"/>
    <w:rsid w:val="00E80E59"/>
    <w:rsid w:val="00E81007"/>
    <w:rsid w:val="00E816CF"/>
    <w:rsid w:val="00E81D9D"/>
    <w:rsid w:val="00E8261A"/>
    <w:rsid w:val="00E82FA7"/>
    <w:rsid w:val="00E83350"/>
    <w:rsid w:val="00E83460"/>
    <w:rsid w:val="00E83620"/>
    <w:rsid w:val="00E83A6C"/>
    <w:rsid w:val="00E83D19"/>
    <w:rsid w:val="00E845A5"/>
    <w:rsid w:val="00E84E4D"/>
    <w:rsid w:val="00E85105"/>
    <w:rsid w:val="00E85A29"/>
    <w:rsid w:val="00E85DD9"/>
    <w:rsid w:val="00E8668E"/>
    <w:rsid w:val="00E869E1"/>
    <w:rsid w:val="00E86F36"/>
    <w:rsid w:val="00E873B1"/>
    <w:rsid w:val="00E876DC"/>
    <w:rsid w:val="00E8780B"/>
    <w:rsid w:val="00E90107"/>
    <w:rsid w:val="00E9093E"/>
    <w:rsid w:val="00E90988"/>
    <w:rsid w:val="00E90A53"/>
    <w:rsid w:val="00E90BC4"/>
    <w:rsid w:val="00E90FCD"/>
    <w:rsid w:val="00E9188B"/>
    <w:rsid w:val="00E91914"/>
    <w:rsid w:val="00E9242B"/>
    <w:rsid w:val="00E93D6A"/>
    <w:rsid w:val="00E93DEA"/>
    <w:rsid w:val="00E94DDD"/>
    <w:rsid w:val="00E94FFA"/>
    <w:rsid w:val="00E95A63"/>
    <w:rsid w:val="00E95E34"/>
    <w:rsid w:val="00E970A6"/>
    <w:rsid w:val="00E973EB"/>
    <w:rsid w:val="00E977DB"/>
    <w:rsid w:val="00EA11D6"/>
    <w:rsid w:val="00EA14DA"/>
    <w:rsid w:val="00EA16BC"/>
    <w:rsid w:val="00EA18EB"/>
    <w:rsid w:val="00EA2766"/>
    <w:rsid w:val="00EA29A9"/>
    <w:rsid w:val="00EA2E71"/>
    <w:rsid w:val="00EA342D"/>
    <w:rsid w:val="00EA404C"/>
    <w:rsid w:val="00EA4088"/>
    <w:rsid w:val="00EA495B"/>
    <w:rsid w:val="00EA652D"/>
    <w:rsid w:val="00EA6A27"/>
    <w:rsid w:val="00EB068F"/>
    <w:rsid w:val="00EB17DC"/>
    <w:rsid w:val="00EB19AA"/>
    <w:rsid w:val="00EB24FF"/>
    <w:rsid w:val="00EB2FB2"/>
    <w:rsid w:val="00EB376E"/>
    <w:rsid w:val="00EB566D"/>
    <w:rsid w:val="00EB56CB"/>
    <w:rsid w:val="00EB59B1"/>
    <w:rsid w:val="00EB5AEA"/>
    <w:rsid w:val="00EB5C90"/>
    <w:rsid w:val="00EB605D"/>
    <w:rsid w:val="00EB6289"/>
    <w:rsid w:val="00EB6424"/>
    <w:rsid w:val="00EB64C1"/>
    <w:rsid w:val="00EB66D5"/>
    <w:rsid w:val="00EB79C0"/>
    <w:rsid w:val="00EC01C4"/>
    <w:rsid w:val="00EC0561"/>
    <w:rsid w:val="00EC0A31"/>
    <w:rsid w:val="00EC0CA9"/>
    <w:rsid w:val="00EC0E50"/>
    <w:rsid w:val="00EC0F95"/>
    <w:rsid w:val="00EC31A5"/>
    <w:rsid w:val="00EC335E"/>
    <w:rsid w:val="00EC3701"/>
    <w:rsid w:val="00EC3B57"/>
    <w:rsid w:val="00EC4202"/>
    <w:rsid w:val="00EC4374"/>
    <w:rsid w:val="00EC4E85"/>
    <w:rsid w:val="00EC5338"/>
    <w:rsid w:val="00EC5B05"/>
    <w:rsid w:val="00EC5D74"/>
    <w:rsid w:val="00EC61C2"/>
    <w:rsid w:val="00EC63D4"/>
    <w:rsid w:val="00EC776D"/>
    <w:rsid w:val="00EC7B05"/>
    <w:rsid w:val="00ED0BF9"/>
    <w:rsid w:val="00ED1DD9"/>
    <w:rsid w:val="00ED1E6E"/>
    <w:rsid w:val="00ED20F8"/>
    <w:rsid w:val="00ED3568"/>
    <w:rsid w:val="00ED3B51"/>
    <w:rsid w:val="00ED47A7"/>
    <w:rsid w:val="00ED4802"/>
    <w:rsid w:val="00ED532F"/>
    <w:rsid w:val="00ED5B50"/>
    <w:rsid w:val="00ED6109"/>
    <w:rsid w:val="00ED6320"/>
    <w:rsid w:val="00ED6846"/>
    <w:rsid w:val="00ED6CFA"/>
    <w:rsid w:val="00ED71B4"/>
    <w:rsid w:val="00ED777F"/>
    <w:rsid w:val="00EE0204"/>
    <w:rsid w:val="00EE0234"/>
    <w:rsid w:val="00EE0C0B"/>
    <w:rsid w:val="00EE11BA"/>
    <w:rsid w:val="00EE130A"/>
    <w:rsid w:val="00EE14DE"/>
    <w:rsid w:val="00EE1638"/>
    <w:rsid w:val="00EE1EDA"/>
    <w:rsid w:val="00EE21CD"/>
    <w:rsid w:val="00EE257D"/>
    <w:rsid w:val="00EE2EC3"/>
    <w:rsid w:val="00EE3179"/>
    <w:rsid w:val="00EE42B7"/>
    <w:rsid w:val="00EE4484"/>
    <w:rsid w:val="00EE4837"/>
    <w:rsid w:val="00EE50D7"/>
    <w:rsid w:val="00EE63FE"/>
    <w:rsid w:val="00EE6F17"/>
    <w:rsid w:val="00EE76B3"/>
    <w:rsid w:val="00EE7E39"/>
    <w:rsid w:val="00EF0057"/>
    <w:rsid w:val="00EF036F"/>
    <w:rsid w:val="00EF03F8"/>
    <w:rsid w:val="00EF0B96"/>
    <w:rsid w:val="00EF0BCB"/>
    <w:rsid w:val="00EF0FA5"/>
    <w:rsid w:val="00EF210A"/>
    <w:rsid w:val="00EF24B1"/>
    <w:rsid w:val="00EF2536"/>
    <w:rsid w:val="00EF2A82"/>
    <w:rsid w:val="00EF388C"/>
    <w:rsid w:val="00EF45A9"/>
    <w:rsid w:val="00EF47D9"/>
    <w:rsid w:val="00EF5740"/>
    <w:rsid w:val="00EF5E9D"/>
    <w:rsid w:val="00EF650B"/>
    <w:rsid w:val="00EF6E16"/>
    <w:rsid w:val="00EF7337"/>
    <w:rsid w:val="00EF7965"/>
    <w:rsid w:val="00F0016C"/>
    <w:rsid w:val="00F004B7"/>
    <w:rsid w:val="00F008D9"/>
    <w:rsid w:val="00F00E96"/>
    <w:rsid w:val="00F01759"/>
    <w:rsid w:val="00F0180A"/>
    <w:rsid w:val="00F01DFE"/>
    <w:rsid w:val="00F01E5D"/>
    <w:rsid w:val="00F024FC"/>
    <w:rsid w:val="00F025EF"/>
    <w:rsid w:val="00F02AFD"/>
    <w:rsid w:val="00F03524"/>
    <w:rsid w:val="00F035DC"/>
    <w:rsid w:val="00F03CF1"/>
    <w:rsid w:val="00F03E70"/>
    <w:rsid w:val="00F03F8C"/>
    <w:rsid w:val="00F04EAE"/>
    <w:rsid w:val="00F04EF8"/>
    <w:rsid w:val="00F05663"/>
    <w:rsid w:val="00F0602F"/>
    <w:rsid w:val="00F06032"/>
    <w:rsid w:val="00F0641F"/>
    <w:rsid w:val="00F0671C"/>
    <w:rsid w:val="00F0750D"/>
    <w:rsid w:val="00F076BF"/>
    <w:rsid w:val="00F077E7"/>
    <w:rsid w:val="00F07A29"/>
    <w:rsid w:val="00F07A50"/>
    <w:rsid w:val="00F10193"/>
    <w:rsid w:val="00F107B2"/>
    <w:rsid w:val="00F1081F"/>
    <w:rsid w:val="00F1145C"/>
    <w:rsid w:val="00F12F58"/>
    <w:rsid w:val="00F13605"/>
    <w:rsid w:val="00F13BEB"/>
    <w:rsid w:val="00F13D66"/>
    <w:rsid w:val="00F142A8"/>
    <w:rsid w:val="00F147EA"/>
    <w:rsid w:val="00F14E91"/>
    <w:rsid w:val="00F153D3"/>
    <w:rsid w:val="00F16251"/>
    <w:rsid w:val="00F17183"/>
    <w:rsid w:val="00F20087"/>
    <w:rsid w:val="00F21BE2"/>
    <w:rsid w:val="00F21C1D"/>
    <w:rsid w:val="00F21FBA"/>
    <w:rsid w:val="00F220C7"/>
    <w:rsid w:val="00F2241F"/>
    <w:rsid w:val="00F239EE"/>
    <w:rsid w:val="00F239F4"/>
    <w:rsid w:val="00F2444A"/>
    <w:rsid w:val="00F25940"/>
    <w:rsid w:val="00F30CAE"/>
    <w:rsid w:val="00F30DDA"/>
    <w:rsid w:val="00F3209C"/>
    <w:rsid w:val="00F320CE"/>
    <w:rsid w:val="00F3213D"/>
    <w:rsid w:val="00F322FA"/>
    <w:rsid w:val="00F327BF"/>
    <w:rsid w:val="00F32ED3"/>
    <w:rsid w:val="00F33906"/>
    <w:rsid w:val="00F34A3C"/>
    <w:rsid w:val="00F354FF"/>
    <w:rsid w:val="00F3565E"/>
    <w:rsid w:val="00F356FF"/>
    <w:rsid w:val="00F35D87"/>
    <w:rsid w:val="00F36533"/>
    <w:rsid w:val="00F365A2"/>
    <w:rsid w:val="00F36794"/>
    <w:rsid w:val="00F36C88"/>
    <w:rsid w:val="00F36D29"/>
    <w:rsid w:val="00F37B03"/>
    <w:rsid w:val="00F40D26"/>
    <w:rsid w:val="00F410E0"/>
    <w:rsid w:val="00F416B5"/>
    <w:rsid w:val="00F42097"/>
    <w:rsid w:val="00F4225B"/>
    <w:rsid w:val="00F428A4"/>
    <w:rsid w:val="00F4373E"/>
    <w:rsid w:val="00F43C81"/>
    <w:rsid w:val="00F44272"/>
    <w:rsid w:val="00F44D22"/>
    <w:rsid w:val="00F45092"/>
    <w:rsid w:val="00F46E53"/>
    <w:rsid w:val="00F47C97"/>
    <w:rsid w:val="00F5090D"/>
    <w:rsid w:val="00F5092C"/>
    <w:rsid w:val="00F510B4"/>
    <w:rsid w:val="00F5111A"/>
    <w:rsid w:val="00F518DA"/>
    <w:rsid w:val="00F5192C"/>
    <w:rsid w:val="00F5281D"/>
    <w:rsid w:val="00F528D9"/>
    <w:rsid w:val="00F52D15"/>
    <w:rsid w:val="00F5406D"/>
    <w:rsid w:val="00F544C6"/>
    <w:rsid w:val="00F545A7"/>
    <w:rsid w:val="00F54A36"/>
    <w:rsid w:val="00F54DB2"/>
    <w:rsid w:val="00F55271"/>
    <w:rsid w:val="00F55B6B"/>
    <w:rsid w:val="00F55D14"/>
    <w:rsid w:val="00F55E17"/>
    <w:rsid w:val="00F55F17"/>
    <w:rsid w:val="00F56241"/>
    <w:rsid w:val="00F562D6"/>
    <w:rsid w:val="00F5657C"/>
    <w:rsid w:val="00F572C9"/>
    <w:rsid w:val="00F60A36"/>
    <w:rsid w:val="00F6133D"/>
    <w:rsid w:val="00F61C43"/>
    <w:rsid w:val="00F623B0"/>
    <w:rsid w:val="00F625EF"/>
    <w:rsid w:val="00F6277C"/>
    <w:rsid w:val="00F62E89"/>
    <w:rsid w:val="00F6331B"/>
    <w:rsid w:val="00F642CD"/>
    <w:rsid w:val="00F65324"/>
    <w:rsid w:val="00F65CF9"/>
    <w:rsid w:val="00F66D3F"/>
    <w:rsid w:val="00F66DD7"/>
    <w:rsid w:val="00F676CB"/>
    <w:rsid w:val="00F677AC"/>
    <w:rsid w:val="00F70A50"/>
    <w:rsid w:val="00F70AD5"/>
    <w:rsid w:val="00F714AD"/>
    <w:rsid w:val="00F7199C"/>
    <w:rsid w:val="00F71CB8"/>
    <w:rsid w:val="00F71FDB"/>
    <w:rsid w:val="00F720AC"/>
    <w:rsid w:val="00F7280E"/>
    <w:rsid w:val="00F750A8"/>
    <w:rsid w:val="00F7665D"/>
    <w:rsid w:val="00F7741E"/>
    <w:rsid w:val="00F77507"/>
    <w:rsid w:val="00F80432"/>
    <w:rsid w:val="00F804BC"/>
    <w:rsid w:val="00F809EC"/>
    <w:rsid w:val="00F8169B"/>
    <w:rsid w:val="00F817B8"/>
    <w:rsid w:val="00F81B4F"/>
    <w:rsid w:val="00F81E26"/>
    <w:rsid w:val="00F82927"/>
    <w:rsid w:val="00F83D7C"/>
    <w:rsid w:val="00F843F4"/>
    <w:rsid w:val="00F845B2"/>
    <w:rsid w:val="00F84897"/>
    <w:rsid w:val="00F8509B"/>
    <w:rsid w:val="00F86B75"/>
    <w:rsid w:val="00F906ED"/>
    <w:rsid w:val="00F92085"/>
    <w:rsid w:val="00F92C52"/>
    <w:rsid w:val="00F93179"/>
    <w:rsid w:val="00F937E0"/>
    <w:rsid w:val="00F93842"/>
    <w:rsid w:val="00F94060"/>
    <w:rsid w:val="00F9448B"/>
    <w:rsid w:val="00F945C5"/>
    <w:rsid w:val="00F9465C"/>
    <w:rsid w:val="00F95211"/>
    <w:rsid w:val="00F95633"/>
    <w:rsid w:val="00F95C65"/>
    <w:rsid w:val="00F95D99"/>
    <w:rsid w:val="00F963FC"/>
    <w:rsid w:val="00F96E10"/>
    <w:rsid w:val="00F97AD6"/>
    <w:rsid w:val="00F97AE6"/>
    <w:rsid w:val="00F97BFB"/>
    <w:rsid w:val="00F97DC7"/>
    <w:rsid w:val="00FA01E3"/>
    <w:rsid w:val="00FA0C11"/>
    <w:rsid w:val="00FA0F7C"/>
    <w:rsid w:val="00FA2EFA"/>
    <w:rsid w:val="00FA30E9"/>
    <w:rsid w:val="00FA4270"/>
    <w:rsid w:val="00FA5487"/>
    <w:rsid w:val="00FA5D42"/>
    <w:rsid w:val="00FA5FC9"/>
    <w:rsid w:val="00FA6308"/>
    <w:rsid w:val="00FA6E7F"/>
    <w:rsid w:val="00FA7361"/>
    <w:rsid w:val="00FA7AE0"/>
    <w:rsid w:val="00FB0193"/>
    <w:rsid w:val="00FB05ED"/>
    <w:rsid w:val="00FB07AF"/>
    <w:rsid w:val="00FB0A48"/>
    <w:rsid w:val="00FB0B8D"/>
    <w:rsid w:val="00FB0E1F"/>
    <w:rsid w:val="00FB14DA"/>
    <w:rsid w:val="00FB2953"/>
    <w:rsid w:val="00FB2F59"/>
    <w:rsid w:val="00FB304C"/>
    <w:rsid w:val="00FB3B0A"/>
    <w:rsid w:val="00FB3B4F"/>
    <w:rsid w:val="00FB40C2"/>
    <w:rsid w:val="00FB4326"/>
    <w:rsid w:val="00FB45BE"/>
    <w:rsid w:val="00FB4727"/>
    <w:rsid w:val="00FB4938"/>
    <w:rsid w:val="00FB6226"/>
    <w:rsid w:val="00FB6392"/>
    <w:rsid w:val="00FB71E7"/>
    <w:rsid w:val="00FB75B2"/>
    <w:rsid w:val="00FB7BC0"/>
    <w:rsid w:val="00FC088F"/>
    <w:rsid w:val="00FC0893"/>
    <w:rsid w:val="00FC0E56"/>
    <w:rsid w:val="00FC1052"/>
    <w:rsid w:val="00FC11BE"/>
    <w:rsid w:val="00FC1703"/>
    <w:rsid w:val="00FC2CF6"/>
    <w:rsid w:val="00FC3068"/>
    <w:rsid w:val="00FC340E"/>
    <w:rsid w:val="00FC36D7"/>
    <w:rsid w:val="00FC3A7E"/>
    <w:rsid w:val="00FC3DBC"/>
    <w:rsid w:val="00FC4274"/>
    <w:rsid w:val="00FC4386"/>
    <w:rsid w:val="00FC4D9F"/>
    <w:rsid w:val="00FC5259"/>
    <w:rsid w:val="00FC5824"/>
    <w:rsid w:val="00FC5BDC"/>
    <w:rsid w:val="00FC631F"/>
    <w:rsid w:val="00FC6411"/>
    <w:rsid w:val="00FC6595"/>
    <w:rsid w:val="00FC678B"/>
    <w:rsid w:val="00FC6D75"/>
    <w:rsid w:val="00FC7007"/>
    <w:rsid w:val="00FC718C"/>
    <w:rsid w:val="00FC71C8"/>
    <w:rsid w:val="00FC74ED"/>
    <w:rsid w:val="00FC7C3D"/>
    <w:rsid w:val="00FD030B"/>
    <w:rsid w:val="00FD0488"/>
    <w:rsid w:val="00FD0838"/>
    <w:rsid w:val="00FD098F"/>
    <w:rsid w:val="00FD0B51"/>
    <w:rsid w:val="00FD0EE4"/>
    <w:rsid w:val="00FD1336"/>
    <w:rsid w:val="00FD1C1B"/>
    <w:rsid w:val="00FD2160"/>
    <w:rsid w:val="00FD2440"/>
    <w:rsid w:val="00FD2865"/>
    <w:rsid w:val="00FD37C6"/>
    <w:rsid w:val="00FD3C5A"/>
    <w:rsid w:val="00FD4226"/>
    <w:rsid w:val="00FD4BBB"/>
    <w:rsid w:val="00FD5D05"/>
    <w:rsid w:val="00FD630B"/>
    <w:rsid w:val="00FD668D"/>
    <w:rsid w:val="00FD740A"/>
    <w:rsid w:val="00FE0C8D"/>
    <w:rsid w:val="00FE10EC"/>
    <w:rsid w:val="00FE1235"/>
    <w:rsid w:val="00FE1FEF"/>
    <w:rsid w:val="00FE29E1"/>
    <w:rsid w:val="00FE2E60"/>
    <w:rsid w:val="00FE2EDE"/>
    <w:rsid w:val="00FE3050"/>
    <w:rsid w:val="00FE341C"/>
    <w:rsid w:val="00FE38BF"/>
    <w:rsid w:val="00FE3DAC"/>
    <w:rsid w:val="00FE3EDD"/>
    <w:rsid w:val="00FE4D61"/>
    <w:rsid w:val="00FE55B6"/>
    <w:rsid w:val="00FE5C61"/>
    <w:rsid w:val="00FE5F03"/>
    <w:rsid w:val="00FE63D3"/>
    <w:rsid w:val="00FE67EE"/>
    <w:rsid w:val="00FF0027"/>
    <w:rsid w:val="00FF0083"/>
    <w:rsid w:val="00FF018E"/>
    <w:rsid w:val="00FF0483"/>
    <w:rsid w:val="00FF04C6"/>
    <w:rsid w:val="00FF1644"/>
    <w:rsid w:val="00FF29E4"/>
    <w:rsid w:val="00FF2A8C"/>
    <w:rsid w:val="00FF3554"/>
    <w:rsid w:val="00FF3751"/>
    <w:rsid w:val="00FF3C9C"/>
    <w:rsid w:val="00FF4271"/>
    <w:rsid w:val="00FF4531"/>
    <w:rsid w:val="00FF4AF8"/>
    <w:rsid w:val="00FF4BC9"/>
    <w:rsid w:val="00FF5291"/>
    <w:rsid w:val="00FF59AF"/>
    <w:rsid w:val="00FF653F"/>
    <w:rsid w:val="00FF6794"/>
    <w:rsid w:val="00FF6D78"/>
    <w:rsid w:val="00FF6DD7"/>
    <w:rsid w:val="00FF70C9"/>
    <w:rsid w:val="00FF7654"/>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83"/>
    <o:shapelayout v:ext="edit">
      <o:idmap v:ext="edit" data="2"/>
    </o:shapelayout>
  </w:shapeDefaults>
  <w:decimalSymbol w:val=","/>
  <w:listSeparator w:val=";"/>
  <w14:docId w14:val="15AFE41E"/>
  <w15:chartTrackingRefBased/>
  <w15:docId w15:val="{E28484D3-E913-4001-9E7B-A06A90933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pt-BR"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09B"/>
  </w:style>
  <w:style w:type="paragraph" w:styleId="Ttulo1">
    <w:name w:val="heading 1"/>
    <w:basedOn w:val="Normal"/>
    <w:next w:val="Normal"/>
    <w:link w:val="Ttulo1Char"/>
    <w:uiPriority w:val="9"/>
    <w:qFormat/>
    <w:rsid w:val="00B3309B"/>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Ttulo2">
    <w:name w:val="heading 2"/>
    <w:basedOn w:val="Normal"/>
    <w:next w:val="Normal"/>
    <w:link w:val="Ttulo2Char"/>
    <w:uiPriority w:val="9"/>
    <w:unhideWhenUsed/>
    <w:qFormat/>
    <w:rsid w:val="00B3309B"/>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Ttulo3">
    <w:name w:val="heading 3"/>
    <w:basedOn w:val="Normal"/>
    <w:next w:val="Normal"/>
    <w:link w:val="Ttulo3Char"/>
    <w:uiPriority w:val="9"/>
    <w:unhideWhenUsed/>
    <w:qFormat/>
    <w:rsid w:val="00B3309B"/>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Ttulo4">
    <w:name w:val="heading 4"/>
    <w:basedOn w:val="Normal"/>
    <w:next w:val="Normal"/>
    <w:link w:val="Ttulo4Char"/>
    <w:uiPriority w:val="9"/>
    <w:semiHidden/>
    <w:unhideWhenUsed/>
    <w:qFormat/>
    <w:rsid w:val="00B3309B"/>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Ttulo5">
    <w:name w:val="heading 5"/>
    <w:basedOn w:val="Normal"/>
    <w:next w:val="Normal"/>
    <w:link w:val="Ttulo5Char"/>
    <w:uiPriority w:val="9"/>
    <w:semiHidden/>
    <w:unhideWhenUsed/>
    <w:qFormat/>
    <w:rsid w:val="00B3309B"/>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Ttulo6">
    <w:name w:val="heading 6"/>
    <w:basedOn w:val="Normal"/>
    <w:next w:val="Normal"/>
    <w:link w:val="Ttulo6Char"/>
    <w:uiPriority w:val="9"/>
    <w:semiHidden/>
    <w:unhideWhenUsed/>
    <w:qFormat/>
    <w:rsid w:val="00B3309B"/>
    <w:pPr>
      <w:keepNext/>
      <w:keepLines/>
      <w:spacing w:before="40" w:after="0"/>
      <w:outlineLvl w:val="5"/>
    </w:pPr>
    <w:rPr>
      <w:rFonts w:asciiTheme="majorHAnsi" w:eastAsiaTheme="majorEastAsia" w:hAnsiTheme="majorHAnsi" w:cstheme="majorBidi"/>
      <w:color w:val="70AD47" w:themeColor="accent6"/>
    </w:rPr>
  </w:style>
  <w:style w:type="paragraph" w:styleId="Ttulo7">
    <w:name w:val="heading 7"/>
    <w:basedOn w:val="Normal"/>
    <w:next w:val="Normal"/>
    <w:link w:val="Ttulo7Char"/>
    <w:uiPriority w:val="9"/>
    <w:semiHidden/>
    <w:unhideWhenUsed/>
    <w:qFormat/>
    <w:rsid w:val="00B3309B"/>
    <w:pPr>
      <w:keepNext/>
      <w:keepLines/>
      <w:spacing w:before="40" w:after="0"/>
      <w:outlineLvl w:val="6"/>
    </w:pPr>
    <w:rPr>
      <w:rFonts w:asciiTheme="majorHAnsi" w:eastAsiaTheme="majorEastAsia" w:hAnsiTheme="majorHAnsi" w:cstheme="majorBidi"/>
      <w:b/>
      <w:bCs/>
      <w:color w:val="70AD47" w:themeColor="accent6"/>
    </w:rPr>
  </w:style>
  <w:style w:type="paragraph" w:styleId="Ttulo8">
    <w:name w:val="heading 8"/>
    <w:basedOn w:val="Normal"/>
    <w:next w:val="Normal"/>
    <w:link w:val="Ttulo8Char"/>
    <w:uiPriority w:val="9"/>
    <w:semiHidden/>
    <w:unhideWhenUsed/>
    <w:qFormat/>
    <w:rsid w:val="00B3309B"/>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tulo9">
    <w:name w:val="heading 9"/>
    <w:basedOn w:val="Normal"/>
    <w:next w:val="Normal"/>
    <w:link w:val="Ttulo9Char"/>
    <w:uiPriority w:val="9"/>
    <w:semiHidden/>
    <w:unhideWhenUsed/>
    <w:qFormat/>
    <w:rsid w:val="00B3309B"/>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3309B"/>
    <w:rPr>
      <w:rFonts w:asciiTheme="majorHAnsi" w:eastAsiaTheme="majorEastAsia" w:hAnsiTheme="majorHAnsi" w:cstheme="majorBidi"/>
      <w:color w:val="538135" w:themeColor="accent6" w:themeShade="BF"/>
      <w:sz w:val="40"/>
      <w:szCs w:val="40"/>
    </w:rPr>
  </w:style>
  <w:style w:type="paragraph" w:customStyle="1" w:styleId="Publicao">
    <w:name w:val="Publicação"/>
    <w:basedOn w:val="Normal"/>
    <w:next w:val="Normal"/>
    <w:autoRedefine/>
    <w:rsid w:val="00AB7018"/>
    <w:pPr>
      <w:spacing w:before="120" w:after="120" w:line="276" w:lineRule="auto"/>
      <w:jc w:val="both"/>
    </w:pPr>
    <w:rPr>
      <w:rFonts w:ascii="Arial" w:hAnsi="Arial"/>
      <w:color w:val="000000" w:themeColor="text1"/>
      <w:sz w:val="18"/>
    </w:rPr>
  </w:style>
  <w:style w:type="table" w:customStyle="1" w:styleId="PublicaoDF">
    <w:name w:val="PublicaçãoDF"/>
    <w:basedOn w:val="Tabelanormal"/>
    <w:uiPriority w:val="99"/>
    <w:rsid w:val="00AB7018"/>
    <w:pPr>
      <w:spacing w:after="0" w:line="240" w:lineRule="auto"/>
    </w:pPr>
    <w:rPr>
      <w:rFonts w:ascii="Arial" w:hAnsi="Arial"/>
      <w:sz w:val="14"/>
    </w:rPr>
    <w:tblPr/>
  </w:style>
  <w:style w:type="table" w:customStyle="1" w:styleId="PublicaoBBSeg">
    <w:name w:val="PublicaçãoBBSeg"/>
    <w:basedOn w:val="Tabelanormal"/>
    <w:uiPriority w:val="99"/>
    <w:rsid w:val="00AB7018"/>
    <w:pPr>
      <w:spacing w:after="0" w:line="240" w:lineRule="auto"/>
    </w:pPr>
    <w:rPr>
      <w:rFonts w:ascii="Arial" w:hAnsi="Arial"/>
      <w:sz w:val="18"/>
    </w:rPr>
    <w:tblPr/>
  </w:style>
  <w:style w:type="paragraph" w:styleId="Cabealho">
    <w:name w:val="header"/>
    <w:aliases w:val="Heading 1a,encabezado,Appendix,Heading 1a Char Char Char Char,Draft,Table header,Draft1,Draft2,Guideline,encabezado Char Char Char Char Char,Car4,Header Char Char Char,even"/>
    <w:basedOn w:val="Normal"/>
    <w:link w:val="CabealhoChar"/>
    <w:uiPriority w:val="99"/>
    <w:unhideWhenUsed/>
    <w:rsid w:val="00347240"/>
    <w:pPr>
      <w:tabs>
        <w:tab w:val="center" w:pos="4252"/>
        <w:tab w:val="right" w:pos="8504"/>
      </w:tabs>
      <w:spacing w:after="0" w:line="240" w:lineRule="auto"/>
    </w:pPr>
  </w:style>
  <w:style w:type="character" w:customStyle="1" w:styleId="CabealhoChar">
    <w:name w:val="Cabeçalho Char"/>
    <w:aliases w:val="Heading 1a Char,encabezado Char,Appendix Char,Heading 1a Char Char Char Char Char,Draft Char,Table header Char,Draft1 Char,Draft2 Char,Guideline Char,encabezado Char Char Char Char Char Char,Car4 Char,Header Char Char Char Char,even Char"/>
    <w:basedOn w:val="Fontepargpadro"/>
    <w:link w:val="Cabealho"/>
    <w:uiPriority w:val="99"/>
    <w:rsid w:val="00347240"/>
  </w:style>
  <w:style w:type="paragraph" w:styleId="Rodap">
    <w:name w:val="footer"/>
    <w:basedOn w:val="Normal"/>
    <w:link w:val="RodapChar"/>
    <w:uiPriority w:val="99"/>
    <w:unhideWhenUsed/>
    <w:rsid w:val="00347240"/>
    <w:pPr>
      <w:tabs>
        <w:tab w:val="center" w:pos="4252"/>
        <w:tab w:val="right" w:pos="8504"/>
      </w:tabs>
      <w:spacing w:after="0" w:line="240" w:lineRule="auto"/>
    </w:pPr>
  </w:style>
  <w:style w:type="character" w:customStyle="1" w:styleId="RodapChar">
    <w:name w:val="Rodapé Char"/>
    <w:basedOn w:val="Fontepargpadro"/>
    <w:link w:val="Rodap"/>
    <w:uiPriority w:val="99"/>
    <w:rsid w:val="00347240"/>
  </w:style>
  <w:style w:type="paragraph" w:customStyle="1" w:styleId="08-Tabelageral">
    <w:name w:val="08-Tabela geral"/>
    <w:basedOn w:val="Normal"/>
    <w:qFormat/>
    <w:rsid w:val="002E72C4"/>
    <w:pPr>
      <w:keepNext/>
      <w:keepLines/>
      <w:spacing w:before="40" w:after="40" w:line="240" w:lineRule="auto"/>
      <w:jc w:val="right"/>
    </w:pPr>
    <w:rPr>
      <w:rFonts w:ascii="Arial" w:eastAsia="Times New Roman" w:hAnsi="Arial" w:cs="Times New Roman"/>
      <w:spacing w:val="-2"/>
      <w:sz w:val="14"/>
      <w:szCs w:val="18"/>
      <w:lang w:eastAsia="pt-BR"/>
    </w:rPr>
  </w:style>
  <w:style w:type="table" w:styleId="TabeladeLista6Colorida-nfase5">
    <w:name w:val="List Table 6 Colorful Accent 5"/>
    <w:basedOn w:val="Tabelanormal"/>
    <w:uiPriority w:val="51"/>
    <w:rsid w:val="002E72C4"/>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shd w:val="clear" w:color="auto" w:fill="DEEAF6" w:themeFill="accent5" w:themeFillTint="33"/>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paragraph" w:customStyle="1" w:styleId="05-Textonormal1">
    <w:name w:val="05-Texto normal1"/>
    <w:basedOn w:val="Normal"/>
    <w:qFormat/>
    <w:rsid w:val="002E72C4"/>
    <w:pPr>
      <w:spacing w:before="120" w:after="120" w:line="276" w:lineRule="auto"/>
      <w:jc w:val="both"/>
    </w:pPr>
    <w:rPr>
      <w:rFonts w:ascii="Arial" w:eastAsia="Times New Roman" w:hAnsi="Arial" w:cs="Times New Roman"/>
      <w:spacing w:val="-2"/>
      <w:sz w:val="18"/>
      <w:szCs w:val="18"/>
      <w:lang w:eastAsia="pt-BR"/>
    </w:rPr>
  </w:style>
  <w:style w:type="paragraph" w:customStyle="1" w:styleId="01-Textonormal2">
    <w:name w:val="01-Texto normal2"/>
    <w:basedOn w:val="Normal"/>
    <w:uiPriority w:val="99"/>
    <w:qFormat/>
    <w:rsid w:val="002E72C4"/>
    <w:pPr>
      <w:suppressAutoHyphens/>
      <w:spacing w:before="120" w:after="120" w:line="276" w:lineRule="auto"/>
      <w:jc w:val="both"/>
    </w:pPr>
    <w:rPr>
      <w:rFonts w:ascii="Arial" w:eastAsia="Times New Roman" w:hAnsi="Arial" w:cs="Times New Roman"/>
      <w:kern w:val="20"/>
      <w:sz w:val="18"/>
      <w:szCs w:val="20"/>
      <w:lang w:eastAsia="pt-BR"/>
    </w:rPr>
  </w:style>
  <w:style w:type="paragraph" w:customStyle="1" w:styleId="05-Textonormal">
    <w:name w:val="05-Texto normal"/>
    <w:basedOn w:val="Normal"/>
    <w:qFormat/>
    <w:rsid w:val="002E72C4"/>
    <w:pPr>
      <w:spacing w:before="120" w:after="120" w:line="276" w:lineRule="auto"/>
      <w:jc w:val="both"/>
    </w:pPr>
    <w:rPr>
      <w:rFonts w:ascii="Arial" w:eastAsia="Times New Roman" w:hAnsi="Arial" w:cs="Times New Roman"/>
      <w:spacing w:val="-2"/>
      <w:sz w:val="18"/>
      <w:szCs w:val="18"/>
      <w:lang w:eastAsia="pt-BR"/>
    </w:rPr>
  </w:style>
  <w:style w:type="paragraph" w:customStyle="1" w:styleId="01-TtulodeNota">
    <w:name w:val="01-Título de Nota"/>
    <w:basedOn w:val="05-Textonormal"/>
    <w:next w:val="Normal"/>
    <w:uiPriority w:val="99"/>
    <w:qFormat/>
    <w:rsid w:val="002E72C4"/>
    <w:pPr>
      <w:spacing w:line="240" w:lineRule="auto"/>
    </w:pPr>
    <w:rPr>
      <w:b/>
      <w:sz w:val="20"/>
      <w:szCs w:val="20"/>
    </w:rPr>
  </w:style>
  <w:style w:type="paragraph" w:customStyle="1" w:styleId="04-TtuloNegrito">
    <w:name w:val="04-Título Negrito"/>
    <w:basedOn w:val="Normal"/>
    <w:next w:val="Normal"/>
    <w:qFormat/>
    <w:rsid w:val="002E72C4"/>
    <w:pPr>
      <w:spacing w:before="120" w:after="120" w:line="240" w:lineRule="auto"/>
      <w:jc w:val="both"/>
      <w:outlineLvl w:val="1"/>
    </w:pPr>
    <w:rPr>
      <w:rFonts w:ascii="Arial" w:eastAsia="Times New Roman" w:hAnsi="Arial" w:cs="Times New Roman"/>
      <w:b/>
      <w:spacing w:val="-2"/>
      <w:sz w:val="20"/>
      <w:szCs w:val="20"/>
      <w:lang w:eastAsia="pt-BR"/>
    </w:rPr>
  </w:style>
  <w:style w:type="paragraph" w:customStyle="1" w:styleId="07-Legenda">
    <w:name w:val="07-Legenda"/>
    <w:basedOn w:val="Normal"/>
    <w:qFormat/>
    <w:rsid w:val="002E72C4"/>
    <w:pPr>
      <w:keepLines/>
      <w:tabs>
        <w:tab w:val="left" w:pos="284"/>
      </w:tabs>
      <w:spacing w:before="40" w:after="0" w:line="240" w:lineRule="auto"/>
      <w:ind w:left="284" w:hanging="284"/>
      <w:jc w:val="both"/>
    </w:pPr>
    <w:rPr>
      <w:rFonts w:ascii="Arial" w:eastAsia="Times New Roman" w:hAnsi="Arial" w:cs="Times New Roman"/>
      <w:spacing w:val="-2"/>
      <w:sz w:val="14"/>
      <w:szCs w:val="18"/>
      <w:lang w:eastAsia="pt-BR"/>
    </w:rPr>
  </w:style>
  <w:style w:type="table" w:customStyle="1" w:styleId="TabeladeLista6Colorida-nfase51">
    <w:name w:val="Tabela de Lista 6 Colorida - Ênfase 51"/>
    <w:basedOn w:val="Tabelanormal"/>
    <w:uiPriority w:val="51"/>
    <w:rsid w:val="008B72A3"/>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cPr>
      <w:shd w:val="clear" w:color="auto" w:fill="FFFFFF" w:themeFill="background1"/>
    </w:tcPr>
    <w:tblStylePr w:type="firstRow">
      <w:rPr>
        <w:b/>
        <w:bCs/>
      </w:rPr>
      <w:tblPr/>
      <w:tcPr>
        <w:shd w:val="clear" w:color="auto" w:fill="DEEAF6" w:themeFill="accent5" w:themeFillTint="33"/>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2Horz">
      <w:tblPr/>
      <w:tcPr>
        <w:shd w:val="clear" w:color="auto" w:fill="DEEAF6" w:themeFill="accent5" w:themeFillTint="33"/>
      </w:tcPr>
    </w:tblStylePr>
  </w:style>
  <w:style w:type="paragraph" w:styleId="PargrafodaLista">
    <w:name w:val="List Paragraph"/>
    <w:basedOn w:val="Normal"/>
    <w:uiPriority w:val="1"/>
    <w:qFormat/>
    <w:rsid w:val="00527540"/>
    <w:pPr>
      <w:ind w:left="720"/>
      <w:contextualSpacing/>
    </w:pPr>
  </w:style>
  <w:style w:type="paragraph" w:customStyle="1" w:styleId="03-SubttulodeNota">
    <w:name w:val="03-Subtítulo de Nota"/>
    <w:basedOn w:val="05-Textonormal"/>
    <w:next w:val="Normal"/>
    <w:qFormat/>
    <w:rsid w:val="004115E5"/>
    <w:pPr>
      <w:spacing w:line="240" w:lineRule="auto"/>
      <w:outlineLvl w:val="1"/>
    </w:pPr>
    <w:rPr>
      <w:b/>
      <w:sz w:val="20"/>
      <w:szCs w:val="20"/>
    </w:rPr>
  </w:style>
  <w:style w:type="paragraph" w:customStyle="1" w:styleId="01-Textonormal">
    <w:name w:val="01-Texto normal"/>
    <w:basedOn w:val="05-Textonormal"/>
    <w:link w:val="01-TextonormalChar1"/>
    <w:qFormat/>
    <w:rsid w:val="004115E5"/>
  </w:style>
  <w:style w:type="character" w:customStyle="1" w:styleId="01-TextonormalChar1">
    <w:name w:val="01-Texto normal Char1"/>
    <w:basedOn w:val="Fontepargpadro"/>
    <w:link w:val="01-Textonormal"/>
    <w:rsid w:val="00DE3DF5"/>
    <w:rPr>
      <w:rFonts w:ascii="Arial" w:eastAsia="Times New Roman" w:hAnsi="Arial" w:cs="Times New Roman"/>
      <w:spacing w:val="-2"/>
      <w:sz w:val="18"/>
      <w:szCs w:val="18"/>
      <w:lang w:eastAsia="pt-BR"/>
    </w:rPr>
  </w:style>
  <w:style w:type="paragraph" w:customStyle="1" w:styleId="06-Rmil">
    <w:name w:val="06-R$ mil"/>
    <w:basedOn w:val="Normal"/>
    <w:next w:val="Normal"/>
    <w:link w:val="06-RmilChar"/>
    <w:qFormat/>
    <w:rsid w:val="00773825"/>
    <w:pPr>
      <w:keepNext/>
      <w:keepLines/>
      <w:spacing w:after="0" w:line="240" w:lineRule="auto"/>
      <w:jc w:val="right"/>
    </w:pPr>
    <w:rPr>
      <w:rFonts w:ascii="Arial" w:eastAsia="Times New Roman" w:hAnsi="Arial" w:cs="Times New Roman"/>
      <w:b/>
      <w:spacing w:val="-2"/>
      <w:sz w:val="14"/>
      <w:szCs w:val="18"/>
      <w:lang w:eastAsia="pt-BR"/>
    </w:rPr>
  </w:style>
  <w:style w:type="character" w:customStyle="1" w:styleId="06-RmilChar">
    <w:name w:val="06-R$ mil Char"/>
    <w:link w:val="06-Rmil"/>
    <w:rsid w:val="00773825"/>
    <w:rPr>
      <w:rFonts w:ascii="Arial" w:eastAsia="Times New Roman" w:hAnsi="Arial" w:cs="Times New Roman"/>
      <w:b/>
      <w:spacing w:val="-2"/>
      <w:sz w:val="14"/>
      <w:szCs w:val="18"/>
      <w:lang w:eastAsia="pt-BR"/>
    </w:rPr>
  </w:style>
  <w:style w:type="paragraph" w:styleId="Ttulo">
    <w:name w:val="Title"/>
    <w:basedOn w:val="Normal"/>
    <w:next w:val="Normal"/>
    <w:link w:val="TtuloChar"/>
    <w:uiPriority w:val="10"/>
    <w:qFormat/>
    <w:rsid w:val="00B3309B"/>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tuloChar">
    <w:name w:val="Título Char"/>
    <w:basedOn w:val="Fontepargpadro"/>
    <w:link w:val="Ttulo"/>
    <w:uiPriority w:val="10"/>
    <w:rsid w:val="00B3309B"/>
    <w:rPr>
      <w:rFonts w:asciiTheme="majorHAnsi" w:eastAsiaTheme="majorEastAsia" w:hAnsiTheme="majorHAnsi" w:cstheme="majorBidi"/>
      <w:color w:val="262626" w:themeColor="text1" w:themeTint="D9"/>
      <w:spacing w:val="-15"/>
      <w:sz w:val="96"/>
      <w:szCs w:val="96"/>
    </w:rPr>
  </w:style>
  <w:style w:type="paragraph" w:customStyle="1" w:styleId="05-Textonormal2">
    <w:name w:val="05-Texto normal2"/>
    <w:basedOn w:val="Normal"/>
    <w:qFormat/>
    <w:rsid w:val="00D74995"/>
    <w:pPr>
      <w:spacing w:before="120" w:after="120" w:line="276" w:lineRule="auto"/>
      <w:jc w:val="both"/>
    </w:pPr>
    <w:rPr>
      <w:rFonts w:ascii="Arial" w:eastAsia="Times New Roman" w:hAnsi="Arial" w:cs="Times New Roman"/>
      <w:spacing w:val="-2"/>
      <w:sz w:val="18"/>
      <w:szCs w:val="18"/>
      <w:lang w:eastAsia="pt-BR"/>
    </w:rPr>
  </w:style>
  <w:style w:type="paragraph" w:styleId="CabealhodoSumrio">
    <w:name w:val="TOC Heading"/>
    <w:basedOn w:val="Ttulo1"/>
    <w:next w:val="Normal"/>
    <w:uiPriority w:val="39"/>
    <w:unhideWhenUsed/>
    <w:qFormat/>
    <w:rsid w:val="00B3309B"/>
    <w:pPr>
      <w:outlineLvl w:val="9"/>
    </w:pPr>
  </w:style>
  <w:style w:type="paragraph" w:styleId="Sumrio1">
    <w:name w:val="toc 1"/>
    <w:basedOn w:val="Normal"/>
    <w:next w:val="Normal"/>
    <w:autoRedefine/>
    <w:uiPriority w:val="39"/>
    <w:unhideWhenUsed/>
    <w:rsid w:val="008B6917"/>
    <w:pPr>
      <w:tabs>
        <w:tab w:val="right" w:leader="dot" w:pos="9628"/>
      </w:tabs>
      <w:spacing w:after="100"/>
    </w:pPr>
    <w:rPr>
      <w:rFonts w:ascii="Arial" w:hAnsi="Arial" w:cs="Arial"/>
      <w:b/>
      <w:noProof/>
      <w:color w:val="002060"/>
      <w:sz w:val="20"/>
      <w:szCs w:val="20"/>
    </w:rPr>
  </w:style>
  <w:style w:type="paragraph" w:styleId="Sumrio2">
    <w:name w:val="toc 2"/>
    <w:basedOn w:val="Normal"/>
    <w:next w:val="Normal"/>
    <w:autoRedefine/>
    <w:uiPriority w:val="39"/>
    <w:unhideWhenUsed/>
    <w:rsid w:val="008353DA"/>
    <w:pPr>
      <w:spacing w:after="100"/>
      <w:ind w:left="220"/>
    </w:pPr>
  </w:style>
  <w:style w:type="character" w:styleId="Hyperlink">
    <w:name w:val="Hyperlink"/>
    <w:basedOn w:val="Fontepargpadro"/>
    <w:uiPriority w:val="99"/>
    <w:unhideWhenUsed/>
    <w:rsid w:val="008353DA"/>
    <w:rPr>
      <w:color w:val="0563C1" w:themeColor="hyperlink"/>
      <w:u w:val="single"/>
    </w:rPr>
  </w:style>
  <w:style w:type="table" w:customStyle="1" w:styleId="TabeladeLista6Colorida-nfase512">
    <w:name w:val="Tabela de Lista 6 Colorida - Ênfase 512"/>
    <w:basedOn w:val="Tabelanormal"/>
    <w:next w:val="TabeladeLista6Colorida-nfase5"/>
    <w:uiPriority w:val="51"/>
    <w:rsid w:val="00AD173D"/>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shd w:val="clear" w:color="auto" w:fill="D9E2F3"/>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2Horz">
      <w:tblPr/>
      <w:tcPr>
        <w:shd w:val="clear" w:color="auto" w:fill="D9E2F3"/>
      </w:tcPr>
    </w:tblStylePr>
  </w:style>
  <w:style w:type="paragraph" w:customStyle="1" w:styleId="08-Tabelageral1">
    <w:name w:val="08-Tabela geral1"/>
    <w:basedOn w:val="Normal"/>
    <w:qFormat/>
    <w:rsid w:val="00AD173D"/>
    <w:pPr>
      <w:keepNext/>
      <w:keepLines/>
      <w:suppressAutoHyphens/>
      <w:spacing w:before="40" w:after="40" w:line="276" w:lineRule="auto"/>
      <w:jc w:val="right"/>
    </w:pPr>
    <w:rPr>
      <w:rFonts w:ascii="Arial" w:eastAsia="Times New Roman" w:hAnsi="Arial" w:cs="Times New Roman"/>
      <w:kern w:val="20"/>
      <w:sz w:val="14"/>
      <w:szCs w:val="20"/>
      <w:lang w:eastAsia="pt-BR"/>
    </w:rPr>
  </w:style>
  <w:style w:type="table" w:customStyle="1" w:styleId="TabeladeLista6Colorida-nfase52">
    <w:name w:val="Tabela de Lista 6 Colorida - Ênfase 52"/>
    <w:basedOn w:val="Tabelanormal"/>
    <w:next w:val="TabeladeLista6Colorida-nfase5"/>
    <w:uiPriority w:val="51"/>
    <w:rsid w:val="00AD173D"/>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02-TtulodeNota">
    <w:name w:val="02-Título de Nota"/>
    <w:basedOn w:val="05-Textonormal"/>
    <w:next w:val="Normal"/>
    <w:qFormat/>
    <w:rsid w:val="006427A9"/>
    <w:pPr>
      <w:spacing w:line="240" w:lineRule="auto"/>
      <w:outlineLvl w:val="0"/>
    </w:pPr>
    <w:rPr>
      <w:b/>
      <w:color w:val="1F3864" w:themeColor="accent1" w:themeShade="80"/>
      <w:sz w:val="20"/>
      <w:szCs w:val="20"/>
    </w:rPr>
  </w:style>
  <w:style w:type="character" w:customStyle="1" w:styleId="TextodebaloChar">
    <w:name w:val="Texto de balão Char"/>
    <w:basedOn w:val="Fontepargpadro"/>
    <w:link w:val="Textodebalo"/>
    <w:uiPriority w:val="99"/>
    <w:semiHidden/>
    <w:rsid w:val="00025BF4"/>
    <w:rPr>
      <w:rFonts w:ascii="Segoe UI" w:eastAsia="MS Mincho" w:hAnsi="Segoe UI" w:cs="Segoe UI"/>
      <w:sz w:val="18"/>
      <w:szCs w:val="18"/>
    </w:rPr>
  </w:style>
  <w:style w:type="paragraph" w:styleId="Textodebalo">
    <w:name w:val="Balloon Text"/>
    <w:basedOn w:val="Normal"/>
    <w:link w:val="TextodebaloChar"/>
    <w:uiPriority w:val="99"/>
    <w:semiHidden/>
    <w:unhideWhenUsed/>
    <w:rsid w:val="00025BF4"/>
    <w:pPr>
      <w:spacing w:after="0" w:line="240" w:lineRule="auto"/>
    </w:pPr>
    <w:rPr>
      <w:rFonts w:ascii="Segoe UI" w:eastAsia="MS Mincho" w:hAnsi="Segoe UI" w:cs="Segoe UI"/>
      <w:sz w:val="18"/>
      <w:szCs w:val="18"/>
    </w:rPr>
  </w:style>
  <w:style w:type="character" w:customStyle="1" w:styleId="TextodecomentrioChar">
    <w:name w:val="Texto de comentário Char"/>
    <w:basedOn w:val="Fontepargpadro"/>
    <w:link w:val="Textodecomentrio"/>
    <w:rsid w:val="00025BF4"/>
    <w:rPr>
      <w:rFonts w:eastAsia="MS Mincho"/>
      <w:sz w:val="20"/>
      <w:szCs w:val="20"/>
    </w:rPr>
  </w:style>
  <w:style w:type="paragraph" w:styleId="Textodecomentrio">
    <w:name w:val="annotation text"/>
    <w:basedOn w:val="Normal"/>
    <w:link w:val="TextodecomentrioChar"/>
    <w:unhideWhenUsed/>
    <w:rsid w:val="00025BF4"/>
    <w:pPr>
      <w:spacing w:line="240" w:lineRule="auto"/>
    </w:pPr>
    <w:rPr>
      <w:rFonts w:eastAsia="MS Mincho"/>
      <w:sz w:val="20"/>
      <w:szCs w:val="20"/>
    </w:rPr>
  </w:style>
  <w:style w:type="character" w:customStyle="1" w:styleId="AssuntodocomentrioChar">
    <w:name w:val="Assunto do comentário Char"/>
    <w:basedOn w:val="TextodecomentrioChar"/>
    <w:link w:val="Assuntodocomentrio"/>
    <w:uiPriority w:val="99"/>
    <w:semiHidden/>
    <w:rsid w:val="00025BF4"/>
    <w:rPr>
      <w:rFonts w:eastAsia="MS Mincho"/>
      <w:b/>
      <w:bCs/>
      <w:sz w:val="20"/>
      <w:szCs w:val="20"/>
    </w:rPr>
  </w:style>
  <w:style w:type="paragraph" w:styleId="Assuntodocomentrio">
    <w:name w:val="annotation subject"/>
    <w:basedOn w:val="Textodecomentrio"/>
    <w:next w:val="Textodecomentrio"/>
    <w:link w:val="AssuntodocomentrioChar"/>
    <w:uiPriority w:val="99"/>
    <w:semiHidden/>
    <w:unhideWhenUsed/>
    <w:rsid w:val="00025BF4"/>
    <w:rPr>
      <w:b/>
      <w:bCs/>
    </w:rPr>
  </w:style>
  <w:style w:type="table" w:styleId="Tabelacomgrade">
    <w:name w:val="Table Grid"/>
    <w:basedOn w:val="Tabelanormal"/>
    <w:uiPriority w:val="39"/>
    <w:rsid w:val="00CB1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1Clara-nfase1">
    <w:name w:val="Grid Table 1 Light Accent 1"/>
    <w:basedOn w:val="Tabelanormal"/>
    <w:uiPriority w:val="46"/>
    <w:rsid w:val="00CB13A2"/>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eladeLista4-nfase1">
    <w:name w:val="List Table 4 Accent 1"/>
    <w:basedOn w:val="Tabelanormal"/>
    <w:uiPriority w:val="49"/>
    <w:rsid w:val="00CB13A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deLista7Colorida-nfase1">
    <w:name w:val="List Table 7 Colorful Accent 1"/>
    <w:basedOn w:val="Tabelanormal"/>
    <w:uiPriority w:val="52"/>
    <w:rsid w:val="00CB13A2"/>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Grade2-nfase1">
    <w:name w:val="Grid Table 2 Accent 1"/>
    <w:basedOn w:val="Tabelanormal"/>
    <w:uiPriority w:val="47"/>
    <w:rsid w:val="00CB13A2"/>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deGrade2-nfase5">
    <w:name w:val="Grid Table 2 Accent 5"/>
    <w:basedOn w:val="Tabelanormal"/>
    <w:uiPriority w:val="47"/>
    <w:rsid w:val="00CB13A2"/>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deGrade6Colorida-nfase5">
    <w:name w:val="Grid Table 6 Colorful Accent 5"/>
    <w:basedOn w:val="Tabelanormal"/>
    <w:uiPriority w:val="51"/>
    <w:rsid w:val="00CB13A2"/>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deLista2-nfase5">
    <w:name w:val="List Table 2 Accent 5"/>
    <w:basedOn w:val="Tabelanormal"/>
    <w:uiPriority w:val="47"/>
    <w:rsid w:val="00CB13A2"/>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deLista4-nfase5">
    <w:name w:val="List Table 4 Accent 5"/>
    <w:basedOn w:val="Tabelanormal"/>
    <w:uiPriority w:val="49"/>
    <w:rsid w:val="00CB13A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deLista2-nfase1">
    <w:name w:val="List Table 2 Accent 1"/>
    <w:basedOn w:val="Tabelanormal"/>
    <w:uiPriority w:val="47"/>
    <w:rsid w:val="00CB13A2"/>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Refdecomentrio">
    <w:name w:val="annotation reference"/>
    <w:basedOn w:val="Fontepargpadro"/>
    <w:unhideWhenUsed/>
    <w:rsid w:val="00CB13A2"/>
    <w:rPr>
      <w:sz w:val="16"/>
      <w:szCs w:val="16"/>
    </w:rPr>
  </w:style>
  <w:style w:type="table" w:customStyle="1" w:styleId="TabeladeGrade1Clara-nfase11">
    <w:name w:val="Tabela de Grade 1 Clara - Ênfase 11"/>
    <w:basedOn w:val="Tabelanormal"/>
    <w:uiPriority w:val="46"/>
    <w:rsid w:val="003E286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
    <w:name w:val="Tabela de Lista 4 - Ênfase 11"/>
    <w:basedOn w:val="Tabelanormal"/>
    <w:uiPriority w:val="49"/>
    <w:rsid w:val="003E286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
    <w:name w:val="Tabela de Lista 7 Colorida - Ênfase 11"/>
    <w:basedOn w:val="Tabelanormal"/>
    <w:uiPriority w:val="52"/>
    <w:rsid w:val="003E286D"/>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
    <w:name w:val="Tabela de Grade 2 - Ênfase 11"/>
    <w:basedOn w:val="Tabelanormal"/>
    <w:uiPriority w:val="47"/>
    <w:rsid w:val="003E286D"/>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
    <w:name w:val="Tabela de Grade 2 - Ênfase 51"/>
    <w:basedOn w:val="Tabelanormal"/>
    <w:uiPriority w:val="47"/>
    <w:rsid w:val="003E286D"/>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
    <w:name w:val="Tabela de Grade 6 Colorida - Ênfase 51"/>
    <w:basedOn w:val="Tabelanormal"/>
    <w:uiPriority w:val="51"/>
    <w:rsid w:val="003E286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
    <w:name w:val="Tabela de Lista 2 - Ênfase 51"/>
    <w:basedOn w:val="Tabelanormal"/>
    <w:uiPriority w:val="47"/>
    <w:rsid w:val="003E286D"/>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
    <w:name w:val="Tabela de Lista 4 - Ênfase 51"/>
    <w:basedOn w:val="Tabelanormal"/>
    <w:uiPriority w:val="49"/>
    <w:rsid w:val="003E286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
    <w:name w:val="Tabela de Lista 2 - Ênfase 11"/>
    <w:basedOn w:val="Tabelanormal"/>
    <w:uiPriority w:val="47"/>
    <w:rsid w:val="003E286D"/>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iperlinkVisitado">
    <w:name w:val="FollowedHyperlink"/>
    <w:basedOn w:val="Fontepargpadro"/>
    <w:uiPriority w:val="99"/>
    <w:semiHidden/>
    <w:unhideWhenUsed/>
    <w:rsid w:val="003E286D"/>
    <w:rPr>
      <w:color w:val="954F72" w:themeColor="followedHyperlink"/>
      <w:u w:val="single"/>
    </w:rPr>
  </w:style>
  <w:style w:type="paragraph" w:customStyle="1" w:styleId="msonormal0">
    <w:name w:val="msonormal"/>
    <w:basedOn w:val="Normal"/>
    <w:rsid w:val="003E286D"/>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elacomgrade1">
    <w:name w:val="Tabela com grade1"/>
    <w:basedOn w:val="Tabelanormal"/>
    <w:next w:val="Tabelacomgrade"/>
    <w:uiPriority w:val="39"/>
    <w:rsid w:val="003E286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3E286D"/>
    <w:pPr>
      <w:spacing w:after="0" w:line="240" w:lineRule="auto"/>
    </w:pPr>
    <w:rPr>
      <w:rFonts w:eastAsia="MS Mincho"/>
    </w:rPr>
  </w:style>
  <w:style w:type="table" w:customStyle="1" w:styleId="Tabelacomgrade2">
    <w:name w:val="Tabela com grade2"/>
    <w:basedOn w:val="Tabelanormal"/>
    <w:next w:val="Tabelacomgrade"/>
    <w:uiPriority w:val="39"/>
    <w:rsid w:val="00123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
    <w:name w:val="Tabela de Grade 1 Clara - Ênfase 111"/>
    <w:basedOn w:val="Tabelanormal"/>
    <w:uiPriority w:val="46"/>
    <w:rsid w:val="001235AB"/>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1">
    <w:name w:val="Tabela de Lista 4 - Ênfase 111"/>
    <w:basedOn w:val="Tabelanormal"/>
    <w:uiPriority w:val="49"/>
    <w:rsid w:val="001235A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1">
    <w:name w:val="Tabela de Lista 6 Colorida - Ênfase 511"/>
    <w:basedOn w:val="Tabelanormal"/>
    <w:uiPriority w:val="51"/>
    <w:rsid w:val="001235AB"/>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1">
    <w:name w:val="Tabela de Lista 7 Colorida - Ênfase 111"/>
    <w:basedOn w:val="Tabelanormal"/>
    <w:uiPriority w:val="52"/>
    <w:rsid w:val="001235AB"/>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1">
    <w:name w:val="Tabela de Grade 2 - Ênfase 111"/>
    <w:basedOn w:val="Tabelanormal"/>
    <w:uiPriority w:val="47"/>
    <w:rsid w:val="001235AB"/>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1">
    <w:name w:val="Tabela de Grade 2 - Ênfase 511"/>
    <w:basedOn w:val="Tabelanormal"/>
    <w:uiPriority w:val="47"/>
    <w:rsid w:val="001235AB"/>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1">
    <w:name w:val="Tabela de Grade 6 Colorida - Ênfase 511"/>
    <w:basedOn w:val="Tabelanormal"/>
    <w:uiPriority w:val="51"/>
    <w:rsid w:val="001235AB"/>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1">
    <w:name w:val="Tabela de Lista 2 - Ênfase 511"/>
    <w:basedOn w:val="Tabelanormal"/>
    <w:uiPriority w:val="47"/>
    <w:rsid w:val="001235AB"/>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1">
    <w:name w:val="Tabela de Lista 4 - Ênfase 511"/>
    <w:basedOn w:val="Tabelanormal"/>
    <w:uiPriority w:val="49"/>
    <w:rsid w:val="001235A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1">
    <w:name w:val="Tabela de Lista 2 - Ênfase 111"/>
    <w:basedOn w:val="Tabelanormal"/>
    <w:uiPriority w:val="47"/>
    <w:rsid w:val="001235AB"/>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1">
    <w:name w:val="Tabela com grade11"/>
    <w:basedOn w:val="Tabelanormal"/>
    <w:next w:val="Tabelacomgrade"/>
    <w:uiPriority w:val="39"/>
    <w:rsid w:val="001235A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2">
    <w:name w:val="Tabela de Grade 1 Clara - Ênfase 112"/>
    <w:basedOn w:val="Tabelanormal"/>
    <w:next w:val="TabeladeGrade1Clara-nfase11"/>
    <w:uiPriority w:val="46"/>
    <w:rsid w:val="001235AB"/>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2">
    <w:name w:val="Tabela de Grade 2 - Ênfase 112"/>
    <w:basedOn w:val="Tabelanormal"/>
    <w:next w:val="TabeladeGrade2-nfase11"/>
    <w:uiPriority w:val="47"/>
    <w:rsid w:val="001235AB"/>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2">
    <w:name w:val="Tabela de Grade 2 - Ênfase 512"/>
    <w:basedOn w:val="Tabelanormal"/>
    <w:next w:val="TabeladeGrade2-nfase51"/>
    <w:uiPriority w:val="47"/>
    <w:rsid w:val="001235AB"/>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2">
    <w:name w:val="Tabela de Grade 6 Colorida - Ênfase 512"/>
    <w:basedOn w:val="Tabelanormal"/>
    <w:next w:val="TabeladeGrade6Colorida-nfase51"/>
    <w:uiPriority w:val="51"/>
    <w:rsid w:val="001235AB"/>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2">
    <w:name w:val="Tabela de Lista 2 - Ênfase 112"/>
    <w:basedOn w:val="Tabelanormal"/>
    <w:next w:val="TabeladeLista2-nfase11"/>
    <w:uiPriority w:val="47"/>
    <w:rsid w:val="001235AB"/>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2">
    <w:name w:val="Tabela de Lista 4 - Ênfase 112"/>
    <w:basedOn w:val="Tabelanormal"/>
    <w:next w:val="TabeladeLista4-nfase11"/>
    <w:uiPriority w:val="49"/>
    <w:rsid w:val="001235AB"/>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2">
    <w:name w:val="Tabela de Lista 7 Colorida - Ênfase 112"/>
    <w:basedOn w:val="Tabelanormal"/>
    <w:next w:val="TabeladeLista7Colorida-nfase11"/>
    <w:uiPriority w:val="52"/>
    <w:rsid w:val="001235AB"/>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2">
    <w:name w:val="Tabela de Lista 2 - Ênfase 512"/>
    <w:basedOn w:val="Tabelanormal"/>
    <w:next w:val="TabeladeLista2-nfase51"/>
    <w:uiPriority w:val="47"/>
    <w:rsid w:val="001235AB"/>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2">
    <w:name w:val="Tabela de Lista 4 - Ênfase 512"/>
    <w:basedOn w:val="Tabelanormal"/>
    <w:next w:val="TabeladeLista4-nfase51"/>
    <w:uiPriority w:val="49"/>
    <w:rsid w:val="001235AB"/>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comgrade3">
    <w:name w:val="Tabela com grade3"/>
    <w:basedOn w:val="Tabelanormal"/>
    <w:next w:val="Tabelacomgrade"/>
    <w:uiPriority w:val="39"/>
    <w:rsid w:val="00560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3">
    <w:name w:val="Tabela de Grade 1 Clara - Ênfase 113"/>
    <w:basedOn w:val="Tabelanormal"/>
    <w:uiPriority w:val="46"/>
    <w:rsid w:val="00560E2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3">
    <w:name w:val="Tabela de Lista 4 - Ênfase 113"/>
    <w:basedOn w:val="Tabelanormal"/>
    <w:uiPriority w:val="49"/>
    <w:rsid w:val="00560E2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3">
    <w:name w:val="Tabela de Lista 6 Colorida - Ênfase 513"/>
    <w:basedOn w:val="Tabelanormal"/>
    <w:uiPriority w:val="51"/>
    <w:rsid w:val="00560E25"/>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3">
    <w:name w:val="Tabela de Lista 7 Colorida - Ênfase 113"/>
    <w:basedOn w:val="Tabelanormal"/>
    <w:uiPriority w:val="52"/>
    <w:rsid w:val="00560E25"/>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3">
    <w:name w:val="Tabela de Grade 2 - Ênfase 113"/>
    <w:basedOn w:val="Tabelanormal"/>
    <w:uiPriority w:val="47"/>
    <w:rsid w:val="00560E25"/>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3">
    <w:name w:val="Tabela de Grade 2 - Ênfase 513"/>
    <w:basedOn w:val="Tabelanormal"/>
    <w:uiPriority w:val="47"/>
    <w:rsid w:val="00560E25"/>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3">
    <w:name w:val="Tabela de Grade 6 Colorida - Ênfase 513"/>
    <w:basedOn w:val="Tabelanormal"/>
    <w:uiPriority w:val="51"/>
    <w:rsid w:val="00560E2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3">
    <w:name w:val="Tabela de Lista 2 - Ênfase 513"/>
    <w:basedOn w:val="Tabelanormal"/>
    <w:uiPriority w:val="47"/>
    <w:rsid w:val="00560E25"/>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3">
    <w:name w:val="Tabela de Lista 4 - Ênfase 513"/>
    <w:basedOn w:val="Tabelanormal"/>
    <w:uiPriority w:val="49"/>
    <w:rsid w:val="00560E2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3">
    <w:name w:val="Tabela de Lista 2 - Ênfase 113"/>
    <w:basedOn w:val="Tabelanormal"/>
    <w:uiPriority w:val="47"/>
    <w:rsid w:val="00560E25"/>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2">
    <w:name w:val="Tabela com grade12"/>
    <w:basedOn w:val="Tabelanormal"/>
    <w:next w:val="Tabelacomgrade"/>
    <w:uiPriority w:val="39"/>
    <w:rsid w:val="00560E2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4">
    <w:name w:val="Tabela de Grade 1 Clara - Ênfase 114"/>
    <w:basedOn w:val="Tabelanormal"/>
    <w:next w:val="TabeladeGrade1Clara-nfase11"/>
    <w:uiPriority w:val="46"/>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4">
    <w:name w:val="Tabela de Grade 2 - Ênfase 114"/>
    <w:basedOn w:val="Tabelanormal"/>
    <w:next w:val="TabeladeGrade2-nfase1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4">
    <w:name w:val="Tabela de Grade 2 - Ênfase 514"/>
    <w:basedOn w:val="Tabelanormal"/>
    <w:next w:val="TabeladeGrade2-nfase5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4">
    <w:name w:val="Tabela de Grade 6 Colorida - Ênfase 514"/>
    <w:basedOn w:val="Tabelanormal"/>
    <w:next w:val="TabeladeGrade6Colorida-nfase51"/>
    <w:uiPriority w:val="51"/>
    <w:rsid w:val="00560E25"/>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4">
    <w:name w:val="Tabela de Lista 2 - Ênfase 114"/>
    <w:basedOn w:val="Tabelanormal"/>
    <w:next w:val="TabeladeLista2-nfase1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4">
    <w:name w:val="Tabela de Lista 4 - Ênfase 114"/>
    <w:basedOn w:val="Tabelanormal"/>
    <w:next w:val="TabeladeLista4-nfase11"/>
    <w:uiPriority w:val="49"/>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4">
    <w:name w:val="Tabela de Lista 7 Colorida - Ênfase 114"/>
    <w:basedOn w:val="Tabelanormal"/>
    <w:next w:val="TabeladeLista7Colorida-nfase11"/>
    <w:uiPriority w:val="52"/>
    <w:rsid w:val="00560E25"/>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4">
    <w:name w:val="Tabela de Lista 2 - Ênfase 514"/>
    <w:basedOn w:val="Tabelanormal"/>
    <w:next w:val="TabeladeLista2-nfase5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4">
    <w:name w:val="Tabela de Lista 4 - Ênfase 514"/>
    <w:basedOn w:val="Tabelanormal"/>
    <w:next w:val="TabeladeLista4-nfase51"/>
    <w:uiPriority w:val="49"/>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4">
    <w:name w:val="Tabela de Lista 6 Colorida - Ênfase 514"/>
    <w:basedOn w:val="Tabelanormal"/>
    <w:next w:val="TabeladeLista6Colorida-nfase51"/>
    <w:uiPriority w:val="51"/>
    <w:rsid w:val="00560E25"/>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comgrade21">
    <w:name w:val="Tabela com grade21"/>
    <w:basedOn w:val="Tabelanormal"/>
    <w:next w:val="Tabelacomgrade"/>
    <w:uiPriority w:val="39"/>
    <w:rsid w:val="00560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1">
    <w:name w:val="Tabela de Grade 1 Clara - Ênfase 1111"/>
    <w:basedOn w:val="Tabelanormal"/>
    <w:uiPriority w:val="46"/>
    <w:rsid w:val="00560E2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11">
    <w:name w:val="Tabela de Lista 4 - Ênfase 1111"/>
    <w:basedOn w:val="Tabelanormal"/>
    <w:uiPriority w:val="49"/>
    <w:rsid w:val="00560E2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11">
    <w:name w:val="Tabela de Lista 6 Colorida - Ênfase 5111"/>
    <w:basedOn w:val="Tabelanormal"/>
    <w:uiPriority w:val="51"/>
    <w:rsid w:val="00560E25"/>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11">
    <w:name w:val="Tabela de Lista 7 Colorida - Ênfase 1111"/>
    <w:basedOn w:val="Tabelanormal"/>
    <w:uiPriority w:val="52"/>
    <w:rsid w:val="00560E25"/>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11">
    <w:name w:val="Tabela de Grade 2 - Ênfase 1111"/>
    <w:basedOn w:val="Tabelanormal"/>
    <w:uiPriority w:val="47"/>
    <w:rsid w:val="00560E25"/>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11">
    <w:name w:val="Tabela de Grade 2 - Ênfase 5111"/>
    <w:basedOn w:val="Tabelanormal"/>
    <w:uiPriority w:val="47"/>
    <w:rsid w:val="00560E25"/>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11">
    <w:name w:val="Tabela de Grade 6 Colorida - Ênfase 5111"/>
    <w:basedOn w:val="Tabelanormal"/>
    <w:uiPriority w:val="51"/>
    <w:rsid w:val="00560E2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11">
    <w:name w:val="Tabela de Lista 2 - Ênfase 5111"/>
    <w:basedOn w:val="Tabelanormal"/>
    <w:uiPriority w:val="47"/>
    <w:rsid w:val="00560E25"/>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11">
    <w:name w:val="Tabela de Lista 4 - Ênfase 5111"/>
    <w:basedOn w:val="Tabelanormal"/>
    <w:uiPriority w:val="49"/>
    <w:rsid w:val="00560E2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11">
    <w:name w:val="Tabela de Lista 2 - Ênfase 1111"/>
    <w:basedOn w:val="Tabelanormal"/>
    <w:uiPriority w:val="47"/>
    <w:rsid w:val="00560E25"/>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11">
    <w:name w:val="Tabela com grade111"/>
    <w:basedOn w:val="Tabelanormal"/>
    <w:next w:val="Tabelacomgrade"/>
    <w:uiPriority w:val="39"/>
    <w:rsid w:val="00560E2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21">
    <w:name w:val="Tabela de Grade 1 Clara - Ênfase 1121"/>
    <w:basedOn w:val="Tabelanormal"/>
    <w:next w:val="TabeladeGrade1Clara-nfase11"/>
    <w:uiPriority w:val="46"/>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21">
    <w:name w:val="Tabela de Grade 2 - Ênfase 1121"/>
    <w:basedOn w:val="Tabelanormal"/>
    <w:next w:val="TabeladeGrade2-nfase1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21">
    <w:name w:val="Tabela de Grade 2 - Ênfase 5121"/>
    <w:basedOn w:val="Tabelanormal"/>
    <w:next w:val="TabeladeGrade2-nfase5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21">
    <w:name w:val="Tabela de Grade 6 Colorida - Ênfase 5121"/>
    <w:basedOn w:val="Tabelanormal"/>
    <w:next w:val="TabeladeGrade6Colorida-nfase51"/>
    <w:uiPriority w:val="51"/>
    <w:rsid w:val="00560E25"/>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21">
    <w:name w:val="Tabela de Lista 2 - Ênfase 1121"/>
    <w:basedOn w:val="Tabelanormal"/>
    <w:next w:val="TabeladeLista2-nfase1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21">
    <w:name w:val="Tabela de Lista 4 - Ênfase 1121"/>
    <w:basedOn w:val="Tabelanormal"/>
    <w:next w:val="TabeladeLista4-nfase11"/>
    <w:uiPriority w:val="49"/>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21">
    <w:name w:val="Tabela de Lista 7 Colorida - Ênfase 1121"/>
    <w:basedOn w:val="Tabelanormal"/>
    <w:next w:val="TabeladeLista7Colorida-nfase11"/>
    <w:uiPriority w:val="52"/>
    <w:rsid w:val="00560E25"/>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21">
    <w:name w:val="Tabela de Lista 2 - Ênfase 5121"/>
    <w:basedOn w:val="Tabelanormal"/>
    <w:next w:val="TabeladeLista2-nfase5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21">
    <w:name w:val="Tabela de Lista 4 - Ênfase 5121"/>
    <w:basedOn w:val="Tabelanormal"/>
    <w:next w:val="TabeladeLista4-nfase51"/>
    <w:uiPriority w:val="49"/>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21">
    <w:name w:val="Tabela de Lista 6 Colorida - Ênfase 5121"/>
    <w:basedOn w:val="Tabelanormal"/>
    <w:next w:val="TabeladeLista6Colorida-nfase51"/>
    <w:uiPriority w:val="51"/>
    <w:rsid w:val="00560E25"/>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paragraph" w:customStyle="1" w:styleId="09-Lista">
    <w:name w:val="09-Lista"/>
    <w:basedOn w:val="01-Textonormal"/>
    <w:qFormat/>
    <w:rsid w:val="001A6999"/>
    <w:pPr>
      <w:numPr>
        <w:numId w:val="1"/>
      </w:numPr>
      <w:tabs>
        <w:tab w:val="left" w:pos="851"/>
      </w:tabs>
      <w:spacing w:before="0" w:after="0"/>
    </w:pPr>
  </w:style>
  <w:style w:type="table" w:customStyle="1" w:styleId="Tabelacomgrade4">
    <w:name w:val="Tabela com grade4"/>
    <w:basedOn w:val="Tabelanormal"/>
    <w:next w:val="Tabelacomgrade"/>
    <w:uiPriority w:val="39"/>
    <w:rsid w:val="001E2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5">
    <w:name w:val="Tabela de Grade 1 Clara - Ênfase 115"/>
    <w:basedOn w:val="Tabelanormal"/>
    <w:uiPriority w:val="46"/>
    <w:rsid w:val="001E251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5">
    <w:name w:val="Tabela de Lista 4 - Ênfase 115"/>
    <w:basedOn w:val="Tabelanormal"/>
    <w:uiPriority w:val="49"/>
    <w:rsid w:val="001E251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5">
    <w:name w:val="Tabela de Lista 6 Colorida - Ênfase 515"/>
    <w:basedOn w:val="Tabelanormal"/>
    <w:uiPriority w:val="51"/>
    <w:rsid w:val="001E2515"/>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5">
    <w:name w:val="Tabela de Lista 7 Colorida - Ênfase 115"/>
    <w:basedOn w:val="Tabelanormal"/>
    <w:uiPriority w:val="52"/>
    <w:rsid w:val="001E2515"/>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5">
    <w:name w:val="Tabela de Grade 2 - Ênfase 115"/>
    <w:basedOn w:val="Tabelanormal"/>
    <w:uiPriority w:val="47"/>
    <w:rsid w:val="001E2515"/>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5">
    <w:name w:val="Tabela de Grade 2 - Ênfase 515"/>
    <w:basedOn w:val="Tabelanormal"/>
    <w:uiPriority w:val="47"/>
    <w:rsid w:val="001E2515"/>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5">
    <w:name w:val="Tabela de Grade 6 Colorida - Ênfase 515"/>
    <w:basedOn w:val="Tabelanormal"/>
    <w:uiPriority w:val="51"/>
    <w:rsid w:val="001E251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5">
    <w:name w:val="Tabela de Lista 2 - Ênfase 515"/>
    <w:basedOn w:val="Tabelanormal"/>
    <w:uiPriority w:val="47"/>
    <w:rsid w:val="001E2515"/>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5">
    <w:name w:val="Tabela de Lista 4 - Ênfase 515"/>
    <w:basedOn w:val="Tabelanormal"/>
    <w:uiPriority w:val="49"/>
    <w:rsid w:val="001E251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5">
    <w:name w:val="Tabela de Lista 2 - Ênfase 115"/>
    <w:basedOn w:val="Tabelanormal"/>
    <w:uiPriority w:val="47"/>
    <w:rsid w:val="001E2515"/>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3">
    <w:name w:val="Tabela com grade13"/>
    <w:basedOn w:val="Tabelanormal"/>
    <w:next w:val="Tabelacomgrade"/>
    <w:uiPriority w:val="39"/>
    <w:rsid w:val="001E25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6">
    <w:name w:val="Tabela de Grade 1 Clara - Ênfase 116"/>
    <w:basedOn w:val="Tabelanormal"/>
    <w:next w:val="TabeladeGrade1Clara-nfase11"/>
    <w:uiPriority w:val="46"/>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6">
    <w:name w:val="Tabela de Grade 2 - Ênfase 116"/>
    <w:basedOn w:val="Tabelanormal"/>
    <w:next w:val="TabeladeGrade2-nfase1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6">
    <w:name w:val="Tabela de Grade 2 - Ênfase 516"/>
    <w:basedOn w:val="Tabelanormal"/>
    <w:next w:val="TabeladeGrade2-nfase5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6">
    <w:name w:val="Tabela de Grade 6 Colorida - Ênfase 516"/>
    <w:basedOn w:val="Tabelanormal"/>
    <w:next w:val="TabeladeGrade6Colorida-nfase51"/>
    <w:uiPriority w:val="51"/>
    <w:rsid w:val="001E2515"/>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6">
    <w:name w:val="Tabela de Lista 2 - Ênfase 116"/>
    <w:basedOn w:val="Tabelanormal"/>
    <w:next w:val="TabeladeLista2-nfase1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6">
    <w:name w:val="Tabela de Lista 4 - Ênfase 116"/>
    <w:basedOn w:val="Tabelanormal"/>
    <w:next w:val="TabeladeLista4-nfase11"/>
    <w:uiPriority w:val="49"/>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6">
    <w:name w:val="Tabela de Lista 7 Colorida - Ênfase 116"/>
    <w:basedOn w:val="Tabelanormal"/>
    <w:next w:val="TabeladeLista7Colorida-nfase11"/>
    <w:uiPriority w:val="52"/>
    <w:rsid w:val="001E2515"/>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6">
    <w:name w:val="Tabela de Lista 2 - Ênfase 516"/>
    <w:basedOn w:val="Tabelanormal"/>
    <w:next w:val="TabeladeLista2-nfase5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6">
    <w:name w:val="Tabela de Lista 4 - Ênfase 516"/>
    <w:basedOn w:val="Tabelanormal"/>
    <w:next w:val="TabeladeLista4-nfase51"/>
    <w:uiPriority w:val="49"/>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6">
    <w:name w:val="Tabela de Lista 6 Colorida - Ênfase 516"/>
    <w:basedOn w:val="Tabelanormal"/>
    <w:next w:val="TabeladeLista6Colorida-nfase51"/>
    <w:uiPriority w:val="51"/>
    <w:rsid w:val="001E2515"/>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comgrade22">
    <w:name w:val="Tabela com grade22"/>
    <w:basedOn w:val="Tabelanormal"/>
    <w:next w:val="Tabelacomgrade"/>
    <w:uiPriority w:val="39"/>
    <w:rsid w:val="001E2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2">
    <w:name w:val="Tabela de Grade 1 Clara - Ênfase 1112"/>
    <w:basedOn w:val="Tabelanormal"/>
    <w:uiPriority w:val="46"/>
    <w:rsid w:val="001E251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12">
    <w:name w:val="Tabela de Lista 4 - Ênfase 1112"/>
    <w:basedOn w:val="Tabelanormal"/>
    <w:uiPriority w:val="49"/>
    <w:rsid w:val="001E251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12">
    <w:name w:val="Tabela de Lista 6 Colorida - Ênfase 5112"/>
    <w:basedOn w:val="Tabelanormal"/>
    <w:uiPriority w:val="51"/>
    <w:rsid w:val="001E2515"/>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12">
    <w:name w:val="Tabela de Lista 7 Colorida - Ênfase 1112"/>
    <w:basedOn w:val="Tabelanormal"/>
    <w:uiPriority w:val="52"/>
    <w:rsid w:val="001E2515"/>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12">
    <w:name w:val="Tabela de Grade 2 - Ênfase 1112"/>
    <w:basedOn w:val="Tabelanormal"/>
    <w:uiPriority w:val="47"/>
    <w:rsid w:val="001E2515"/>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12">
    <w:name w:val="Tabela de Grade 2 - Ênfase 5112"/>
    <w:basedOn w:val="Tabelanormal"/>
    <w:uiPriority w:val="47"/>
    <w:rsid w:val="001E2515"/>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12">
    <w:name w:val="Tabela de Grade 6 Colorida - Ênfase 5112"/>
    <w:basedOn w:val="Tabelanormal"/>
    <w:uiPriority w:val="51"/>
    <w:rsid w:val="001E251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12">
    <w:name w:val="Tabela de Lista 2 - Ênfase 5112"/>
    <w:basedOn w:val="Tabelanormal"/>
    <w:uiPriority w:val="47"/>
    <w:rsid w:val="001E2515"/>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12">
    <w:name w:val="Tabela de Lista 4 - Ênfase 5112"/>
    <w:basedOn w:val="Tabelanormal"/>
    <w:uiPriority w:val="49"/>
    <w:rsid w:val="001E251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12">
    <w:name w:val="Tabela de Lista 2 - Ênfase 1112"/>
    <w:basedOn w:val="Tabelanormal"/>
    <w:uiPriority w:val="47"/>
    <w:rsid w:val="001E2515"/>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12">
    <w:name w:val="Tabela com grade112"/>
    <w:basedOn w:val="Tabelanormal"/>
    <w:next w:val="Tabelacomgrade"/>
    <w:uiPriority w:val="39"/>
    <w:rsid w:val="001E25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22">
    <w:name w:val="Tabela de Grade 1 Clara - Ênfase 1122"/>
    <w:basedOn w:val="Tabelanormal"/>
    <w:next w:val="TabeladeGrade1Clara-nfase11"/>
    <w:uiPriority w:val="46"/>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22">
    <w:name w:val="Tabela de Grade 2 - Ênfase 1122"/>
    <w:basedOn w:val="Tabelanormal"/>
    <w:next w:val="TabeladeGrade2-nfase1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22">
    <w:name w:val="Tabela de Grade 2 - Ênfase 5122"/>
    <w:basedOn w:val="Tabelanormal"/>
    <w:next w:val="TabeladeGrade2-nfase5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22">
    <w:name w:val="Tabela de Grade 6 Colorida - Ênfase 5122"/>
    <w:basedOn w:val="Tabelanormal"/>
    <w:next w:val="TabeladeGrade6Colorida-nfase51"/>
    <w:uiPriority w:val="51"/>
    <w:rsid w:val="001E2515"/>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22">
    <w:name w:val="Tabela de Lista 2 - Ênfase 1122"/>
    <w:basedOn w:val="Tabelanormal"/>
    <w:next w:val="TabeladeLista2-nfase1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22">
    <w:name w:val="Tabela de Lista 4 - Ênfase 1122"/>
    <w:basedOn w:val="Tabelanormal"/>
    <w:next w:val="TabeladeLista4-nfase11"/>
    <w:uiPriority w:val="49"/>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22">
    <w:name w:val="Tabela de Lista 7 Colorida - Ênfase 1122"/>
    <w:basedOn w:val="Tabelanormal"/>
    <w:next w:val="TabeladeLista7Colorida-nfase11"/>
    <w:uiPriority w:val="52"/>
    <w:rsid w:val="001E2515"/>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22">
    <w:name w:val="Tabela de Lista 2 - Ênfase 5122"/>
    <w:basedOn w:val="Tabelanormal"/>
    <w:next w:val="TabeladeLista2-nfase5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22">
    <w:name w:val="Tabela de Lista 4 - Ênfase 5122"/>
    <w:basedOn w:val="Tabelanormal"/>
    <w:next w:val="TabeladeLista4-nfase51"/>
    <w:uiPriority w:val="49"/>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22">
    <w:name w:val="Tabela de Lista 6 Colorida - Ênfase 5122"/>
    <w:basedOn w:val="Tabelanormal"/>
    <w:next w:val="TabeladeLista6Colorida-nfase51"/>
    <w:uiPriority w:val="51"/>
    <w:rsid w:val="001E2515"/>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paragraph" w:styleId="SemEspaamento">
    <w:name w:val="No Spacing"/>
    <w:link w:val="SemEspaamentoChar"/>
    <w:uiPriority w:val="1"/>
    <w:qFormat/>
    <w:rsid w:val="00B3309B"/>
    <w:pPr>
      <w:spacing w:after="0" w:line="240" w:lineRule="auto"/>
    </w:pPr>
  </w:style>
  <w:style w:type="character" w:customStyle="1" w:styleId="SemEspaamentoChar">
    <w:name w:val="Sem Espaçamento Char"/>
    <w:basedOn w:val="Fontepargpadro"/>
    <w:link w:val="SemEspaamento"/>
    <w:uiPriority w:val="1"/>
    <w:rsid w:val="00734925"/>
  </w:style>
  <w:style w:type="character" w:customStyle="1" w:styleId="Ttulo3Char">
    <w:name w:val="Título 3 Char"/>
    <w:basedOn w:val="Fontepargpadro"/>
    <w:link w:val="Ttulo3"/>
    <w:uiPriority w:val="9"/>
    <w:rsid w:val="00B3309B"/>
    <w:rPr>
      <w:rFonts w:asciiTheme="majorHAnsi" w:eastAsiaTheme="majorEastAsia" w:hAnsiTheme="majorHAnsi" w:cstheme="majorBidi"/>
      <w:color w:val="538135" w:themeColor="accent6" w:themeShade="BF"/>
      <w:sz w:val="24"/>
      <w:szCs w:val="24"/>
    </w:rPr>
  </w:style>
  <w:style w:type="paragraph" w:customStyle="1" w:styleId="Normal1">
    <w:name w:val="Normal 1"/>
    <w:rsid w:val="00A068DB"/>
    <w:pPr>
      <w:spacing w:after="0" w:line="240" w:lineRule="auto"/>
      <w:jc w:val="both"/>
    </w:pPr>
    <w:rPr>
      <w:rFonts w:ascii="Times New Roman" w:eastAsia="Calibri" w:hAnsi="Times New Roman" w:cs="Times New Roman"/>
      <w:sz w:val="24"/>
      <w:szCs w:val="20"/>
    </w:rPr>
  </w:style>
  <w:style w:type="paragraph" w:customStyle="1" w:styleId="Descriodotrabalho">
    <w:name w:val="Descrição do trabalho"/>
    <w:basedOn w:val="Normal"/>
    <w:rsid w:val="00A068DB"/>
    <w:pPr>
      <w:spacing w:after="0" w:line="280" w:lineRule="atLeast"/>
    </w:pPr>
    <w:rPr>
      <w:rFonts w:ascii="Univers" w:eastAsia="Calibri" w:hAnsi="Univers" w:cs="Times New Roman"/>
      <w:i/>
      <w:sz w:val="24"/>
      <w:szCs w:val="20"/>
      <w:lang w:val="en-US"/>
    </w:rPr>
  </w:style>
  <w:style w:type="paragraph" w:customStyle="1" w:styleId="DTT">
    <w:name w:val="DTT"/>
    <w:basedOn w:val="Descriodotrabalho"/>
    <w:rsid w:val="00A068DB"/>
    <w:pPr>
      <w:spacing w:line="240" w:lineRule="auto"/>
    </w:pPr>
    <w:rPr>
      <w:i w:val="0"/>
      <w:sz w:val="18"/>
    </w:rPr>
  </w:style>
  <w:style w:type="paragraph" w:customStyle="1" w:styleId="17TEXTOcorpojustificado">
    <w:name w:val="17. «TEXTO» corpo justificado"/>
    <w:basedOn w:val="Normal"/>
    <w:link w:val="17TEXTOcorpojustificadoChar"/>
    <w:rsid w:val="00A068DB"/>
    <w:pPr>
      <w:spacing w:after="0" w:line="260" w:lineRule="atLeast"/>
      <w:jc w:val="both"/>
    </w:pPr>
    <w:rPr>
      <w:rFonts w:ascii="Times" w:eastAsia="Times New Roman" w:hAnsi="Times" w:cs="Times New Roman"/>
      <w:szCs w:val="20"/>
    </w:rPr>
  </w:style>
  <w:style w:type="paragraph" w:customStyle="1" w:styleId="Default">
    <w:name w:val="Default"/>
    <w:rsid w:val="00A068DB"/>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leGrid3">
    <w:name w:val="Table Grid3"/>
    <w:basedOn w:val="Tabelanormal"/>
    <w:next w:val="Tabelacomgrade"/>
    <w:uiPriority w:val="59"/>
    <w:rsid w:val="00A068DB"/>
    <w:pPr>
      <w:spacing w:after="0" w:line="240" w:lineRule="auto"/>
    </w:pPr>
    <w:rPr>
      <w:lang w:val="en-GB"/>
    </w:rPr>
    <w:tblPr/>
  </w:style>
  <w:style w:type="character" w:customStyle="1" w:styleId="MenoPendente1">
    <w:name w:val="Menção Pendente1"/>
    <w:basedOn w:val="Fontepargpadro"/>
    <w:uiPriority w:val="99"/>
    <w:semiHidden/>
    <w:unhideWhenUsed/>
    <w:rsid w:val="00A60314"/>
    <w:rPr>
      <w:color w:val="605E5C"/>
      <w:shd w:val="clear" w:color="auto" w:fill="E1DFDD"/>
    </w:rPr>
  </w:style>
  <w:style w:type="character" w:customStyle="1" w:styleId="Ttulo2Char">
    <w:name w:val="Título 2 Char"/>
    <w:basedOn w:val="Fontepargpadro"/>
    <w:link w:val="Ttulo2"/>
    <w:uiPriority w:val="9"/>
    <w:rsid w:val="00B3309B"/>
    <w:rPr>
      <w:rFonts w:asciiTheme="majorHAnsi" w:eastAsiaTheme="majorEastAsia" w:hAnsiTheme="majorHAnsi" w:cstheme="majorBidi"/>
      <w:color w:val="538135" w:themeColor="accent6" w:themeShade="BF"/>
      <w:sz w:val="28"/>
      <w:szCs w:val="28"/>
    </w:rPr>
  </w:style>
  <w:style w:type="table" w:customStyle="1" w:styleId="Tabelacomgrade5">
    <w:name w:val="Tabela com grade5"/>
    <w:basedOn w:val="Tabelanormal"/>
    <w:next w:val="Tabelacomgrade"/>
    <w:uiPriority w:val="39"/>
    <w:rsid w:val="00FF7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7">
    <w:name w:val="Tabela de Grade 1 Clara - Ênfase 117"/>
    <w:basedOn w:val="Tabelanormal"/>
    <w:uiPriority w:val="46"/>
    <w:rsid w:val="00FF765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7">
    <w:name w:val="Tabela de Lista 4 - Ênfase 117"/>
    <w:basedOn w:val="Tabelanormal"/>
    <w:uiPriority w:val="49"/>
    <w:rsid w:val="00FF765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7">
    <w:name w:val="Tabela de Lista 6 Colorida - Ênfase 517"/>
    <w:basedOn w:val="Tabelanormal"/>
    <w:uiPriority w:val="51"/>
    <w:rsid w:val="00FF7654"/>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7">
    <w:name w:val="Tabela de Lista 7 Colorida - Ênfase 117"/>
    <w:basedOn w:val="Tabelanormal"/>
    <w:uiPriority w:val="52"/>
    <w:rsid w:val="00FF7654"/>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7">
    <w:name w:val="Tabela de Grade 2 - Ênfase 117"/>
    <w:basedOn w:val="Tabelanormal"/>
    <w:uiPriority w:val="47"/>
    <w:rsid w:val="00FF7654"/>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7">
    <w:name w:val="Tabela de Grade 2 - Ênfase 517"/>
    <w:basedOn w:val="Tabelanormal"/>
    <w:uiPriority w:val="47"/>
    <w:rsid w:val="00FF7654"/>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7">
    <w:name w:val="Tabela de Grade 6 Colorida - Ênfase 517"/>
    <w:basedOn w:val="Tabelanormal"/>
    <w:uiPriority w:val="51"/>
    <w:rsid w:val="00FF765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7">
    <w:name w:val="Tabela de Lista 2 - Ênfase 517"/>
    <w:basedOn w:val="Tabelanormal"/>
    <w:uiPriority w:val="47"/>
    <w:rsid w:val="00FF7654"/>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7">
    <w:name w:val="Tabela de Lista 4 - Ênfase 517"/>
    <w:basedOn w:val="Tabelanormal"/>
    <w:uiPriority w:val="49"/>
    <w:rsid w:val="00FF765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7">
    <w:name w:val="Tabela de Lista 2 - Ênfase 117"/>
    <w:basedOn w:val="Tabelanormal"/>
    <w:uiPriority w:val="47"/>
    <w:rsid w:val="00FF765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4">
    <w:name w:val="Tabela com grade14"/>
    <w:basedOn w:val="Tabelanormal"/>
    <w:next w:val="Tabelacomgrade"/>
    <w:uiPriority w:val="39"/>
    <w:rsid w:val="00FF765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8">
    <w:name w:val="Tabela de Grade 1 Clara - Ênfase 118"/>
    <w:basedOn w:val="Tabelanormal"/>
    <w:next w:val="TabeladeGrade1Clara-nfase11"/>
    <w:uiPriority w:val="46"/>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8">
    <w:name w:val="Tabela de Grade 2 - Ênfase 118"/>
    <w:basedOn w:val="Tabelanormal"/>
    <w:next w:val="TabeladeGrade2-nfase1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8">
    <w:name w:val="Tabela de Grade 2 - Ênfase 518"/>
    <w:basedOn w:val="Tabelanormal"/>
    <w:next w:val="TabeladeGrade2-nfase5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8">
    <w:name w:val="Tabela de Grade 6 Colorida - Ênfase 518"/>
    <w:basedOn w:val="Tabelanormal"/>
    <w:next w:val="TabeladeGrade6Colorida-nfase51"/>
    <w:uiPriority w:val="51"/>
    <w:rsid w:val="00FF7654"/>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8">
    <w:name w:val="Tabela de Lista 2 - Ênfase 118"/>
    <w:basedOn w:val="Tabelanormal"/>
    <w:next w:val="TabeladeLista2-nfase1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8">
    <w:name w:val="Tabela de Lista 4 - Ênfase 118"/>
    <w:basedOn w:val="Tabelanormal"/>
    <w:next w:val="TabeladeLista4-nfase11"/>
    <w:uiPriority w:val="49"/>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8">
    <w:name w:val="Tabela de Lista 7 Colorida - Ênfase 118"/>
    <w:basedOn w:val="Tabelanormal"/>
    <w:next w:val="TabeladeLista7Colorida-nfase11"/>
    <w:uiPriority w:val="52"/>
    <w:rsid w:val="00FF7654"/>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8">
    <w:name w:val="Tabela de Lista 2 - Ênfase 518"/>
    <w:basedOn w:val="Tabelanormal"/>
    <w:next w:val="TabeladeLista2-nfase5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8">
    <w:name w:val="Tabela de Lista 4 - Ênfase 518"/>
    <w:basedOn w:val="Tabelanormal"/>
    <w:next w:val="TabeladeLista4-nfase51"/>
    <w:uiPriority w:val="49"/>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8">
    <w:name w:val="Tabela de Lista 6 Colorida - Ênfase 518"/>
    <w:basedOn w:val="Tabelanormal"/>
    <w:next w:val="TabeladeLista6Colorida-nfase51"/>
    <w:uiPriority w:val="51"/>
    <w:rsid w:val="00FF7654"/>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comgrade23">
    <w:name w:val="Tabela com grade23"/>
    <w:basedOn w:val="Tabelanormal"/>
    <w:next w:val="Tabelacomgrade"/>
    <w:uiPriority w:val="39"/>
    <w:rsid w:val="00FF7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3">
    <w:name w:val="Tabela de Grade 1 Clara - Ênfase 1113"/>
    <w:basedOn w:val="Tabelanormal"/>
    <w:uiPriority w:val="46"/>
    <w:rsid w:val="00FF765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13">
    <w:name w:val="Tabela de Lista 4 - Ênfase 1113"/>
    <w:basedOn w:val="Tabelanormal"/>
    <w:uiPriority w:val="49"/>
    <w:rsid w:val="00FF765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13">
    <w:name w:val="Tabela de Lista 6 Colorida - Ênfase 5113"/>
    <w:basedOn w:val="Tabelanormal"/>
    <w:uiPriority w:val="51"/>
    <w:rsid w:val="00FF7654"/>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13">
    <w:name w:val="Tabela de Lista 7 Colorida - Ênfase 1113"/>
    <w:basedOn w:val="Tabelanormal"/>
    <w:uiPriority w:val="52"/>
    <w:rsid w:val="00FF7654"/>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13">
    <w:name w:val="Tabela de Grade 2 - Ênfase 1113"/>
    <w:basedOn w:val="Tabelanormal"/>
    <w:uiPriority w:val="47"/>
    <w:rsid w:val="00FF7654"/>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13">
    <w:name w:val="Tabela de Grade 2 - Ênfase 5113"/>
    <w:basedOn w:val="Tabelanormal"/>
    <w:uiPriority w:val="47"/>
    <w:rsid w:val="00FF7654"/>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13">
    <w:name w:val="Tabela de Grade 6 Colorida - Ênfase 5113"/>
    <w:basedOn w:val="Tabelanormal"/>
    <w:uiPriority w:val="51"/>
    <w:rsid w:val="00FF765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13">
    <w:name w:val="Tabela de Lista 2 - Ênfase 5113"/>
    <w:basedOn w:val="Tabelanormal"/>
    <w:uiPriority w:val="47"/>
    <w:rsid w:val="00FF7654"/>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13">
    <w:name w:val="Tabela de Lista 4 - Ênfase 5113"/>
    <w:basedOn w:val="Tabelanormal"/>
    <w:uiPriority w:val="49"/>
    <w:rsid w:val="00FF765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13">
    <w:name w:val="Tabela de Lista 2 - Ênfase 1113"/>
    <w:basedOn w:val="Tabelanormal"/>
    <w:uiPriority w:val="47"/>
    <w:rsid w:val="00FF765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13">
    <w:name w:val="Tabela com grade113"/>
    <w:basedOn w:val="Tabelanormal"/>
    <w:next w:val="Tabelacomgrade"/>
    <w:uiPriority w:val="39"/>
    <w:rsid w:val="00FF765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23">
    <w:name w:val="Tabela de Grade 1 Clara - Ênfase 1123"/>
    <w:basedOn w:val="Tabelanormal"/>
    <w:next w:val="TabeladeGrade1Clara-nfase11"/>
    <w:uiPriority w:val="46"/>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23">
    <w:name w:val="Tabela de Grade 2 - Ênfase 1123"/>
    <w:basedOn w:val="Tabelanormal"/>
    <w:next w:val="TabeladeGrade2-nfase1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23">
    <w:name w:val="Tabela de Grade 2 - Ênfase 5123"/>
    <w:basedOn w:val="Tabelanormal"/>
    <w:next w:val="TabeladeGrade2-nfase5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23">
    <w:name w:val="Tabela de Grade 6 Colorida - Ênfase 5123"/>
    <w:basedOn w:val="Tabelanormal"/>
    <w:next w:val="TabeladeGrade6Colorida-nfase51"/>
    <w:uiPriority w:val="51"/>
    <w:rsid w:val="00FF7654"/>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23">
    <w:name w:val="Tabela de Lista 2 - Ênfase 1123"/>
    <w:basedOn w:val="Tabelanormal"/>
    <w:next w:val="TabeladeLista2-nfase1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23">
    <w:name w:val="Tabela de Lista 4 - Ênfase 1123"/>
    <w:basedOn w:val="Tabelanormal"/>
    <w:next w:val="TabeladeLista4-nfase11"/>
    <w:uiPriority w:val="49"/>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23">
    <w:name w:val="Tabela de Lista 7 Colorida - Ênfase 1123"/>
    <w:basedOn w:val="Tabelanormal"/>
    <w:next w:val="TabeladeLista7Colorida-nfase11"/>
    <w:uiPriority w:val="52"/>
    <w:rsid w:val="00FF7654"/>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23">
    <w:name w:val="Tabela de Lista 2 - Ênfase 5123"/>
    <w:basedOn w:val="Tabelanormal"/>
    <w:next w:val="TabeladeLista2-nfase5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23">
    <w:name w:val="Tabela de Lista 4 - Ênfase 5123"/>
    <w:basedOn w:val="Tabelanormal"/>
    <w:next w:val="TabeladeLista4-nfase51"/>
    <w:uiPriority w:val="49"/>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23">
    <w:name w:val="Tabela de Lista 6 Colorida - Ênfase 5123"/>
    <w:basedOn w:val="Tabelanormal"/>
    <w:next w:val="TabeladeLista6Colorida-nfase51"/>
    <w:uiPriority w:val="51"/>
    <w:rsid w:val="00FF7654"/>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comgrade6">
    <w:name w:val="Tabela com grade6"/>
    <w:basedOn w:val="Tabelanormal"/>
    <w:next w:val="Tabelacomgrade"/>
    <w:uiPriority w:val="39"/>
    <w:rsid w:val="003D00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9">
    <w:name w:val="Tabela de Grade 1 Clara - Ênfase 119"/>
    <w:basedOn w:val="Tabelanormal"/>
    <w:uiPriority w:val="46"/>
    <w:rsid w:val="003D0003"/>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9">
    <w:name w:val="Tabela de Lista 4 - Ênfase 119"/>
    <w:basedOn w:val="Tabelanormal"/>
    <w:uiPriority w:val="49"/>
    <w:rsid w:val="003D000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9">
    <w:name w:val="Tabela de Lista 6 Colorida - Ênfase 519"/>
    <w:basedOn w:val="Tabelanormal"/>
    <w:uiPriority w:val="51"/>
    <w:rsid w:val="003D0003"/>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9">
    <w:name w:val="Tabela de Lista 7 Colorida - Ênfase 119"/>
    <w:basedOn w:val="Tabelanormal"/>
    <w:uiPriority w:val="52"/>
    <w:rsid w:val="003D0003"/>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9">
    <w:name w:val="Tabela de Grade 2 - Ênfase 119"/>
    <w:basedOn w:val="Tabelanormal"/>
    <w:uiPriority w:val="47"/>
    <w:rsid w:val="003D0003"/>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9">
    <w:name w:val="Tabela de Grade 2 - Ênfase 519"/>
    <w:basedOn w:val="Tabelanormal"/>
    <w:uiPriority w:val="47"/>
    <w:rsid w:val="003D0003"/>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9">
    <w:name w:val="Tabela de Grade 6 Colorida - Ênfase 519"/>
    <w:basedOn w:val="Tabelanormal"/>
    <w:uiPriority w:val="51"/>
    <w:rsid w:val="003D0003"/>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9">
    <w:name w:val="Tabela de Lista 2 - Ênfase 519"/>
    <w:basedOn w:val="Tabelanormal"/>
    <w:uiPriority w:val="47"/>
    <w:rsid w:val="003D0003"/>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9">
    <w:name w:val="Tabela de Lista 4 - Ênfase 519"/>
    <w:basedOn w:val="Tabelanormal"/>
    <w:uiPriority w:val="49"/>
    <w:rsid w:val="003D000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9">
    <w:name w:val="Tabela de Lista 2 - Ênfase 119"/>
    <w:basedOn w:val="Tabelanormal"/>
    <w:uiPriority w:val="47"/>
    <w:rsid w:val="003D0003"/>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5">
    <w:name w:val="Tabela com grade15"/>
    <w:basedOn w:val="Tabelanormal"/>
    <w:next w:val="Tabelacomgrade"/>
    <w:uiPriority w:val="39"/>
    <w:rsid w:val="003D000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0">
    <w:name w:val="Tabela de Grade 1 Clara - Ênfase 1110"/>
    <w:basedOn w:val="Tabelanormal"/>
    <w:next w:val="TabeladeGrade1Clara-nfase11"/>
    <w:uiPriority w:val="46"/>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10">
    <w:name w:val="Tabela de Grade 2 - Ênfase 1110"/>
    <w:basedOn w:val="Tabelanormal"/>
    <w:next w:val="TabeladeGrade2-nfase1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10">
    <w:name w:val="Tabela de Grade 2 - Ênfase 5110"/>
    <w:basedOn w:val="Tabelanormal"/>
    <w:next w:val="TabeladeGrade2-nfase5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10">
    <w:name w:val="Tabela de Grade 6 Colorida - Ênfase 5110"/>
    <w:basedOn w:val="Tabelanormal"/>
    <w:next w:val="TabeladeGrade6Colorida-nfase51"/>
    <w:uiPriority w:val="51"/>
    <w:rsid w:val="003D0003"/>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10">
    <w:name w:val="Tabela de Lista 2 - Ênfase 1110"/>
    <w:basedOn w:val="Tabelanormal"/>
    <w:next w:val="TabeladeLista2-nfase1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10">
    <w:name w:val="Tabela de Lista 4 - Ênfase 1110"/>
    <w:basedOn w:val="Tabelanormal"/>
    <w:next w:val="TabeladeLista4-nfase11"/>
    <w:uiPriority w:val="49"/>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10">
    <w:name w:val="Tabela de Lista 7 Colorida - Ênfase 1110"/>
    <w:basedOn w:val="Tabelanormal"/>
    <w:next w:val="TabeladeLista7Colorida-nfase11"/>
    <w:uiPriority w:val="52"/>
    <w:rsid w:val="003D0003"/>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10">
    <w:name w:val="Tabela de Lista 2 - Ênfase 5110"/>
    <w:basedOn w:val="Tabelanormal"/>
    <w:next w:val="TabeladeLista2-nfase5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10">
    <w:name w:val="Tabela de Lista 4 - Ênfase 5110"/>
    <w:basedOn w:val="Tabelanormal"/>
    <w:next w:val="TabeladeLista4-nfase51"/>
    <w:uiPriority w:val="49"/>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10">
    <w:name w:val="Tabela de Lista 6 Colorida - Ênfase 5110"/>
    <w:basedOn w:val="Tabelanormal"/>
    <w:next w:val="TabeladeLista6Colorida-nfase51"/>
    <w:uiPriority w:val="51"/>
    <w:rsid w:val="003D0003"/>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comgrade24">
    <w:name w:val="Tabela com grade24"/>
    <w:basedOn w:val="Tabelanormal"/>
    <w:next w:val="Tabelacomgrade"/>
    <w:uiPriority w:val="39"/>
    <w:rsid w:val="003D00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4">
    <w:name w:val="Tabela de Grade 1 Clara - Ênfase 1114"/>
    <w:basedOn w:val="Tabelanormal"/>
    <w:uiPriority w:val="46"/>
    <w:rsid w:val="003D0003"/>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14">
    <w:name w:val="Tabela de Lista 4 - Ênfase 1114"/>
    <w:basedOn w:val="Tabelanormal"/>
    <w:uiPriority w:val="49"/>
    <w:rsid w:val="003D000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14">
    <w:name w:val="Tabela de Lista 6 Colorida - Ênfase 5114"/>
    <w:basedOn w:val="Tabelanormal"/>
    <w:uiPriority w:val="51"/>
    <w:rsid w:val="003D0003"/>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14">
    <w:name w:val="Tabela de Lista 7 Colorida - Ênfase 1114"/>
    <w:basedOn w:val="Tabelanormal"/>
    <w:uiPriority w:val="52"/>
    <w:rsid w:val="003D0003"/>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14">
    <w:name w:val="Tabela de Grade 2 - Ênfase 1114"/>
    <w:basedOn w:val="Tabelanormal"/>
    <w:uiPriority w:val="47"/>
    <w:rsid w:val="003D0003"/>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14">
    <w:name w:val="Tabela de Grade 2 - Ênfase 5114"/>
    <w:basedOn w:val="Tabelanormal"/>
    <w:uiPriority w:val="47"/>
    <w:rsid w:val="003D0003"/>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14">
    <w:name w:val="Tabela de Grade 6 Colorida - Ênfase 5114"/>
    <w:basedOn w:val="Tabelanormal"/>
    <w:uiPriority w:val="51"/>
    <w:rsid w:val="003D0003"/>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14">
    <w:name w:val="Tabela de Lista 2 - Ênfase 5114"/>
    <w:basedOn w:val="Tabelanormal"/>
    <w:uiPriority w:val="47"/>
    <w:rsid w:val="003D0003"/>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14">
    <w:name w:val="Tabela de Lista 4 - Ênfase 5114"/>
    <w:basedOn w:val="Tabelanormal"/>
    <w:uiPriority w:val="49"/>
    <w:rsid w:val="003D000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14">
    <w:name w:val="Tabela de Lista 2 - Ênfase 1114"/>
    <w:basedOn w:val="Tabelanormal"/>
    <w:uiPriority w:val="47"/>
    <w:rsid w:val="003D0003"/>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14">
    <w:name w:val="Tabela com grade114"/>
    <w:basedOn w:val="Tabelanormal"/>
    <w:next w:val="Tabelacomgrade"/>
    <w:uiPriority w:val="39"/>
    <w:rsid w:val="003D000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24">
    <w:name w:val="Tabela de Grade 1 Clara - Ênfase 1124"/>
    <w:basedOn w:val="Tabelanormal"/>
    <w:next w:val="TabeladeGrade1Clara-nfase11"/>
    <w:uiPriority w:val="46"/>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24">
    <w:name w:val="Tabela de Grade 2 - Ênfase 1124"/>
    <w:basedOn w:val="Tabelanormal"/>
    <w:next w:val="TabeladeGrade2-nfase1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24">
    <w:name w:val="Tabela de Grade 2 - Ênfase 5124"/>
    <w:basedOn w:val="Tabelanormal"/>
    <w:next w:val="TabeladeGrade2-nfase5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24">
    <w:name w:val="Tabela de Grade 6 Colorida - Ênfase 5124"/>
    <w:basedOn w:val="Tabelanormal"/>
    <w:next w:val="TabeladeGrade6Colorida-nfase51"/>
    <w:uiPriority w:val="51"/>
    <w:rsid w:val="003D0003"/>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24">
    <w:name w:val="Tabela de Lista 2 - Ênfase 1124"/>
    <w:basedOn w:val="Tabelanormal"/>
    <w:next w:val="TabeladeLista2-nfase1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24">
    <w:name w:val="Tabela de Lista 4 - Ênfase 1124"/>
    <w:basedOn w:val="Tabelanormal"/>
    <w:next w:val="TabeladeLista4-nfase11"/>
    <w:uiPriority w:val="49"/>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24">
    <w:name w:val="Tabela de Lista 7 Colorida - Ênfase 1124"/>
    <w:basedOn w:val="Tabelanormal"/>
    <w:next w:val="TabeladeLista7Colorida-nfase11"/>
    <w:uiPriority w:val="52"/>
    <w:rsid w:val="003D0003"/>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24">
    <w:name w:val="Tabela de Lista 2 - Ênfase 5124"/>
    <w:basedOn w:val="Tabelanormal"/>
    <w:next w:val="TabeladeLista2-nfase5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24">
    <w:name w:val="Tabela de Lista 4 - Ênfase 5124"/>
    <w:basedOn w:val="Tabelanormal"/>
    <w:next w:val="TabeladeLista4-nfase51"/>
    <w:uiPriority w:val="49"/>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24">
    <w:name w:val="Tabela de Lista 6 Colorida - Ênfase 5124"/>
    <w:basedOn w:val="Tabelanormal"/>
    <w:next w:val="TabeladeLista6Colorida-nfase51"/>
    <w:uiPriority w:val="51"/>
    <w:rsid w:val="003D0003"/>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character" w:customStyle="1" w:styleId="MenoPendente2">
    <w:name w:val="Menção Pendente2"/>
    <w:basedOn w:val="Fontepargpadro"/>
    <w:uiPriority w:val="99"/>
    <w:semiHidden/>
    <w:unhideWhenUsed/>
    <w:rsid w:val="00696B17"/>
    <w:rPr>
      <w:color w:val="605E5C"/>
      <w:shd w:val="clear" w:color="auto" w:fill="E1DFDD"/>
    </w:rPr>
  </w:style>
  <w:style w:type="paragraph" w:styleId="Corpodetexto">
    <w:name w:val="Body Text"/>
    <w:aliases w:val="bt"/>
    <w:basedOn w:val="Normal"/>
    <w:link w:val="CorpodetextoChar"/>
    <w:uiPriority w:val="1"/>
    <w:qFormat/>
    <w:rsid w:val="00E04404"/>
    <w:pPr>
      <w:widowControl w:val="0"/>
      <w:spacing w:before="171" w:after="0" w:line="240" w:lineRule="auto"/>
      <w:ind w:left="667"/>
    </w:pPr>
    <w:rPr>
      <w:rFonts w:ascii="Arial" w:eastAsia="Arial" w:hAnsi="Arial" w:cs="Times New Roman"/>
      <w:sz w:val="20"/>
      <w:szCs w:val="20"/>
      <w:lang w:val="en-US"/>
    </w:rPr>
  </w:style>
  <w:style w:type="character" w:customStyle="1" w:styleId="CorpodetextoChar">
    <w:name w:val="Corpo de texto Char"/>
    <w:aliases w:val="bt Char"/>
    <w:basedOn w:val="Fontepargpadro"/>
    <w:link w:val="Corpodetexto"/>
    <w:uiPriority w:val="1"/>
    <w:rsid w:val="00E04404"/>
    <w:rPr>
      <w:rFonts w:ascii="Arial" w:eastAsia="Arial" w:hAnsi="Arial" w:cs="Times New Roman"/>
      <w:sz w:val="20"/>
      <w:szCs w:val="20"/>
      <w:lang w:val="en-US"/>
    </w:rPr>
  </w:style>
  <w:style w:type="paragraph" w:customStyle="1" w:styleId="filename">
    <w:name w:val="filename"/>
    <w:basedOn w:val="Cabealho"/>
    <w:link w:val="filenameChar"/>
    <w:autoRedefine/>
    <w:qFormat/>
    <w:rsid w:val="0085518F"/>
    <w:pPr>
      <w:tabs>
        <w:tab w:val="clear" w:pos="4252"/>
        <w:tab w:val="clear" w:pos="8504"/>
        <w:tab w:val="center" w:pos="4320"/>
        <w:tab w:val="right" w:pos="8640"/>
      </w:tabs>
      <w:jc w:val="both"/>
    </w:pPr>
    <w:rPr>
      <w:rFonts w:ascii="Calibri" w:eastAsia="Times New Roman" w:hAnsi="Calibri" w:cs="Calibri"/>
      <w:noProof/>
      <w:sz w:val="12"/>
      <w:szCs w:val="10"/>
    </w:rPr>
  </w:style>
  <w:style w:type="character" w:customStyle="1" w:styleId="filenameChar">
    <w:name w:val="filename Char"/>
    <w:link w:val="filename"/>
    <w:rsid w:val="0085518F"/>
    <w:rPr>
      <w:rFonts w:ascii="Calibri" w:eastAsia="Times New Roman" w:hAnsi="Calibri" w:cs="Calibri"/>
      <w:noProof/>
      <w:sz w:val="12"/>
      <w:szCs w:val="10"/>
    </w:rPr>
  </w:style>
  <w:style w:type="paragraph" w:customStyle="1" w:styleId="070-TabelaPadro">
    <w:name w:val="070 - Tabela Padrão"/>
    <w:basedOn w:val="Normal"/>
    <w:link w:val="070-TabelaPadroChar"/>
    <w:qFormat/>
    <w:rsid w:val="00D06D00"/>
    <w:pPr>
      <w:keepNext/>
      <w:keepLines/>
      <w:spacing w:before="40" w:after="40" w:line="240" w:lineRule="auto"/>
      <w:jc w:val="right"/>
    </w:pPr>
    <w:rPr>
      <w:rFonts w:ascii="Arial" w:eastAsia="Times New Roman" w:hAnsi="Arial" w:cs="Times New Roman"/>
      <w:sz w:val="14"/>
      <w:szCs w:val="18"/>
      <w:lang w:eastAsia="pt-BR"/>
    </w:rPr>
  </w:style>
  <w:style w:type="character" w:customStyle="1" w:styleId="070-TabelaPadroChar">
    <w:name w:val="070 - Tabela Padrão Char"/>
    <w:basedOn w:val="Fontepargpadro"/>
    <w:link w:val="070-TabelaPadro"/>
    <w:rsid w:val="00D06D00"/>
    <w:rPr>
      <w:rFonts w:ascii="Arial" w:eastAsia="Times New Roman" w:hAnsi="Arial" w:cs="Times New Roman"/>
      <w:sz w:val="14"/>
      <w:szCs w:val="18"/>
      <w:lang w:eastAsia="pt-BR"/>
    </w:rPr>
  </w:style>
  <w:style w:type="numbering" w:customStyle="1" w:styleId="Semlista1">
    <w:name w:val="Sem lista1"/>
    <w:next w:val="Semlista"/>
    <w:uiPriority w:val="99"/>
    <w:semiHidden/>
    <w:unhideWhenUsed/>
    <w:rsid w:val="00B62060"/>
  </w:style>
  <w:style w:type="numbering" w:customStyle="1" w:styleId="Semlista2">
    <w:name w:val="Sem lista2"/>
    <w:next w:val="Semlista"/>
    <w:uiPriority w:val="99"/>
    <w:semiHidden/>
    <w:unhideWhenUsed/>
    <w:rsid w:val="00B62060"/>
  </w:style>
  <w:style w:type="numbering" w:customStyle="1" w:styleId="Semlista11">
    <w:name w:val="Sem lista11"/>
    <w:next w:val="Semlista"/>
    <w:uiPriority w:val="99"/>
    <w:semiHidden/>
    <w:unhideWhenUsed/>
    <w:rsid w:val="00B62060"/>
  </w:style>
  <w:style w:type="numbering" w:customStyle="1" w:styleId="Semlista21">
    <w:name w:val="Sem lista21"/>
    <w:next w:val="Semlista"/>
    <w:uiPriority w:val="99"/>
    <w:semiHidden/>
    <w:unhideWhenUsed/>
    <w:rsid w:val="00B62060"/>
  </w:style>
  <w:style w:type="numbering" w:customStyle="1" w:styleId="Semlista111">
    <w:name w:val="Sem lista111"/>
    <w:next w:val="Semlista"/>
    <w:uiPriority w:val="99"/>
    <w:semiHidden/>
    <w:unhideWhenUsed/>
    <w:rsid w:val="00B62060"/>
  </w:style>
  <w:style w:type="numbering" w:customStyle="1" w:styleId="Semlista3">
    <w:name w:val="Sem lista3"/>
    <w:next w:val="Semlista"/>
    <w:uiPriority w:val="99"/>
    <w:semiHidden/>
    <w:unhideWhenUsed/>
    <w:rsid w:val="00B62060"/>
  </w:style>
  <w:style w:type="numbering" w:customStyle="1" w:styleId="Semlista12">
    <w:name w:val="Sem lista12"/>
    <w:next w:val="Semlista"/>
    <w:uiPriority w:val="99"/>
    <w:semiHidden/>
    <w:unhideWhenUsed/>
    <w:rsid w:val="00B62060"/>
  </w:style>
  <w:style w:type="numbering" w:customStyle="1" w:styleId="Semlista22">
    <w:name w:val="Sem lista22"/>
    <w:next w:val="Semlista"/>
    <w:uiPriority w:val="99"/>
    <w:semiHidden/>
    <w:unhideWhenUsed/>
    <w:rsid w:val="00B62060"/>
  </w:style>
  <w:style w:type="numbering" w:customStyle="1" w:styleId="Semlista112">
    <w:name w:val="Sem lista112"/>
    <w:next w:val="Semlista"/>
    <w:uiPriority w:val="99"/>
    <w:semiHidden/>
    <w:unhideWhenUsed/>
    <w:rsid w:val="00B62060"/>
  </w:style>
  <w:style w:type="numbering" w:customStyle="1" w:styleId="Semlista4">
    <w:name w:val="Sem lista4"/>
    <w:next w:val="Semlista"/>
    <w:uiPriority w:val="99"/>
    <w:semiHidden/>
    <w:unhideWhenUsed/>
    <w:rsid w:val="00B62060"/>
  </w:style>
  <w:style w:type="numbering" w:customStyle="1" w:styleId="Semlista13">
    <w:name w:val="Sem lista13"/>
    <w:next w:val="Semlista"/>
    <w:uiPriority w:val="99"/>
    <w:semiHidden/>
    <w:unhideWhenUsed/>
    <w:rsid w:val="00B62060"/>
  </w:style>
  <w:style w:type="numbering" w:customStyle="1" w:styleId="Semlista23">
    <w:name w:val="Sem lista23"/>
    <w:next w:val="Semlista"/>
    <w:uiPriority w:val="99"/>
    <w:semiHidden/>
    <w:unhideWhenUsed/>
    <w:rsid w:val="00B62060"/>
  </w:style>
  <w:style w:type="numbering" w:customStyle="1" w:styleId="Semlista113">
    <w:name w:val="Sem lista113"/>
    <w:next w:val="Semlista"/>
    <w:uiPriority w:val="99"/>
    <w:semiHidden/>
    <w:unhideWhenUsed/>
    <w:rsid w:val="00B62060"/>
  </w:style>
  <w:style w:type="numbering" w:customStyle="1" w:styleId="Semlista5">
    <w:name w:val="Sem lista5"/>
    <w:next w:val="Semlista"/>
    <w:uiPriority w:val="99"/>
    <w:semiHidden/>
    <w:unhideWhenUsed/>
    <w:rsid w:val="00B62060"/>
  </w:style>
  <w:style w:type="numbering" w:customStyle="1" w:styleId="Semlista14">
    <w:name w:val="Sem lista14"/>
    <w:next w:val="Semlista"/>
    <w:uiPriority w:val="99"/>
    <w:semiHidden/>
    <w:unhideWhenUsed/>
    <w:rsid w:val="00B62060"/>
  </w:style>
  <w:style w:type="numbering" w:customStyle="1" w:styleId="Semlista24">
    <w:name w:val="Sem lista24"/>
    <w:next w:val="Semlista"/>
    <w:uiPriority w:val="99"/>
    <w:semiHidden/>
    <w:unhideWhenUsed/>
    <w:rsid w:val="00B62060"/>
  </w:style>
  <w:style w:type="numbering" w:customStyle="1" w:styleId="Semlista114">
    <w:name w:val="Sem lista114"/>
    <w:next w:val="Semlista"/>
    <w:uiPriority w:val="99"/>
    <w:semiHidden/>
    <w:unhideWhenUsed/>
    <w:rsid w:val="00B62060"/>
  </w:style>
  <w:style w:type="numbering" w:customStyle="1" w:styleId="Semlista6">
    <w:name w:val="Sem lista6"/>
    <w:next w:val="Semlista"/>
    <w:uiPriority w:val="99"/>
    <w:semiHidden/>
    <w:unhideWhenUsed/>
    <w:rsid w:val="00B62060"/>
  </w:style>
  <w:style w:type="numbering" w:customStyle="1" w:styleId="Semlista15">
    <w:name w:val="Sem lista15"/>
    <w:next w:val="Semlista"/>
    <w:uiPriority w:val="99"/>
    <w:semiHidden/>
    <w:unhideWhenUsed/>
    <w:rsid w:val="00B62060"/>
  </w:style>
  <w:style w:type="numbering" w:customStyle="1" w:styleId="Semlista25">
    <w:name w:val="Sem lista25"/>
    <w:next w:val="Semlista"/>
    <w:uiPriority w:val="99"/>
    <w:semiHidden/>
    <w:unhideWhenUsed/>
    <w:rsid w:val="00B62060"/>
  </w:style>
  <w:style w:type="numbering" w:customStyle="1" w:styleId="Semlista115">
    <w:name w:val="Sem lista115"/>
    <w:next w:val="Semlista"/>
    <w:uiPriority w:val="99"/>
    <w:semiHidden/>
    <w:unhideWhenUsed/>
    <w:rsid w:val="00B62060"/>
  </w:style>
  <w:style w:type="character" w:customStyle="1" w:styleId="Ttulo2Char1">
    <w:name w:val="Título 2 Char1"/>
    <w:basedOn w:val="Fontepargpadro"/>
    <w:uiPriority w:val="9"/>
    <w:rsid w:val="00D12188"/>
    <w:rPr>
      <w:rFonts w:asciiTheme="majorHAnsi" w:eastAsiaTheme="majorEastAsia" w:hAnsiTheme="majorHAnsi" w:cstheme="majorBidi"/>
      <w:color w:val="2F5496" w:themeColor="accent1" w:themeShade="BF"/>
      <w:sz w:val="26"/>
      <w:szCs w:val="26"/>
    </w:rPr>
  </w:style>
  <w:style w:type="paragraph" w:customStyle="1" w:styleId="07-Legenda1">
    <w:name w:val="07-Legenda1"/>
    <w:basedOn w:val="Normal"/>
    <w:qFormat/>
    <w:rsid w:val="003B61F4"/>
    <w:pPr>
      <w:keepLines/>
      <w:tabs>
        <w:tab w:val="left" w:pos="284"/>
      </w:tabs>
      <w:suppressAutoHyphens/>
      <w:spacing w:before="40" w:after="0" w:line="276" w:lineRule="auto"/>
      <w:ind w:left="284" w:hanging="284"/>
      <w:jc w:val="both"/>
    </w:pPr>
    <w:rPr>
      <w:rFonts w:ascii="Arial (W1)" w:eastAsia="Times New Roman" w:hAnsi="Arial (W1)" w:cs="Times New Roman"/>
      <w:kern w:val="20"/>
      <w:sz w:val="14"/>
      <w:szCs w:val="20"/>
      <w:lang w:eastAsia="pt-BR"/>
    </w:rPr>
  </w:style>
  <w:style w:type="character" w:customStyle="1" w:styleId="Ttulo4Char">
    <w:name w:val="Título 4 Char"/>
    <w:basedOn w:val="Fontepargpadro"/>
    <w:link w:val="Ttulo4"/>
    <w:uiPriority w:val="9"/>
    <w:semiHidden/>
    <w:rsid w:val="00B3309B"/>
    <w:rPr>
      <w:rFonts w:asciiTheme="majorHAnsi" w:eastAsiaTheme="majorEastAsia" w:hAnsiTheme="majorHAnsi" w:cstheme="majorBidi"/>
      <w:color w:val="70AD47" w:themeColor="accent6"/>
      <w:sz w:val="22"/>
      <w:szCs w:val="22"/>
    </w:rPr>
  </w:style>
  <w:style w:type="character" w:customStyle="1" w:styleId="Ttulo5Char">
    <w:name w:val="Título 5 Char"/>
    <w:basedOn w:val="Fontepargpadro"/>
    <w:link w:val="Ttulo5"/>
    <w:uiPriority w:val="9"/>
    <w:semiHidden/>
    <w:rsid w:val="00B3309B"/>
    <w:rPr>
      <w:rFonts w:asciiTheme="majorHAnsi" w:eastAsiaTheme="majorEastAsia" w:hAnsiTheme="majorHAnsi" w:cstheme="majorBidi"/>
      <w:i/>
      <w:iCs/>
      <w:color w:val="70AD47" w:themeColor="accent6"/>
      <w:sz w:val="22"/>
      <w:szCs w:val="22"/>
    </w:rPr>
  </w:style>
  <w:style w:type="character" w:customStyle="1" w:styleId="Ttulo6Char">
    <w:name w:val="Título 6 Char"/>
    <w:basedOn w:val="Fontepargpadro"/>
    <w:link w:val="Ttulo6"/>
    <w:uiPriority w:val="9"/>
    <w:rsid w:val="00B3309B"/>
    <w:rPr>
      <w:rFonts w:asciiTheme="majorHAnsi" w:eastAsiaTheme="majorEastAsia" w:hAnsiTheme="majorHAnsi" w:cstheme="majorBidi"/>
      <w:color w:val="70AD47" w:themeColor="accent6"/>
    </w:rPr>
  </w:style>
  <w:style w:type="character" w:customStyle="1" w:styleId="Ttulo7Char">
    <w:name w:val="Título 7 Char"/>
    <w:basedOn w:val="Fontepargpadro"/>
    <w:link w:val="Ttulo7"/>
    <w:uiPriority w:val="9"/>
    <w:semiHidden/>
    <w:rsid w:val="00B3309B"/>
    <w:rPr>
      <w:rFonts w:asciiTheme="majorHAnsi" w:eastAsiaTheme="majorEastAsia" w:hAnsiTheme="majorHAnsi" w:cstheme="majorBidi"/>
      <w:b/>
      <w:bCs/>
      <w:color w:val="70AD47" w:themeColor="accent6"/>
    </w:rPr>
  </w:style>
  <w:style w:type="character" w:customStyle="1" w:styleId="Ttulo8Char">
    <w:name w:val="Título 8 Char"/>
    <w:basedOn w:val="Fontepargpadro"/>
    <w:link w:val="Ttulo8"/>
    <w:uiPriority w:val="9"/>
    <w:semiHidden/>
    <w:rsid w:val="00B3309B"/>
    <w:rPr>
      <w:rFonts w:asciiTheme="majorHAnsi" w:eastAsiaTheme="majorEastAsia" w:hAnsiTheme="majorHAnsi" w:cstheme="majorBidi"/>
      <w:b/>
      <w:bCs/>
      <w:i/>
      <w:iCs/>
      <w:color w:val="70AD47" w:themeColor="accent6"/>
      <w:sz w:val="20"/>
      <w:szCs w:val="20"/>
    </w:rPr>
  </w:style>
  <w:style w:type="character" w:customStyle="1" w:styleId="Ttulo9Char">
    <w:name w:val="Título 9 Char"/>
    <w:basedOn w:val="Fontepargpadro"/>
    <w:link w:val="Ttulo9"/>
    <w:uiPriority w:val="9"/>
    <w:semiHidden/>
    <w:rsid w:val="00B3309B"/>
    <w:rPr>
      <w:rFonts w:asciiTheme="majorHAnsi" w:eastAsiaTheme="majorEastAsia" w:hAnsiTheme="majorHAnsi" w:cstheme="majorBidi"/>
      <w:i/>
      <w:iCs/>
      <w:color w:val="70AD47" w:themeColor="accent6"/>
      <w:sz w:val="20"/>
      <w:szCs w:val="20"/>
    </w:rPr>
  </w:style>
  <w:style w:type="paragraph" w:styleId="Legenda">
    <w:name w:val="caption"/>
    <w:basedOn w:val="Normal"/>
    <w:next w:val="Normal"/>
    <w:uiPriority w:val="35"/>
    <w:semiHidden/>
    <w:unhideWhenUsed/>
    <w:qFormat/>
    <w:rsid w:val="00B3309B"/>
    <w:pPr>
      <w:spacing w:line="240" w:lineRule="auto"/>
    </w:pPr>
    <w:rPr>
      <w:b/>
      <w:bCs/>
      <w:smallCaps/>
      <w:color w:val="595959" w:themeColor="text1" w:themeTint="A6"/>
    </w:rPr>
  </w:style>
  <w:style w:type="paragraph" w:styleId="Subttulo">
    <w:name w:val="Subtitle"/>
    <w:basedOn w:val="Normal"/>
    <w:next w:val="Normal"/>
    <w:link w:val="SubttuloChar"/>
    <w:uiPriority w:val="11"/>
    <w:qFormat/>
    <w:rsid w:val="00B3309B"/>
    <w:pPr>
      <w:numPr>
        <w:ilvl w:val="1"/>
      </w:numPr>
      <w:spacing w:line="240" w:lineRule="auto"/>
    </w:pPr>
    <w:rPr>
      <w:rFonts w:asciiTheme="majorHAnsi" w:eastAsiaTheme="majorEastAsia" w:hAnsiTheme="majorHAnsi" w:cstheme="majorBidi"/>
      <w:sz w:val="30"/>
      <w:szCs w:val="30"/>
    </w:rPr>
  </w:style>
  <w:style w:type="character" w:customStyle="1" w:styleId="SubttuloChar">
    <w:name w:val="Subtítulo Char"/>
    <w:basedOn w:val="Fontepargpadro"/>
    <w:link w:val="Subttulo"/>
    <w:uiPriority w:val="11"/>
    <w:rsid w:val="00B3309B"/>
    <w:rPr>
      <w:rFonts w:asciiTheme="majorHAnsi" w:eastAsiaTheme="majorEastAsia" w:hAnsiTheme="majorHAnsi" w:cstheme="majorBidi"/>
      <w:sz w:val="30"/>
      <w:szCs w:val="30"/>
    </w:rPr>
  </w:style>
  <w:style w:type="character" w:styleId="Forte">
    <w:name w:val="Strong"/>
    <w:basedOn w:val="Fontepargpadro"/>
    <w:uiPriority w:val="22"/>
    <w:qFormat/>
    <w:rsid w:val="00B3309B"/>
    <w:rPr>
      <w:b/>
      <w:bCs/>
    </w:rPr>
  </w:style>
  <w:style w:type="character" w:styleId="nfase">
    <w:name w:val="Emphasis"/>
    <w:basedOn w:val="Fontepargpadro"/>
    <w:uiPriority w:val="20"/>
    <w:qFormat/>
    <w:rsid w:val="00B3309B"/>
    <w:rPr>
      <w:i/>
      <w:iCs/>
      <w:color w:val="70AD47" w:themeColor="accent6"/>
    </w:rPr>
  </w:style>
  <w:style w:type="paragraph" w:styleId="Citao">
    <w:name w:val="Quote"/>
    <w:basedOn w:val="Normal"/>
    <w:next w:val="Normal"/>
    <w:link w:val="CitaoChar"/>
    <w:uiPriority w:val="29"/>
    <w:qFormat/>
    <w:rsid w:val="00B3309B"/>
    <w:pPr>
      <w:spacing w:before="160"/>
      <w:ind w:left="720" w:right="720"/>
      <w:jc w:val="center"/>
    </w:pPr>
    <w:rPr>
      <w:i/>
      <w:iCs/>
      <w:color w:val="262626" w:themeColor="text1" w:themeTint="D9"/>
    </w:rPr>
  </w:style>
  <w:style w:type="character" w:customStyle="1" w:styleId="CitaoChar">
    <w:name w:val="Citação Char"/>
    <w:basedOn w:val="Fontepargpadro"/>
    <w:link w:val="Citao"/>
    <w:uiPriority w:val="29"/>
    <w:rsid w:val="00B3309B"/>
    <w:rPr>
      <w:i/>
      <w:iCs/>
      <w:color w:val="262626" w:themeColor="text1" w:themeTint="D9"/>
    </w:rPr>
  </w:style>
  <w:style w:type="paragraph" w:styleId="CitaoIntensa">
    <w:name w:val="Intense Quote"/>
    <w:basedOn w:val="Normal"/>
    <w:next w:val="Normal"/>
    <w:link w:val="CitaoIntensaChar"/>
    <w:uiPriority w:val="30"/>
    <w:qFormat/>
    <w:rsid w:val="00B3309B"/>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oIntensaChar">
    <w:name w:val="Citação Intensa Char"/>
    <w:basedOn w:val="Fontepargpadro"/>
    <w:link w:val="CitaoIntensa"/>
    <w:uiPriority w:val="30"/>
    <w:rsid w:val="00B3309B"/>
    <w:rPr>
      <w:rFonts w:asciiTheme="majorHAnsi" w:eastAsiaTheme="majorEastAsia" w:hAnsiTheme="majorHAnsi" w:cstheme="majorBidi"/>
      <w:i/>
      <w:iCs/>
      <w:color w:val="70AD47" w:themeColor="accent6"/>
      <w:sz w:val="32"/>
      <w:szCs w:val="32"/>
    </w:rPr>
  </w:style>
  <w:style w:type="character" w:styleId="nfaseSutil">
    <w:name w:val="Subtle Emphasis"/>
    <w:basedOn w:val="Fontepargpadro"/>
    <w:uiPriority w:val="19"/>
    <w:qFormat/>
    <w:rsid w:val="00B3309B"/>
    <w:rPr>
      <w:i/>
      <w:iCs/>
    </w:rPr>
  </w:style>
  <w:style w:type="character" w:styleId="nfaseIntensa">
    <w:name w:val="Intense Emphasis"/>
    <w:basedOn w:val="Fontepargpadro"/>
    <w:uiPriority w:val="21"/>
    <w:qFormat/>
    <w:rsid w:val="00B3309B"/>
    <w:rPr>
      <w:b/>
      <w:bCs/>
      <w:i/>
      <w:iCs/>
    </w:rPr>
  </w:style>
  <w:style w:type="character" w:styleId="RefernciaSutil">
    <w:name w:val="Subtle Reference"/>
    <w:basedOn w:val="Fontepargpadro"/>
    <w:uiPriority w:val="31"/>
    <w:qFormat/>
    <w:rsid w:val="00B3309B"/>
    <w:rPr>
      <w:smallCaps/>
      <w:color w:val="595959" w:themeColor="text1" w:themeTint="A6"/>
    </w:rPr>
  </w:style>
  <w:style w:type="character" w:styleId="RefernciaIntensa">
    <w:name w:val="Intense Reference"/>
    <w:basedOn w:val="Fontepargpadro"/>
    <w:uiPriority w:val="32"/>
    <w:qFormat/>
    <w:rsid w:val="00B3309B"/>
    <w:rPr>
      <w:b/>
      <w:bCs/>
      <w:smallCaps/>
      <w:color w:val="70AD47" w:themeColor="accent6"/>
    </w:rPr>
  </w:style>
  <w:style w:type="character" w:styleId="TtulodoLivro">
    <w:name w:val="Book Title"/>
    <w:basedOn w:val="Fontepargpadro"/>
    <w:uiPriority w:val="33"/>
    <w:qFormat/>
    <w:rsid w:val="00B3309B"/>
    <w:rPr>
      <w:b/>
      <w:bCs/>
      <w:caps w:val="0"/>
      <w:smallCaps/>
      <w:spacing w:val="7"/>
      <w:sz w:val="21"/>
      <w:szCs w:val="21"/>
    </w:rPr>
  </w:style>
  <w:style w:type="paragraph" w:styleId="Recuodecorpodetexto">
    <w:name w:val="Body Text Indent"/>
    <w:basedOn w:val="Normal"/>
    <w:link w:val="RecuodecorpodetextoChar"/>
    <w:uiPriority w:val="99"/>
    <w:semiHidden/>
    <w:unhideWhenUsed/>
    <w:rsid w:val="00B05693"/>
    <w:pPr>
      <w:spacing w:after="120"/>
      <w:ind w:left="283"/>
    </w:pPr>
  </w:style>
  <w:style w:type="character" w:customStyle="1" w:styleId="RecuodecorpodetextoChar">
    <w:name w:val="Recuo de corpo de texto Char"/>
    <w:basedOn w:val="Fontepargpadro"/>
    <w:link w:val="Recuodecorpodetexto"/>
    <w:uiPriority w:val="99"/>
    <w:semiHidden/>
    <w:rsid w:val="00B05693"/>
  </w:style>
  <w:style w:type="character" w:customStyle="1" w:styleId="xxnormaltextrun">
    <w:name w:val="x_x_normaltextrun"/>
    <w:basedOn w:val="Fontepargpadro"/>
    <w:rsid w:val="009A54AD"/>
  </w:style>
  <w:style w:type="character" w:customStyle="1" w:styleId="markuv54z9ski">
    <w:name w:val="markuv54z9ski"/>
    <w:basedOn w:val="Fontepargpadro"/>
    <w:rsid w:val="009A54AD"/>
  </w:style>
  <w:style w:type="character" w:customStyle="1" w:styleId="xxeop">
    <w:name w:val="x_x_eop"/>
    <w:basedOn w:val="Fontepargpadro"/>
    <w:rsid w:val="009A54AD"/>
  </w:style>
  <w:style w:type="character" w:customStyle="1" w:styleId="ui-provider">
    <w:name w:val="ui-provider"/>
    <w:basedOn w:val="Fontepargpadro"/>
    <w:rsid w:val="000129CE"/>
  </w:style>
  <w:style w:type="character" w:customStyle="1" w:styleId="TextodebaloChar1">
    <w:name w:val="Texto de balão Char1"/>
    <w:basedOn w:val="Fontepargpadro"/>
    <w:uiPriority w:val="99"/>
    <w:semiHidden/>
    <w:rsid w:val="004E603D"/>
    <w:rPr>
      <w:rFonts w:ascii="Segoe UI" w:eastAsia="MS Mincho" w:hAnsi="Segoe UI" w:cs="Segoe UI"/>
      <w:sz w:val="18"/>
      <w:szCs w:val="18"/>
    </w:rPr>
  </w:style>
  <w:style w:type="character" w:customStyle="1" w:styleId="TextodecomentrioChar1">
    <w:name w:val="Texto de comentário Char1"/>
    <w:basedOn w:val="Fontepargpadro"/>
    <w:uiPriority w:val="99"/>
    <w:semiHidden/>
    <w:rsid w:val="004E603D"/>
    <w:rPr>
      <w:rFonts w:eastAsia="MS Mincho"/>
      <w:sz w:val="20"/>
      <w:szCs w:val="20"/>
    </w:rPr>
  </w:style>
  <w:style w:type="character" w:customStyle="1" w:styleId="AssuntodocomentrioChar1">
    <w:name w:val="Assunto do comentário Char1"/>
    <w:basedOn w:val="TextodecomentrioChar1"/>
    <w:uiPriority w:val="99"/>
    <w:semiHidden/>
    <w:rsid w:val="004E603D"/>
    <w:rPr>
      <w:rFonts w:eastAsia="MS Mincho"/>
      <w:b/>
      <w:bCs/>
      <w:sz w:val="20"/>
      <w:szCs w:val="20"/>
    </w:rPr>
  </w:style>
  <w:style w:type="numbering" w:customStyle="1" w:styleId="Semlista1111">
    <w:name w:val="Sem lista1111"/>
    <w:next w:val="Semlista"/>
    <w:uiPriority w:val="99"/>
    <w:semiHidden/>
    <w:unhideWhenUsed/>
    <w:rsid w:val="004E603D"/>
  </w:style>
  <w:style w:type="character" w:customStyle="1" w:styleId="normaltextrun">
    <w:name w:val="normaltextrun"/>
    <w:basedOn w:val="Fontepargpadro"/>
    <w:rsid w:val="00D33F9A"/>
  </w:style>
  <w:style w:type="paragraph" w:customStyle="1" w:styleId="paragraph">
    <w:name w:val="paragraph"/>
    <w:basedOn w:val="Normal"/>
    <w:rsid w:val="00D33F9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eop">
    <w:name w:val="eop"/>
    <w:basedOn w:val="Fontepargpadro"/>
    <w:rsid w:val="00BC3BB0"/>
  </w:style>
  <w:style w:type="table" w:customStyle="1" w:styleId="TabeladeLista6Colorida-nfase53">
    <w:name w:val="Tabela de Lista 6 Colorida - Ênfase 53"/>
    <w:basedOn w:val="Tabelanormal"/>
    <w:next w:val="TabeladeLista6Colorida-nfase5"/>
    <w:uiPriority w:val="51"/>
    <w:rsid w:val="00AA2E78"/>
    <w:pPr>
      <w:spacing w:after="0" w:line="240" w:lineRule="auto"/>
    </w:pPr>
    <w:rPr>
      <w:rFonts w:eastAsiaTheme="minorHAnsi"/>
      <w:color w:val="000000" w:themeColor="text1"/>
      <w:sz w:val="22"/>
      <w:szCs w:val="22"/>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cf01">
    <w:name w:val="cf01"/>
    <w:basedOn w:val="Fontepargpadro"/>
    <w:rsid w:val="00955001"/>
    <w:rPr>
      <w:rFonts w:ascii="Segoe UI" w:hAnsi="Segoe UI" w:cs="Segoe UI" w:hint="default"/>
      <w:sz w:val="18"/>
      <w:szCs w:val="18"/>
    </w:rPr>
  </w:style>
  <w:style w:type="table" w:customStyle="1" w:styleId="BBSEGURIDADE">
    <w:name w:val="BB SEGURIDADE"/>
    <w:basedOn w:val="Tabelanormal"/>
    <w:uiPriority w:val="99"/>
    <w:rsid w:val="009A20D9"/>
    <w:pPr>
      <w:spacing w:after="0" w:line="240" w:lineRule="auto"/>
    </w:pPr>
    <w:rPr>
      <w:rFonts w:ascii="Arial" w:eastAsia="MS Mincho" w:hAnsi="Arial"/>
      <w:color w:val="000000" w:themeColor="text1"/>
      <w:sz w:val="14"/>
      <w:szCs w:val="22"/>
    </w:rPr>
    <w:tblPr>
      <w:tblStyleRowBandSize w:val="1"/>
      <w:tblStyleColBandSize w:val="1"/>
      <w:tblBorders>
        <w:top w:val="single" w:sz="2" w:space="0" w:color="8496B0" w:themeColor="text2" w:themeTint="99"/>
        <w:bottom w:val="single" w:sz="2" w:space="0" w:color="8496B0" w:themeColor="text2" w:themeTint="99"/>
      </w:tblBorders>
    </w:tblPr>
    <w:tblStylePr w:type="firstRow">
      <w:pPr>
        <w:jc w:val="center"/>
      </w:pPr>
      <w:rPr>
        <w:rFonts w:ascii="Arial" w:hAnsi="Arial"/>
        <w:b w:val="0"/>
        <w:i/>
        <w:sz w:val="14"/>
      </w:rPr>
      <w:tblPr/>
      <w:tcPr>
        <w:tcBorders>
          <w:top w:val="single" w:sz="2" w:space="0" w:color="ACB9CA" w:themeColor="text2" w:themeTint="66"/>
          <w:left w:val="nil"/>
          <w:bottom w:val="nil"/>
          <w:right w:val="nil"/>
          <w:insideH w:val="nil"/>
          <w:insideV w:val="nil"/>
          <w:tl2br w:val="nil"/>
          <w:tr2bl w:val="nil"/>
        </w:tcBorders>
        <w:shd w:val="clear" w:color="auto" w:fill="D9E2F3"/>
      </w:tcPr>
    </w:tblStylePr>
    <w:tblStylePr w:type="lastRow">
      <w:pPr>
        <w:jc w:val="left"/>
      </w:pPr>
      <w:rPr>
        <w:rFonts w:ascii="Arial" w:hAnsi="Arial"/>
        <w:b w:val="0"/>
        <w:sz w:val="14"/>
      </w:rPr>
      <w:tblPr/>
      <w:tcPr>
        <w:vAlign w:val="center"/>
      </w:tcPr>
    </w:tblStylePr>
    <w:tblStylePr w:type="band1Vert">
      <w:rPr>
        <w:rFonts w:ascii="Arial" w:hAnsi="Arial"/>
        <w:b w:val="0"/>
        <w:sz w:val="14"/>
      </w:rPr>
    </w:tblStylePr>
    <w:tblStylePr w:type="band2Vert">
      <w:rPr>
        <w:rFonts w:ascii="Arial" w:hAnsi="Arial"/>
        <w:sz w:val="14"/>
      </w:rPr>
    </w:tblStylePr>
    <w:tblStylePr w:type="band1Horz">
      <w:rPr>
        <w:rFonts w:ascii="Arial" w:hAnsi="Arial"/>
        <w:sz w:val="14"/>
      </w:rPr>
      <w:tblPr/>
      <w:tcPr>
        <w:shd w:val="clear" w:color="auto" w:fill="D9E2F3"/>
      </w:tcPr>
    </w:tblStylePr>
    <w:tblStylePr w:type="band2Horz">
      <w:rPr>
        <w:rFonts w:ascii="Arial" w:hAnsi="Arial"/>
        <w:sz w:val="14"/>
      </w:rPr>
      <w:tblPr/>
      <w:tcPr>
        <w:shd w:val="clear" w:color="auto" w:fill="FFFFFF" w:themeFill="background1"/>
      </w:tcPr>
    </w:tblStylePr>
  </w:style>
  <w:style w:type="table" w:customStyle="1" w:styleId="TabeladeLista6Colorida-nfase531">
    <w:name w:val="Tabela de Lista 6 Colorida - Ênfase 531"/>
    <w:basedOn w:val="Tabelanormal"/>
    <w:next w:val="TabeladeLista6Colorida-nfase51"/>
    <w:uiPriority w:val="51"/>
    <w:rsid w:val="009A20D9"/>
    <w:pPr>
      <w:spacing w:after="0" w:line="240" w:lineRule="auto"/>
    </w:pPr>
    <w:rPr>
      <w:rFonts w:ascii="Calibri" w:eastAsia="Calibri" w:hAnsi="Calibri" w:cs="Times New Roman"/>
      <w:color w:val="000000" w:themeColor="text1"/>
      <w:sz w:val="22"/>
      <w:szCs w:val="22"/>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05-TtuloSublinhado">
    <w:name w:val="05-Título Sublinhado"/>
    <w:basedOn w:val="03-SubttulodeNota"/>
    <w:next w:val="01-Textonormal"/>
    <w:qFormat/>
    <w:rsid w:val="009A20D9"/>
    <w:pPr>
      <w:keepNext/>
    </w:pPr>
    <w:rPr>
      <w:rFonts w:cs="Arial"/>
      <w:sz w:val="18"/>
    </w:rPr>
  </w:style>
  <w:style w:type="paragraph" w:customStyle="1" w:styleId="Body">
    <w:name w:val="Body"/>
    <w:basedOn w:val="Normal"/>
    <w:link w:val="BodyChar"/>
    <w:uiPriority w:val="99"/>
    <w:qFormat/>
    <w:rsid w:val="009A20D9"/>
    <w:pPr>
      <w:spacing w:after="140"/>
      <w:jc w:val="both"/>
    </w:pPr>
    <w:rPr>
      <w:rFonts w:ascii="Arial" w:eastAsia="Times New Roman" w:hAnsi="Arial" w:cs="Times New Roman"/>
      <w:kern w:val="20"/>
      <w:sz w:val="20"/>
      <w:szCs w:val="24"/>
      <w:lang w:eastAsia="en-GB"/>
    </w:rPr>
  </w:style>
  <w:style w:type="table" w:customStyle="1" w:styleId="TabeladeGrade1Clara-nfase12">
    <w:name w:val="Tabela de Grade 1 Clara - Ênfase 12"/>
    <w:basedOn w:val="Tabelanormal"/>
    <w:uiPriority w:val="46"/>
    <w:rsid w:val="009A20D9"/>
    <w:pPr>
      <w:spacing w:after="0" w:line="240" w:lineRule="auto"/>
    </w:pPr>
    <w:rPr>
      <w:rFonts w:eastAsiaTheme="minorHAnsi"/>
      <w:sz w:val="22"/>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2">
    <w:name w:val="Tabela de Lista 4 - Ênfase 12"/>
    <w:basedOn w:val="Tabelanormal"/>
    <w:uiPriority w:val="49"/>
    <w:rsid w:val="009A20D9"/>
    <w:pPr>
      <w:spacing w:after="0" w:line="240" w:lineRule="auto"/>
    </w:pPr>
    <w:rPr>
      <w:rFonts w:eastAsiaTheme="minorHAnsi"/>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2">
    <w:name w:val="Tabela de Lista 7 Colorida - Ênfase 12"/>
    <w:basedOn w:val="Tabelanormal"/>
    <w:uiPriority w:val="52"/>
    <w:rsid w:val="009A20D9"/>
    <w:pPr>
      <w:spacing w:after="0" w:line="240" w:lineRule="auto"/>
    </w:pPr>
    <w:rPr>
      <w:rFonts w:eastAsiaTheme="minorHAnsi"/>
      <w:color w:val="2F5496" w:themeColor="accent1"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2">
    <w:name w:val="Tabela de Grade 2 - Ênfase 12"/>
    <w:basedOn w:val="Tabelanormal"/>
    <w:uiPriority w:val="47"/>
    <w:rsid w:val="009A20D9"/>
    <w:pPr>
      <w:spacing w:after="0" w:line="240" w:lineRule="auto"/>
    </w:pPr>
    <w:rPr>
      <w:rFonts w:eastAsiaTheme="minorHAnsi"/>
      <w:sz w:val="22"/>
      <w:szCs w:val="22"/>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2">
    <w:name w:val="Tabela de Grade 2 - Ênfase 52"/>
    <w:basedOn w:val="Tabelanormal"/>
    <w:uiPriority w:val="47"/>
    <w:rsid w:val="009A20D9"/>
    <w:pPr>
      <w:spacing w:after="0" w:line="240" w:lineRule="auto"/>
    </w:pPr>
    <w:rPr>
      <w:rFonts w:eastAsiaTheme="minorHAnsi"/>
      <w:sz w:val="22"/>
      <w:szCs w:val="22"/>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2">
    <w:name w:val="Tabela de Grade 6 Colorida - Ênfase 52"/>
    <w:basedOn w:val="Tabelanormal"/>
    <w:uiPriority w:val="51"/>
    <w:rsid w:val="009A20D9"/>
    <w:pPr>
      <w:spacing w:after="0" w:line="240" w:lineRule="auto"/>
    </w:pPr>
    <w:rPr>
      <w:rFonts w:eastAsiaTheme="minorHAnsi"/>
      <w:color w:val="2E74B5" w:themeColor="accent5" w:themeShade="BF"/>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2">
    <w:name w:val="Tabela de Lista 2 - Ênfase 52"/>
    <w:basedOn w:val="Tabelanormal"/>
    <w:uiPriority w:val="47"/>
    <w:rsid w:val="009A20D9"/>
    <w:pPr>
      <w:spacing w:after="0" w:line="240" w:lineRule="auto"/>
    </w:pPr>
    <w:rPr>
      <w:rFonts w:eastAsiaTheme="minorHAnsi"/>
      <w:sz w:val="22"/>
      <w:szCs w:val="22"/>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2">
    <w:name w:val="Tabela de Lista 4 - Ênfase 52"/>
    <w:basedOn w:val="Tabelanormal"/>
    <w:uiPriority w:val="49"/>
    <w:rsid w:val="009A20D9"/>
    <w:pPr>
      <w:spacing w:after="0" w:line="240" w:lineRule="auto"/>
    </w:pPr>
    <w:rPr>
      <w:rFonts w:eastAsiaTheme="minorHAns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2">
    <w:name w:val="Tabela de Lista 2 - Ênfase 12"/>
    <w:basedOn w:val="Tabelanormal"/>
    <w:uiPriority w:val="47"/>
    <w:rsid w:val="009A20D9"/>
    <w:pPr>
      <w:spacing w:after="0" w:line="240" w:lineRule="auto"/>
    </w:pPr>
    <w:rPr>
      <w:rFonts w:eastAsiaTheme="minorHAnsi"/>
      <w:sz w:val="22"/>
      <w:szCs w:val="22"/>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Refdenotaderodap">
    <w:name w:val="footnote reference"/>
    <w:basedOn w:val="Fontepargpadro"/>
    <w:uiPriority w:val="99"/>
    <w:semiHidden/>
    <w:unhideWhenUsed/>
    <w:rsid w:val="009A20D9"/>
    <w:rPr>
      <w:vertAlign w:val="superscript"/>
    </w:rPr>
  </w:style>
  <w:style w:type="paragraph" w:customStyle="1" w:styleId="ListaRecuadotabela">
    <w:name w:val="Lista_Recuado_tabela"/>
    <w:basedOn w:val="Normal"/>
    <w:next w:val="Normal"/>
    <w:link w:val="ListaRecuadotabelaChar"/>
    <w:autoRedefine/>
    <w:qFormat/>
    <w:rsid w:val="009A20D9"/>
    <w:pPr>
      <w:numPr>
        <w:numId w:val="35"/>
      </w:numPr>
      <w:tabs>
        <w:tab w:val="num" w:pos="360"/>
      </w:tabs>
      <w:spacing w:before="100" w:after="100" w:line="240" w:lineRule="auto"/>
      <w:ind w:right="57"/>
      <w:jc w:val="both"/>
    </w:pPr>
    <w:rPr>
      <w:rFonts w:eastAsiaTheme="minorHAnsi"/>
      <w:sz w:val="18"/>
      <w:szCs w:val="18"/>
    </w:rPr>
  </w:style>
  <w:style w:type="character" w:customStyle="1" w:styleId="ListaRecuadotabelaChar">
    <w:name w:val="Lista_Recuado_tabela Char"/>
    <w:basedOn w:val="Fontepargpadro"/>
    <w:link w:val="ListaRecuadotabela"/>
    <w:rsid w:val="009A20D9"/>
    <w:rPr>
      <w:rFonts w:eastAsiaTheme="minorHAnsi"/>
      <w:sz w:val="18"/>
      <w:szCs w:val="18"/>
    </w:rPr>
  </w:style>
  <w:style w:type="paragraph" w:customStyle="1" w:styleId="Recuado">
    <w:name w:val="Recuado"/>
    <w:basedOn w:val="Normal"/>
    <w:link w:val="RecuadoChar"/>
    <w:qFormat/>
    <w:rsid w:val="009A20D9"/>
    <w:pPr>
      <w:spacing w:before="100" w:after="100" w:line="276" w:lineRule="auto"/>
      <w:ind w:right="3402"/>
      <w:jc w:val="both"/>
    </w:pPr>
    <w:rPr>
      <w:rFonts w:eastAsiaTheme="minorHAnsi"/>
      <w:sz w:val="18"/>
      <w:szCs w:val="22"/>
    </w:rPr>
  </w:style>
  <w:style w:type="character" w:customStyle="1" w:styleId="RecuadoChar">
    <w:name w:val="Recuado Char"/>
    <w:basedOn w:val="Fontepargpadro"/>
    <w:link w:val="Recuado"/>
    <w:rsid w:val="009A20D9"/>
    <w:rPr>
      <w:rFonts w:eastAsiaTheme="minorHAnsi"/>
      <w:sz w:val="18"/>
      <w:szCs w:val="22"/>
    </w:rPr>
  </w:style>
  <w:style w:type="paragraph" w:styleId="Corpodetexto2">
    <w:name w:val="Body Text 2"/>
    <w:basedOn w:val="Normal"/>
    <w:link w:val="Corpodetexto2Char"/>
    <w:uiPriority w:val="99"/>
    <w:rsid w:val="009A20D9"/>
    <w:pPr>
      <w:spacing w:after="0" w:line="240" w:lineRule="auto"/>
    </w:pPr>
    <w:rPr>
      <w:rFonts w:ascii="Arial (W1)" w:eastAsia="Times New Roman" w:hAnsi="Arial (W1)" w:cs="Arial (W1)"/>
      <w:b/>
      <w:bCs/>
      <w:sz w:val="22"/>
      <w:szCs w:val="22"/>
      <w:lang w:eastAsia="pt-BR"/>
    </w:rPr>
  </w:style>
  <w:style w:type="character" w:customStyle="1" w:styleId="Corpodetexto2Char">
    <w:name w:val="Corpo de texto 2 Char"/>
    <w:basedOn w:val="Fontepargpadro"/>
    <w:link w:val="Corpodetexto2"/>
    <w:uiPriority w:val="99"/>
    <w:rsid w:val="009A20D9"/>
    <w:rPr>
      <w:rFonts w:ascii="Arial (W1)" w:eastAsia="Times New Roman" w:hAnsi="Arial (W1)" w:cs="Arial (W1)"/>
      <w:b/>
      <w:bCs/>
      <w:sz w:val="22"/>
      <w:szCs w:val="22"/>
      <w:lang w:eastAsia="pt-BR"/>
    </w:rPr>
  </w:style>
  <w:style w:type="character" w:customStyle="1" w:styleId="17TEXTOcorpojustificadoChar">
    <w:name w:val="17. «TEXTO» corpo justificado Char"/>
    <w:link w:val="17TEXTOcorpojustificado"/>
    <w:rsid w:val="009A20D9"/>
    <w:rPr>
      <w:rFonts w:ascii="Times" w:eastAsia="Times New Roman" w:hAnsi="Times" w:cs="Times New Roman"/>
      <w:szCs w:val="20"/>
    </w:rPr>
  </w:style>
  <w:style w:type="paragraph" w:customStyle="1" w:styleId="Pa3">
    <w:name w:val="Pa3"/>
    <w:basedOn w:val="Default"/>
    <w:next w:val="Default"/>
    <w:uiPriority w:val="99"/>
    <w:rsid w:val="009A20D9"/>
    <w:pPr>
      <w:spacing w:line="137" w:lineRule="atLeast"/>
    </w:pPr>
    <w:rPr>
      <w:rFonts w:ascii="Arial" w:hAnsi="Arial" w:cs="Arial"/>
      <w:color w:val="auto"/>
    </w:rPr>
  </w:style>
  <w:style w:type="paragraph" w:customStyle="1" w:styleId="bullet1">
    <w:name w:val="bullet 1"/>
    <w:basedOn w:val="Normal"/>
    <w:rsid w:val="009A20D9"/>
    <w:pPr>
      <w:numPr>
        <w:numId w:val="36"/>
      </w:numPr>
      <w:tabs>
        <w:tab w:val="num" w:pos="360"/>
      </w:tabs>
      <w:spacing w:after="140" w:line="290" w:lineRule="auto"/>
      <w:jc w:val="both"/>
    </w:pPr>
    <w:rPr>
      <w:rFonts w:ascii="Arial" w:eastAsia="Times New Roman" w:hAnsi="Arial" w:cs="Times New Roman"/>
      <w:kern w:val="20"/>
      <w:sz w:val="20"/>
      <w:szCs w:val="24"/>
      <w:lang w:val="en-US"/>
    </w:rPr>
  </w:style>
  <w:style w:type="character" w:customStyle="1" w:styleId="BodyChar">
    <w:name w:val="Body Char"/>
    <w:link w:val="Body"/>
    <w:uiPriority w:val="99"/>
    <w:rsid w:val="009A20D9"/>
    <w:rPr>
      <w:rFonts w:ascii="Arial" w:eastAsia="Times New Roman" w:hAnsi="Arial" w:cs="Times New Roman"/>
      <w:kern w:val="20"/>
      <w:sz w:val="20"/>
      <w:szCs w:val="24"/>
      <w:lang w:eastAsia="en-GB"/>
    </w:rPr>
  </w:style>
  <w:style w:type="character" w:customStyle="1" w:styleId="st">
    <w:name w:val="st"/>
    <w:basedOn w:val="Fontepargpadro"/>
    <w:rsid w:val="009A20D9"/>
  </w:style>
  <w:style w:type="paragraph" w:customStyle="1" w:styleId="Padro">
    <w:name w:val="Padrão"/>
    <w:rsid w:val="009A20D9"/>
    <w:pPr>
      <w:tabs>
        <w:tab w:val="left" w:pos="708"/>
      </w:tabs>
      <w:suppressAutoHyphens/>
      <w:spacing w:line="276" w:lineRule="auto"/>
    </w:pPr>
    <w:rPr>
      <w:rFonts w:ascii="Calibri" w:eastAsia="SimSun" w:hAnsi="Calibri" w:cs="Calibri"/>
      <w:color w:val="00000A"/>
      <w:sz w:val="22"/>
      <w:szCs w:val="22"/>
    </w:rPr>
  </w:style>
  <w:style w:type="paragraph" w:customStyle="1" w:styleId="10-Lista2">
    <w:name w:val="10-Lista 2"/>
    <w:basedOn w:val="09-Lista"/>
    <w:qFormat/>
    <w:rsid w:val="009A20D9"/>
    <w:pPr>
      <w:numPr>
        <w:numId w:val="37"/>
      </w:numPr>
      <w:tabs>
        <w:tab w:val="clear" w:pos="851"/>
        <w:tab w:val="num" w:pos="360"/>
        <w:tab w:val="left" w:pos="1418"/>
      </w:tabs>
      <w:ind w:hanging="283"/>
    </w:pPr>
  </w:style>
  <w:style w:type="paragraph" w:styleId="Textodenotaderodap">
    <w:name w:val="footnote text"/>
    <w:basedOn w:val="Normal"/>
    <w:link w:val="TextodenotaderodapChar"/>
    <w:uiPriority w:val="99"/>
    <w:unhideWhenUsed/>
    <w:rsid w:val="009A20D9"/>
    <w:pPr>
      <w:spacing w:after="0" w:line="240" w:lineRule="auto"/>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rsid w:val="009A20D9"/>
    <w:rPr>
      <w:rFonts w:ascii="Calibri" w:eastAsia="Calibri" w:hAnsi="Calibri" w:cs="Times New Roman"/>
      <w:sz w:val="20"/>
      <w:szCs w:val="20"/>
    </w:rPr>
  </w:style>
  <w:style w:type="paragraph" w:styleId="NormalWeb">
    <w:name w:val="Normal (Web)"/>
    <w:basedOn w:val="Normal"/>
    <w:uiPriority w:val="99"/>
    <w:semiHidden/>
    <w:unhideWhenUsed/>
    <w:rsid w:val="009A20D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pt-br">
    <w:name w:val="pt-br"/>
    <w:basedOn w:val="Fontepargpadro"/>
    <w:rsid w:val="009A20D9"/>
  </w:style>
  <w:style w:type="character" w:customStyle="1" w:styleId="hps">
    <w:name w:val="hps"/>
    <w:basedOn w:val="Fontepargpadro"/>
    <w:rsid w:val="009A20D9"/>
  </w:style>
  <w:style w:type="table" w:customStyle="1" w:styleId="TabelaSimples21">
    <w:name w:val="Tabela Simples 21"/>
    <w:basedOn w:val="Tabelanormal"/>
    <w:uiPriority w:val="42"/>
    <w:rsid w:val="009A20D9"/>
    <w:pPr>
      <w:spacing w:after="0" w:line="240" w:lineRule="auto"/>
    </w:pPr>
    <w:rPr>
      <w:rFonts w:ascii="Calibri" w:eastAsia="Calibri" w:hAnsi="Calibri" w:cs="Times New Roman"/>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Legendatabelaefiguras">
    <w:name w:val="Legenda tabela e figuras"/>
    <w:basedOn w:val="Normal"/>
    <w:next w:val="Normal"/>
    <w:qFormat/>
    <w:rsid w:val="009A20D9"/>
    <w:pPr>
      <w:spacing w:after="0" w:line="240" w:lineRule="auto"/>
      <w:jc w:val="both"/>
    </w:pPr>
    <w:rPr>
      <w:rFonts w:ascii="Calibri" w:eastAsia="Calibri" w:hAnsi="Calibri" w:cs="Times New Roman"/>
      <w:bCs/>
      <w:color w:val="1F497D"/>
      <w:sz w:val="18"/>
      <w:szCs w:val="22"/>
    </w:rPr>
  </w:style>
  <w:style w:type="paragraph" w:customStyle="1" w:styleId="050-TextoPadro">
    <w:name w:val="050 - Texto Padrão"/>
    <w:basedOn w:val="Normal"/>
    <w:link w:val="050-TextoPadroChar"/>
    <w:qFormat/>
    <w:rsid w:val="009A20D9"/>
    <w:pPr>
      <w:spacing w:before="120" w:after="120" w:line="276" w:lineRule="auto"/>
      <w:jc w:val="both"/>
    </w:pPr>
    <w:rPr>
      <w:rFonts w:ascii="Arial" w:eastAsia="Times New Roman" w:hAnsi="Arial" w:cs="Times New Roman"/>
      <w:sz w:val="18"/>
      <w:szCs w:val="18"/>
      <w:lang w:eastAsia="pt-BR"/>
    </w:rPr>
  </w:style>
  <w:style w:type="character" w:customStyle="1" w:styleId="050-TextoPadroChar">
    <w:name w:val="050 - Texto Padrão Char"/>
    <w:basedOn w:val="Fontepargpadro"/>
    <w:link w:val="050-TextoPadro"/>
    <w:rsid w:val="009A20D9"/>
    <w:rPr>
      <w:rFonts w:ascii="Arial" w:eastAsia="Times New Roman" w:hAnsi="Arial" w:cs="Times New Roman"/>
      <w:sz w:val="18"/>
      <w:szCs w:val="18"/>
      <w:lang w:eastAsia="pt-BR"/>
    </w:rPr>
  </w:style>
  <w:style w:type="paragraph" w:styleId="Textodenotadefim">
    <w:name w:val="endnote text"/>
    <w:basedOn w:val="Normal"/>
    <w:link w:val="TextodenotadefimChar"/>
    <w:uiPriority w:val="99"/>
    <w:semiHidden/>
    <w:unhideWhenUsed/>
    <w:rsid w:val="009A20D9"/>
    <w:pPr>
      <w:spacing w:after="0" w:line="240" w:lineRule="auto"/>
    </w:pPr>
    <w:rPr>
      <w:rFonts w:eastAsia="MS Mincho"/>
      <w:sz w:val="20"/>
      <w:szCs w:val="20"/>
    </w:rPr>
  </w:style>
  <w:style w:type="character" w:customStyle="1" w:styleId="TextodenotadefimChar">
    <w:name w:val="Texto de nota de fim Char"/>
    <w:basedOn w:val="Fontepargpadro"/>
    <w:link w:val="Textodenotadefim"/>
    <w:uiPriority w:val="99"/>
    <w:semiHidden/>
    <w:rsid w:val="009A20D9"/>
    <w:rPr>
      <w:rFonts w:eastAsia="MS Mincho"/>
      <w:sz w:val="20"/>
      <w:szCs w:val="20"/>
    </w:rPr>
  </w:style>
  <w:style w:type="character" w:styleId="Refdenotadefim">
    <w:name w:val="endnote reference"/>
    <w:basedOn w:val="Fontepargpadro"/>
    <w:uiPriority w:val="99"/>
    <w:semiHidden/>
    <w:unhideWhenUsed/>
    <w:rsid w:val="009A20D9"/>
    <w:rPr>
      <w:vertAlign w:val="superscript"/>
    </w:rPr>
  </w:style>
  <w:style w:type="paragraph" w:customStyle="1" w:styleId="Lista1">
    <w:name w:val="Lista1"/>
    <w:basedOn w:val="Normal"/>
    <w:qFormat/>
    <w:rsid w:val="009A20D9"/>
    <w:pPr>
      <w:spacing w:before="100" w:after="100" w:line="312" w:lineRule="auto"/>
      <w:ind w:left="57" w:right="57"/>
      <w:jc w:val="both"/>
    </w:pPr>
    <w:rPr>
      <w:rFonts w:ascii="BancoDoBrasil Textos Light" w:eastAsiaTheme="minorHAnsi" w:hAnsi="BancoDoBrasil Textos Light"/>
      <w:sz w:val="16"/>
      <w:szCs w:val="22"/>
    </w:rPr>
  </w:style>
  <w:style w:type="paragraph" w:customStyle="1" w:styleId="Subtitulonivel1">
    <w:name w:val="Subtitulo nivel 1"/>
    <w:basedOn w:val="Normal"/>
    <w:qFormat/>
    <w:rsid w:val="009A20D9"/>
    <w:pPr>
      <w:tabs>
        <w:tab w:val="left" w:pos="7083"/>
      </w:tabs>
      <w:spacing w:before="120" w:after="120" w:line="240" w:lineRule="auto"/>
      <w:ind w:right="57"/>
      <w:jc w:val="both"/>
    </w:pPr>
    <w:rPr>
      <w:rFonts w:ascii="Calibri" w:eastAsiaTheme="minorHAnsi" w:hAnsi="Calibri"/>
      <w:color w:val="002D4B"/>
      <w:sz w:val="20"/>
      <w:szCs w:val="22"/>
    </w:rPr>
  </w:style>
  <w:style w:type="character" w:customStyle="1" w:styleId="xcontentpasted0">
    <w:name w:val="x_contentpasted0"/>
    <w:basedOn w:val="Fontepargpadro"/>
    <w:rsid w:val="009A20D9"/>
  </w:style>
  <w:style w:type="paragraph" w:customStyle="1" w:styleId="TextoRecuado">
    <w:name w:val="Texto_Recuado"/>
    <w:basedOn w:val="Normal"/>
    <w:link w:val="TextoRecuadoChar"/>
    <w:qFormat/>
    <w:rsid w:val="009A20D9"/>
    <w:pPr>
      <w:spacing w:before="100" w:after="100" w:line="312" w:lineRule="auto"/>
      <w:ind w:right="3402"/>
      <w:jc w:val="both"/>
    </w:pPr>
    <w:rPr>
      <w:rFonts w:ascii="BancoDoBrasil Textos Light" w:eastAsiaTheme="minorHAnsi" w:hAnsi="BancoDoBrasil Textos Light"/>
      <w:sz w:val="16"/>
      <w:szCs w:val="22"/>
    </w:rPr>
  </w:style>
  <w:style w:type="character" w:customStyle="1" w:styleId="TextoRecuadoChar">
    <w:name w:val="Texto_Recuado Char"/>
    <w:basedOn w:val="Fontepargpadro"/>
    <w:link w:val="TextoRecuado"/>
    <w:rsid w:val="009A20D9"/>
    <w:rPr>
      <w:rFonts w:ascii="BancoDoBrasil Textos Light" w:eastAsiaTheme="minorHAnsi" w:hAnsi="BancoDoBrasil Textos Light"/>
      <w:sz w:val="16"/>
      <w:szCs w:val="22"/>
    </w:rPr>
  </w:style>
  <w:style w:type="character" w:customStyle="1" w:styleId="UnresolvedMention1">
    <w:name w:val="Unresolved Mention1"/>
    <w:basedOn w:val="Fontepargpadro"/>
    <w:uiPriority w:val="99"/>
    <w:semiHidden/>
    <w:unhideWhenUsed/>
    <w:rsid w:val="00920FC9"/>
    <w:rPr>
      <w:color w:val="605E5C"/>
      <w:shd w:val="clear" w:color="auto" w:fill="E1DFDD"/>
    </w:rPr>
  </w:style>
  <w:style w:type="character" w:customStyle="1" w:styleId="UnresolvedMention2">
    <w:name w:val="Unresolved Mention2"/>
    <w:basedOn w:val="Fontepargpadro"/>
    <w:uiPriority w:val="99"/>
    <w:semiHidden/>
    <w:unhideWhenUsed/>
    <w:rsid w:val="00E11839"/>
    <w:rPr>
      <w:color w:val="605E5C"/>
      <w:shd w:val="clear" w:color="auto" w:fill="E1DFDD"/>
    </w:rPr>
  </w:style>
  <w:style w:type="character" w:customStyle="1" w:styleId="tabchar">
    <w:name w:val="tabchar"/>
    <w:basedOn w:val="Fontepargpadro"/>
    <w:rsid w:val="007E2FEE"/>
  </w:style>
  <w:style w:type="character" w:styleId="TextodoEspaoReservado">
    <w:name w:val="Placeholder Text"/>
    <w:basedOn w:val="Fontepargpadro"/>
    <w:uiPriority w:val="99"/>
    <w:semiHidden/>
    <w:rsid w:val="00884FF3"/>
    <w:rPr>
      <w:color w:val="666666"/>
    </w:rPr>
  </w:style>
  <w:style w:type="character" w:styleId="MenoPendente">
    <w:name w:val="Unresolved Mention"/>
    <w:basedOn w:val="Fontepargpadro"/>
    <w:uiPriority w:val="99"/>
    <w:semiHidden/>
    <w:unhideWhenUsed/>
    <w:rsid w:val="00F714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18340">
      <w:bodyDiv w:val="1"/>
      <w:marLeft w:val="0"/>
      <w:marRight w:val="0"/>
      <w:marTop w:val="0"/>
      <w:marBottom w:val="0"/>
      <w:divBdr>
        <w:top w:val="none" w:sz="0" w:space="0" w:color="auto"/>
        <w:left w:val="none" w:sz="0" w:space="0" w:color="auto"/>
        <w:bottom w:val="none" w:sz="0" w:space="0" w:color="auto"/>
        <w:right w:val="none" w:sz="0" w:space="0" w:color="auto"/>
      </w:divBdr>
    </w:div>
    <w:div w:id="233780100">
      <w:bodyDiv w:val="1"/>
      <w:marLeft w:val="0"/>
      <w:marRight w:val="0"/>
      <w:marTop w:val="0"/>
      <w:marBottom w:val="0"/>
      <w:divBdr>
        <w:top w:val="none" w:sz="0" w:space="0" w:color="auto"/>
        <w:left w:val="none" w:sz="0" w:space="0" w:color="auto"/>
        <w:bottom w:val="none" w:sz="0" w:space="0" w:color="auto"/>
        <w:right w:val="none" w:sz="0" w:space="0" w:color="auto"/>
      </w:divBdr>
    </w:div>
    <w:div w:id="367343716">
      <w:bodyDiv w:val="1"/>
      <w:marLeft w:val="0"/>
      <w:marRight w:val="0"/>
      <w:marTop w:val="0"/>
      <w:marBottom w:val="0"/>
      <w:divBdr>
        <w:top w:val="none" w:sz="0" w:space="0" w:color="auto"/>
        <w:left w:val="none" w:sz="0" w:space="0" w:color="auto"/>
        <w:bottom w:val="none" w:sz="0" w:space="0" w:color="auto"/>
        <w:right w:val="none" w:sz="0" w:space="0" w:color="auto"/>
      </w:divBdr>
    </w:div>
    <w:div w:id="730496139">
      <w:bodyDiv w:val="1"/>
      <w:marLeft w:val="0"/>
      <w:marRight w:val="0"/>
      <w:marTop w:val="0"/>
      <w:marBottom w:val="0"/>
      <w:divBdr>
        <w:top w:val="none" w:sz="0" w:space="0" w:color="auto"/>
        <w:left w:val="none" w:sz="0" w:space="0" w:color="auto"/>
        <w:bottom w:val="none" w:sz="0" w:space="0" w:color="auto"/>
        <w:right w:val="none" w:sz="0" w:space="0" w:color="auto"/>
      </w:divBdr>
      <w:divsChild>
        <w:div w:id="477966187">
          <w:marLeft w:val="0"/>
          <w:marRight w:val="0"/>
          <w:marTop w:val="0"/>
          <w:marBottom w:val="0"/>
          <w:divBdr>
            <w:top w:val="none" w:sz="0" w:space="0" w:color="auto"/>
            <w:left w:val="none" w:sz="0" w:space="0" w:color="auto"/>
            <w:bottom w:val="none" w:sz="0" w:space="0" w:color="auto"/>
            <w:right w:val="none" w:sz="0" w:space="0" w:color="auto"/>
          </w:divBdr>
        </w:div>
        <w:div w:id="543978661">
          <w:marLeft w:val="0"/>
          <w:marRight w:val="0"/>
          <w:marTop w:val="0"/>
          <w:marBottom w:val="0"/>
          <w:divBdr>
            <w:top w:val="none" w:sz="0" w:space="0" w:color="auto"/>
            <w:left w:val="none" w:sz="0" w:space="0" w:color="auto"/>
            <w:bottom w:val="none" w:sz="0" w:space="0" w:color="auto"/>
            <w:right w:val="none" w:sz="0" w:space="0" w:color="auto"/>
          </w:divBdr>
        </w:div>
        <w:div w:id="2113360282">
          <w:marLeft w:val="0"/>
          <w:marRight w:val="0"/>
          <w:marTop w:val="0"/>
          <w:marBottom w:val="0"/>
          <w:divBdr>
            <w:top w:val="none" w:sz="0" w:space="0" w:color="auto"/>
            <w:left w:val="none" w:sz="0" w:space="0" w:color="auto"/>
            <w:bottom w:val="none" w:sz="0" w:space="0" w:color="auto"/>
            <w:right w:val="none" w:sz="0" w:space="0" w:color="auto"/>
          </w:divBdr>
        </w:div>
        <w:div w:id="533931567">
          <w:marLeft w:val="0"/>
          <w:marRight w:val="0"/>
          <w:marTop w:val="0"/>
          <w:marBottom w:val="0"/>
          <w:divBdr>
            <w:top w:val="none" w:sz="0" w:space="0" w:color="auto"/>
            <w:left w:val="none" w:sz="0" w:space="0" w:color="auto"/>
            <w:bottom w:val="none" w:sz="0" w:space="0" w:color="auto"/>
            <w:right w:val="none" w:sz="0" w:space="0" w:color="auto"/>
          </w:divBdr>
        </w:div>
        <w:div w:id="2122722411">
          <w:marLeft w:val="0"/>
          <w:marRight w:val="0"/>
          <w:marTop w:val="0"/>
          <w:marBottom w:val="0"/>
          <w:divBdr>
            <w:top w:val="none" w:sz="0" w:space="0" w:color="auto"/>
            <w:left w:val="none" w:sz="0" w:space="0" w:color="auto"/>
            <w:bottom w:val="none" w:sz="0" w:space="0" w:color="auto"/>
            <w:right w:val="none" w:sz="0" w:space="0" w:color="auto"/>
          </w:divBdr>
        </w:div>
      </w:divsChild>
    </w:div>
    <w:div w:id="767459122">
      <w:bodyDiv w:val="1"/>
      <w:marLeft w:val="0"/>
      <w:marRight w:val="0"/>
      <w:marTop w:val="0"/>
      <w:marBottom w:val="0"/>
      <w:divBdr>
        <w:top w:val="none" w:sz="0" w:space="0" w:color="auto"/>
        <w:left w:val="none" w:sz="0" w:space="0" w:color="auto"/>
        <w:bottom w:val="none" w:sz="0" w:space="0" w:color="auto"/>
        <w:right w:val="none" w:sz="0" w:space="0" w:color="auto"/>
      </w:divBdr>
    </w:div>
    <w:div w:id="866874983">
      <w:bodyDiv w:val="1"/>
      <w:marLeft w:val="0"/>
      <w:marRight w:val="0"/>
      <w:marTop w:val="0"/>
      <w:marBottom w:val="0"/>
      <w:divBdr>
        <w:top w:val="none" w:sz="0" w:space="0" w:color="auto"/>
        <w:left w:val="none" w:sz="0" w:space="0" w:color="auto"/>
        <w:bottom w:val="none" w:sz="0" w:space="0" w:color="auto"/>
        <w:right w:val="none" w:sz="0" w:space="0" w:color="auto"/>
      </w:divBdr>
    </w:div>
    <w:div w:id="1015154529">
      <w:bodyDiv w:val="1"/>
      <w:marLeft w:val="0"/>
      <w:marRight w:val="0"/>
      <w:marTop w:val="0"/>
      <w:marBottom w:val="0"/>
      <w:divBdr>
        <w:top w:val="none" w:sz="0" w:space="0" w:color="auto"/>
        <w:left w:val="none" w:sz="0" w:space="0" w:color="auto"/>
        <w:bottom w:val="none" w:sz="0" w:space="0" w:color="auto"/>
        <w:right w:val="none" w:sz="0" w:space="0" w:color="auto"/>
      </w:divBdr>
    </w:div>
    <w:div w:id="1103841339">
      <w:bodyDiv w:val="1"/>
      <w:marLeft w:val="0"/>
      <w:marRight w:val="0"/>
      <w:marTop w:val="0"/>
      <w:marBottom w:val="0"/>
      <w:divBdr>
        <w:top w:val="none" w:sz="0" w:space="0" w:color="auto"/>
        <w:left w:val="none" w:sz="0" w:space="0" w:color="auto"/>
        <w:bottom w:val="none" w:sz="0" w:space="0" w:color="auto"/>
        <w:right w:val="none" w:sz="0" w:space="0" w:color="auto"/>
      </w:divBdr>
    </w:div>
    <w:div w:id="1253978545">
      <w:bodyDiv w:val="1"/>
      <w:marLeft w:val="0"/>
      <w:marRight w:val="0"/>
      <w:marTop w:val="0"/>
      <w:marBottom w:val="0"/>
      <w:divBdr>
        <w:top w:val="none" w:sz="0" w:space="0" w:color="auto"/>
        <w:left w:val="none" w:sz="0" w:space="0" w:color="auto"/>
        <w:bottom w:val="none" w:sz="0" w:space="0" w:color="auto"/>
        <w:right w:val="none" w:sz="0" w:space="0" w:color="auto"/>
      </w:divBdr>
    </w:div>
    <w:div w:id="1582789231">
      <w:bodyDiv w:val="1"/>
      <w:marLeft w:val="0"/>
      <w:marRight w:val="0"/>
      <w:marTop w:val="0"/>
      <w:marBottom w:val="0"/>
      <w:divBdr>
        <w:top w:val="none" w:sz="0" w:space="0" w:color="auto"/>
        <w:left w:val="none" w:sz="0" w:space="0" w:color="auto"/>
        <w:bottom w:val="none" w:sz="0" w:space="0" w:color="auto"/>
        <w:right w:val="none" w:sz="0" w:space="0" w:color="auto"/>
      </w:divBdr>
      <w:divsChild>
        <w:div w:id="1055466396">
          <w:marLeft w:val="0"/>
          <w:marRight w:val="0"/>
          <w:marTop w:val="0"/>
          <w:marBottom w:val="0"/>
          <w:divBdr>
            <w:top w:val="none" w:sz="0" w:space="0" w:color="auto"/>
            <w:left w:val="none" w:sz="0" w:space="0" w:color="auto"/>
            <w:bottom w:val="none" w:sz="0" w:space="0" w:color="auto"/>
            <w:right w:val="none" w:sz="0" w:space="0" w:color="auto"/>
          </w:divBdr>
        </w:div>
        <w:div w:id="635525076">
          <w:marLeft w:val="0"/>
          <w:marRight w:val="0"/>
          <w:marTop w:val="0"/>
          <w:marBottom w:val="0"/>
          <w:divBdr>
            <w:top w:val="none" w:sz="0" w:space="0" w:color="auto"/>
            <w:left w:val="none" w:sz="0" w:space="0" w:color="auto"/>
            <w:bottom w:val="none" w:sz="0" w:space="0" w:color="auto"/>
            <w:right w:val="none" w:sz="0" w:space="0" w:color="auto"/>
          </w:divBdr>
        </w:div>
        <w:div w:id="1925603614">
          <w:marLeft w:val="0"/>
          <w:marRight w:val="0"/>
          <w:marTop w:val="0"/>
          <w:marBottom w:val="0"/>
          <w:divBdr>
            <w:top w:val="none" w:sz="0" w:space="0" w:color="auto"/>
            <w:left w:val="none" w:sz="0" w:space="0" w:color="auto"/>
            <w:bottom w:val="none" w:sz="0" w:space="0" w:color="auto"/>
            <w:right w:val="none" w:sz="0" w:space="0" w:color="auto"/>
          </w:divBdr>
        </w:div>
        <w:div w:id="1770932543">
          <w:marLeft w:val="0"/>
          <w:marRight w:val="0"/>
          <w:marTop w:val="0"/>
          <w:marBottom w:val="0"/>
          <w:divBdr>
            <w:top w:val="none" w:sz="0" w:space="0" w:color="auto"/>
            <w:left w:val="none" w:sz="0" w:space="0" w:color="auto"/>
            <w:bottom w:val="none" w:sz="0" w:space="0" w:color="auto"/>
            <w:right w:val="none" w:sz="0" w:space="0" w:color="auto"/>
          </w:divBdr>
        </w:div>
        <w:div w:id="442070644">
          <w:marLeft w:val="0"/>
          <w:marRight w:val="0"/>
          <w:marTop w:val="0"/>
          <w:marBottom w:val="0"/>
          <w:divBdr>
            <w:top w:val="none" w:sz="0" w:space="0" w:color="auto"/>
            <w:left w:val="none" w:sz="0" w:space="0" w:color="auto"/>
            <w:bottom w:val="none" w:sz="0" w:space="0" w:color="auto"/>
            <w:right w:val="none" w:sz="0" w:space="0" w:color="auto"/>
          </w:divBdr>
        </w:div>
      </w:divsChild>
    </w:div>
    <w:div w:id="1753622553">
      <w:bodyDiv w:val="1"/>
      <w:marLeft w:val="0"/>
      <w:marRight w:val="0"/>
      <w:marTop w:val="0"/>
      <w:marBottom w:val="0"/>
      <w:divBdr>
        <w:top w:val="none" w:sz="0" w:space="0" w:color="auto"/>
        <w:left w:val="none" w:sz="0" w:space="0" w:color="auto"/>
        <w:bottom w:val="none" w:sz="0" w:space="0" w:color="auto"/>
        <w:right w:val="none" w:sz="0" w:space="0" w:color="auto"/>
      </w:divBdr>
    </w:div>
    <w:div w:id="1876886743">
      <w:bodyDiv w:val="1"/>
      <w:marLeft w:val="0"/>
      <w:marRight w:val="0"/>
      <w:marTop w:val="0"/>
      <w:marBottom w:val="0"/>
      <w:divBdr>
        <w:top w:val="none" w:sz="0" w:space="0" w:color="auto"/>
        <w:left w:val="none" w:sz="0" w:space="0" w:color="auto"/>
        <w:bottom w:val="none" w:sz="0" w:space="0" w:color="auto"/>
        <w:right w:val="none" w:sz="0" w:space="0" w:color="auto"/>
      </w:divBdr>
      <w:divsChild>
        <w:div w:id="507333321">
          <w:marLeft w:val="0"/>
          <w:marRight w:val="0"/>
          <w:marTop w:val="0"/>
          <w:marBottom w:val="0"/>
          <w:divBdr>
            <w:top w:val="none" w:sz="0" w:space="0" w:color="auto"/>
            <w:left w:val="none" w:sz="0" w:space="0" w:color="auto"/>
            <w:bottom w:val="none" w:sz="0" w:space="0" w:color="auto"/>
            <w:right w:val="none" w:sz="0" w:space="0" w:color="auto"/>
          </w:divBdr>
        </w:div>
        <w:div w:id="522481716">
          <w:marLeft w:val="0"/>
          <w:marRight w:val="0"/>
          <w:marTop w:val="0"/>
          <w:marBottom w:val="0"/>
          <w:divBdr>
            <w:top w:val="none" w:sz="0" w:space="0" w:color="auto"/>
            <w:left w:val="none" w:sz="0" w:space="0" w:color="auto"/>
            <w:bottom w:val="none" w:sz="0" w:space="0" w:color="auto"/>
            <w:right w:val="none" w:sz="0" w:space="0" w:color="auto"/>
          </w:divBdr>
        </w:div>
        <w:div w:id="804196916">
          <w:marLeft w:val="0"/>
          <w:marRight w:val="0"/>
          <w:marTop w:val="0"/>
          <w:marBottom w:val="0"/>
          <w:divBdr>
            <w:top w:val="none" w:sz="0" w:space="0" w:color="auto"/>
            <w:left w:val="none" w:sz="0" w:space="0" w:color="auto"/>
            <w:bottom w:val="none" w:sz="0" w:space="0" w:color="auto"/>
            <w:right w:val="none" w:sz="0" w:space="0" w:color="auto"/>
          </w:divBdr>
        </w:div>
        <w:div w:id="814491196">
          <w:marLeft w:val="0"/>
          <w:marRight w:val="0"/>
          <w:marTop w:val="0"/>
          <w:marBottom w:val="0"/>
          <w:divBdr>
            <w:top w:val="none" w:sz="0" w:space="0" w:color="auto"/>
            <w:left w:val="none" w:sz="0" w:space="0" w:color="auto"/>
            <w:bottom w:val="none" w:sz="0" w:space="0" w:color="auto"/>
            <w:right w:val="none" w:sz="0" w:space="0" w:color="auto"/>
          </w:divBdr>
        </w:div>
        <w:div w:id="885602796">
          <w:marLeft w:val="0"/>
          <w:marRight w:val="0"/>
          <w:marTop w:val="0"/>
          <w:marBottom w:val="0"/>
          <w:divBdr>
            <w:top w:val="none" w:sz="0" w:space="0" w:color="auto"/>
            <w:left w:val="none" w:sz="0" w:space="0" w:color="auto"/>
            <w:bottom w:val="none" w:sz="0" w:space="0" w:color="auto"/>
            <w:right w:val="none" w:sz="0" w:space="0" w:color="auto"/>
          </w:divBdr>
        </w:div>
        <w:div w:id="1478450017">
          <w:marLeft w:val="0"/>
          <w:marRight w:val="0"/>
          <w:marTop w:val="0"/>
          <w:marBottom w:val="0"/>
          <w:divBdr>
            <w:top w:val="none" w:sz="0" w:space="0" w:color="auto"/>
            <w:left w:val="none" w:sz="0" w:space="0" w:color="auto"/>
            <w:bottom w:val="none" w:sz="0" w:space="0" w:color="auto"/>
            <w:right w:val="none" w:sz="0" w:space="0" w:color="auto"/>
          </w:divBdr>
        </w:div>
      </w:divsChild>
    </w:div>
    <w:div w:id="1931815133">
      <w:bodyDiv w:val="1"/>
      <w:marLeft w:val="0"/>
      <w:marRight w:val="0"/>
      <w:marTop w:val="0"/>
      <w:marBottom w:val="0"/>
      <w:divBdr>
        <w:top w:val="none" w:sz="0" w:space="0" w:color="auto"/>
        <w:left w:val="none" w:sz="0" w:space="0" w:color="auto"/>
        <w:bottom w:val="none" w:sz="0" w:space="0" w:color="auto"/>
        <w:right w:val="none" w:sz="0" w:space="0" w:color="auto"/>
      </w:divBdr>
    </w:div>
    <w:div w:id="2006082507">
      <w:bodyDiv w:val="1"/>
      <w:marLeft w:val="0"/>
      <w:marRight w:val="0"/>
      <w:marTop w:val="0"/>
      <w:marBottom w:val="0"/>
      <w:divBdr>
        <w:top w:val="none" w:sz="0" w:space="0" w:color="auto"/>
        <w:left w:val="none" w:sz="0" w:space="0" w:color="auto"/>
        <w:bottom w:val="none" w:sz="0" w:space="0" w:color="auto"/>
        <w:right w:val="none" w:sz="0" w:space="0" w:color="auto"/>
      </w:divBdr>
      <w:divsChild>
        <w:div w:id="2100179246">
          <w:marLeft w:val="0"/>
          <w:marRight w:val="0"/>
          <w:marTop w:val="0"/>
          <w:marBottom w:val="0"/>
          <w:divBdr>
            <w:top w:val="none" w:sz="0" w:space="0" w:color="auto"/>
            <w:left w:val="none" w:sz="0" w:space="0" w:color="auto"/>
            <w:bottom w:val="none" w:sz="0" w:space="0" w:color="auto"/>
            <w:right w:val="none" w:sz="0" w:space="0" w:color="auto"/>
          </w:divBdr>
        </w:div>
        <w:div w:id="1222979207">
          <w:marLeft w:val="0"/>
          <w:marRight w:val="0"/>
          <w:marTop w:val="0"/>
          <w:marBottom w:val="0"/>
          <w:divBdr>
            <w:top w:val="none" w:sz="0" w:space="0" w:color="auto"/>
            <w:left w:val="none" w:sz="0" w:space="0" w:color="auto"/>
            <w:bottom w:val="none" w:sz="0" w:space="0" w:color="auto"/>
            <w:right w:val="none" w:sz="0" w:space="0" w:color="auto"/>
          </w:divBdr>
        </w:div>
        <w:div w:id="309483123">
          <w:marLeft w:val="0"/>
          <w:marRight w:val="0"/>
          <w:marTop w:val="0"/>
          <w:marBottom w:val="0"/>
          <w:divBdr>
            <w:top w:val="none" w:sz="0" w:space="0" w:color="auto"/>
            <w:left w:val="none" w:sz="0" w:space="0" w:color="auto"/>
            <w:bottom w:val="none" w:sz="0" w:space="0" w:color="auto"/>
            <w:right w:val="none" w:sz="0" w:space="0" w:color="auto"/>
          </w:divBdr>
        </w:div>
        <w:div w:id="758331802">
          <w:marLeft w:val="0"/>
          <w:marRight w:val="0"/>
          <w:marTop w:val="0"/>
          <w:marBottom w:val="0"/>
          <w:divBdr>
            <w:top w:val="none" w:sz="0" w:space="0" w:color="auto"/>
            <w:left w:val="none" w:sz="0" w:space="0" w:color="auto"/>
            <w:bottom w:val="none" w:sz="0" w:space="0" w:color="auto"/>
            <w:right w:val="none" w:sz="0" w:space="0" w:color="auto"/>
          </w:divBdr>
        </w:div>
        <w:div w:id="1769227721">
          <w:marLeft w:val="0"/>
          <w:marRight w:val="0"/>
          <w:marTop w:val="0"/>
          <w:marBottom w:val="0"/>
          <w:divBdr>
            <w:top w:val="none" w:sz="0" w:space="0" w:color="auto"/>
            <w:left w:val="none" w:sz="0" w:space="0" w:color="auto"/>
            <w:bottom w:val="none" w:sz="0" w:space="0" w:color="auto"/>
            <w:right w:val="none" w:sz="0" w:space="0" w:color="auto"/>
          </w:divBdr>
        </w:div>
        <w:div w:id="1289047585">
          <w:marLeft w:val="0"/>
          <w:marRight w:val="0"/>
          <w:marTop w:val="0"/>
          <w:marBottom w:val="0"/>
          <w:divBdr>
            <w:top w:val="none" w:sz="0" w:space="0" w:color="auto"/>
            <w:left w:val="none" w:sz="0" w:space="0" w:color="auto"/>
            <w:bottom w:val="none" w:sz="0" w:space="0" w:color="auto"/>
            <w:right w:val="none" w:sz="0" w:space="0" w:color="auto"/>
          </w:divBdr>
        </w:div>
        <w:div w:id="1805000810">
          <w:marLeft w:val="0"/>
          <w:marRight w:val="0"/>
          <w:marTop w:val="0"/>
          <w:marBottom w:val="0"/>
          <w:divBdr>
            <w:top w:val="none" w:sz="0" w:space="0" w:color="auto"/>
            <w:left w:val="none" w:sz="0" w:space="0" w:color="auto"/>
            <w:bottom w:val="none" w:sz="0" w:space="0" w:color="auto"/>
            <w:right w:val="none" w:sz="0" w:space="0" w:color="auto"/>
          </w:divBdr>
        </w:div>
        <w:div w:id="438836809">
          <w:marLeft w:val="0"/>
          <w:marRight w:val="0"/>
          <w:marTop w:val="0"/>
          <w:marBottom w:val="0"/>
          <w:divBdr>
            <w:top w:val="none" w:sz="0" w:space="0" w:color="auto"/>
            <w:left w:val="none" w:sz="0" w:space="0" w:color="auto"/>
            <w:bottom w:val="none" w:sz="0" w:space="0" w:color="auto"/>
            <w:right w:val="none" w:sz="0" w:space="0" w:color="auto"/>
          </w:divBdr>
        </w:div>
        <w:div w:id="1656493245">
          <w:marLeft w:val="0"/>
          <w:marRight w:val="0"/>
          <w:marTop w:val="0"/>
          <w:marBottom w:val="0"/>
          <w:divBdr>
            <w:top w:val="none" w:sz="0" w:space="0" w:color="auto"/>
            <w:left w:val="none" w:sz="0" w:space="0" w:color="auto"/>
            <w:bottom w:val="none" w:sz="0" w:space="0" w:color="auto"/>
            <w:right w:val="none" w:sz="0" w:space="0" w:color="auto"/>
          </w:divBdr>
        </w:div>
        <w:div w:id="757404322">
          <w:marLeft w:val="0"/>
          <w:marRight w:val="0"/>
          <w:marTop w:val="0"/>
          <w:marBottom w:val="0"/>
          <w:divBdr>
            <w:top w:val="none" w:sz="0" w:space="0" w:color="auto"/>
            <w:left w:val="none" w:sz="0" w:space="0" w:color="auto"/>
            <w:bottom w:val="none" w:sz="0" w:space="0" w:color="auto"/>
            <w:right w:val="none" w:sz="0" w:space="0" w:color="auto"/>
          </w:divBdr>
        </w:div>
        <w:div w:id="1450079418">
          <w:marLeft w:val="0"/>
          <w:marRight w:val="0"/>
          <w:marTop w:val="0"/>
          <w:marBottom w:val="0"/>
          <w:divBdr>
            <w:top w:val="none" w:sz="0" w:space="0" w:color="auto"/>
            <w:left w:val="none" w:sz="0" w:space="0" w:color="auto"/>
            <w:bottom w:val="none" w:sz="0" w:space="0" w:color="auto"/>
            <w:right w:val="none" w:sz="0" w:space="0" w:color="auto"/>
          </w:divBdr>
        </w:div>
        <w:div w:id="984898286">
          <w:marLeft w:val="0"/>
          <w:marRight w:val="0"/>
          <w:marTop w:val="0"/>
          <w:marBottom w:val="0"/>
          <w:divBdr>
            <w:top w:val="none" w:sz="0" w:space="0" w:color="auto"/>
            <w:left w:val="none" w:sz="0" w:space="0" w:color="auto"/>
            <w:bottom w:val="none" w:sz="0" w:space="0" w:color="auto"/>
            <w:right w:val="none" w:sz="0" w:space="0" w:color="auto"/>
          </w:divBdr>
        </w:div>
        <w:div w:id="225262096">
          <w:marLeft w:val="0"/>
          <w:marRight w:val="0"/>
          <w:marTop w:val="0"/>
          <w:marBottom w:val="0"/>
          <w:divBdr>
            <w:top w:val="none" w:sz="0" w:space="0" w:color="auto"/>
            <w:left w:val="none" w:sz="0" w:space="0" w:color="auto"/>
            <w:bottom w:val="none" w:sz="0" w:space="0" w:color="auto"/>
            <w:right w:val="none" w:sz="0" w:space="0" w:color="auto"/>
          </w:divBdr>
        </w:div>
        <w:div w:id="101340283">
          <w:marLeft w:val="0"/>
          <w:marRight w:val="0"/>
          <w:marTop w:val="0"/>
          <w:marBottom w:val="0"/>
          <w:divBdr>
            <w:top w:val="none" w:sz="0" w:space="0" w:color="auto"/>
            <w:left w:val="none" w:sz="0" w:space="0" w:color="auto"/>
            <w:bottom w:val="none" w:sz="0" w:space="0" w:color="auto"/>
            <w:right w:val="none" w:sz="0" w:space="0" w:color="auto"/>
          </w:divBdr>
        </w:div>
        <w:div w:id="165872241">
          <w:marLeft w:val="0"/>
          <w:marRight w:val="0"/>
          <w:marTop w:val="0"/>
          <w:marBottom w:val="0"/>
          <w:divBdr>
            <w:top w:val="none" w:sz="0" w:space="0" w:color="auto"/>
            <w:left w:val="none" w:sz="0" w:space="0" w:color="auto"/>
            <w:bottom w:val="none" w:sz="0" w:space="0" w:color="auto"/>
            <w:right w:val="none" w:sz="0" w:space="0" w:color="auto"/>
          </w:divBdr>
        </w:div>
        <w:div w:id="818767186">
          <w:marLeft w:val="0"/>
          <w:marRight w:val="0"/>
          <w:marTop w:val="0"/>
          <w:marBottom w:val="0"/>
          <w:divBdr>
            <w:top w:val="none" w:sz="0" w:space="0" w:color="auto"/>
            <w:left w:val="none" w:sz="0" w:space="0" w:color="auto"/>
            <w:bottom w:val="none" w:sz="0" w:space="0" w:color="auto"/>
            <w:right w:val="none" w:sz="0" w:space="0" w:color="auto"/>
          </w:divBdr>
        </w:div>
        <w:div w:id="437264625">
          <w:marLeft w:val="0"/>
          <w:marRight w:val="0"/>
          <w:marTop w:val="0"/>
          <w:marBottom w:val="0"/>
          <w:divBdr>
            <w:top w:val="none" w:sz="0" w:space="0" w:color="auto"/>
            <w:left w:val="none" w:sz="0" w:space="0" w:color="auto"/>
            <w:bottom w:val="none" w:sz="0" w:space="0" w:color="auto"/>
            <w:right w:val="none" w:sz="0" w:space="0" w:color="auto"/>
          </w:divBdr>
        </w:div>
        <w:div w:id="1479230617">
          <w:marLeft w:val="0"/>
          <w:marRight w:val="0"/>
          <w:marTop w:val="0"/>
          <w:marBottom w:val="0"/>
          <w:divBdr>
            <w:top w:val="none" w:sz="0" w:space="0" w:color="auto"/>
            <w:left w:val="none" w:sz="0" w:space="0" w:color="auto"/>
            <w:bottom w:val="none" w:sz="0" w:space="0" w:color="auto"/>
            <w:right w:val="none" w:sz="0" w:space="0" w:color="auto"/>
          </w:divBdr>
        </w:div>
        <w:div w:id="1224634573">
          <w:marLeft w:val="0"/>
          <w:marRight w:val="0"/>
          <w:marTop w:val="0"/>
          <w:marBottom w:val="0"/>
          <w:divBdr>
            <w:top w:val="none" w:sz="0" w:space="0" w:color="auto"/>
            <w:left w:val="none" w:sz="0" w:space="0" w:color="auto"/>
            <w:bottom w:val="none" w:sz="0" w:space="0" w:color="auto"/>
            <w:right w:val="none" w:sz="0" w:space="0" w:color="auto"/>
          </w:divBdr>
        </w:div>
        <w:div w:id="51081455">
          <w:marLeft w:val="0"/>
          <w:marRight w:val="0"/>
          <w:marTop w:val="0"/>
          <w:marBottom w:val="0"/>
          <w:divBdr>
            <w:top w:val="none" w:sz="0" w:space="0" w:color="auto"/>
            <w:left w:val="none" w:sz="0" w:space="0" w:color="auto"/>
            <w:bottom w:val="none" w:sz="0" w:space="0" w:color="auto"/>
            <w:right w:val="none" w:sz="0" w:space="0" w:color="auto"/>
          </w:divBdr>
        </w:div>
        <w:div w:id="654841714">
          <w:marLeft w:val="0"/>
          <w:marRight w:val="0"/>
          <w:marTop w:val="0"/>
          <w:marBottom w:val="0"/>
          <w:divBdr>
            <w:top w:val="none" w:sz="0" w:space="0" w:color="auto"/>
            <w:left w:val="none" w:sz="0" w:space="0" w:color="auto"/>
            <w:bottom w:val="none" w:sz="0" w:space="0" w:color="auto"/>
            <w:right w:val="none" w:sz="0" w:space="0" w:color="auto"/>
          </w:divBdr>
        </w:div>
        <w:div w:id="2026859123">
          <w:marLeft w:val="0"/>
          <w:marRight w:val="0"/>
          <w:marTop w:val="0"/>
          <w:marBottom w:val="0"/>
          <w:divBdr>
            <w:top w:val="none" w:sz="0" w:space="0" w:color="auto"/>
            <w:left w:val="none" w:sz="0" w:space="0" w:color="auto"/>
            <w:bottom w:val="none" w:sz="0" w:space="0" w:color="auto"/>
            <w:right w:val="none" w:sz="0" w:space="0" w:color="auto"/>
          </w:divBdr>
        </w:div>
        <w:div w:id="1865367491">
          <w:marLeft w:val="0"/>
          <w:marRight w:val="0"/>
          <w:marTop w:val="0"/>
          <w:marBottom w:val="0"/>
          <w:divBdr>
            <w:top w:val="none" w:sz="0" w:space="0" w:color="auto"/>
            <w:left w:val="none" w:sz="0" w:space="0" w:color="auto"/>
            <w:bottom w:val="none" w:sz="0" w:space="0" w:color="auto"/>
            <w:right w:val="none" w:sz="0" w:space="0" w:color="auto"/>
          </w:divBdr>
        </w:div>
        <w:div w:id="961879653">
          <w:marLeft w:val="0"/>
          <w:marRight w:val="0"/>
          <w:marTop w:val="0"/>
          <w:marBottom w:val="0"/>
          <w:divBdr>
            <w:top w:val="none" w:sz="0" w:space="0" w:color="auto"/>
            <w:left w:val="none" w:sz="0" w:space="0" w:color="auto"/>
            <w:bottom w:val="none" w:sz="0" w:space="0" w:color="auto"/>
            <w:right w:val="none" w:sz="0" w:space="0" w:color="auto"/>
          </w:divBdr>
        </w:div>
        <w:div w:id="651107153">
          <w:marLeft w:val="0"/>
          <w:marRight w:val="0"/>
          <w:marTop w:val="0"/>
          <w:marBottom w:val="0"/>
          <w:divBdr>
            <w:top w:val="none" w:sz="0" w:space="0" w:color="auto"/>
            <w:left w:val="none" w:sz="0" w:space="0" w:color="auto"/>
            <w:bottom w:val="none" w:sz="0" w:space="0" w:color="auto"/>
            <w:right w:val="none" w:sz="0" w:space="0" w:color="auto"/>
          </w:divBdr>
        </w:div>
      </w:divsChild>
    </w:div>
    <w:div w:id="2078898296">
      <w:bodyDiv w:val="1"/>
      <w:marLeft w:val="0"/>
      <w:marRight w:val="0"/>
      <w:marTop w:val="0"/>
      <w:marBottom w:val="0"/>
      <w:divBdr>
        <w:top w:val="none" w:sz="0" w:space="0" w:color="auto"/>
        <w:left w:val="none" w:sz="0" w:space="0" w:color="auto"/>
        <w:bottom w:val="none" w:sz="0" w:space="0" w:color="auto"/>
        <w:right w:val="none" w:sz="0" w:space="0" w:color="auto"/>
      </w:divBdr>
    </w:div>
    <w:div w:id="2128160447">
      <w:bodyDiv w:val="1"/>
      <w:marLeft w:val="0"/>
      <w:marRight w:val="0"/>
      <w:marTop w:val="0"/>
      <w:marBottom w:val="0"/>
      <w:divBdr>
        <w:top w:val="none" w:sz="0" w:space="0" w:color="auto"/>
        <w:left w:val="none" w:sz="0" w:space="0" w:color="auto"/>
        <w:bottom w:val="none" w:sz="0" w:space="0" w:color="auto"/>
        <w:right w:val="none" w:sz="0" w:space="0" w:color="auto"/>
      </w:divBdr>
      <w:divsChild>
        <w:div w:id="758717913">
          <w:marLeft w:val="0"/>
          <w:marRight w:val="0"/>
          <w:marTop w:val="0"/>
          <w:marBottom w:val="0"/>
          <w:divBdr>
            <w:top w:val="none" w:sz="0" w:space="0" w:color="auto"/>
            <w:left w:val="none" w:sz="0" w:space="0" w:color="auto"/>
            <w:bottom w:val="none" w:sz="0" w:space="0" w:color="auto"/>
            <w:right w:val="none" w:sz="0" w:space="0" w:color="auto"/>
          </w:divBdr>
        </w:div>
        <w:div w:id="242496511">
          <w:marLeft w:val="0"/>
          <w:marRight w:val="0"/>
          <w:marTop w:val="0"/>
          <w:marBottom w:val="0"/>
          <w:divBdr>
            <w:top w:val="none" w:sz="0" w:space="0" w:color="auto"/>
            <w:left w:val="none" w:sz="0" w:space="0" w:color="auto"/>
            <w:bottom w:val="none" w:sz="0" w:space="0" w:color="auto"/>
            <w:right w:val="none" w:sz="0" w:space="0" w:color="auto"/>
          </w:divBdr>
        </w:div>
        <w:div w:id="1549804782">
          <w:marLeft w:val="0"/>
          <w:marRight w:val="0"/>
          <w:marTop w:val="0"/>
          <w:marBottom w:val="0"/>
          <w:divBdr>
            <w:top w:val="none" w:sz="0" w:space="0" w:color="auto"/>
            <w:left w:val="none" w:sz="0" w:space="0" w:color="auto"/>
            <w:bottom w:val="none" w:sz="0" w:space="0" w:color="auto"/>
            <w:right w:val="none" w:sz="0" w:space="0" w:color="auto"/>
          </w:divBdr>
        </w:div>
        <w:div w:id="1658528935">
          <w:marLeft w:val="0"/>
          <w:marRight w:val="0"/>
          <w:marTop w:val="0"/>
          <w:marBottom w:val="0"/>
          <w:divBdr>
            <w:top w:val="none" w:sz="0" w:space="0" w:color="auto"/>
            <w:left w:val="none" w:sz="0" w:space="0" w:color="auto"/>
            <w:bottom w:val="none" w:sz="0" w:space="0" w:color="auto"/>
            <w:right w:val="none" w:sz="0" w:space="0" w:color="auto"/>
          </w:divBdr>
        </w:div>
        <w:div w:id="936837985">
          <w:marLeft w:val="0"/>
          <w:marRight w:val="0"/>
          <w:marTop w:val="0"/>
          <w:marBottom w:val="0"/>
          <w:divBdr>
            <w:top w:val="none" w:sz="0" w:space="0" w:color="auto"/>
            <w:left w:val="none" w:sz="0" w:space="0" w:color="auto"/>
            <w:bottom w:val="none" w:sz="0" w:space="0" w:color="auto"/>
            <w:right w:val="none" w:sz="0" w:space="0" w:color="auto"/>
          </w:divBdr>
        </w:div>
        <w:div w:id="433478642">
          <w:marLeft w:val="0"/>
          <w:marRight w:val="0"/>
          <w:marTop w:val="0"/>
          <w:marBottom w:val="0"/>
          <w:divBdr>
            <w:top w:val="none" w:sz="0" w:space="0" w:color="auto"/>
            <w:left w:val="none" w:sz="0" w:space="0" w:color="auto"/>
            <w:bottom w:val="none" w:sz="0" w:space="0" w:color="auto"/>
            <w:right w:val="none" w:sz="0" w:space="0" w:color="auto"/>
          </w:divBdr>
        </w:div>
        <w:div w:id="1674380613">
          <w:marLeft w:val="0"/>
          <w:marRight w:val="0"/>
          <w:marTop w:val="0"/>
          <w:marBottom w:val="0"/>
          <w:divBdr>
            <w:top w:val="none" w:sz="0" w:space="0" w:color="auto"/>
            <w:left w:val="none" w:sz="0" w:space="0" w:color="auto"/>
            <w:bottom w:val="none" w:sz="0" w:space="0" w:color="auto"/>
            <w:right w:val="none" w:sz="0" w:space="0" w:color="auto"/>
          </w:divBdr>
        </w:div>
        <w:div w:id="890920514">
          <w:marLeft w:val="0"/>
          <w:marRight w:val="0"/>
          <w:marTop w:val="0"/>
          <w:marBottom w:val="0"/>
          <w:divBdr>
            <w:top w:val="none" w:sz="0" w:space="0" w:color="auto"/>
            <w:left w:val="none" w:sz="0" w:space="0" w:color="auto"/>
            <w:bottom w:val="none" w:sz="0" w:space="0" w:color="auto"/>
            <w:right w:val="none" w:sz="0" w:space="0" w:color="auto"/>
          </w:divBdr>
        </w:div>
        <w:div w:id="984815721">
          <w:marLeft w:val="0"/>
          <w:marRight w:val="0"/>
          <w:marTop w:val="0"/>
          <w:marBottom w:val="0"/>
          <w:divBdr>
            <w:top w:val="none" w:sz="0" w:space="0" w:color="auto"/>
            <w:left w:val="none" w:sz="0" w:space="0" w:color="auto"/>
            <w:bottom w:val="none" w:sz="0" w:space="0" w:color="auto"/>
            <w:right w:val="none" w:sz="0" w:space="0" w:color="auto"/>
          </w:divBdr>
        </w:div>
        <w:div w:id="139813951">
          <w:marLeft w:val="0"/>
          <w:marRight w:val="0"/>
          <w:marTop w:val="0"/>
          <w:marBottom w:val="0"/>
          <w:divBdr>
            <w:top w:val="none" w:sz="0" w:space="0" w:color="auto"/>
            <w:left w:val="none" w:sz="0" w:space="0" w:color="auto"/>
            <w:bottom w:val="none" w:sz="0" w:space="0" w:color="auto"/>
            <w:right w:val="none" w:sz="0" w:space="0" w:color="auto"/>
          </w:divBdr>
        </w:div>
        <w:div w:id="1884751459">
          <w:marLeft w:val="0"/>
          <w:marRight w:val="0"/>
          <w:marTop w:val="0"/>
          <w:marBottom w:val="0"/>
          <w:divBdr>
            <w:top w:val="none" w:sz="0" w:space="0" w:color="auto"/>
            <w:left w:val="none" w:sz="0" w:space="0" w:color="auto"/>
            <w:bottom w:val="none" w:sz="0" w:space="0" w:color="auto"/>
            <w:right w:val="none" w:sz="0" w:space="0" w:color="auto"/>
          </w:divBdr>
        </w:div>
        <w:div w:id="228270475">
          <w:marLeft w:val="0"/>
          <w:marRight w:val="0"/>
          <w:marTop w:val="0"/>
          <w:marBottom w:val="0"/>
          <w:divBdr>
            <w:top w:val="none" w:sz="0" w:space="0" w:color="auto"/>
            <w:left w:val="none" w:sz="0" w:space="0" w:color="auto"/>
            <w:bottom w:val="none" w:sz="0" w:space="0" w:color="auto"/>
            <w:right w:val="none" w:sz="0" w:space="0" w:color="auto"/>
          </w:divBdr>
        </w:div>
        <w:div w:id="1667172748">
          <w:marLeft w:val="0"/>
          <w:marRight w:val="0"/>
          <w:marTop w:val="0"/>
          <w:marBottom w:val="0"/>
          <w:divBdr>
            <w:top w:val="none" w:sz="0" w:space="0" w:color="auto"/>
            <w:left w:val="none" w:sz="0" w:space="0" w:color="auto"/>
            <w:bottom w:val="none" w:sz="0" w:space="0" w:color="auto"/>
            <w:right w:val="none" w:sz="0" w:space="0" w:color="auto"/>
          </w:divBdr>
        </w:div>
        <w:div w:id="1088962824">
          <w:marLeft w:val="0"/>
          <w:marRight w:val="0"/>
          <w:marTop w:val="0"/>
          <w:marBottom w:val="0"/>
          <w:divBdr>
            <w:top w:val="none" w:sz="0" w:space="0" w:color="auto"/>
            <w:left w:val="none" w:sz="0" w:space="0" w:color="auto"/>
            <w:bottom w:val="none" w:sz="0" w:space="0" w:color="auto"/>
            <w:right w:val="none" w:sz="0" w:space="0" w:color="auto"/>
          </w:divBdr>
        </w:div>
        <w:div w:id="1664118935">
          <w:marLeft w:val="0"/>
          <w:marRight w:val="0"/>
          <w:marTop w:val="0"/>
          <w:marBottom w:val="0"/>
          <w:divBdr>
            <w:top w:val="none" w:sz="0" w:space="0" w:color="auto"/>
            <w:left w:val="none" w:sz="0" w:space="0" w:color="auto"/>
            <w:bottom w:val="none" w:sz="0" w:space="0" w:color="auto"/>
            <w:right w:val="none" w:sz="0" w:space="0" w:color="auto"/>
          </w:divBdr>
        </w:div>
        <w:div w:id="1867209471">
          <w:marLeft w:val="0"/>
          <w:marRight w:val="0"/>
          <w:marTop w:val="0"/>
          <w:marBottom w:val="0"/>
          <w:divBdr>
            <w:top w:val="none" w:sz="0" w:space="0" w:color="auto"/>
            <w:left w:val="none" w:sz="0" w:space="0" w:color="auto"/>
            <w:bottom w:val="none" w:sz="0" w:space="0" w:color="auto"/>
            <w:right w:val="none" w:sz="0" w:space="0" w:color="auto"/>
          </w:divBdr>
        </w:div>
        <w:div w:id="241528988">
          <w:marLeft w:val="0"/>
          <w:marRight w:val="0"/>
          <w:marTop w:val="0"/>
          <w:marBottom w:val="0"/>
          <w:divBdr>
            <w:top w:val="none" w:sz="0" w:space="0" w:color="auto"/>
            <w:left w:val="none" w:sz="0" w:space="0" w:color="auto"/>
            <w:bottom w:val="none" w:sz="0" w:space="0" w:color="auto"/>
            <w:right w:val="none" w:sz="0" w:space="0" w:color="auto"/>
          </w:divBdr>
        </w:div>
        <w:div w:id="1126661419">
          <w:marLeft w:val="0"/>
          <w:marRight w:val="0"/>
          <w:marTop w:val="0"/>
          <w:marBottom w:val="0"/>
          <w:divBdr>
            <w:top w:val="none" w:sz="0" w:space="0" w:color="auto"/>
            <w:left w:val="none" w:sz="0" w:space="0" w:color="auto"/>
            <w:bottom w:val="none" w:sz="0" w:space="0" w:color="auto"/>
            <w:right w:val="none" w:sz="0" w:space="0" w:color="auto"/>
          </w:divBdr>
        </w:div>
        <w:div w:id="342169536">
          <w:marLeft w:val="0"/>
          <w:marRight w:val="0"/>
          <w:marTop w:val="0"/>
          <w:marBottom w:val="0"/>
          <w:divBdr>
            <w:top w:val="none" w:sz="0" w:space="0" w:color="auto"/>
            <w:left w:val="none" w:sz="0" w:space="0" w:color="auto"/>
            <w:bottom w:val="none" w:sz="0" w:space="0" w:color="auto"/>
            <w:right w:val="none" w:sz="0" w:space="0" w:color="auto"/>
          </w:divBdr>
        </w:div>
        <w:div w:id="871455435">
          <w:marLeft w:val="0"/>
          <w:marRight w:val="0"/>
          <w:marTop w:val="0"/>
          <w:marBottom w:val="0"/>
          <w:divBdr>
            <w:top w:val="none" w:sz="0" w:space="0" w:color="auto"/>
            <w:left w:val="none" w:sz="0" w:space="0" w:color="auto"/>
            <w:bottom w:val="none" w:sz="0" w:space="0" w:color="auto"/>
            <w:right w:val="none" w:sz="0" w:space="0" w:color="auto"/>
          </w:divBdr>
        </w:div>
        <w:div w:id="770785164">
          <w:marLeft w:val="0"/>
          <w:marRight w:val="0"/>
          <w:marTop w:val="0"/>
          <w:marBottom w:val="0"/>
          <w:divBdr>
            <w:top w:val="none" w:sz="0" w:space="0" w:color="auto"/>
            <w:left w:val="none" w:sz="0" w:space="0" w:color="auto"/>
            <w:bottom w:val="none" w:sz="0" w:space="0" w:color="auto"/>
            <w:right w:val="none" w:sz="0" w:space="0" w:color="auto"/>
          </w:divBdr>
        </w:div>
        <w:div w:id="178198251">
          <w:marLeft w:val="0"/>
          <w:marRight w:val="0"/>
          <w:marTop w:val="0"/>
          <w:marBottom w:val="0"/>
          <w:divBdr>
            <w:top w:val="none" w:sz="0" w:space="0" w:color="auto"/>
            <w:left w:val="none" w:sz="0" w:space="0" w:color="auto"/>
            <w:bottom w:val="none" w:sz="0" w:space="0" w:color="auto"/>
            <w:right w:val="none" w:sz="0" w:space="0" w:color="auto"/>
          </w:divBdr>
        </w:div>
        <w:div w:id="1220752522">
          <w:marLeft w:val="0"/>
          <w:marRight w:val="0"/>
          <w:marTop w:val="0"/>
          <w:marBottom w:val="0"/>
          <w:divBdr>
            <w:top w:val="none" w:sz="0" w:space="0" w:color="auto"/>
            <w:left w:val="none" w:sz="0" w:space="0" w:color="auto"/>
            <w:bottom w:val="none" w:sz="0" w:space="0" w:color="auto"/>
            <w:right w:val="none" w:sz="0" w:space="0" w:color="auto"/>
          </w:divBdr>
        </w:div>
        <w:div w:id="510920036">
          <w:marLeft w:val="0"/>
          <w:marRight w:val="0"/>
          <w:marTop w:val="0"/>
          <w:marBottom w:val="0"/>
          <w:divBdr>
            <w:top w:val="none" w:sz="0" w:space="0" w:color="auto"/>
            <w:left w:val="none" w:sz="0" w:space="0" w:color="auto"/>
            <w:bottom w:val="none" w:sz="0" w:space="0" w:color="auto"/>
            <w:right w:val="none" w:sz="0" w:space="0" w:color="auto"/>
          </w:divBdr>
        </w:div>
        <w:div w:id="13827518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svg"/><Relationship Id="rId23" Type="http://schemas.openxmlformats.org/officeDocument/2006/relationships/footer" Target="footer6.xml"/><Relationship Id="rId28" Type="http://schemas.openxmlformats.org/officeDocument/2006/relationships/hyperlink" Target="https://www.bbseguridaderi.com.br/sustentabilidade-e-governanca/administracao-e-comites/" TargetMode="Externa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footer" Target="footer8.xml"/></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8992A-643F-43B7-805A-72149B8F1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76</Pages>
  <Words>34078</Words>
  <Characters>184025</Characters>
  <Application>Microsoft Office Word</Application>
  <DocSecurity>0</DocSecurity>
  <Lines>1533</Lines>
  <Paragraphs>435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217668</CharactersWithSpaces>
  <SharedDoc>false</SharedDoc>
  <HLinks>
    <vt:vector size="210" baseType="variant">
      <vt:variant>
        <vt:i4>1441853</vt:i4>
      </vt:variant>
      <vt:variant>
        <vt:i4>206</vt:i4>
      </vt:variant>
      <vt:variant>
        <vt:i4>0</vt:i4>
      </vt:variant>
      <vt:variant>
        <vt:i4>5</vt:i4>
      </vt:variant>
      <vt:variant>
        <vt:lpwstr/>
      </vt:variant>
      <vt:variant>
        <vt:lpwstr>_Toc189757093</vt:lpwstr>
      </vt:variant>
      <vt:variant>
        <vt:i4>1441853</vt:i4>
      </vt:variant>
      <vt:variant>
        <vt:i4>200</vt:i4>
      </vt:variant>
      <vt:variant>
        <vt:i4>0</vt:i4>
      </vt:variant>
      <vt:variant>
        <vt:i4>5</vt:i4>
      </vt:variant>
      <vt:variant>
        <vt:lpwstr/>
      </vt:variant>
      <vt:variant>
        <vt:lpwstr>_Toc189757092</vt:lpwstr>
      </vt:variant>
      <vt:variant>
        <vt:i4>1441853</vt:i4>
      </vt:variant>
      <vt:variant>
        <vt:i4>194</vt:i4>
      </vt:variant>
      <vt:variant>
        <vt:i4>0</vt:i4>
      </vt:variant>
      <vt:variant>
        <vt:i4>5</vt:i4>
      </vt:variant>
      <vt:variant>
        <vt:lpwstr/>
      </vt:variant>
      <vt:variant>
        <vt:lpwstr>_Toc189757091</vt:lpwstr>
      </vt:variant>
      <vt:variant>
        <vt:i4>1441853</vt:i4>
      </vt:variant>
      <vt:variant>
        <vt:i4>188</vt:i4>
      </vt:variant>
      <vt:variant>
        <vt:i4>0</vt:i4>
      </vt:variant>
      <vt:variant>
        <vt:i4>5</vt:i4>
      </vt:variant>
      <vt:variant>
        <vt:lpwstr/>
      </vt:variant>
      <vt:variant>
        <vt:lpwstr>_Toc189757090</vt:lpwstr>
      </vt:variant>
      <vt:variant>
        <vt:i4>1507389</vt:i4>
      </vt:variant>
      <vt:variant>
        <vt:i4>182</vt:i4>
      </vt:variant>
      <vt:variant>
        <vt:i4>0</vt:i4>
      </vt:variant>
      <vt:variant>
        <vt:i4>5</vt:i4>
      </vt:variant>
      <vt:variant>
        <vt:lpwstr/>
      </vt:variant>
      <vt:variant>
        <vt:lpwstr>_Toc189757089</vt:lpwstr>
      </vt:variant>
      <vt:variant>
        <vt:i4>1507389</vt:i4>
      </vt:variant>
      <vt:variant>
        <vt:i4>176</vt:i4>
      </vt:variant>
      <vt:variant>
        <vt:i4>0</vt:i4>
      </vt:variant>
      <vt:variant>
        <vt:i4>5</vt:i4>
      </vt:variant>
      <vt:variant>
        <vt:lpwstr/>
      </vt:variant>
      <vt:variant>
        <vt:lpwstr>_Toc189757088</vt:lpwstr>
      </vt:variant>
      <vt:variant>
        <vt:i4>1507389</vt:i4>
      </vt:variant>
      <vt:variant>
        <vt:i4>170</vt:i4>
      </vt:variant>
      <vt:variant>
        <vt:i4>0</vt:i4>
      </vt:variant>
      <vt:variant>
        <vt:i4>5</vt:i4>
      </vt:variant>
      <vt:variant>
        <vt:lpwstr/>
      </vt:variant>
      <vt:variant>
        <vt:lpwstr>_Toc189757087</vt:lpwstr>
      </vt:variant>
      <vt:variant>
        <vt:i4>1507389</vt:i4>
      </vt:variant>
      <vt:variant>
        <vt:i4>164</vt:i4>
      </vt:variant>
      <vt:variant>
        <vt:i4>0</vt:i4>
      </vt:variant>
      <vt:variant>
        <vt:i4>5</vt:i4>
      </vt:variant>
      <vt:variant>
        <vt:lpwstr/>
      </vt:variant>
      <vt:variant>
        <vt:lpwstr>_Toc189757086</vt:lpwstr>
      </vt:variant>
      <vt:variant>
        <vt:i4>1507389</vt:i4>
      </vt:variant>
      <vt:variant>
        <vt:i4>158</vt:i4>
      </vt:variant>
      <vt:variant>
        <vt:i4>0</vt:i4>
      </vt:variant>
      <vt:variant>
        <vt:i4>5</vt:i4>
      </vt:variant>
      <vt:variant>
        <vt:lpwstr/>
      </vt:variant>
      <vt:variant>
        <vt:lpwstr>_Toc189757085</vt:lpwstr>
      </vt:variant>
      <vt:variant>
        <vt:i4>1507389</vt:i4>
      </vt:variant>
      <vt:variant>
        <vt:i4>152</vt:i4>
      </vt:variant>
      <vt:variant>
        <vt:i4>0</vt:i4>
      </vt:variant>
      <vt:variant>
        <vt:i4>5</vt:i4>
      </vt:variant>
      <vt:variant>
        <vt:lpwstr/>
      </vt:variant>
      <vt:variant>
        <vt:lpwstr>_Toc189757084</vt:lpwstr>
      </vt:variant>
      <vt:variant>
        <vt:i4>1507389</vt:i4>
      </vt:variant>
      <vt:variant>
        <vt:i4>146</vt:i4>
      </vt:variant>
      <vt:variant>
        <vt:i4>0</vt:i4>
      </vt:variant>
      <vt:variant>
        <vt:i4>5</vt:i4>
      </vt:variant>
      <vt:variant>
        <vt:lpwstr/>
      </vt:variant>
      <vt:variant>
        <vt:lpwstr>_Toc189757083</vt:lpwstr>
      </vt:variant>
      <vt:variant>
        <vt:i4>1507389</vt:i4>
      </vt:variant>
      <vt:variant>
        <vt:i4>140</vt:i4>
      </vt:variant>
      <vt:variant>
        <vt:i4>0</vt:i4>
      </vt:variant>
      <vt:variant>
        <vt:i4>5</vt:i4>
      </vt:variant>
      <vt:variant>
        <vt:lpwstr/>
      </vt:variant>
      <vt:variant>
        <vt:lpwstr>_Toc189757082</vt:lpwstr>
      </vt:variant>
      <vt:variant>
        <vt:i4>1507389</vt:i4>
      </vt:variant>
      <vt:variant>
        <vt:i4>134</vt:i4>
      </vt:variant>
      <vt:variant>
        <vt:i4>0</vt:i4>
      </vt:variant>
      <vt:variant>
        <vt:i4>5</vt:i4>
      </vt:variant>
      <vt:variant>
        <vt:lpwstr/>
      </vt:variant>
      <vt:variant>
        <vt:lpwstr>_Toc189757081</vt:lpwstr>
      </vt:variant>
      <vt:variant>
        <vt:i4>1507389</vt:i4>
      </vt:variant>
      <vt:variant>
        <vt:i4>128</vt:i4>
      </vt:variant>
      <vt:variant>
        <vt:i4>0</vt:i4>
      </vt:variant>
      <vt:variant>
        <vt:i4>5</vt:i4>
      </vt:variant>
      <vt:variant>
        <vt:lpwstr/>
      </vt:variant>
      <vt:variant>
        <vt:lpwstr>_Toc189757080</vt:lpwstr>
      </vt:variant>
      <vt:variant>
        <vt:i4>1572925</vt:i4>
      </vt:variant>
      <vt:variant>
        <vt:i4>122</vt:i4>
      </vt:variant>
      <vt:variant>
        <vt:i4>0</vt:i4>
      </vt:variant>
      <vt:variant>
        <vt:i4>5</vt:i4>
      </vt:variant>
      <vt:variant>
        <vt:lpwstr/>
      </vt:variant>
      <vt:variant>
        <vt:lpwstr>_Toc189757079</vt:lpwstr>
      </vt:variant>
      <vt:variant>
        <vt:i4>1572925</vt:i4>
      </vt:variant>
      <vt:variant>
        <vt:i4>116</vt:i4>
      </vt:variant>
      <vt:variant>
        <vt:i4>0</vt:i4>
      </vt:variant>
      <vt:variant>
        <vt:i4>5</vt:i4>
      </vt:variant>
      <vt:variant>
        <vt:lpwstr/>
      </vt:variant>
      <vt:variant>
        <vt:lpwstr>_Toc189757078</vt:lpwstr>
      </vt:variant>
      <vt:variant>
        <vt:i4>1572925</vt:i4>
      </vt:variant>
      <vt:variant>
        <vt:i4>110</vt:i4>
      </vt:variant>
      <vt:variant>
        <vt:i4>0</vt:i4>
      </vt:variant>
      <vt:variant>
        <vt:i4>5</vt:i4>
      </vt:variant>
      <vt:variant>
        <vt:lpwstr/>
      </vt:variant>
      <vt:variant>
        <vt:lpwstr>_Toc189757077</vt:lpwstr>
      </vt:variant>
      <vt:variant>
        <vt:i4>1572925</vt:i4>
      </vt:variant>
      <vt:variant>
        <vt:i4>104</vt:i4>
      </vt:variant>
      <vt:variant>
        <vt:i4>0</vt:i4>
      </vt:variant>
      <vt:variant>
        <vt:i4>5</vt:i4>
      </vt:variant>
      <vt:variant>
        <vt:lpwstr/>
      </vt:variant>
      <vt:variant>
        <vt:lpwstr>_Toc189757076</vt:lpwstr>
      </vt:variant>
      <vt:variant>
        <vt:i4>1572925</vt:i4>
      </vt:variant>
      <vt:variant>
        <vt:i4>98</vt:i4>
      </vt:variant>
      <vt:variant>
        <vt:i4>0</vt:i4>
      </vt:variant>
      <vt:variant>
        <vt:i4>5</vt:i4>
      </vt:variant>
      <vt:variant>
        <vt:lpwstr/>
      </vt:variant>
      <vt:variant>
        <vt:lpwstr>_Toc189757075</vt:lpwstr>
      </vt:variant>
      <vt:variant>
        <vt:i4>1572925</vt:i4>
      </vt:variant>
      <vt:variant>
        <vt:i4>92</vt:i4>
      </vt:variant>
      <vt:variant>
        <vt:i4>0</vt:i4>
      </vt:variant>
      <vt:variant>
        <vt:i4>5</vt:i4>
      </vt:variant>
      <vt:variant>
        <vt:lpwstr/>
      </vt:variant>
      <vt:variant>
        <vt:lpwstr>_Toc189757074</vt:lpwstr>
      </vt:variant>
      <vt:variant>
        <vt:i4>1572925</vt:i4>
      </vt:variant>
      <vt:variant>
        <vt:i4>86</vt:i4>
      </vt:variant>
      <vt:variant>
        <vt:i4>0</vt:i4>
      </vt:variant>
      <vt:variant>
        <vt:i4>5</vt:i4>
      </vt:variant>
      <vt:variant>
        <vt:lpwstr/>
      </vt:variant>
      <vt:variant>
        <vt:lpwstr>_Toc189757071</vt:lpwstr>
      </vt:variant>
      <vt:variant>
        <vt:i4>1572925</vt:i4>
      </vt:variant>
      <vt:variant>
        <vt:i4>80</vt:i4>
      </vt:variant>
      <vt:variant>
        <vt:i4>0</vt:i4>
      </vt:variant>
      <vt:variant>
        <vt:i4>5</vt:i4>
      </vt:variant>
      <vt:variant>
        <vt:lpwstr/>
      </vt:variant>
      <vt:variant>
        <vt:lpwstr>_Toc189757070</vt:lpwstr>
      </vt:variant>
      <vt:variant>
        <vt:i4>1638461</vt:i4>
      </vt:variant>
      <vt:variant>
        <vt:i4>74</vt:i4>
      </vt:variant>
      <vt:variant>
        <vt:i4>0</vt:i4>
      </vt:variant>
      <vt:variant>
        <vt:i4>5</vt:i4>
      </vt:variant>
      <vt:variant>
        <vt:lpwstr/>
      </vt:variant>
      <vt:variant>
        <vt:lpwstr>_Toc189757069</vt:lpwstr>
      </vt:variant>
      <vt:variant>
        <vt:i4>1638461</vt:i4>
      </vt:variant>
      <vt:variant>
        <vt:i4>68</vt:i4>
      </vt:variant>
      <vt:variant>
        <vt:i4>0</vt:i4>
      </vt:variant>
      <vt:variant>
        <vt:i4>5</vt:i4>
      </vt:variant>
      <vt:variant>
        <vt:lpwstr/>
      </vt:variant>
      <vt:variant>
        <vt:lpwstr>_Toc189757068</vt:lpwstr>
      </vt:variant>
      <vt:variant>
        <vt:i4>1638461</vt:i4>
      </vt:variant>
      <vt:variant>
        <vt:i4>62</vt:i4>
      </vt:variant>
      <vt:variant>
        <vt:i4>0</vt:i4>
      </vt:variant>
      <vt:variant>
        <vt:i4>5</vt:i4>
      </vt:variant>
      <vt:variant>
        <vt:lpwstr/>
      </vt:variant>
      <vt:variant>
        <vt:lpwstr>_Toc189757067</vt:lpwstr>
      </vt:variant>
      <vt:variant>
        <vt:i4>1638461</vt:i4>
      </vt:variant>
      <vt:variant>
        <vt:i4>56</vt:i4>
      </vt:variant>
      <vt:variant>
        <vt:i4>0</vt:i4>
      </vt:variant>
      <vt:variant>
        <vt:i4>5</vt:i4>
      </vt:variant>
      <vt:variant>
        <vt:lpwstr/>
      </vt:variant>
      <vt:variant>
        <vt:lpwstr>_Toc189757066</vt:lpwstr>
      </vt:variant>
      <vt:variant>
        <vt:i4>1638461</vt:i4>
      </vt:variant>
      <vt:variant>
        <vt:i4>50</vt:i4>
      </vt:variant>
      <vt:variant>
        <vt:i4>0</vt:i4>
      </vt:variant>
      <vt:variant>
        <vt:i4>5</vt:i4>
      </vt:variant>
      <vt:variant>
        <vt:lpwstr/>
      </vt:variant>
      <vt:variant>
        <vt:lpwstr>_Toc189757065</vt:lpwstr>
      </vt:variant>
      <vt:variant>
        <vt:i4>1638461</vt:i4>
      </vt:variant>
      <vt:variant>
        <vt:i4>44</vt:i4>
      </vt:variant>
      <vt:variant>
        <vt:i4>0</vt:i4>
      </vt:variant>
      <vt:variant>
        <vt:i4>5</vt:i4>
      </vt:variant>
      <vt:variant>
        <vt:lpwstr/>
      </vt:variant>
      <vt:variant>
        <vt:lpwstr>_Toc189757064</vt:lpwstr>
      </vt:variant>
      <vt:variant>
        <vt:i4>1638461</vt:i4>
      </vt:variant>
      <vt:variant>
        <vt:i4>38</vt:i4>
      </vt:variant>
      <vt:variant>
        <vt:i4>0</vt:i4>
      </vt:variant>
      <vt:variant>
        <vt:i4>5</vt:i4>
      </vt:variant>
      <vt:variant>
        <vt:lpwstr/>
      </vt:variant>
      <vt:variant>
        <vt:lpwstr>_Toc189757063</vt:lpwstr>
      </vt:variant>
      <vt:variant>
        <vt:i4>1638461</vt:i4>
      </vt:variant>
      <vt:variant>
        <vt:i4>32</vt:i4>
      </vt:variant>
      <vt:variant>
        <vt:i4>0</vt:i4>
      </vt:variant>
      <vt:variant>
        <vt:i4>5</vt:i4>
      </vt:variant>
      <vt:variant>
        <vt:lpwstr/>
      </vt:variant>
      <vt:variant>
        <vt:lpwstr>_Toc189757062</vt:lpwstr>
      </vt:variant>
      <vt:variant>
        <vt:i4>1638461</vt:i4>
      </vt:variant>
      <vt:variant>
        <vt:i4>26</vt:i4>
      </vt:variant>
      <vt:variant>
        <vt:i4>0</vt:i4>
      </vt:variant>
      <vt:variant>
        <vt:i4>5</vt:i4>
      </vt:variant>
      <vt:variant>
        <vt:lpwstr/>
      </vt:variant>
      <vt:variant>
        <vt:lpwstr>_Toc189757061</vt:lpwstr>
      </vt:variant>
      <vt:variant>
        <vt:i4>1638461</vt:i4>
      </vt:variant>
      <vt:variant>
        <vt:i4>20</vt:i4>
      </vt:variant>
      <vt:variant>
        <vt:i4>0</vt:i4>
      </vt:variant>
      <vt:variant>
        <vt:i4>5</vt:i4>
      </vt:variant>
      <vt:variant>
        <vt:lpwstr/>
      </vt:variant>
      <vt:variant>
        <vt:lpwstr>_Toc189757060</vt:lpwstr>
      </vt:variant>
      <vt:variant>
        <vt:i4>1703997</vt:i4>
      </vt:variant>
      <vt:variant>
        <vt:i4>14</vt:i4>
      </vt:variant>
      <vt:variant>
        <vt:i4>0</vt:i4>
      </vt:variant>
      <vt:variant>
        <vt:i4>5</vt:i4>
      </vt:variant>
      <vt:variant>
        <vt:lpwstr/>
      </vt:variant>
      <vt:variant>
        <vt:lpwstr>_Toc189757059</vt:lpwstr>
      </vt:variant>
      <vt:variant>
        <vt:i4>1703997</vt:i4>
      </vt:variant>
      <vt:variant>
        <vt:i4>8</vt:i4>
      </vt:variant>
      <vt:variant>
        <vt:i4>0</vt:i4>
      </vt:variant>
      <vt:variant>
        <vt:i4>5</vt:i4>
      </vt:variant>
      <vt:variant>
        <vt:lpwstr/>
      </vt:variant>
      <vt:variant>
        <vt:lpwstr>_Toc189757058</vt:lpwstr>
      </vt:variant>
      <vt:variant>
        <vt:i4>1703997</vt:i4>
      </vt:variant>
      <vt:variant>
        <vt:i4>2</vt:i4>
      </vt:variant>
      <vt:variant>
        <vt:i4>0</vt:i4>
      </vt:variant>
      <vt:variant>
        <vt:i4>5</vt:i4>
      </vt:variant>
      <vt:variant>
        <vt:lpwstr/>
      </vt:variant>
      <vt:variant>
        <vt:lpwstr>_Toc189757056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Rummenigue Farias Lima</dc:creator>
  <cp:keywords/>
  <dc:description/>
  <cp:lastModifiedBy>Germando Eugenio Caixeta</cp:lastModifiedBy>
  <cp:revision>32</cp:revision>
  <cp:lastPrinted>2025-02-14T21:25:00Z</cp:lastPrinted>
  <dcterms:created xsi:type="dcterms:W3CDTF">2025-02-13T20:32:00Z</dcterms:created>
  <dcterms:modified xsi:type="dcterms:W3CDTF">2025-02-14T21:26:00Z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c767d2-732a-4924-9cd7-80a15a296575_Enabled">
    <vt:lpwstr>true</vt:lpwstr>
  </property>
  <property fmtid="{D5CDD505-2E9C-101B-9397-08002B2CF9AE}" pid="3" name="MSIP_Label_bdc767d2-732a-4924-9cd7-80a15a296575_SetDate">
    <vt:lpwstr>2024-02-02T16:55:27Z</vt:lpwstr>
  </property>
  <property fmtid="{D5CDD505-2E9C-101B-9397-08002B2CF9AE}" pid="4" name="MSIP_Label_bdc767d2-732a-4924-9cd7-80a15a296575_Method">
    <vt:lpwstr>Privileged</vt:lpwstr>
  </property>
  <property fmtid="{D5CDD505-2E9C-101B-9397-08002B2CF9AE}" pid="5" name="MSIP_Label_bdc767d2-732a-4924-9cd7-80a15a296575_Name">
    <vt:lpwstr>bdc767d2-732a-4924-9cd7-80a15a296575</vt:lpwstr>
  </property>
  <property fmtid="{D5CDD505-2E9C-101B-9397-08002B2CF9AE}" pid="6" name="MSIP_Label_bdc767d2-732a-4924-9cd7-80a15a296575_SiteId">
    <vt:lpwstr>ea0c2907-38d2-4181-8750-b0b190b60443</vt:lpwstr>
  </property>
  <property fmtid="{D5CDD505-2E9C-101B-9397-08002B2CF9AE}" pid="7" name="MSIP_Label_bdc767d2-732a-4924-9cd7-80a15a296575_ActionId">
    <vt:lpwstr>ef314bd6-4042-4a91-ac12-82992cab098e</vt:lpwstr>
  </property>
  <property fmtid="{D5CDD505-2E9C-101B-9397-08002B2CF9AE}" pid="8" name="MSIP_Label_bdc767d2-732a-4924-9cd7-80a15a296575_ContentBits">
    <vt:lpwstr>1</vt:lpwstr>
  </property>
</Properties>
</file>